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55052B" w14:textId="4AF93502" w:rsidR="00594776" w:rsidRDefault="00594776" w:rsidP="00594776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>Object Analysis – Connected Worlds</w:t>
      </w:r>
    </w:p>
    <w:p w14:paraId="7E327A2B" w14:textId="2E2CFF90" w:rsidR="00217A15" w:rsidRPr="009D4EE3" w:rsidRDefault="00217A15" w:rsidP="00594776">
      <w:pPr>
        <w:spacing w:after="0" w:line="360" w:lineRule="auto"/>
        <w:rPr>
          <w:sz w:val="24"/>
          <w:szCs w:val="24"/>
        </w:rPr>
      </w:pPr>
      <w:r w:rsidRPr="009D4EE3">
        <w:rPr>
          <w:sz w:val="24"/>
          <w:szCs w:val="24"/>
        </w:rPr>
        <w:t>Egyptian Funerary Cone</w:t>
      </w:r>
    </w:p>
    <w:p w14:paraId="7570AEBE" w14:textId="271770E7" w:rsidR="004E231D" w:rsidRDefault="001E4856" w:rsidP="00594776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>Clay with reed and stone meshing.</w:t>
      </w:r>
    </w:p>
    <w:p w14:paraId="49531314" w14:textId="13EC6812" w:rsidR="001E4856" w:rsidRDefault="001E4856" w:rsidP="00594776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>Round bell-shaped end approx. 5cms round;</w:t>
      </w:r>
    </w:p>
    <w:p w14:paraId="6F612F10" w14:textId="5BA9B996" w:rsidR="001E4856" w:rsidRDefault="001E4856" w:rsidP="00594776">
      <w:pPr>
        <w:spacing w:after="0" w:line="360" w:lineRule="auto"/>
        <w:rPr>
          <w:sz w:val="24"/>
          <w:szCs w:val="24"/>
        </w:rPr>
      </w:pPr>
      <w:r>
        <w:rPr>
          <w:sz w:val="24"/>
          <w:szCs w:val="24"/>
        </w:rPr>
        <w:t>Bronze Age, Thutmose iii, and Hatshepsut prenomen</w:t>
      </w:r>
      <w:r w:rsidR="00615283">
        <w:rPr>
          <w:sz w:val="24"/>
          <w:szCs w:val="24"/>
        </w:rPr>
        <w:t>.</w:t>
      </w:r>
    </w:p>
    <w:p w14:paraId="0FB6C1B6" w14:textId="77777777" w:rsidR="001E4856" w:rsidRDefault="001E4856" w:rsidP="009D4EE3">
      <w:pPr>
        <w:spacing w:line="360" w:lineRule="auto"/>
        <w:rPr>
          <w:sz w:val="24"/>
          <w:szCs w:val="24"/>
        </w:rPr>
      </w:pPr>
    </w:p>
    <w:p w14:paraId="0CB19C6B" w14:textId="3924354C" w:rsidR="005164B5" w:rsidRPr="009D4EE3" w:rsidRDefault="00FB3C58" w:rsidP="009D4E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original funerary cone was found at a Bronze Age locale called el-Moghraqa </w:t>
      </w:r>
      <w:r w:rsidR="007C4342">
        <w:rPr>
          <w:sz w:val="24"/>
          <w:szCs w:val="24"/>
        </w:rPr>
        <w:t>a</w:t>
      </w:r>
      <w:r>
        <w:rPr>
          <w:sz w:val="24"/>
          <w:szCs w:val="24"/>
        </w:rPr>
        <w:t>pproximately 700 m north of Tell el</w:t>
      </w:r>
      <w:r w:rsidR="00CB0FDE">
        <w:rPr>
          <w:sz w:val="24"/>
          <w:szCs w:val="24"/>
        </w:rPr>
        <w:t>- ‘</w:t>
      </w:r>
      <w:r>
        <w:rPr>
          <w:sz w:val="24"/>
          <w:szCs w:val="24"/>
        </w:rPr>
        <w:t>Ajjul a sand dune</w:t>
      </w:r>
      <w:r w:rsidR="008E11A2">
        <w:rPr>
          <w:sz w:val="24"/>
          <w:szCs w:val="24"/>
        </w:rPr>
        <w:t xml:space="preserve"> and farmland area to the</w:t>
      </w:r>
      <w:r>
        <w:rPr>
          <w:sz w:val="24"/>
          <w:szCs w:val="24"/>
        </w:rPr>
        <w:t xml:space="preserve"> north of the wadi-Gaza. This was</w:t>
      </w:r>
      <w:r w:rsidR="00902825">
        <w:rPr>
          <w:sz w:val="24"/>
          <w:szCs w:val="24"/>
        </w:rPr>
        <w:t xml:space="preserve"> an area</w:t>
      </w:r>
      <w:r>
        <w:rPr>
          <w:sz w:val="24"/>
          <w:szCs w:val="24"/>
        </w:rPr>
        <w:t xml:space="preserve"> known as the</w:t>
      </w:r>
      <w:r w:rsidR="00902825">
        <w:rPr>
          <w:sz w:val="24"/>
          <w:szCs w:val="24"/>
        </w:rPr>
        <w:t xml:space="preserve"> Palestinian terminus of the</w:t>
      </w:r>
      <w:r>
        <w:rPr>
          <w:sz w:val="24"/>
          <w:szCs w:val="24"/>
        </w:rPr>
        <w:t xml:space="preserve"> ‘Ways of Horus’ an important point of economic and military contact between Egypt and Palestine at the time of Thutmose iii, </w:t>
      </w:r>
      <w:r w:rsidR="00CB0FDE">
        <w:rPr>
          <w:sz w:val="24"/>
          <w:szCs w:val="24"/>
        </w:rPr>
        <w:t>and his co-ruler Hat</w:t>
      </w:r>
      <w:r w:rsidR="007C4342">
        <w:rPr>
          <w:sz w:val="24"/>
          <w:szCs w:val="24"/>
        </w:rPr>
        <w:t>sh</w:t>
      </w:r>
      <w:r w:rsidR="00CB0FDE">
        <w:rPr>
          <w:sz w:val="24"/>
          <w:szCs w:val="24"/>
        </w:rPr>
        <w:t>ep</w:t>
      </w:r>
      <w:r w:rsidR="007C4342">
        <w:rPr>
          <w:sz w:val="24"/>
          <w:szCs w:val="24"/>
        </w:rPr>
        <w:t>s</w:t>
      </w:r>
      <w:r w:rsidR="00CB0FDE">
        <w:rPr>
          <w:sz w:val="24"/>
          <w:szCs w:val="24"/>
        </w:rPr>
        <w:t>ut. El- Moghraqa was discovered in 1996, and worked on in both 1999 and 2000,</w:t>
      </w:r>
      <w:r w:rsidR="00902825">
        <w:rPr>
          <w:sz w:val="24"/>
          <w:szCs w:val="24"/>
        </w:rPr>
        <w:t xml:space="preserve"> before suspension of activities,</w:t>
      </w:r>
      <w:r w:rsidR="00CB0FDE">
        <w:rPr>
          <w:sz w:val="24"/>
          <w:szCs w:val="24"/>
        </w:rPr>
        <w:t xml:space="preserve"> by Steel et al </w:t>
      </w:r>
      <w:r w:rsidR="00902825">
        <w:rPr>
          <w:sz w:val="24"/>
          <w:szCs w:val="24"/>
        </w:rPr>
        <w:t>and the</w:t>
      </w:r>
      <w:r w:rsidR="00CB0FDE">
        <w:rPr>
          <w:sz w:val="24"/>
          <w:szCs w:val="24"/>
        </w:rPr>
        <w:t xml:space="preserve"> Gaza Research Project.</w:t>
      </w:r>
      <w:r>
        <w:rPr>
          <w:sz w:val="24"/>
          <w:szCs w:val="24"/>
        </w:rPr>
        <w:t xml:space="preserve"> </w:t>
      </w:r>
      <w:r w:rsidR="00CB0FDE">
        <w:rPr>
          <w:sz w:val="24"/>
          <w:szCs w:val="24"/>
        </w:rPr>
        <w:t>The original</w:t>
      </w:r>
      <w:r w:rsidR="00706CB9">
        <w:rPr>
          <w:sz w:val="24"/>
          <w:szCs w:val="24"/>
        </w:rPr>
        <w:t xml:space="preserve"> cone</w:t>
      </w:r>
      <w:r w:rsidR="00CB0FDE">
        <w:rPr>
          <w:sz w:val="24"/>
          <w:szCs w:val="24"/>
        </w:rPr>
        <w:t xml:space="preserve"> had a </w:t>
      </w:r>
      <w:r w:rsidR="00470E36">
        <w:rPr>
          <w:sz w:val="24"/>
          <w:szCs w:val="24"/>
        </w:rPr>
        <w:t>bell-shaped</w:t>
      </w:r>
      <w:r w:rsidR="00CB0FDE">
        <w:rPr>
          <w:sz w:val="24"/>
          <w:szCs w:val="24"/>
        </w:rPr>
        <w:t xml:space="preserve"> end of 5cm </w:t>
      </w:r>
      <w:r w:rsidR="007C4342">
        <w:rPr>
          <w:sz w:val="24"/>
          <w:szCs w:val="24"/>
        </w:rPr>
        <w:t>diameter</w:t>
      </w:r>
      <w:r w:rsidR="00CB0FDE">
        <w:rPr>
          <w:sz w:val="24"/>
          <w:szCs w:val="24"/>
        </w:rPr>
        <w:t xml:space="preserve">, the cartouche in the centre had the following </w:t>
      </w:r>
      <w:r w:rsidR="007C4342">
        <w:rPr>
          <w:sz w:val="24"/>
          <w:szCs w:val="24"/>
        </w:rPr>
        <w:t xml:space="preserve">symbols </w:t>
      </w:r>
      <w:r w:rsidR="00CB0FDE">
        <w:rPr>
          <w:sz w:val="24"/>
          <w:szCs w:val="24"/>
        </w:rPr>
        <w:t>from the top; oval shape, comb, scarab and bird</w:t>
      </w:r>
      <w:r w:rsidR="00CA13ED">
        <w:rPr>
          <w:sz w:val="24"/>
          <w:szCs w:val="24"/>
        </w:rPr>
        <w:t xml:space="preserve"> encased in </w:t>
      </w:r>
      <w:r w:rsidR="00470E36">
        <w:rPr>
          <w:sz w:val="24"/>
          <w:szCs w:val="24"/>
        </w:rPr>
        <w:t>an</w:t>
      </w:r>
      <w:r w:rsidR="00CA13ED">
        <w:rPr>
          <w:sz w:val="24"/>
          <w:szCs w:val="24"/>
        </w:rPr>
        <w:t xml:space="preserve"> inverted large oval. The comb ha</w:t>
      </w:r>
      <w:r w:rsidR="007C4342">
        <w:rPr>
          <w:sz w:val="24"/>
          <w:szCs w:val="24"/>
        </w:rPr>
        <w:t>s</w:t>
      </w:r>
      <w:r w:rsidR="00CA13ED">
        <w:rPr>
          <w:sz w:val="24"/>
          <w:szCs w:val="24"/>
        </w:rPr>
        <w:t xml:space="preserve"> 6 teeth, the scarab 4 legs.</w:t>
      </w:r>
      <w:r w:rsidR="00065CFF">
        <w:rPr>
          <w:sz w:val="24"/>
          <w:szCs w:val="24"/>
        </w:rPr>
        <w:t xml:space="preserve"> The </w:t>
      </w:r>
      <w:r w:rsidR="00A84024">
        <w:rPr>
          <w:sz w:val="24"/>
          <w:szCs w:val="24"/>
        </w:rPr>
        <w:t>bell-shaped</w:t>
      </w:r>
      <w:r w:rsidR="00065CFF">
        <w:rPr>
          <w:sz w:val="24"/>
          <w:szCs w:val="24"/>
        </w:rPr>
        <w:t xml:space="preserve"> end is badly worn and is difficult to read, but when taken with the other Bronze Age artefacts found with it</w:t>
      </w:r>
      <w:r w:rsidR="007C4342">
        <w:rPr>
          <w:sz w:val="24"/>
          <w:szCs w:val="24"/>
        </w:rPr>
        <w:t xml:space="preserve"> - </w:t>
      </w:r>
      <w:r w:rsidR="00065CFF">
        <w:rPr>
          <w:sz w:val="24"/>
          <w:szCs w:val="24"/>
        </w:rPr>
        <w:t xml:space="preserve">pottery, Canaanite blades, fragments of stone, carnelian beads and </w:t>
      </w:r>
      <w:r w:rsidR="00A84024">
        <w:rPr>
          <w:sz w:val="24"/>
          <w:szCs w:val="24"/>
        </w:rPr>
        <w:t>an</w:t>
      </w:r>
      <w:r w:rsidR="00065CFF">
        <w:rPr>
          <w:sz w:val="24"/>
          <w:szCs w:val="24"/>
        </w:rPr>
        <w:t xml:space="preserve"> alabaster kohl bottle</w:t>
      </w:r>
      <w:r w:rsidR="007C4342">
        <w:rPr>
          <w:sz w:val="24"/>
          <w:szCs w:val="24"/>
        </w:rPr>
        <w:t xml:space="preserve"> - </w:t>
      </w:r>
      <w:r w:rsidR="00470E36">
        <w:rPr>
          <w:sz w:val="24"/>
          <w:szCs w:val="24"/>
        </w:rPr>
        <w:t>c</w:t>
      </w:r>
      <w:r w:rsidR="00065CFF">
        <w:rPr>
          <w:sz w:val="24"/>
          <w:szCs w:val="24"/>
        </w:rPr>
        <w:t>ould suggest that it was part of a</w:t>
      </w:r>
      <w:r w:rsidR="007C4342">
        <w:rPr>
          <w:sz w:val="24"/>
          <w:szCs w:val="24"/>
        </w:rPr>
        <w:t>n</w:t>
      </w:r>
      <w:r w:rsidR="00065CFF">
        <w:rPr>
          <w:sz w:val="24"/>
          <w:szCs w:val="24"/>
        </w:rPr>
        <w:t xml:space="preserve"> Egyptian funerary phenomenon</w:t>
      </w:r>
      <w:r w:rsidR="00806FEA">
        <w:rPr>
          <w:sz w:val="24"/>
          <w:szCs w:val="24"/>
        </w:rPr>
        <w:t xml:space="preserve"> belonging to a Dynasty xviii cemetery. </w:t>
      </w:r>
      <w:r w:rsidR="00CA13ED">
        <w:rPr>
          <w:sz w:val="24"/>
          <w:szCs w:val="24"/>
        </w:rPr>
        <w:t>Although the length of the cone can not be seen it was unlikely to have been mutilated</w:t>
      </w:r>
      <w:r w:rsidR="007C4342">
        <w:rPr>
          <w:sz w:val="24"/>
          <w:szCs w:val="24"/>
        </w:rPr>
        <w:t>,</w:t>
      </w:r>
      <w:r w:rsidR="007C4342" w:rsidRPr="007C4342">
        <w:rPr>
          <w:sz w:val="24"/>
          <w:szCs w:val="24"/>
        </w:rPr>
        <w:t xml:space="preserve"> </w:t>
      </w:r>
      <w:r w:rsidR="007C4342">
        <w:rPr>
          <w:sz w:val="24"/>
          <w:szCs w:val="24"/>
        </w:rPr>
        <w:t>un</w:t>
      </w:r>
      <w:r w:rsidR="007C4342">
        <w:rPr>
          <w:sz w:val="24"/>
          <w:szCs w:val="24"/>
        </w:rPr>
        <w:t>like its Egyptian contemporaries</w:t>
      </w:r>
      <w:r w:rsidR="00CA13ED">
        <w:rPr>
          <w:sz w:val="24"/>
          <w:szCs w:val="24"/>
        </w:rPr>
        <w:t>.</w:t>
      </w:r>
      <w:r w:rsidR="004C3D8F">
        <w:rPr>
          <w:rStyle w:val="FootnoteReference"/>
          <w:sz w:val="24"/>
          <w:szCs w:val="24"/>
        </w:rPr>
        <w:footnoteReference w:id="1"/>
      </w:r>
      <w:r w:rsidR="00CA13ED">
        <w:rPr>
          <w:sz w:val="24"/>
          <w:szCs w:val="24"/>
        </w:rPr>
        <w:t xml:space="preserve">    </w:t>
      </w:r>
      <w:r>
        <w:rPr>
          <w:sz w:val="24"/>
          <w:szCs w:val="24"/>
        </w:rPr>
        <w:t xml:space="preserve"> </w:t>
      </w:r>
    </w:p>
    <w:p w14:paraId="318D93E3" w14:textId="3ADE4146" w:rsidR="004464F9" w:rsidRDefault="002F5428" w:rsidP="009D4EE3">
      <w:pPr>
        <w:spacing w:line="360" w:lineRule="auto"/>
        <w:rPr>
          <w:sz w:val="24"/>
          <w:szCs w:val="24"/>
        </w:rPr>
      </w:pPr>
      <w:r w:rsidRPr="009D4EE3">
        <w:rPr>
          <w:sz w:val="24"/>
          <w:szCs w:val="24"/>
        </w:rPr>
        <w:t>In making the cone myself I found it difficult to get an exact shape, this being I feel</w:t>
      </w:r>
      <w:r w:rsidR="004C1A48" w:rsidRPr="009D4EE3">
        <w:rPr>
          <w:sz w:val="24"/>
          <w:szCs w:val="24"/>
        </w:rPr>
        <w:t>,</w:t>
      </w:r>
      <w:r w:rsidRPr="009D4EE3">
        <w:rPr>
          <w:sz w:val="24"/>
          <w:szCs w:val="24"/>
        </w:rPr>
        <w:t xml:space="preserve"> to do with the clay we were using, as it dried out quickly.</w:t>
      </w:r>
      <w:r w:rsidR="00B44353" w:rsidRPr="009D4EE3">
        <w:rPr>
          <w:sz w:val="24"/>
          <w:szCs w:val="24"/>
        </w:rPr>
        <w:t xml:space="preserve"> The Delta clay the Egyptian</w:t>
      </w:r>
      <w:r w:rsidR="00CA13ED">
        <w:rPr>
          <w:sz w:val="24"/>
          <w:szCs w:val="24"/>
        </w:rPr>
        <w:t xml:space="preserve">’s </w:t>
      </w:r>
      <w:r w:rsidR="00B44353" w:rsidRPr="009D4EE3">
        <w:rPr>
          <w:sz w:val="24"/>
          <w:szCs w:val="24"/>
        </w:rPr>
        <w:t xml:space="preserve">would have </w:t>
      </w:r>
      <w:r w:rsidR="007C4342">
        <w:rPr>
          <w:sz w:val="24"/>
          <w:szCs w:val="24"/>
        </w:rPr>
        <w:t>used</w:t>
      </w:r>
      <w:r w:rsidR="004C1A48" w:rsidRPr="009D4EE3">
        <w:rPr>
          <w:sz w:val="24"/>
          <w:szCs w:val="24"/>
        </w:rPr>
        <w:t xml:space="preserve"> was</w:t>
      </w:r>
      <w:r w:rsidR="00CA13ED">
        <w:rPr>
          <w:sz w:val="24"/>
          <w:szCs w:val="24"/>
        </w:rPr>
        <w:t xml:space="preserve"> probably </w:t>
      </w:r>
      <w:r w:rsidR="00163498" w:rsidRPr="009D4EE3">
        <w:rPr>
          <w:sz w:val="24"/>
          <w:szCs w:val="24"/>
        </w:rPr>
        <w:t xml:space="preserve">of </w:t>
      </w:r>
      <w:r w:rsidR="00CB0FDE" w:rsidRPr="009D4EE3">
        <w:rPr>
          <w:sz w:val="24"/>
          <w:szCs w:val="24"/>
        </w:rPr>
        <w:t>a different</w:t>
      </w:r>
      <w:r w:rsidR="00163498" w:rsidRPr="009D4EE3">
        <w:rPr>
          <w:sz w:val="24"/>
          <w:szCs w:val="24"/>
        </w:rPr>
        <w:t xml:space="preserve"> texture</w:t>
      </w:r>
      <w:r w:rsidR="00CA13ED">
        <w:rPr>
          <w:sz w:val="24"/>
          <w:szCs w:val="24"/>
        </w:rPr>
        <w:t>, whi</w:t>
      </w:r>
      <w:r w:rsidR="00B44353" w:rsidRPr="009D4EE3">
        <w:rPr>
          <w:sz w:val="24"/>
          <w:szCs w:val="24"/>
        </w:rPr>
        <w:t xml:space="preserve">ch would </w:t>
      </w:r>
      <w:r w:rsidR="00470E36">
        <w:rPr>
          <w:sz w:val="24"/>
          <w:szCs w:val="24"/>
        </w:rPr>
        <w:t>have</w:t>
      </w:r>
      <w:r w:rsidR="00CA13ED">
        <w:rPr>
          <w:sz w:val="24"/>
          <w:szCs w:val="24"/>
        </w:rPr>
        <w:t xml:space="preserve"> helped </w:t>
      </w:r>
      <w:r w:rsidR="00B44353" w:rsidRPr="009D4EE3">
        <w:rPr>
          <w:sz w:val="24"/>
          <w:szCs w:val="24"/>
        </w:rPr>
        <w:t>delay drying.</w:t>
      </w:r>
      <w:r w:rsidR="00374CEE" w:rsidRPr="009D4EE3">
        <w:rPr>
          <w:sz w:val="24"/>
          <w:szCs w:val="24"/>
        </w:rPr>
        <w:t xml:space="preserve"> The cartouche on the figure also needed to be applied to the cone when the clay had considerable moisture, and with a firm press of the fingers. If the clay </w:t>
      </w:r>
      <w:r w:rsidR="004C1A48" w:rsidRPr="009D4EE3">
        <w:rPr>
          <w:sz w:val="24"/>
          <w:szCs w:val="24"/>
        </w:rPr>
        <w:t xml:space="preserve">dried </w:t>
      </w:r>
      <w:r w:rsidR="00374CEE" w:rsidRPr="009D4EE3">
        <w:rPr>
          <w:sz w:val="24"/>
          <w:szCs w:val="24"/>
        </w:rPr>
        <w:t>to</w:t>
      </w:r>
      <w:r w:rsidR="009C54E6">
        <w:rPr>
          <w:sz w:val="24"/>
          <w:szCs w:val="24"/>
        </w:rPr>
        <w:t>o</w:t>
      </w:r>
      <w:r w:rsidR="00374CEE" w:rsidRPr="009D4EE3">
        <w:rPr>
          <w:sz w:val="24"/>
          <w:szCs w:val="24"/>
        </w:rPr>
        <w:t xml:space="preserve"> quickly the stamping of the cartouche on to the cone was ineffective</w:t>
      </w:r>
      <w:r w:rsidR="00470E36">
        <w:rPr>
          <w:sz w:val="24"/>
          <w:szCs w:val="24"/>
        </w:rPr>
        <w:t xml:space="preserve">. </w:t>
      </w:r>
      <w:r w:rsidR="00594E0C" w:rsidRPr="009D4EE3">
        <w:rPr>
          <w:sz w:val="24"/>
          <w:szCs w:val="24"/>
        </w:rPr>
        <w:t xml:space="preserve">The model I made is </w:t>
      </w:r>
      <w:r w:rsidR="00CB0FDE" w:rsidRPr="009D4EE3">
        <w:rPr>
          <w:sz w:val="24"/>
          <w:szCs w:val="24"/>
        </w:rPr>
        <w:t>6” long</w:t>
      </w:r>
      <w:r w:rsidR="00594E0C" w:rsidRPr="009D4EE3">
        <w:rPr>
          <w:sz w:val="24"/>
          <w:szCs w:val="24"/>
        </w:rPr>
        <w:t xml:space="preserve"> by </w:t>
      </w:r>
      <w:r w:rsidR="00CB0FDE" w:rsidRPr="009D4EE3">
        <w:rPr>
          <w:sz w:val="24"/>
          <w:szCs w:val="24"/>
        </w:rPr>
        <w:t xml:space="preserve">3” </w:t>
      </w:r>
      <w:r w:rsidR="009C54E6">
        <w:rPr>
          <w:sz w:val="24"/>
          <w:szCs w:val="24"/>
        </w:rPr>
        <w:t xml:space="preserve">diameter </w:t>
      </w:r>
      <w:r w:rsidR="00CB0FDE" w:rsidRPr="009D4EE3">
        <w:rPr>
          <w:sz w:val="24"/>
          <w:szCs w:val="24"/>
        </w:rPr>
        <w:t>base</w:t>
      </w:r>
      <w:r w:rsidR="00594E0C" w:rsidRPr="009D4EE3">
        <w:rPr>
          <w:sz w:val="24"/>
          <w:szCs w:val="24"/>
        </w:rPr>
        <w:t>.</w:t>
      </w:r>
      <w:r w:rsidR="00615283">
        <w:rPr>
          <w:rStyle w:val="FootnoteReference"/>
          <w:sz w:val="24"/>
          <w:szCs w:val="24"/>
        </w:rPr>
        <w:footnoteReference w:id="2"/>
      </w:r>
    </w:p>
    <w:p w14:paraId="5F3B6D21" w14:textId="5DEFFFB8" w:rsidR="0036787C" w:rsidRPr="009D4EE3" w:rsidRDefault="0029607A" w:rsidP="009D4EE3">
      <w:pPr>
        <w:spacing w:line="360" w:lineRule="auto"/>
        <w:rPr>
          <w:sz w:val="24"/>
          <w:szCs w:val="24"/>
        </w:rPr>
      </w:pPr>
      <w:r w:rsidRPr="009D4EE3">
        <w:rPr>
          <w:sz w:val="24"/>
          <w:szCs w:val="24"/>
        </w:rPr>
        <w:lastRenderedPageBreak/>
        <w:t xml:space="preserve"> </w:t>
      </w:r>
      <w:r w:rsidR="00CA13ED">
        <w:rPr>
          <w:sz w:val="24"/>
          <w:szCs w:val="24"/>
        </w:rPr>
        <w:t>W</w:t>
      </w:r>
      <w:r w:rsidR="0036787C" w:rsidRPr="009D4EE3">
        <w:rPr>
          <w:sz w:val="24"/>
          <w:szCs w:val="24"/>
        </w:rPr>
        <w:t xml:space="preserve">iedemann in 1885, compiled the first corpus of these cones, </w:t>
      </w:r>
      <w:r w:rsidR="00470E36">
        <w:rPr>
          <w:sz w:val="24"/>
          <w:szCs w:val="24"/>
        </w:rPr>
        <w:t>f</w:t>
      </w:r>
      <w:r w:rsidR="0036787C" w:rsidRPr="009D4EE3">
        <w:rPr>
          <w:sz w:val="24"/>
          <w:szCs w:val="24"/>
        </w:rPr>
        <w:t>ollowed by Daressy in 1893</w:t>
      </w:r>
      <w:r w:rsidR="00470E36">
        <w:rPr>
          <w:sz w:val="24"/>
          <w:szCs w:val="24"/>
        </w:rPr>
        <w:t xml:space="preserve">, and </w:t>
      </w:r>
      <w:r w:rsidR="0036787C" w:rsidRPr="009D4EE3">
        <w:rPr>
          <w:sz w:val="24"/>
          <w:szCs w:val="24"/>
        </w:rPr>
        <w:t>by Davies and Macadam in 1957, who compiled a corpus of facsimiles</w:t>
      </w:r>
      <w:r w:rsidR="00470E36">
        <w:rPr>
          <w:sz w:val="24"/>
          <w:szCs w:val="24"/>
        </w:rPr>
        <w:t>. Alt</w:t>
      </w:r>
      <w:r w:rsidR="0036787C" w:rsidRPr="009D4EE3">
        <w:rPr>
          <w:sz w:val="24"/>
          <w:szCs w:val="24"/>
        </w:rPr>
        <w:t xml:space="preserve">hough these lists are available, few </w:t>
      </w:r>
      <w:r w:rsidR="00163498" w:rsidRPr="009D4EE3">
        <w:rPr>
          <w:sz w:val="24"/>
          <w:szCs w:val="24"/>
        </w:rPr>
        <w:t>people,</w:t>
      </w:r>
      <w:r w:rsidR="0036787C" w:rsidRPr="009D4EE3">
        <w:rPr>
          <w:sz w:val="24"/>
          <w:szCs w:val="24"/>
        </w:rPr>
        <w:t xml:space="preserve"> have gone on to consider the possible uses these cones had</w:t>
      </w:r>
      <w:r w:rsidR="00594E0C" w:rsidRPr="009D4EE3">
        <w:rPr>
          <w:sz w:val="24"/>
          <w:szCs w:val="24"/>
        </w:rPr>
        <w:t xml:space="preserve"> in ancient times</w:t>
      </w:r>
      <w:r w:rsidR="0036787C" w:rsidRPr="009D4EE3">
        <w:rPr>
          <w:sz w:val="24"/>
          <w:szCs w:val="24"/>
        </w:rPr>
        <w:t xml:space="preserve">. </w:t>
      </w:r>
      <w:r w:rsidR="004C3D8F">
        <w:rPr>
          <w:rStyle w:val="FootnoteReference"/>
          <w:sz w:val="24"/>
          <w:szCs w:val="24"/>
        </w:rPr>
        <w:footnoteReference w:id="3"/>
      </w:r>
      <w:r w:rsidR="0036787C" w:rsidRPr="009D4EE3">
        <w:rPr>
          <w:sz w:val="24"/>
          <w:szCs w:val="24"/>
        </w:rPr>
        <w:t xml:space="preserve"> </w:t>
      </w:r>
    </w:p>
    <w:p w14:paraId="36C49D96" w14:textId="1DBCDC9B" w:rsidR="00A701DC" w:rsidRPr="009D4EE3" w:rsidRDefault="004464F9" w:rsidP="009D4E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P</w:t>
      </w:r>
      <w:r w:rsidR="00FF422A" w:rsidRPr="009D4EE3">
        <w:rPr>
          <w:sz w:val="24"/>
          <w:szCs w:val="24"/>
        </w:rPr>
        <w:t xml:space="preserve">ossible </w:t>
      </w:r>
      <w:r w:rsidR="000D1001" w:rsidRPr="009D4EE3">
        <w:rPr>
          <w:sz w:val="24"/>
          <w:szCs w:val="24"/>
        </w:rPr>
        <w:t>usages</w:t>
      </w:r>
      <w:r w:rsidR="00FF422A" w:rsidRPr="009D4EE3">
        <w:rPr>
          <w:sz w:val="24"/>
          <w:szCs w:val="24"/>
        </w:rPr>
        <w:t xml:space="preserve"> of the cone</w:t>
      </w:r>
      <w:r>
        <w:rPr>
          <w:sz w:val="24"/>
          <w:szCs w:val="24"/>
        </w:rPr>
        <w:t>s</w:t>
      </w:r>
      <w:r w:rsidR="00FF422A" w:rsidRPr="009D4EE3">
        <w:rPr>
          <w:sz w:val="24"/>
          <w:szCs w:val="24"/>
        </w:rPr>
        <w:t xml:space="preserve"> are varied, they go from being funerary item’s which had the person’s name and rank</w:t>
      </w:r>
      <w:r w:rsidR="009C54E6">
        <w:rPr>
          <w:sz w:val="24"/>
          <w:szCs w:val="24"/>
        </w:rPr>
        <w:t>. I</w:t>
      </w:r>
      <w:r w:rsidR="00FF422A" w:rsidRPr="009D4EE3">
        <w:rPr>
          <w:sz w:val="24"/>
          <w:szCs w:val="24"/>
        </w:rPr>
        <w:t>n 1934 Borchardt et al, noted this and proposed they were used as frieze elements in</w:t>
      </w:r>
      <w:r w:rsidR="00A23CBD" w:rsidRPr="009D4EE3">
        <w:rPr>
          <w:sz w:val="24"/>
          <w:szCs w:val="24"/>
        </w:rPr>
        <w:t xml:space="preserve"> the</w:t>
      </w:r>
      <w:r w:rsidR="00FF422A" w:rsidRPr="009D4EE3">
        <w:rPr>
          <w:sz w:val="24"/>
          <w:szCs w:val="24"/>
        </w:rPr>
        <w:t xml:space="preserve"> façade</w:t>
      </w:r>
      <w:r w:rsidR="00A23CBD" w:rsidRPr="009D4EE3">
        <w:rPr>
          <w:sz w:val="24"/>
          <w:szCs w:val="24"/>
        </w:rPr>
        <w:t>s of Theban tombs. There are two</w:t>
      </w:r>
      <w:r w:rsidR="0044695A" w:rsidRPr="009D4EE3">
        <w:rPr>
          <w:sz w:val="24"/>
          <w:szCs w:val="24"/>
        </w:rPr>
        <w:t xml:space="preserve"> observations </w:t>
      </w:r>
      <w:r w:rsidR="00A23CBD" w:rsidRPr="009D4EE3">
        <w:rPr>
          <w:sz w:val="24"/>
          <w:szCs w:val="24"/>
        </w:rPr>
        <w:t>from the 1</w:t>
      </w:r>
      <w:r w:rsidR="0044695A" w:rsidRPr="009D4EE3">
        <w:rPr>
          <w:sz w:val="24"/>
          <w:szCs w:val="24"/>
        </w:rPr>
        <w:t>9</w:t>
      </w:r>
      <w:r w:rsidR="00A23CBD" w:rsidRPr="009D4EE3">
        <w:rPr>
          <w:sz w:val="24"/>
          <w:szCs w:val="24"/>
          <w:vertAlign w:val="superscript"/>
        </w:rPr>
        <w:t>th</w:t>
      </w:r>
      <w:r w:rsidR="00A23CBD" w:rsidRPr="009D4EE3">
        <w:rPr>
          <w:sz w:val="24"/>
          <w:szCs w:val="24"/>
        </w:rPr>
        <w:t xml:space="preserve"> </w:t>
      </w:r>
      <w:r w:rsidR="0044695A" w:rsidRPr="009D4EE3">
        <w:rPr>
          <w:sz w:val="24"/>
          <w:szCs w:val="24"/>
        </w:rPr>
        <w:t>century where examples in situ were found in context</w:t>
      </w:r>
      <w:r w:rsidR="00071F88" w:rsidRPr="009D4EE3">
        <w:rPr>
          <w:sz w:val="24"/>
          <w:szCs w:val="24"/>
        </w:rPr>
        <w:t>.</w:t>
      </w:r>
      <w:r w:rsidR="002F5428" w:rsidRPr="009D4EE3">
        <w:rPr>
          <w:sz w:val="24"/>
          <w:szCs w:val="24"/>
        </w:rPr>
        <w:t xml:space="preserve"> </w:t>
      </w:r>
      <w:r w:rsidR="0044695A" w:rsidRPr="009D4EE3">
        <w:rPr>
          <w:sz w:val="24"/>
          <w:szCs w:val="24"/>
        </w:rPr>
        <w:t>Other examples of friezes of funerary stamps also appear in external walls of tombs;</w:t>
      </w:r>
      <w:r w:rsidR="002F5428" w:rsidRPr="009D4EE3">
        <w:rPr>
          <w:sz w:val="24"/>
          <w:szCs w:val="24"/>
        </w:rPr>
        <w:t xml:space="preserve"> </w:t>
      </w:r>
      <w:r w:rsidR="003B235A" w:rsidRPr="009D4EE3">
        <w:rPr>
          <w:sz w:val="24"/>
          <w:szCs w:val="24"/>
        </w:rPr>
        <w:t>an archaeologically</w:t>
      </w:r>
      <w:r w:rsidR="0044695A" w:rsidRPr="009D4EE3">
        <w:rPr>
          <w:sz w:val="24"/>
          <w:szCs w:val="24"/>
        </w:rPr>
        <w:t xml:space="preserve"> recorded 11</w:t>
      </w:r>
      <w:r w:rsidR="0044695A" w:rsidRPr="009D4EE3">
        <w:rPr>
          <w:sz w:val="24"/>
          <w:szCs w:val="24"/>
          <w:vertAlign w:val="superscript"/>
        </w:rPr>
        <w:t>th</w:t>
      </w:r>
      <w:r w:rsidR="0044695A" w:rsidRPr="009D4EE3">
        <w:rPr>
          <w:sz w:val="24"/>
          <w:szCs w:val="24"/>
        </w:rPr>
        <w:t xml:space="preserve"> dynasty example has been found to back up the </w:t>
      </w:r>
      <w:r w:rsidR="003B235A" w:rsidRPr="009D4EE3">
        <w:rPr>
          <w:sz w:val="24"/>
          <w:szCs w:val="24"/>
        </w:rPr>
        <w:t>observations above</w:t>
      </w:r>
      <w:r w:rsidR="009C54E6">
        <w:rPr>
          <w:sz w:val="24"/>
          <w:szCs w:val="24"/>
        </w:rPr>
        <w:t>.</w:t>
      </w:r>
      <w:r w:rsidR="00806FEA">
        <w:rPr>
          <w:sz w:val="24"/>
          <w:szCs w:val="24"/>
        </w:rPr>
        <w:t xml:space="preserve"> I</w:t>
      </w:r>
      <w:r w:rsidR="001F6457" w:rsidRPr="009D4EE3">
        <w:rPr>
          <w:sz w:val="24"/>
          <w:szCs w:val="24"/>
        </w:rPr>
        <w:t>f the reason for these cones is as a frieze in the wall of a tomb, then it could be assumed that all like objects are archaeological assemblages</w:t>
      </w:r>
      <w:r w:rsidR="00470E36">
        <w:rPr>
          <w:sz w:val="24"/>
          <w:szCs w:val="24"/>
        </w:rPr>
        <w:t>.</w:t>
      </w:r>
      <w:r w:rsidR="001F6457" w:rsidRPr="009D4EE3">
        <w:rPr>
          <w:sz w:val="24"/>
          <w:szCs w:val="24"/>
        </w:rPr>
        <w:t xml:space="preserve"> The next move would be to apply analysis of intra-inter- assemblage variation. </w:t>
      </w:r>
      <w:r>
        <w:rPr>
          <w:sz w:val="24"/>
          <w:szCs w:val="24"/>
        </w:rPr>
        <w:t>I</w:t>
      </w:r>
      <w:r w:rsidR="009C54E6">
        <w:rPr>
          <w:sz w:val="24"/>
          <w:szCs w:val="24"/>
        </w:rPr>
        <w:t>,</w:t>
      </w:r>
      <w:r>
        <w:rPr>
          <w:sz w:val="24"/>
          <w:szCs w:val="24"/>
        </w:rPr>
        <w:t xml:space="preserve"> on the other hand</w:t>
      </w:r>
      <w:r w:rsidR="009C54E6">
        <w:rPr>
          <w:sz w:val="24"/>
          <w:szCs w:val="24"/>
        </w:rPr>
        <w:t>,</w:t>
      </w:r>
      <w:r>
        <w:rPr>
          <w:sz w:val="24"/>
          <w:szCs w:val="24"/>
        </w:rPr>
        <w:t xml:space="preserve"> feel they were seals for Pharaonic orders</w:t>
      </w:r>
      <w:r w:rsidR="001665CE">
        <w:rPr>
          <w:sz w:val="24"/>
          <w:szCs w:val="24"/>
        </w:rPr>
        <w:t xml:space="preserve"> probably used a few times then discarded.</w:t>
      </w:r>
      <w:r w:rsidR="00615283">
        <w:rPr>
          <w:rStyle w:val="FootnoteReference"/>
          <w:sz w:val="24"/>
          <w:szCs w:val="24"/>
        </w:rPr>
        <w:footnoteReference w:id="4"/>
      </w:r>
      <w:r>
        <w:rPr>
          <w:sz w:val="24"/>
          <w:szCs w:val="24"/>
        </w:rPr>
        <w:t xml:space="preserve"> </w:t>
      </w:r>
    </w:p>
    <w:p w14:paraId="54FB6F60" w14:textId="77777777" w:rsidR="00CA0E82" w:rsidRDefault="00CA0E82" w:rsidP="009D4EE3">
      <w:pPr>
        <w:spacing w:line="360" w:lineRule="auto"/>
        <w:rPr>
          <w:sz w:val="24"/>
          <w:szCs w:val="24"/>
        </w:rPr>
      </w:pPr>
      <w:bookmarkStart w:id="1" w:name="_GoBack"/>
      <w:bookmarkEnd w:id="1"/>
    </w:p>
    <w:p w14:paraId="2DBEE9B6" w14:textId="77777777" w:rsidR="00CA0E82" w:rsidRDefault="00CA0E82" w:rsidP="009D4EE3">
      <w:pPr>
        <w:spacing w:line="360" w:lineRule="auto"/>
        <w:rPr>
          <w:sz w:val="24"/>
          <w:szCs w:val="24"/>
        </w:rPr>
      </w:pPr>
    </w:p>
    <w:p w14:paraId="16E145D2" w14:textId="1018A737" w:rsidR="00A84024" w:rsidRPr="00CA0E82" w:rsidRDefault="004C3D8F" w:rsidP="009D4EE3">
      <w:pPr>
        <w:spacing w:line="360" w:lineRule="auto"/>
        <w:rPr>
          <w:b/>
          <w:sz w:val="24"/>
          <w:szCs w:val="24"/>
        </w:rPr>
      </w:pPr>
      <w:r w:rsidRPr="00CA0E82">
        <w:rPr>
          <w:b/>
          <w:sz w:val="24"/>
          <w:szCs w:val="24"/>
        </w:rPr>
        <w:t>Bibliography</w:t>
      </w:r>
      <w:r w:rsidR="00CA0E82">
        <w:rPr>
          <w:b/>
          <w:sz w:val="24"/>
          <w:szCs w:val="24"/>
        </w:rPr>
        <w:t>:</w:t>
      </w:r>
    </w:p>
    <w:p w14:paraId="31A988F0" w14:textId="77777777" w:rsidR="00F7495D" w:rsidRDefault="00A84024" w:rsidP="00F7495D">
      <w:pPr>
        <w:pStyle w:val="NoSpacing"/>
        <w:rPr>
          <w:sz w:val="24"/>
          <w:szCs w:val="24"/>
        </w:rPr>
      </w:pPr>
      <w:r w:rsidRPr="00F7495D">
        <w:rPr>
          <w:sz w:val="24"/>
          <w:szCs w:val="24"/>
        </w:rPr>
        <w:t>Steel, L, Manley,</w:t>
      </w:r>
      <w:r w:rsidR="00CA0E82" w:rsidRPr="00F7495D">
        <w:rPr>
          <w:sz w:val="24"/>
          <w:szCs w:val="24"/>
        </w:rPr>
        <w:t xml:space="preserve"> </w:t>
      </w:r>
      <w:r w:rsidRPr="00F7495D">
        <w:rPr>
          <w:sz w:val="24"/>
          <w:szCs w:val="24"/>
        </w:rPr>
        <w:t>W</w:t>
      </w:r>
      <w:r w:rsidR="00CA0E82" w:rsidRPr="00F7495D">
        <w:rPr>
          <w:sz w:val="24"/>
          <w:szCs w:val="24"/>
        </w:rPr>
        <w:t xml:space="preserve"> </w:t>
      </w:r>
      <w:r w:rsidRPr="00F7495D">
        <w:rPr>
          <w:sz w:val="24"/>
          <w:szCs w:val="24"/>
        </w:rPr>
        <w:t>P</w:t>
      </w:r>
      <w:r w:rsidR="00CA0E82" w:rsidRPr="00F7495D">
        <w:rPr>
          <w:sz w:val="24"/>
          <w:szCs w:val="24"/>
        </w:rPr>
        <w:t>,</w:t>
      </w:r>
      <w:r w:rsidRPr="00F7495D">
        <w:rPr>
          <w:sz w:val="24"/>
          <w:szCs w:val="24"/>
        </w:rPr>
        <w:t xml:space="preserve"> Clarke</w:t>
      </w:r>
      <w:r w:rsidR="00CA0E82" w:rsidRPr="00F7495D">
        <w:rPr>
          <w:sz w:val="24"/>
          <w:szCs w:val="24"/>
        </w:rPr>
        <w:t>, J,</w:t>
      </w:r>
      <w:r w:rsidRPr="00F7495D">
        <w:rPr>
          <w:sz w:val="24"/>
          <w:szCs w:val="24"/>
        </w:rPr>
        <w:t xml:space="preserve"> and  Sadeq</w:t>
      </w:r>
      <w:r w:rsidR="00CA0E82" w:rsidRPr="00F7495D">
        <w:rPr>
          <w:sz w:val="24"/>
          <w:szCs w:val="24"/>
        </w:rPr>
        <w:t>, M, 2004.’</w:t>
      </w:r>
      <w:r w:rsidRPr="00F7495D">
        <w:rPr>
          <w:sz w:val="24"/>
          <w:szCs w:val="24"/>
        </w:rPr>
        <w:t xml:space="preserve"> Egyptian ‘ Funerary Cones’ From El- Moghraqa, Gaza</w:t>
      </w:r>
      <w:r w:rsidR="00CA0E82" w:rsidRPr="00F7495D">
        <w:rPr>
          <w:sz w:val="24"/>
          <w:szCs w:val="24"/>
        </w:rPr>
        <w:t>’</w:t>
      </w:r>
      <w:r w:rsidRPr="00F7495D">
        <w:rPr>
          <w:sz w:val="24"/>
          <w:szCs w:val="24"/>
        </w:rPr>
        <w:t xml:space="preserve">. </w:t>
      </w:r>
      <w:r w:rsidRPr="00F7495D">
        <w:rPr>
          <w:i/>
          <w:sz w:val="24"/>
          <w:szCs w:val="24"/>
        </w:rPr>
        <w:t>The Antiquaries Journal</w:t>
      </w:r>
      <w:r w:rsidR="00CA0E82" w:rsidRPr="00F7495D">
        <w:rPr>
          <w:sz w:val="24"/>
          <w:szCs w:val="24"/>
        </w:rPr>
        <w:t>, 84</w:t>
      </w:r>
      <w:r w:rsidR="00CA0E82" w:rsidRPr="00F7495D">
        <w:rPr>
          <w:i/>
          <w:sz w:val="24"/>
          <w:szCs w:val="24"/>
        </w:rPr>
        <w:t>,</w:t>
      </w:r>
      <w:r w:rsidRPr="00F7495D">
        <w:rPr>
          <w:sz w:val="24"/>
          <w:szCs w:val="24"/>
        </w:rPr>
        <w:t xml:space="preserve"> 319-33. </w:t>
      </w:r>
      <w:r w:rsidR="001F6457" w:rsidRPr="00F7495D">
        <w:rPr>
          <w:sz w:val="24"/>
          <w:szCs w:val="24"/>
        </w:rPr>
        <w:t xml:space="preserve"> </w:t>
      </w:r>
    </w:p>
    <w:p w14:paraId="5A98901C" w14:textId="77777777" w:rsidR="00F7495D" w:rsidRDefault="00F7495D" w:rsidP="00F7495D">
      <w:pPr>
        <w:pStyle w:val="NoSpacing"/>
        <w:rPr>
          <w:sz w:val="24"/>
          <w:szCs w:val="24"/>
        </w:rPr>
      </w:pPr>
    </w:p>
    <w:p w14:paraId="7B48DBA4" w14:textId="51EE9E0A" w:rsidR="00CA0E82" w:rsidRPr="00F7495D" w:rsidRDefault="00F7495D" w:rsidP="00F7495D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Borchardt, L, K</w:t>
      </w:r>
      <w:r>
        <w:rPr>
          <w:rFonts w:cstheme="minorHAnsi"/>
          <w:sz w:val="24"/>
          <w:szCs w:val="24"/>
        </w:rPr>
        <w:t>ӧ</w:t>
      </w:r>
      <w:r>
        <w:rPr>
          <w:sz w:val="24"/>
          <w:szCs w:val="24"/>
        </w:rPr>
        <w:t xml:space="preserve">nigsberger, O, and Ricke, H, 1934. ‘Friesziegel in Grabbauten’. </w:t>
      </w:r>
      <w:r w:rsidRPr="00F7495D">
        <w:rPr>
          <w:i/>
          <w:sz w:val="24"/>
          <w:szCs w:val="24"/>
        </w:rPr>
        <w:t>Zeitschrift f</w:t>
      </w:r>
      <w:r>
        <w:rPr>
          <w:rFonts w:cstheme="minorHAnsi"/>
          <w:i/>
          <w:sz w:val="24"/>
          <w:szCs w:val="24"/>
        </w:rPr>
        <w:t>ü</w:t>
      </w:r>
      <w:r w:rsidRPr="00F7495D">
        <w:rPr>
          <w:i/>
          <w:sz w:val="24"/>
          <w:szCs w:val="24"/>
        </w:rPr>
        <w:t xml:space="preserve">r </w:t>
      </w:r>
      <w:r>
        <w:rPr>
          <w:rFonts w:cstheme="minorHAnsi"/>
          <w:i/>
          <w:sz w:val="24"/>
          <w:szCs w:val="24"/>
        </w:rPr>
        <w:t>Ä</w:t>
      </w:r>
      <w:r w:rsidRPr="00F7495D">
        <w:rPr>
          <w:i/>
          <w:sz w:val="24"/>
          <w:szCs w:val="24"/>
        </w:rPr>
        <w:t>gyptische Sprache und Alterstum Kunde</w:t>
      </w:r>
      <w:r>
        <w:rPr>
          <w:sz w:val="24"/>
          <w:szCs w:val="24"/>
        </w:rPr>
        <w:t>, 70,</w:t>
      </w:r>
      <w:r w:rsidR="001F6457" w:rsidRPr="00F7495D">
        <w:rPr>
          <w:sz w:val="24"/>
          <w:szCs w:val="24"/>
        </w:rPr>
        <w:t xml:space="preserve">  </w:t>
      </w:r>
      <w:r>
        <w:rPr>
          <w:sz w:val="24"/>
          <w:szCs w:val="24"/>
        </w:rPr>
        <w:t xml:space="preserve">cited in Ryan, Donald, P. 1988. ‘The Archaeological Analysis of Inscribed Egyptian Funerary Cones.’ </w:t>
      </w:r>
      <w:proofErr w:type="spellStart"/>
      <w:r w:rsidRPr="00F7495D">
        <w:rPr>
          <w:i/>
          <w:sz w:val="24"/>
          <w:szCs w:val="24"/>
        </w:rPr>
        <w:t>Varia</w:t>
      </w:r>
      <w:proofErr w:type="spellEnd"/>
      <w:r w:rsidRPr="00F7495D">
        <w:rPr>
          <w:i/>
          <w:sz w:val="24"/>
          <w:szCs w:val="24"/>
        </w:rPr>
        <w:t xml:space="preserve"> </w:t>
      </w:r>
      <w:proofErr w:type="spellStart"/>
      <w:r w:rsidRPr="00F7495D">
        <w:rPr>
          <w:i/>
          <w:sz w:val="24"/>
          <w:szCs w:val="24"/>
        </w:rPr>
        <w:t>Aegyptiaca</w:t>
      </w:r>
      <w:proofErr w:type="spellEnd"/>
      <w:r>
        <w:rPr>
          <w:sz w:val="24"/>
          <w:szCs w:val="24"/>
        </w:rPr>
        <w:t xml:space="preserve">, 4 (2), 165-170 </w:t>
      </w:r>
      <w:hyperlink r:id="rId7" w:history="1">
        <w:r w:rsidRPr="00EB373A">
          <w:rPr>
            <w:rStyle w:val="Hyperlink"/>
            <w:sz w:val="24"/>
            <w:szCs w:val="24"/>
          </w:rPr>
          <w:t>https://community.plu.edu/~ryandp/cones.html</w:t>
        </w:r>
      </w:hyperlink>
      <w:r>
        <w:rPr>
          <w:sz w:val="24"/>
          <w:szCs w:val="24"/>
        </w:rPr>
        <w:t xml:space="preserve"> (Accessed 5th March 2018).</w:t>
      </w:r>
    </w:p>
    <w:p w14:paraId="3281908D" w14:textId="1CD39005" w:rsidR="003B235A" w:rsidRPr="009D4EE3" w:rsidRDefault="001F6457" w:rsidP="009D4EE3">
      <w:pPr>
        <w:spacing w:line="360" w:lineRule="auto"/>
        <w:rPr>
          <w:sz w:val="24"/>
          <w:szCs w:val="24"/>
        </w:rPr>
      </w:pPr>
      <w:r w:rsidRPr="009D4EE3">
        <w:rPr>
          <w:sz w:val="24"/>
          <w:szCs w:val="24"/>
        </w:rPr>
        <w:t xml:space="preserve">  </w:t>
      </w:r>
      <w:r w:rsidR="0044695A" w:rsidRPr="009D4EE3">
        <w:rPr>
          <w:sz w:val="24"/>
          <w:szCs w:val="24"/>
        </w:rPr>
        <w:t xml:space="preserve"> </w:t>
      </w:r>
    </w:p>
    <w:p w14:paraId="132433EF" w14:textId="4F48AF80" w:rsidR="002F5428" w:rsidRPr="009D4EE3" w:rsidRDefault="0044695A" w:rsidP="009D4EE3">
      <w:pPr>
        <w:spacing w:line="360" w:lineRule="auto"/>
        <w:rPr>
          <w:sz w:val="24"/>
          <w:szCs w:val="24"/>
        </w:rPr>
      </w:pPr>
      <w:r w:rsidRPr="009D4EE3">
        <w:rPr>
          <w:sz w:val="24"/>
          <w:szCs w:val="24"/>
        </w:rPr>
        <w:t xml:space="preserve"> </w:t>
      </w:r>
      <w:r w:rsidR="002F5428" w:rsidRPr="009D4EE3">
        <w:rPr>
          <w:sz w:val="24"/>
          <w:szCs w:val="24"/>
        </w:rPr>
        <w:t xml:space="preserve">  </w:t>
      </w:r>
    </w:p>
    <w:sectPr w:rsidR="002F5428" w:rsidRPr="009D4E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FA7D26" w14:textId="77777777" w:rsidR="007C3C68" w:rsidRDefault="007C3C68" w:rsidP="005164B5">
      <w:pPr>
        <w:spacing w:after="0" w:line="240" w:lineRule="auto"/>
      </w:pPr>
      <w:r>
        <w:separator/>
      </w:r>
    </w:p>
  </w:endnote>
  <w:endnote w:type="continuationSeparator" w:id="0">
    <w:p w14:paraId="0A3432B8" w14:textId="77777777" w:rsidR="007C3C68" w:rsidRDefault="007C3C68" w:rsidP="005164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ABD20B" w14:textId="77777777" w:rsidR="007C3C68" w:rsidRDefault="007C3C68" w:rsidP="005164B5">
      <w:pPr>
        <w:spacing w:after="0" w:line="240" w:lineRule="auto"/>
      </w:pPr>
      <w:r>
        <w:separator/>
      </w:r>
    </w:p>
  </w:footnote>
  <w:footnote w:type="continuationSeparator" w:id="0">
    <w:p w14:paraId="1D7C7C97" w14:textId="77777777" w:rsidR="007C3C68" w:rsidRDefault="007C3C68" w:rsidP="005164B5">
      <w:pPr>
        <w:spacing w:after="0" w:line="240" w:lineRule="auto"/>
      </w:pPr>
      <w:r>
        <w:continuationSeparator/>
      </w:r>
    </w:p>
  </w:footnote>
  <w:footnote w:id="1">
    <w:p w14:paraId="72A406FF" w14:textId="5A1B21E4" w:rsidR="004C3D8F" w:rsidRDefault="004C3D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Steel et al 1999, 211-31.  </w:t>
      </w:r>
    </w:p>
  </w:footnote>
  <w:footnote w:id="2">
    <w:p w14:paraId="64C24119" w14:textId="70FBA9EA" w:rsidR="00615283" w:rsidRDefault="00615283">
      <w:pPr>
        <w:pStyle w:val="FootnoteText"/>
      </w:pPr>
      <w:r>
        <w:rPr>
          <w:rStyle w:val="FootnoteReference"/>
        </w:rPr>
        <w:footnoteRef/>
      </w:r>
      <w:r w:rsidR="009C54E6">
        <w:t xml:space="preserve"> </w:t>
      </w:r>
      <w:bookmarkStart w:id="0" w:name="_Hlk508268025"/>
      <w:r w:rsidR="009C54E6">
        <w:t>Steel</w:t>
      </w:r>
      <w:r>
        <w:t xml:space="preserve"> et al</w:t>
      </w:r>
      <w:r w:rsidR="009C54E6">
        <w:t xml:space="preserve"> </w:t>
      </w:r>
      <w:r>
        <w:t>1999</w:t>
      </w:r>
      <w:r w:rsidR="009C54E6">
        <w:t>,</w:t>
      </w:r>
      <w:r>
        <w:t xml:space="preserve"> 211-31.  </w:t>
      </w:r>
      <w:bookmarkEnd w:id="0"/>
    </w:p>
  </w:footnote>
  <w:footnote w:id="3">
    <w:p w14:paraId="5B321227" w14:textId="487B98B6" w:rsidR="004C3D8F" w:rsidRDefault="004C3D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Steel et al 1999, 211-31.  </w:t>
      </w:r>
    </w:p>
  </w:footnote>
  <w:footnote w:id="4">
    <w:p w14:paraId="3295C350" w14:textId="48A0A917" w:rsidR="00615283" w:rsidRDefault="00615283">
      <w:pPr>
        <w:pStyle w:val="FootnoteText"/>
      </w:pPr>
      <w:r>
        <w:rPr>
          <w:rStyle w:val="FootnoteReference"/>
        </w:rPr>
        <w:footnoteRef/>
      </w:r>
      <w:r w:rsidR="009C54E6">
        <w:t xml:space="preserve"> Steel</w:t>
      </w:r>
      <w:r>
        <w:t xml:space="preserve"> et al</w:t>
      </w:r>
      <w:r w:rsidR="009C54E6">
        <w:t xml:space="preserve"> </w:t>
      </w:r>
      <w:r>
        <w:t>1999</w:t>
      </w:r>
      <w:r w:rsidR="009C54E6">
        <w:t>,</w:t>
      </w:r>
      <w:r>
        <w:t xml:space="preserve"> 211-31. 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7A15"/>
    <w:rsid w:val="00065CFF"/>
    <w:rsid w:val="00071F88"/>
    <w:rsid w:val="000A63EB"/>
    <w:rsid w:val="000D1001"/>
    <w:rsid w:val="00116A1E"/>
    <w:rsid w:val="00134537"/>
    <w:rsid w:val="00163498"/>
    <w:rsid w:val="001665CE"/>
    <w:rsid w:val="001E4856"/>
    <w:rsid w:val="001F6457"/>
    <w:rsid w:val="00217A15"/>
    <w:rsid w:val="002258EA"/>
    <w:rsid w:val="0029607A"/>
    <w:rsid w:val="002F5428"/>
    <w:rsid w:val="00335D2C"/>
    <w:rsid w:val="0035061D"/>
    <w:rsid w:val="0036787C"/>
    <w:rsid w:val="00374CEE"/>
    <w:rsid w:val="003B235A"/>
    <w:rsid w:val="004464F9"/>
    <w:rsid w:val="0044695A"/>
    <w:rsid w:val="00470E36"/>
    <w:rsid w:val="004C1A48"/>
    <w:rsid w:val="004C3D8F"/>
    <w:rsid w:val="004E231D"/>
    <w:rsid w:val="005164B5"/>
    <w:rsid w:val="00594776"/>
    <w:rsid w:val="00594E0C"/>
    <w:rsid w:val="00615283"/>
    <w:rsid w:val="00637B91"/>
    <w:rsid w:val="00706CB9"/>
    <w:rsid w:val="00750F0C"/>
    <w:rsid w:val="007C3C68"/>
    <w:rsid w:val="007C4342"/>
    <w:rsid w:val="00806FEA"/>
    <w:rsid w:val="008E11A2"/>
    <w:rsid w:val="008F77C0"/>
    <w:rsid w:val="00902825"/>
    <w:rsid w:val="009C54E6"/>
    <w:rsid w:val="009D4EE3"/>
    <w:rsid w:val="00A23CBD"/>
    <w:rsid w:val="00A701DC"/>
    <w:rsid w:val="00A84024"/>
    <w:rsid w:val="00AC5F9A"/>
    <w:rsid w:val="00AE1753"/>
    <w:rsid w:val="00B44353"/>
    <w:rsid w:val="00CA0E82"/>
    <w:rsid w:val="00CA13ED"/>
    <w:rsid w:val="00CB0FDE"/>
    <w:rsid w:val="00D177D5"/>
    <w:rsid w:val="00D417D4"/>
    <w:rsid w:val="00DF3F84"/>
    <w:rsid w:val="00E229A8"/>
    <w:rsid w:val="00E31F51"/>
    <w:rsid w:val="00E6500C"/>
    <w:rsid w:val="00ED2257"/>
    <w:rsid w:val="00F54C42"/>
    <w:rsid w:val="00F7495D"/>
    <w:rsid w:val="00FB3C58"/>
    <w:rsid w:val="00FC39F4"/>
    <w:rsid w:val="00FF42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CEB18"/>
  <w15:chartTrackingRefBased/>
  <w15:docId w15:val="{FC1AEA4B-2A2A-47D2-BD54-8ABD7C5EC8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164B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164B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164B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37B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7B91"/>
    <w:rPr>
      <w:color w:val="808080"/>
      <w:shd w:val="clear" w:color="auto" w:fill="E6E6E6"/>
    </w:rPr>
  </w:style>
  <w:style w:type="paragraph" w:styleId="NoSpacing">
    <w:name w:val="No Spacing"/>
    <w:uiPriority w:val="1"/>
    <w:qFormat/>
    <w:rsid w:val="00F7495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ommunity.plu.edu/~ryandp/cones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21D362-7119-4878-A9B8-6E24F172FA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2</Pages>
  <Words>551</Words>
  <Characters>3147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Aubrey</dc:creator>
  <cp:keywords/>
  <dc:description/>
  <cp:lastModifiedBy>Aubrey</cp:lastModifiedBy>
  <cp:revision>14</cp:revision>
  <dcterms:created xsi:type="dcterms:W3CDTF">2018-03-05T10:08:00Z</dcterms:created>
  <dcterms:modified xsi:type="dcterms:W3CDTF">2018-03-08T10:57:00Z</dcterms:modified>
</cp:coreProperties>
</file>