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9FD20" w14:textId="77777777" w:rsidR="00F47A76" w:rsidRDefault="00F47A76"/>
    <w:p w14:paraId="2C653D10" w14:textId="6EB47541" w:rsidR="007C636E" w:rsidRDefault="007C636E" w:rsidP="00235542">
      <w:pPr>
        <w:jc w:val="center"/>
        <w:rPr>
          <w:rFonts w:ascii="Arial" w:eastAsia="Arial" w:hAnsi="Arial"/>
          <w:b/>
          <w:sz w:val="36"/>
        </w:rPr>
      </w:pPr>
      <w:r w:rsidRPr="00743378">
        <w:rPr>
          <w:rFonts w:ascii="Arial" w:hAnsi="Arial" w:cs="Arial"/>
          <w:b/>
          <w:noProof/>
        </w:rPr>
        <w:drawing>
          <wp:inline distT="0" distB="0" distL="0" distR="0" wp14:anchorId="4F9DFFB1" wp14:editId="7B671472">
            <wp:extent cx="4514215" cy="1734185"/>
            <wp:effectExtent l="0" t="0" r="635" b="0"/>
            <wp:docPr id="71807217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72174"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215" cy="1734185"/>
                    </a:xfrm>
                    <a:prstGeom prst="rect">
                      <a:avLst/>
                    </a:prstGeom>
                    <a:noFill/>
                    <a:ln>
                      <a:noFill/>
                    </a:ln>
                  </pic:spPr>
                </pic:pic>
              </a:graphicData>
            </a:graphic>
          </wp:inline>
        </w:drawing>
      </w:r>
    </w:p>
    <w:p w14:paraId="6DE0737D" w14:textId="400574F9" w:rsidR="00F47A76" w:rsidRDefault="00296D3E" w:rsidP="00467E36">
      <w:pPr>
        <w:pStyle w:val="Heading1"/>
        <w:jc w:val="center"/>
        <w:rPr>
          <w:rFonts w:ascii="Arial" w:hAnsi="Arial" w:cs="Arial"/>
          <w:sz w:val="32"/>
          <w:szCs w:val="32"/>
        </w:rPr>
      </w:pPr>
      <w:r w:rsidRPr="00467E36">
        <w:rPr>
          <w:rFonts w:ascii="Arial" w:hAnsi="Arial" w:cs="Arial"/>
          <w:sz w:val="32"/>
          <w:szCs w:val="32"/>
        </w:rPr>
        <w:t>Report on Mindfulness and Emotional Intelligence in the Workplace</w:t>
      </w:r>
    </w:p>
    <w:p w14:paraId="4A68BA93" w14:textId="77777777" w:rsidR="00467E36" w:rsidRPr="00467E36" w:rsidRDefault="00467E36" w:rsidP="00467E36"/>
    <w:p w14:paraId="56BB6B75" w14:textId="54F48660" w:rsidR="00F47A76" w:rsidRDefault="00296D3E">
      <w:pPr>
        <w:jc w:val="center"/>
      </w:pPr>
      <w:r>
        <w:rPr>
          <w:rFonts w:ascii="Arial" w:eastAsia="Arial" w:hAnsi="Arial"/>
        </w:rPr>
        <w:t xml:space="preserve">Student Name: </w:t>
      </w:r>
      <w:r w:rsidR="00723E33">
        <w:rPr>
          <w:rFonts w:ascii="Arial" w:eastAsia="Arial" w:hAnsi="Arial"/>
        </w:rPr>
        <w:t>Suleha Begum Azad</w:t>
      </w:r>
    </w:p>
    <w:p w14:paraId="6F165AD1" w14:textId="4418E8F7" w:rsidR="00F47A76" w:rsidRDefault="00296D3E">
      <w:pPr>
        <w:jc w:val="center"/>
      </w:pPr>
      <w:r>
        <w:rPr>
          <w:rFonts w:ascii="Arial" w:eastAsia="Arial" w:hAnsi="Arial"/>
        </w:rPr>
        <w:t xml:space="preserve">Student Number: </w:t>
      </w:r>
      <w:r w:rsidR="00723E33">
        <w:rPr>
          <w:rFonts w:ascii="Arial" w:eastAsia="Arial" w:hAnsi="Arial"/>
        </w:rPr>
        <w:t>2325115</w:t>
      </w:r>
    </w:p>
    <w:p w14:paraId="47A6F2AB" w14:textId="1D11EAB4" w:rsidR="00F47A76" w:rsidRDefault="00296D3E">
      <w:pPr>
        <w:jc w:val="center"/>
      </w:pPr>
      <w:r>
        <w:rPr>
          <w:rFonts w:ascii="Arial" w:eastAsia="Arial" w:hAnsi="Arial"/>
        </w:rPr>
        <w:t xml:space="preserve">Module Code and Title: </w:t>
      </w:r>
      <w:r w:rsidR="00A014CB">
        <w:rPr>
          <w:rFonts w:ascii="Arial" w:eastAsia="Arial" w:hAnsi="Arial"/>
        </w:rPr>
        <w:t>LCLM 5</w:t>
      </w:r>
      <w:r w:rsidR="005B3119">
        <w:rPr>
          <w:rFonts w:ascii="Arial" w:eastAsia="Arial" w:hAnsi="Arial"/>
        </w:rPr>
        <w:t>0</w:t>
      </w:r>
      <w:r w:rsidR="00A014CB">
        <w:rPr>
          <w:rFonts w:ascii="Arial" w:eastAsia="Arial" w:hAnsi="Arial"/>
        </w:rPr>
        <w:t>06</w:t>
      </w:r>
      <w:r>
        <w:rPr>
          <w:rFonts w:ascii="Arial" w:eastAsia="Arial" w:hAnsi="Arial"/>
        </w:rPr>
        <w:t xml:space="preserve"> </w:t>
      </w:r>
      <w:r w:rsidR="005B3119" w:rsidRPr="005B3119">
        <w:rPr>
          <w:rFonts w:ascii="Arial" w:eastAsia="Times New Roman" w:hAnsi="Arial" w:cs="Arial"/>
          <w:bCs/>
        </w:rPr>
        <w:t xml:space="preserve">Developing Emotional Intelligence Skills  </w:t>
      </w:r>
    </w:p>
    <w:p w14:paraId="6AB875F1" w14:textId="788327AA" w:rsidR="00F47A76" w:rsidRDefault="00296D3E">
      <w:pPr>
        <w:jc w:val="center"/>
      </w:pPr>
      <w:r>
        <w:rPr>
          <w:rFonts w:ascii="Arial" w:eastAsia="Arial" w:hAnsi="Arial"/>
        </w:rPr>
        <w:t xml:space="preserve">Lecturer’s Name: </w:t>
      </w:r>
      <w:r w:rsidR="00380FDB">
        <w:rPr>
          <w:rFonts w:ascii="Arial" w:eastAsia="Arial" w:hAnsi="Arial"/>
        </w:rPr>
        <w:t>Abdallah Naser</w:t>
      </w:r>
    </w:p>
    <w:p w14:paraId="41918700" w14:textId="77777777" w:rsidR="00F47A76" w:rsidRDefault="00296D3E">
      <w:pPr>
        <w:jc w:val="center"/>
        <w:rPr>
          <w:rFonts w:ascii="Arial" w:eastAsia="Arial" w:hAnsi="Arial"/>
        </w:rPr>
      </w:pPr>
      <w:r>
        <w:rPr>
          <w:rFonts w:ascii="Arial" w:eastAsia="Arial" w:hAnsi="Arial"/>
        </w:rPr>
        <w:t>Assignment Title: Assessment Report: Emotional Intelligence and Mindfulness</w:t>
      </w:r>
    </w:p>
    <w:p w14:paraId="443BC9D4" w14:textId="02D4A8FC" w:rsidR="00DD7651" w:rsidRDefault="00DD7651">
      <w:pPr>
        <w:jc w:val="center"/>
      </w:pPr>
      <w:r>
        <w:rPr>
          <w:rFonts w:ascii="Arial" w:eastAsia="Arial" w:hAnsi="Arial"/>
        </w:rPr>
        <w:t xml:space="preserve">Word count: </w:t>
      </w:r>
      <w:r w:rsidR="00472214">
        <w:rPr>
          <w:rFonts w:ascii="Arial" w:eastAsia="Arial" w:hAnsi="Arial"/>
        </w:rPr>
        <w:t>3241</w:t>
      </w:r>
    </w:p>
    <w:p w14:paraId="06F4ECC9" w14:textId="12E07B57" w:rsidR="00F47A76" w:rsidRDefault="00296D3E">
      <w:pPr>
        <w:jc w:val="center"/>
      </w:pPr>
      <w:r>
        <w:rPr>
          <w:rFonts w:ascii="Arial" w:eastAsia="Arial" w:hAnsi="Arial"/>
        </w:rPr>
        <w:t xml:space="preserve">Date: </w:t>
      </w:r>
      <w:r w:rsidR="00053414">
        <w:rPr>
          <w:rFonts w:ascii="Arial" w:eastAsia="Arial" w:hAnsi="Arial"/>
        </w:rPr>
        <w:t>21</w:t>
      </w:r>
      <w:r w:rsidR="00053414" w:rsidRPr="00053414">
        <w:rPr>
          <w:rFonts w:ascii="Arial" w:eastAsia="Arial" w:hAnsi="Arial"/>
          <w:vertAlign w:val="superscript"/>
        </w:rPr>
        <w:t>st</w:t>
      </w:r>
      <w:r w:rsidR="00053414">
        <w:rPr>
          <w:rFonts w:ascii="Arial" w:eastAsia="Arial" w:hAnsi="Arial"/>
        </w:rPr>
        <w:t xml:space="preserve"> November 2025</w:t>
      </w:r>
    </w:p>
    <w:p w14:paraId="7D2C9011" w14:textId="77777777" w:rsidR="00F47A76" w:rsidRDefault="00296D3E">
      <w:r>
        <w:br w:type="page"/>
      </w:r>
    </w:p>
    <w:p w14:paraId="1BEBFA0B" w14:textId="77777777" w:rsidR="002A6213" w:rsidRPr="00467E36" w:rsidRDefault="005062DD" w:rsidP="00467E36">
      <w:pPr>
        <w:pStyle w:val="Heading1"/>
        <w:rPr>
          <w:rFonts w:ascii="Arial" w:hAnsi="Arial" w:cs="Arial"/>
          <w:sz w:val="32"/>
          <w:szCs w:val="32"/>
        </w:rPr>
      </w:pPr>
      <w:r w:rsidRPr="00467E36">
        <w:rPr>
          <w:rFonts w:ascii="Arial" w:hAnsi="Arial" w:cs="Arial"/>
          <w:sz w:val="32"/>
          <w:szCs w:val="32"/>
        </w:rPr>
        <w:lastRenderedPageBreak/>
        <w:t>Table of Contents</w:t>
      </w:r>
    </w:p>
    <w:sdt>
      <w:sdtPr>
        <w:rPr>
          <w:rFonts w:asciiTheme="minorHAnsi" w:eastAsiaTheme="minorEastAsia" w:hAnsiTheme="minorHAnsi" w:cstheme="minorBidi"/>
          <w:b w:val="0"/>
          <w:bCs w:val="0"/>
          <w:color w:val="auto"/>
          <w:sz w:val="22"/>
          <w:szCs w:val="22"/>
        </w:rPr>
        <w:id w:val="1447655446"/>
        <w:docPartObj>
          <w:docPartGallery w:val="Table of Contents"/>
          <w:docPartUnique/>
        </w:docPartObj>
      </w:sdtPr>
      <w:sdtEndPr>
        <w:rPr>
          <w:noProof/>
        </w:rPr>
      </w:sdtEndPr>
      <w:sdtContent>
        <w:p w14:paraId="46E44A44" w14:textId="375C2B7B" w:rsidR="002A6213" w:rsidRDefault="002A6213">
          <w:pPr>
            <w:pStyle w:val="TOCHeading"/>
          </w:pPr>
        </w:p>
        <w:p w14:paraId="4322D5E7" w14:textId="288AB2F0" w:rsidR="002A6213" w:rsidRPr="00436210" w:rsidRDefault="002A6213" w:rsidP="0098095B">
          <w:pPr>
            <w:pStyle w:val="TOC1"/>
            <w:tabs>
              <w:tab w:val="right" w:leader="dot" w:pos="8630"/>
            </w:tabs>
            <w:rPr>
              <w:rFonts w:ascii="Arial" w:hAnsi="Arial" w:cs="Arial"/>
              <w:noProof/>
              <w:kern w:val="2"/>
              <w:sz w:val="24"/>
              <w:szCs w:val="24"/>
              <w:lang w:val="en-GB" w:eastAsia="en-GB"/>
              <w14:ligatures w14:val="standardContextual"/>
            </w:rPr>
          </w:pPr>
          <w:r>
            <w:fldChar w:fldCharType="begin"/>
          </w:r>
          <w:r>
            <w:instrText xml:space="preserve"> TOC \o "1-3" \h \z \u </w:instrText>
          </w:r>
          <w:r>
            <w:fldChar w:fldCharType="separate"/>
          </w:r>
          <w:hyperlink w:anchor="_Toc212884677" w:history="1">
            <w:r w:rsidRPr="00436210">
              <w:rPr>
                <w:rStyle w:val="Hyperlink"/>
                <w:rFonts w:ascii="Arial" w:hAnsi="Arial" w:cs="Arial"/>
                <w:noProof/>
              </w:rPr>
              <w:t>1. Introduction</w:t>
            </w:r>
            <w:r w:rsidRPr="00436210">
              <w:rPr>
                <w:rFonts w:ascii="Arial" w:hAnsi="Arial" w:cs="Arial"/>
                <w:noProof/>
                <w:webHidden/>
              </w:rPr>
              <w:tab/>
            </w:r>
            <w:r w:rsidR="001044BC">
              <w:rPr>
                <w:rFonts w:ascii="Arial" w:hAnsi="Arial" w:cs="Arial"/>
                <w:noProof/>
                <w:webHidden/>
              </w:rPr>
              <w:t>5</w:t>
            </w:r>
          </w:hyperlink>
        </w:p>
        <w:p w14:paraId="2A74E054" w14:textId="691CE9B7" w:rsidR="002A6213" w:rsidRPr="00436210" w:rsidRDefault="002A6213">
          <w:pPr>
            <w:pStyle w:val="TOC1"/>
            <w:tabs>
              <w:tab w:val="right" w:leader="dot" w:pos="8630"/>
            </w:tabs>
            <w:rPr>
              <w:rFonts w:ascii="Arial" w:hAnsi="Arial" w:cs="Arial"/>
              <w:noProof/>
              <w:kern w:val="2"/>
              <w:sz w:val="24"/>
              <w:szCs w:val="24"/>
              <w:lang w:val="en-GB" w:eastAsia="en-GB"/>
              <w14:ligatures w14:val="standardContextual"/>
            </w:rPr>
          </w:pPr>
          <w:hyperlink w:anchor="_Toc212884685" w:history="1">
            <w:r w:rsidRPr="00436210">
              <w:rPr>
                <w:rStyle w:val="Hyperlink"/>
                <w:rFonts w:ascii="Arial" w:hAnsi="Arial" w:cs="Arial"/>
                <w:noProof/>
              </w:rPr>
              <w:t>2. Emotional Intelligence in the Workplace: Models, Mechanisms and Use</w:t>
            </w:r>
            <w:r w:rsidRPr="00436210">
              <w:rPr>
                <w:rFonts w:ascii="Arial" w:hAnsi="Arial" w:cs="Arial"/>
                <w:noProof/>
                <w:webHidden/>
              </w:rPr>
              <w:tab/>
            </w:r>
            <w:r w:rsidR="006A0F57">
              <w:rPr>
                <w:rFonts w:ascii="Arial" w:hAnsi="Arial" w:cs="Arial"/>
                <w:noProof/>
                <w:webHidden/>
              </w:rPr>
              <w:t>6</w:t>
            </w:r>
          </w:hyperlink>
        </w:p>
        <w:p w14:paraId="60CEAF16" w14:textId="0AFE7B81" w:rsidR="002A6213" w:rsidRPr="00436210" w:rsidRDefault="002A6213" w:rsidP="00C14A1E">
          <w:pPr>
            <w:pStyle w:val="TOC2"/>
            <w:rPr>
              <w:noProof/>
              <w:kern w:val="2"/>
              <w:sz w:val="24"/>
              <w:szCs w:val="24"/>
              <w:lang w:eastAsia="en-GB"/>
              <w14:ligatures w14:val="standardContextual"/>
            </w:rPr>
          </w:pPr>
          <w:hyperlink w:anchor="_Toc212884686" w:history="1">
            <w:r w:rsidRPr="00436210">
              <w:rPr>
                <w:rStyle w:val="Hyperlink"/>
                <w:noProof/>
              </w:rPr>
              <w:t>2.1 The Ability Model</w:t>
            </w:r>
            <w:r w:rsidRPr="00436210">
              <w:rPr>
                <w:noProof/>
                <w:webHidden/>
              </w:rPr>
              <w:tab/>
            </w:r>
            <w:r w:rsidR="00472214">
              <w:rPr>
                <w:noProof/>
                <w:webHidden/>
              </w:rPr>
              <w:t>6</w:t>
            </w:r>
          </w:hyperlink>
        </w:p>
        <w:p w14:paraId="741FBE26" w14:textId="5840D8B5" w:rsidR="002A6213" w:rsidRPr="00436210" w:rsidRDefault="002A6213" w:rsidP="00C14A1E">
          <w:pPr>
            <w:pStyle w:val="TOC2"/>
            <w:rPr>
              <w:noProof/>
              <w:kern w:val="2"/>
              <w:sz w:val="24"/>
              <w:szCs w:val="24"/>
              <w:lang w:eastAsia="en-GB"/>
              <w14:ligatures w14:val="standardContextual"/>
            </w:rPr>
          </w:pPr>
          <w:hyperlink w:anchor="_Toc212884687" w:history="1">
            <w:r w:rsidRPr="00436210">
              <w:rPr>
                <w:rStyle w:val="Hyperlink"/>
                <w:noProof/>
              </w:rPr>
              <w:t>2.2 The Mixed Model</w:t>
            </w:r>
            <w:r w:rsidRPr="00436210">
              <w:rPr>
                <w:noProof/>
                <w:webHidden/>
              </w:rPr>
              <w:tab/>
            </w:r>
            <w:r w:rsidRPr="00436210">
              <w:rPr>
                <w:noProof/>
                <w:webHidden/>
              </w:rPr>
              <w:fldChar w:fldCharType="begin"/>
            </w:r>
            <w:r w:rsidRPr="00436210">
              <w:rPr>
                <w:noProof/>
                <w:webHidden/>
              </w:rPr>
              <w:instrText xml:space="preserve"> PAGEREF _Toc212884687 \h </w:instrText>
            </w:r>
            <w:r w:rsidRPr="00436210">
              <w:rPr>
                <w:noProof/>
                <w:webHidden/>
              </w:rPr>
            </w:r>
            <w:r w:rsidRPr="00436210">
              <w:rPr>
                <w:noProof/>
                <w:webHidden/>
              </w:rPr>
              <w:fldChar w:fldCharType="separate"/>
            </w:r>
            <w:r w:rsidRPr="00436210">
              <w:rPr>
                <w:noProof/>
                <w:webHidden/>
              </w:rPr>
              <w:t>6</w:t>
            </w:r>
            <w:r w:rsidRPr="00436210">
              <w:rPr>
                <w:noProof/>
                <w:webHidden/>
              </w:rPr>
              <w:fldChar w:fldCharType="end"/>
            </w:r>
          </w:hyperlink>
        </w:p>
        <w:p w14:paraId="00CEABDF" w14:textId="2C6B9CB8" w:rsidR="002A6213" w:rsidRPr="00436210" w:rsidRDefault="002A6213" w:rsidP="00C14A1E">
          <w:pPr>
            <w:pStyle w:val="TOC2"/>
            <w:rPr>
              <w:noProof/>
              <w:kern w:val="2"/>
              <w:sz w:val="24"/>
              <w:szCs w:val="24"/>
              <w:lang w:eastAsia="en-GB"/>
              <w14:ligatures w14:val="standardContextual"/>
            </w:rPr>
          </w:pPr>
          <w:hyperlink w:anchor="_Toc212884688" w:history="1">
            <w:r w:rsidRPr="00436210">
              <w:rPr>
                <w:rStyle w:val="Hyperlink"/>
                <w:noProof/>
              </w:rPr>
              <w:t>2.3 The Trait Model</w:t>
            </w:r>
            <w:r w:rsidRPr="00436210">
              <w:rPr>
                <w:noProof/>
                <w:webHidden/>
              </w:rPr>
              <w:tab/>
            </w:r>
            <w:r w:rsidR="006A0F57">
              <w:rPr>
                <w:noProof/>
                <w:webHidden/>
              </w:rPr>
              <w:t>7</w:t>
            </w:r>
          </w:hyperlink>
        </w:p>
        <w:p w14:paraId="13A44B6D" w14:textId="2B65F2D7" w:rsidR="002A6213" w:rsidRPr="00436210" w:rsidRDefault="002A6213" w:rsidP="00C14A1E">
          <w:pPr>
            <w:pStyle w:val="TOC2"/>
            <w:rPr>
              <w:noProof/>
              <w:kern w:val="2"/>
              <w:sz w:val="24"/>
              <w:szCs w:val="24"/>
              <w:lang w:eastAsia="en-GB"/>
              <w14:ligatures w14:val="standardContextual"/>
            </w:rPr>
          </w:pPr>
          <w:hyperlink w:anchor="_Toc212884689" w:history="1">
            <w:r w:rsidRPr="00436210">
              <w:rPr>
                <w:rStyle w:val="Hyperlink"/>
                <w:noProof/>
              </w:rPr>
              <w:t>2.4 Mindfulness: Cognitive and Neural Pathways Supporting EI</w:t>
            </w:r>
            <w:r w:rsidRPr="00436210">
              <w:rPr>
                <w:noProof/>
                <w:webHidden/>
              </w:rPr>
              <w:tab/>
            </w:r>
            <w:r w:rsidR="006A0F57">
              <w:rPr>
                <w:noProof/>
                <w:webHidden/>
              </w:rPr>
              <w:t>8</w:t>
            </w:r>
          </w:hyperlink>
        </w:p>
        <w:p w14:paraId="20EE5E08" w14:textId="3E539C1E" w:rsidR="002A6213" w:rsidRPr="00436210" w:rsidRDefault="002A6213" w:rsidP="00C14A1E">
          <w:pPr>
            <w:pStyle w:val="TOC2"/>
            <w:rPr>
              <w:noProof/>
              <w:kern w:val="2"/>
              <w:sz w:val="24"/>
              <w:szCs w:val="24"/>
              <w:lang w:eastAsia="en-GB"/>
              <w14:ligatures w14:val="standardContextual"/>
            </w:rPr>
          </w:pPr>
          <w:hyperlink w:anchor="_Toc212884690" w:history="1">
            <w:r w:rsidRPr="00436210">
              <w:rPr>
                <w:rStyle w:val="Hyperlink"/>
                <w:noProof/>
              </w:rPr>
              <w:t>2.5 From Theory to Practice: Using EI Components at Work</w:t>
            </w:r>
            <w:r w:rsidRPr="00436210">
              <w:rPr>
                <w:noProof/>
                <w:webHidden/>
              </w:rPr>
              <w:tab/>
            </w:r>
            <w:r w:rsidR="00947B66">
              <w:rPr>
                <w:noProof/>
                <w:webHidden/>
              </w:rPr>
              <w:t>9</w:t>
            </w:r>
          </w:hyperlink>
        </w:p>
        <w:p w14:paraId="739A182E" w14:textId="0FCDCA0E" w:rsidR="002A6213" w:rsidRPr="005E41C3" w:rsidRDefault="002A6213" w:rsidP="00C14A1E">
          <w:pPr>
            <w:pStyle w:val="TOC2"/>
            <w:rPr>
              <w:noProof/>
              <w:kern w:val="2"/>
              <w:sz w:val="24"/>
              <w:szCs w:val="24"/>
              <w:lang w:eastAsia="en-GB"/>
              <w14:ligatures w14:val="standardContextual"/>
            </w:rPr>
          </w:pPr>
          <w:hyperlink w:anchor="_Toc212884691" w:history="1">
            <w:r w:rsidRPr="005E41C3">
              <w:rPr>
                <w:rStyle w:val="Hyperlink"/>
                <w:noProof/>
                <w:color w:val="auto"/>
              </w:rPr>
              <w:t>2.6 Embedding EI and Mindfulness in Performance Management and Coaching</w:t>
            </w:r>
            <w:r w:rsidRPr="005E41C3">
              <w:rPr>
                <w:noProof/>
                <w:webHidden/>
              </w:rPr>
              <w:tab/>
            </w:r>
            <w:r w:rsidR="00947B66" w:rsidRPr="005E41C3">
              <w:rPr>
                <w:noProof/>
                <w:webHidden/>
              </w:rPr>
              <w:t>9</w:t>
            </w:r>
          </w:hyperlink>
        </w:p>
        <w:p w14:paraId="4025B315" w14:textId="77777777" w:rsidR="00C14A1E" w:rsidRDefault="002A6213" w:rsidP="00C14A1E">
          <w:pPr>
            <w:pStyle w:val="TOC2"/>
          </w:pPr>
          <w:hyperlink w:anchor="_Toc212884692" w:history="1">
            <w:r w:rsidRPr="005E41C3">
              <w:rPr>
                <w:rStyle w:val="Hyperlink"/>
                <w:noProof/>
                <w:color w:val="auto"/>
              </w:rPr>
              <w:t>2.7 Limitations, Risks, and Cultural Context</w:t>
            </w:r>
            <w:r w:rsidRPr="005E41C3">
              <w:rPr>
                <w:noProof/>
                <w:webHidden/>
              </w:rPr>
              <w:tab/>
            </w:r>
            <w:r w:rsidRPr="005E41C3">
              <w:rPr>
                <w:noProof/>
                <w:webHidden/>
              </w:rPr>
              <w:fldChar w:fldCharType="begin"/>
            </w:r>
            <w:r w:rsidRPr="005E41C3">
              <w:rPr>
                <w:noProof/>
                <w:webHidden/>
              </w:rPr>
              <w:instrText xml:space="preserve"> PAGEREF _Toc212884692 \h </w:instrText>
            </w:r>
            <w:r w:rsidRPr="005E41C3">
              <w:rPr>
                <w:noProof/>
                <w:webHidden/>
              </w:rPr>
            </w:r>
            <w:r w:rsidRPr="005E41C3">
              <w:rPr>
                <w:noProof/>
                <w:webHidden/>
              </w:rPr>
              <w:fldChar w:fldCharType="separate"/>
            </w:r>
            <w:r w:rsidRPr="005E41C3">
              <w:rPr>
                <w:noProof/>
                <w:webHidden/>
              </w:rPr>
              <w:t>10</w:t>
            </w:r>
            <w:r w:rsidRPr="005E41C3">
              <w:rPr>
                <w:noProof/>
                <w:webHidden/>
              </w:rPr>
              <w:fldChar w:fldCharType="end"/>
            </w:r>
          </w:hyperlink>
        </w:p>
        <w:p w14:paraId="1FBE7D5A" w14:textId="4F5CA008" w:rsidR="005E41C3" w:rsidRPr="00944458" w:rsidRDefault="005E41C3" w:rsidP="00944458">
          <w:pPr>
            <w:pStyle w:val="TOC2"/>
            <w:rPr>
              <w:lang w:val="en-US"/>
            </w:rPr>
          </w:pPr>
          <w:r w:rsidRPr="00C14A1E">
            <w:t>2.8 Comparative Evaluation of EI Models and Implications for Practice</w:t>
          </w:r>
          <w:r w:rsidR="00C14A1E">
            <w:t>………………11</w:t>
          </w:r>
        </w:p>
        <w:p w14:paraId="545CC5A3" w14:textId="1E3A374A" w:rsidR="002A6213" w:rsidRPr="00436210" w:rsidRDefault="002A6213">
          <w:pPr>
            <w:pStyle w:val="TOC1"/>
            <w:tabs>
              <w:tab w:val="right" w:leader="dot" w:pos="8630"/>
            </w:tabs>
            <w:rPr>
              <w:rFonts w:ascii="Arial" w:hAnsi="Arial" w:cs="Arial"/>
              <w:noProof/>
              <w:kern w:val="2"/>
              <w:sz w:val="24"/>
              <w:szCs w:val="24"/>
              <w:lang w:val="en-GB" w:eastAsia="en-GB"/>
              <w14:ligatures w14:val="standardContextual"/>
            </w:rPr>
          </w:pPr>
          <w:hyperlink w:anchor="_Toc212884693" w:history="1">
            <w:r w:rsidRPr="00436210">
              <w:rPr>
                <w:rStyle w:val="Hyperlink"/>
                <w:rFonts w:ascii="Arial" w:hAnsi="Arial" w:cs="Arial"/>
                <w:noProof/>
                <w:lang w:val="en-GB"/>
              </w:rPr>
              <w:t>3. Emotional Intelligence and Generational Recruitment</w:t>
            </w:r>
            <w:r w:rsidRPr="00436210">
              <w:rPr>
                <w:rFonts w:ascii="Arial" w:hAnsi="Arial" w:cs="Arial"/>
                <w:noProof/>
                <w:webHidden/>
              </w:rPr>
              <w:tab/>
            </w:r>
            <w:r w:rsidRPr="00436210">
              <w:rPr>
                <w:rFonts w:ascii="Arial" w:hAnsi="Arial" w:cs="Arial"/>
                <w:noProof/>
                <w:webHidden/>
              </w:rPr>
              <w:fldChar w:fldCharType="begin"/>
            </w:r>
            <w:r w:rsidRPr="00436210">
              <w:rPr>
                <w:rFonts w:ascii="Arial" w:hAnsi="Arial" w:cs="Arial"/>
                <w:noProof/>
                <w:webHidden/>
              </w:rPr>
              <w:instrText xml:space="preserve"> PAGEREF _Toc212884693 \h </w:instrText>
            </w:r>
            <w:r w:rsidRPr="00436210">
              <w:rPr>
                <w:rFonts w:ascii="Arial" w:hAnsi="Arial" w:cs="Arial"/>
                <w:noProof/>
                <w:webHidden/>
              </w:rPr>
            </w:r>
            <w:r w:rsidRPr="00436210">
              <w:rPr>
                <w:rFonts w:ascii="Arial" w:hAnsi="Arial" w:cs="Arial"/>
                <w:noProof/>
                <w:webHidden/>
              </w:rPr>
              <w:fldChar w:fldCharType="separate"/>
            </w:r>
            <w:r w:rsidRPr="00436210">
              <w:rPr>
                <w:rFonts w:ascii="Arial" w:hAnsi="Arial" w:cs="Arial"/>
                <w:noProof/>
                <w:webHidden/>
              </w:rPr>
              <w:t>1</w:t>
            </w:r>
            <w:r w:rsidR="001E04A5">
              <w:rPr>
                <w:rFonts w:ascii="Arial" w:hAnsi="Arial" w:cs="Arial"/>
                <w:noProof/>
                <w:webHidden/>
              </w:rPr>
              <w:t>3</w:t>
            </w:r>
            <w:r w:rsidRPr="00436210">
              <w:rPr>
                <w:rFonts w:ascii="Arial" w:hAnsi="Arial" w:cs="Arial"/>
                <w:noProof/>
                <w:webHidden/>
              </w:rPr>
              <w:fldChar w:fldCharType="end"/>
            </w:r>
          </w:hyperlink>
        </w:p>
        <w:p w14:paraId="0616D177" w14:textId="2A75CEB7" w:rsidR="002A6213" w:rsidRPr="00436210" w:rsidRDefault="002A6213" w:rsidP="00C14A1E">
          <w:pPr>
            <w:pStyle w:val="TOC2"/>
            <w:rPr>
              <w:noProof/>
              <w:kern w:val="2"/>
              <w:sz w:val="24"/>
              <w:szCs w:val="24"/>
              <w:lang w:eastAsia="en-GB"/>
              <w14:ligatures w14:val="standardContextual"/>
            </w:rPr>
          </w:pPr>
          <w:hyperlink w:anchor="_Toc212884694" w:history="1">
            <w:r w:rsidRPr="00436210">
              <w:rPr>
                <w:rStyle w:val="Hyperlink"/>
                <w:noProof/>
              </w:rPr>
              <w:t>3.1 Overview</w:t>
            </w:r>
            <w:r w:rsidRPr="00436210">
              <w:rPr>
                <w:noProof/>
                <w:webHidden/>
              </w:rPr>
              <w:tab/>
            </w:r>
            <w:r w:rsidRPr="00436210">
              <w:rPr>
                <w:noProof/>
                <w:webHidden/>
              </w:rPr>
              <w:fldChar w:fldCharType="begin"/>
            </w:r>
            <w:r w:rsidRPr="00436210">
              <w:rPr>
                <w:noProof/>
                <w:webHidden/>
              </w:rPr>
              <w:instrText xml:space="preserve"> PAGEREF _Toc212884694 \h </w:instrText>
            </w:r>
            <w:r w:rsidRPr="00436210">
              <w:rPr>
                <w:noProof/>
                <w:webHidden/>
              </w:rPr>
            </w:r>
            <w:r w:rsidRPr="00436210">
              <w:rPr>
                <w:noProof/>
                <w:webHidden/>
              </w:rPr>
              <w:fldChar w:fldCharType="separate"/>
            </w:r>
            <w:r w:rsidRPr="00436210">
              <w:rPr>
                <w:noProof/>
                <w:webHidden/>
              </w:rPr>
              <w:t>1</w:t>
            </w:r>
            <w:r w:rsidR="00944458">
              <w:rPr>
                <w:noProof/>
                <w:webHidden/>
              </w:rPr>
              <w:t>3</w:t>
            </w:r>
            <w:r w:rsidRPr="00436210">
              <w:rPr>
                <w:noProof/>
                <w:webHidden/>
              </w:rPr>
              <w:fldChar w:fldCharType="end"/>
            </w:r>
          </w:hyperlink>
        </w:p>
        <w:p w14:paraId="346E6E24" w14:textId="3A16AB94" w:rsidR="002A6213" w:rsidRPr="00436210" w:rsidRDefault="002A6213" w:rsidP="00C14A1E">
          <w:pPr>
            <w:pStyle w:val="TOC2"/>
            <w:rPr>
              <w:noProof/>
              <w:kern w:val="2"/>
              <w:sz w:val="24"/>
              <w:szCs w:val="24"/>
              <w:lang w:eastAsia="en-GB"/>
              <w14:ligatures w14:val="standardContextual"/>
            </w:rPr>
          </w:pPr>
          <w:hyperlink w:anchor="_Toc212884695" w:history="1">
            <w:r w:rsidRPr="00436210">
              <w:rPr>
                <w:rStyle w:val="Hyperlink"/>
                <w:noProof/>
              </w:rPr>
              <w:t>3.2 Generation X: Independence and Intrapersonal Resilience</w:t>
            </w:r>
            <w:r w:rsidRPr="00436210">
              <w:rPr>
                <w:noProof/>
                <w:webHidden/>
              </w:rPr>
              <w:tab/>
            </w:r>
            <w:r w:rsidRPr="00436210">
              <w:rPr>
                <w:noProof/>
                <w:webHidden/>
              </w:rPr>
              <w:fldChar w:fldCharType="begin"/>
            </w:r>
            <w:r w:rsidRPr="00436210">
              <w:rPr>
                <w:noProof/>
                <w:webHidden/>
              </w:rPr>
              <w:instrText xml:space="preserve"> PAGEREF _Toc212884695 \h </w:instrText>
            </w:r>
            <w:r w:rsidRPr="00436210">
              <w:rPr>
                <w:noProof/>
                <w:webHidden/>
              </w:rPr>
            </w:r>
            <w:r w:rsidRPr="00436210">
              <w:rPr>
                <w:noProof/>
                <w:webHidden/>
              </w:rPr>
              <w:fldChar w:fldCharType="separate"/>
            </w:r>
            <w:r w:rsidRPr="00436210">
              <w:rPr>
                <w:noProof/>
                <w:webHidden/>
              </w:rPr>
              <w:t>1</w:t>
            </w:r>
            <w:r w:rsidR="001E04A5">
              <w:rPr>
                <w:noProof/>
                <w:webHidden/>
              </w:rPr>
              <w:t>4</w:t>
            </w:r>
            <w:r w:rsidRPr="00436210">
              <w:rPr>
                <w:noProof/>
                <w:webHidden/>
              </w:rPr>
              <w:fldChar w:fldCharType="end"/>
            </w:r>
          </w:hyperlink>
        </w:p>
        <w:p w14:paraId="0B841F7E" w14:textId="14693736" w:rsidR="002A6213" w:rsidRPr="00436210" w:rsidRDefault="002A6213" w:rsidP="00C14A1E">
          <w:pPr>
            <w:pStyle w:val="TOC2"/>
            <w:rPr>
              <w:noProof/>
              <w:kern w:val="2"/>
              <w:sz w:val="24"/>
              <w:szCs w:val="24"/>
              <w:lang w:eastAsia="en-GB"/>
              <w14:ligatures w14:val="standardContextual"/>
            </w:rPr>
          </w:pPr>
          <w:hyperlink w:anchor="_Toc212884696" w:history="1">
            <w:r w:rsidRPr="00436210">
              <w:rPr>
                <w:rStyle w:val="Hyperlink"/>
                <w:noProof/>
              </w:rPr>
              <w:t>3.3 Generation Y (Millennials): Interpersonal Orientation and Purpose</w:t>
            </w:r>
            <w:r w:rsidRPr="00436210">
              <w:rPr>
                <w:noProof/>
                <w:webHidden/>
              </w:rPr>
              <w:tab/>
            </w:r>
            <w:r w:rsidRPr="00436210">
              <w:rPr>
                <w:noProof/>
                <w:webHidden/>
              </w:rPr>
              <w:fldChar w:fldCharType="begin"/>
            </w:r>
            <w:r w:rsidRPr="00436210">
              <w:rPr>
                <w:noProof/>
                <w:webHidden/>
              </w:rPr>
              <w:instrText xml:space="preserve"> PAGEREF _Toc212884696 \h </w:instrText>
            </w:r>
            <w:r w:rsidRPr="00436210">
              <w:rPr>
                <w:noProof/>
                <w:webHidden/>
              </w:rPr>
            </w:r>
            <w:r w:rsidRPr="00436210">
              <w:rPr>
                <w:noProof/>
                <w:webHidden/>
              </w:rPr>
              <w:fldChar w:fldCharType="separate"/>
            </w:r>
            <w:r w:rsidRPr="00436210">
              <w:rPr>
                <w:noProof/>
                <w:webHidden/>
              </w:rPr>
              <w:t>1</w:t>
            </w:r>
            <w:r w:rsidR="001E04A5">
              <w:rPr>
                <w:noProof/>
                <w:webHidden/>
              </w:rPr>
              <w:t>4</w:t>
            </w:r>
            <w:r w:rsidRPr="00436210">
              <w:rPr>
                <w:noProof/>
                <w:webHidden/>
              </w:rPr>
              <w:fldChar w:fldCharType="end"/>
            </w:r>
          </w:hyperlink>
        </w:p>
        <w:p w14:paraId="66B8D207" w14:textId="467E46CD" w:rsidR="002A6213" w:rsidRPr="00436210" w:rsidRDefault="002A6213" w:rsidP="00C14A1E">
          <w:pPr>
            <w:pStyle w:val="TOC2"/>
            <w:rPr>
              <w:noProof/>
              <w:kern w:val="2"/>
              <w:sz w:val="24"/>
              <w:szCs w:val="24"/>
              <w:lang w:eastAsia="en-GB"/>
              <w14:ligatures w14:val="standardContextual"/>
            </w:rPr>
          </w:pPr>
          <w:hyperlink w:anchor="_Toc212884697" w:history="1">
            <w:r w:rsidRPr="00436210">
              <w:rPr>
                <w:rStyle w:val="Hyperlink"/>
                <w:noProof/>
              </w:rPr>
              <w:t>3.4 Generation Z: Digital Empathy and Emerging Face-to-Face Fluency</w:t>
            </w:r>
            <w:r w:rsidRPr="00436210">
              <w:rPr>
                <w:noProof/>
                <w:webHidden/>
              </w:rPr>
              <w:tab/>
            </w:r>
            <w:r w:rsidRPr="00436210">
              <w:rPr>
                <w:noProof/>
                <w:webHidden/>
              </w:rPr>
              <w:fldChar w:fldCharType="begin"/>
            </w:r>
            <w:r w:rsidRPr="00436210">
              <w:rPr>
                <w:noProof/>
                <w:webHidden/>
              </w:rPr>
              <w:instrText xml:space="preserve"> PAGEREF _Toc212884697 \h </w:instrText>
            </w:r>
            <w:r w:rsidRPr="00436210">
              <w:rPr>
                <w:noProof/>
                <w:webHidden/>
              </w:rPr>
            </w:r>
            <w:r w:rsidRPr="00436210">
              <w:rPr>
                <w:noProof/>
                <w:webHidden/>
              </w:rPr>
              <w:fldChar w:fldCharType="separate"/>
            </w:r>
            <w:r w:rsidRPr="00436210">
              <w:rPr>
                <w:noProof/>
                <w:webHidden/>
              </w:rPr>
              <w:t>1</w:t>
            </w:r>
            <w:r w:rsidR="001E04A5">
              <w:rPr>
                <w:noProof/>
                <w:webHidden/>
              </w:rPr>
              <w:t>5</w:t>
            </w:r>
            <w:r w:rsidRPr="00436210">
              <w:rPr>
                <w:noProof/>
                <w:webHidden/>
              </w:rPr>
              <w:fldChar w:fldCharType="end"/>
            </w:r>
          </w:hyperlink>
        </w:p>
        <w:p w14:paraId="5B5E4BA8" w14:textId="7C3B53F9" w:rsidR="002A6213" w:rsidRPr="00436210" w:rsidRDefault="002A6213" w:rsidP="00C14A1E">
          <w:pPr>
            <w:pStyle w:val="TOC2"/>
            <w:rPr>
              <w:noProof/>
              <w:kern w:val="2"/>
              <w:sz w:val="24"/>
              <w:szCs w:val="24"/>
              <w:lang w:eastAsia="en-GB"/>
              <w14:ligatures w14:val="standardContextual"/>
            </w:rPr>
          </w:pPr>
          <w:hyperlink w:anchor="_Toc212884698" w:history="1">
            <w:r w:rsidRPr="00436210">
              <w:rPr>
                <w:rStyle w:val="Hyperlink"/>
                <w:noProof/>
              </w:rPr>
              <w:t>3.5 Cross-Generational Synthesis and the Risk of Stereotypes</w:t>
            </w:r>
            <w:r w:rsidRPr="00436210">
              <w:rPr>
                <w:noProof/>
                <w:webHidden/>
              </w:rPr>
              <w:tab/>
            </w:r>
            <w:r w:rsidRPr="00436210">
              <w:rPr>
                <w:noProof/>
                <w:webHidden/>
              </w:rPr>
              <w:fldChar w:fldCharType="begin"/>
            </w:r>
            <w:r w:rsidRPr="00436210">
              <w:rPr>
                <w:noProof/>
                <w:webHidden/>
              </w:rPr>
              <w:instrText xml:space="preserve"> PAGEREF _Toc212884698 \h </w:instrText>
            </w:r>
            <w:r w:rsidRPr="00436210">
              <w:rPr>
                <w:noProof/>
                <w:webHidden/>
              </w:rPr>
            </w:r>
            <w:r w:rsidRPr="00436210">
              <w:rPr>
                <w:noProof/>
                <w:webHidden/>
              </w:rPr>
              <w:fldChar w:fldCharType="separate"/>
            </w:r>
            <w:r w:rsidRPr="00436210">
              <w:rPr>
                <w:noProof/>
                <w:webHidden/>
              </w:rPr>
              <w:t>1</w:t>
            </w:r>
            <w:r w:rsidR="00953A34">
              <w:rPr>
                <w:noProof/>
                <w:webHidden/>
              </w:rPr>
              <w:t>5</w:t>
            </w:r>
            <w:r w:rsidRPr="00436210">
              <w:rPr>
                <w:noProof/>
                <w:webHidden/>
              </w:rPr>
              <w:fldChar w:fldCharType="end"/>
            </w:r>
          </w:hyperlink>
        </w:p>
        <w:p w14:paraId="4B894233" w14:textId="352BC28B" w:rsidR="002A6213" w:rsidRPr="00436210" w:rsidRDefault="002A6213" w:rsidP="00C14A1E">
          <w:pPr>
            <w:pStyle w:val="TOC2"/>
            <w:rPr>
              <w:noProof/>
              <w:kern w:val="2"/>
              <w:sz w:val="24"/>
              <w:szCs w:val="24"/>
              <w:lang w:eastAsia="en-GB"/>
              <w14:ligatures w14:val="standardContextual"/>
            </w:rPr>
          </w:pPr>
          <w:hyperlink w:anchor="_Toc212884699" w:history="1">
            <w:r w:rsidRPr="00436210">
              <w:rPr>
                <w:rStyle w:val="Hyperlink"/>
                <w:noProof/>
              </w:rPr>
              <w:t>3.6 Implications for Recruitment and Selection</w:t>
            </w:r>
            <w:r w:rsidRPr="00436210">
              <w:rPr>
                <w:noProof/>
                <w:webHidden/>
              </w:rPr>
              <w:tab/>
            </w:r>
            <w:r w:rsidRPr="00436210">
              <w:rPr>
                <w:noProof/>
                <w:webHidden/>
              </w:rPr>
              <w:fldChar w:fldCharType="begin"/>
            </w:r>
            <w:r w:rsidRPr="00436210">
              <w:rPr>
                <w:noProof/>
                <w:webHidden/>
              </w:rPr>
              <w:instrText xml:space="preserve"> PAGEREF _Toc212884699 \h </w:instrText>
            </w:r>
            <w:r w:rsidRPr="00436210">
              <w:rPr>
                <w:noProof/>
                <w:webHidden/>
              </w:rPr>
            </w:r>
            <w:r w:rsidRPr="00436210">
              <w:rPr>
                <w:noProof/>
                <w:webHidden/>
              </w:rPr>
              <w:fldChar w:fldCharType="separate"/>
            </w:r>
            <w:r w:rsidRPr="00436210">
              <w:rPr>
                <w:noProof/>
                <w:webHidden/>
              </w:rPr>
              <w:t>1</w:t>
            </w:r>
            <w:r w:rsidR="00953A34">
              <w:rPr>
                <w:noProof/>
                <w:webHidden/>
              </w:rPr>
              <w:t>5</w:t>
            </w:r>
            <w:r w:rsidRPr="00436210">
              <w:rPr>
                <w:noProof/>
                <w:webHidden/>
              </w:rPr>
              <w:fldChar w:fldCharType="end"/>
            </w:r>
          </w:hyperlink>
        </w:p>
        <w:p w14:paraId="6BBD7405" w14:textId="0EB790C4" w:rsidR="002A6213" w:rsidRPr="00436210" w:rsidRDefault="002A6213">
          <w:pPr>
            <w:pStyle w:val="TOC1"/>
            <w:tabs>
              <w:tab w:val="left" w:pos="480"/>
              <w:tab w:val="right" w:leader="dot" w:pos="8630"/>
            </w:tabs>
            <w:rPr>
              <w:rFonts w:ascii="Arial" w:hAnsi="Arial" w:cs="Arial"/>
              <w:noProof/>
              <w:kern w:val="2"/>
              <w:sz w:val="24"/>
              <w:szCs w:val="24"/>
              <w:lang w:val="en-GB" w:eastAsia="en-GB"/>
              <w14:ligatures w14:val="standardContextual"/>
            </w:rPr>
          </w:pPr>
          <w:hyperlink w:anchor="_Toc212884700" w:history="1">
            <w:r w:rsidRPr="00436210">
              <w:rPr>
                <w:rStyle w:val="Hyperlink"/>
                <w:rFonts w:ascii="Arial" w:hAnsi="Arial" w:cs="Arial"/>
                <w:noProof/>
              </w:rPr>
              <w:t>4.Recommendation</w:t>
            </w:r>
            <w:r w:rsidRPr="00436210">
              <w:rPr>
                <w:rFonts w:ascii="Arial" w:hAnsi="Arial" w:cs="Arial"/>
                <w:noProof/>
                <w:webHidden/>
              </w:rPr>
              <w:tab/>
            </w:r>
            <w:r w:rsidRPr="00436210">
              <w:rPr>
                <w:rFonts w:ascii="Arial" w:hAnsi="Arial" w:cs="Arial"/>
                <w:noProof/>
                <w:webHidden/>
              </w:rPr>
              <w:fldChar w:fldCharType="begin"/>
            </w:r>
            <w:r w:rsidRPr="00436210">
              <w:rPr>
                <w:rFonts w:ascii="Arial" w:hAnsi="Arial" w:cs="Arial"/>
                <w:noProof/>
                <w:webHidden/>
              </w:rPr>
              <w:instrText xml:space="preserve"> PAGEREF _Toc212884700 \h </w:instrText>
            </w:r>
            <w:r w:rsidRPr="00436210">
              <w:rPr>
                <w:rFonts w:ascii="Arial" w:hAnsi="Arial" w:cs="Arial"/>
                <w:noProof/>
                <w:webHidden/>
              </w:rPr>
            </w:r>
            <w:r w:rsidRPr="00436210">
              <w:rPr>
                <w:rFonts w:ascii="Arial" w:hAnsi="Arial" w:cs="Arial"/>
                <w:noProof/>
                <w:webHidden/>
              </w:rPr>
              <w:fldChar w:fldCharType="separate"/>
            </w:r>
            <w:r w:rsidRPr="00436210">
              <w:rPr>
                <w:rFonts w:ascii="Arial" w:hAnsi="Arial" w:cs="Arial"/>
                <w:noProof/>
                <w:webHidden/>
              </w:rPr>
              <w:t>1</w:t>
            </w:r>
            <w:r w:rsidR="002E262F">
              <w:rPr>
                <w:rFonts w:ascii="Arial" w:hAnsi="Arial" w:cs="Arial"/>
                <w:noProof/>
                <w:webHidden/>
              </w:rPr>
              <w:t>6</w:t>
            </w:r>
            <w:r w:rsidRPr="00436210">
              <w:rPr>
                <w:rFonts w:ascii="Arial" w:hAnsi="Arial" w:cs="Arial"/>
                <w:noProof/>
                <w:webHidden/>
              </w:rPr>
              <w:fldChar w:fldCharType="end"/>
            </w:r>
          </w:hyperlink>
        </w:p>
        <w:p w14:paraId="5E18C752" w14:textId="333977CF" w:rsidR="002A6213" w:rsidRPr="00436210" w:rsidRDefault="002A6213">
          <w:pPr>
            <w:pStyle w:val="TOC1"/>
            <w:tabs>
              <w:tab w:val="left" w:pos="480"/>
              <w:tab w:val="right" w:leader="dot" w:pos="8630"/>
            </w:tabs>
            <w:rPr>
              <w:rFonts w:ascii="Arial" w:hAnsi="Arial" w:cs="Arial"/>
              <w:noProof/>
              <w:kern w:val="2"/>
              <w:sz w:val="24"/>
              <w:szCs w:val="24"/>
              <w:lang w:val="en-GB" w:eastAsia="en-GB"/>
              <w14:ligatures w14:val="standardContextual"/>
            </w:rPr>
          </w:pPr>
          <w:hyperlink w:anchor="_Toc212884701" w:history="1">
            <w:r w:rsidRPr="00436210">
              <w:rPr>
                <w:rStyle w:val="Hyperlink"/>
                <w:rFonts w:ascii="Arial" w:hAnsi="Arial" w:cs="Arial"/>
                <w:noProof/>
                <w:lang w:val="en-GB"/>
              </w:rPr>
              <w:t>5.Conclusion</w:t>
            </w:r>
            <w:r w:rsidRPr="00436210">
              <w:rPr>
                <w:rFonts w:ascii="Arial" w:hAnsi="Arial" w:cs="Arial"/>
                <w:noProof/>
                <w:webHidden/>
              </w:rPr>
              <w:tab/>
            </w:r>
            <w:r w:rsidRPr="00436210">
              <w:rPr>
                <w:rFonts w:ascii="Arial" w:hAnsi="Arial" w:cs="Arial"/>
                <w:noProof/>
                <w:webHidden/>
              </w:rPr>
              <w:fldChar w:fldCharType="begin"/>
            </w:r>
            <w:r w:rsidRPr="00436210">
              <w:rPr>
                <w:rFonts w:ascii="Arial" w:hAnsi="Arial" w:cs="Arial"/>
                <w:noProof/>
                <w:webHidden/>
              </w:rPr>
              <w:instrText xml:space="preserve"> PAGEREF _Toc212884701 \h </w:instrText>
            </w:r>
            <w:r w:rsidRPr="00436210">
              <w:rPr>
                <w:rFonts w:ascii="Arial" w:hAnsi="Arial" w:cs="Arial"/>
                <w:noProof/>
                <w:webHidden/>
              </w:rPr>
            </w:r>
            <w:r w:rsidRPr="00436210">
              <w:rPr>
                <w:rFonts w:ascii="Arial" w:hAnsi="Arial" w:cs="Arial"/>
                <w:noProof/>
                <w:webHidden/>
              </w:rPr>
              <w:fldChar w:fldCharType="separate"/>
            </w:r>
            <w:r w:rsidRPr="00436210">
              <w:rPr>
                <w:rFonts w:ascii="Arial" w:hAnsi="Arial" w:cs="Arial"/>
                <w:noProof/>
                <w:webHidden/>
              </w:rPr>
              <w:t>1</w:t>
            </w:r>
            <w:r w:rsidR="002E262F">
              <w:rPr>
                <w:rFonts w:ascii="Arial" w:hAnsi="Arial" w:cs="Arial"/>
                <w:noProof/>
                <w:webHidden/>
              </w:rPr>
              <w:t>7</w:t>
            </w:r>
            <w:r w:rsidRPr="00436210">
              <w:rPr>
                <w:rFonts w:ascii="Arial" w:hAnsi="Arial" w:cs="Arial"/>
                <w:noProof/>
                <w:webHidden/>
              </w:rPr>
              <w:fldChar w:fldCharType="end"/>
            </w:r>
          </w:hyperlink>
        </w:p>
        <w:p w14:paraId="77A37704" w14:textId="3EB61A6A" w:rsidR="002A6213" w:rsidRPr="00436210" w:rsidRDefault="002A6213">
          <w:pPr>
            <w:pStyle w:val="TOC1"/>
            <w:tabs>
              <w:tab w:val="right" w:leader="dot" w:pos="8630"/>
            </w:tabs>
            <w:rPr>
              <w:rFonts w:ascii="Arial" w:hAnsi="Arial" w:cs="Arial"/>
              <w:noProof/>
              <w:kern w:val="2"/>
              <w:sz w:val="24"/>
              <w:szCs w:val="24"/>
              <w:lang w:val="en-GB" w:eastAsia="en-GB"/>
              <w14:ligatures w14:val="standardContextual"/>
            </w:rPr>
          </w:pPr>
          <w:hyperlink w:anchor="_Toc212884702" w:history="1">
            <w:r w:rsidRPr="00436210">
              <w:rPr>
                <w:rStyle w:val="Hyperlink"/>
                <w:rFonts w:ascii="Arial" w:hAnsi="Arial" w:cs="Arial"/>
                <w:noProof/>
              </w:rPr>
              <w:t>6.References</w:t>
            </w:r>
            <w:r w:rsidRPr="00436210">
              <w:rPr>
                <w:rFonts w:ascii="Arial" w:hAnsi="Arial" w:cs="Arial"/>
                <w:noProof/>
                <w:webHidden/>
              </w:rPr>
              <w:tab/>
            </w:r>
            <w:r w:rsidRPr="00436210">
              <w:rPr>
                <w:rFonts w:ascii="Arial" w:hAnsi="Arial" w:cs="Arial"/>
                <w:noProof/>
                <w:webHidden/>
              </w:rPr>
              <w:fldChar w:fldCharType="begin"/>
            </w:r>
            <w:r w:rsidRPr="00436210">
              <w:rPr>
                <w:rFonts w:ascii="Arial" w:hAnsi="Arial" w:cs="Arial"/>
                <w:noProof/>
                <w:webHidden/>
              </w:rPr>
              <w:instrText xml:space="preserve"> PAGEREF _Toc212884702 \h </w:instrText>
            </w:r>
            <w:r w:rsidRPr="00436210">
              <w:rPr>
                <w:rFonts w:ascii="Arial" w:hAnsi="Arial" w:cs="Arial"/>
                <w:noProof/>
                <w:webHidden/>
              </w:rPr>
            </w:r>
            <w:r w:rsidRPr="00436210">
              <w:rPr>
                <w:rFonts w:ascii="Arial" w:hAnsi="Arial" w:cs="Arial"/>
                <w:noProof/>
                <w:webHidden/>
              </w:rPr>
              <w:fldChar w:fldCharType="separate"/>
            </w:r>
            <w:r w:rsidRPr="00436210">
              <w:rPr>
                <w:rFonts w:ascii="Arial" w:hAnsi="Arial" w:cs="Arial"/>
                <w:noProof/>
                <w:webHidden/>
              </w:rPr>
              <w:t>1</w:t>
            </w:r>
            <w:r w:rsidR="002E262F">
              <w:rPr>
                <w:rFonts w:ascii="Arial" w:hAnsi="Arial" w:cs="Arial"/>
                <w:noProof/>
                <w:webHidden/>
              </w:rPr>
              <w:t>8</w:t>
            </w:r>
            <w:r w:rsidRPr="00436210">
              <w:rPr>
                <w:rFonts w:ascii="Arial" w:hAnsi="Arial" w:cs="Arial"/>
                <w:noProof/>
                <w:webHidden/>
              </w:rPr>
              <w:fldChar w:fldCharType="end"/>
            </w:r>
          </w:hyperlink>
        </w:p>
        <w:p w14:paraId="3F01FD7A" w14:textId="39405C37" w:rsidR="002A6213" w:rsidRDefault="002A6213">
          <w:r>
            <w:rPr>
              <w:b/>
              <w:bCs/>
              <w:noProof/>
            </w:rPr>
            <w:fldChar w:fldCharType="end"/>
          </w:r>
        </w:p>
      </w:sdtContent>
    </w:sdt>
    <w:p w14:paraId="10CEE7BB" w14:textId="375A3D3C" w:rsidR="005062DD" w:rsidRPr="007C636E" w:rsidRDefault="005062DD" w:rsidP="00752429">
      <w:pPr>
        <w:spacing w:line="360" w:lineRule="auto"/>
        <w:rPr>
          <w:rFonts w:ascii="Arial" w:hAnsi="Arial" w:cs="Arial"/>
          <w:b/>
          <w:bCs/>
          <w:lang w:val="en-GB"/>
        </w:rPr>
      </w:pPr>
    </w:p>
    <w:p w14:paraId="07EA9B6F" w14:textId="0922E2EB" w:rsidR="00D72217" w:rsidRPr="00816233" w:rsidRDefault="00D72217" w:rsidP="00A5501F">
      <w:pPr>
        <w:spacing w:line="360" w:lineRule="auto"/>
        <w:rPr>
          <w:rFonts w:ascii="Arial" w:hAnsi="Arial" w:cs="Arial"/>
          <w:lang w:val="en-GB"/>
        </w:rPr>
      </w:pPr>
    </w:p>
    <w:p w14:paraId="7D1F5023" w14:textId="77777777" w:rsidR="00C11D31" w:rsidRPr="007C636E" w:rsidRDefault="00C11D31" w:rsidP="00752429">
      <w:pPr>
        <w:spacing w:line="360" w:lineRule="auto"/>
        <w:rPr>
          <w:rFonts w:ascii="Arial" w:hAnsi="Arial" w:cs="Arial"/>
        </w:rPr>
      </w:pPr>
    </w:p>
    <w:p w14:paraId="0930E0D6" w14:textId="77777777" w:rsidR="00D40399" w:rsidRDefault="00D40399" w:rsidP="00752429">
      <w:pPr>
        <w:spacing w:line="360" w:lineRule="auto"/>
        <w:rPr>
          <w:rFonts w:ascii="Arial" w:hAnsi="Arial" w:cs="Arial"/>
        </w:rPr>
      </w:pPr>
    </w:p>
    <w:p w14:paraId="4095FF59" w14:textId="77777777" w:rsidR="00B512F3" w:rsidRDefault="00B512F3" w:rsidP="00752429">
      <w:pPr>
        <w:spacing w:line="360" w:lineRule="auto"/>
        <w:rPr>
          <w:rFonts w:ascii="Arial" w:hAnsi="Arial" w:cs="Arial"/>
        </w:rPr>
      </w:pPr>
    </w:p>
    <w:p w14:paraId="0A513E4C" w14:textId="77777777" w:rsidR="00D40399" w:rsidRPr="007C636E" w:rsidRDefault="00D40399" w:rsidP="00752429">
      <w:pPr>
        <w:spacing w:line="360" w:lineRule="auto"/>
        <w:rPr>
          <w:rFonts w:ascii="Arial" w:hAnsi="Arial" w:cs="Arial"/>
        </w:rPr>
      </w:pPr>
    </w:p>
    <w:p w14:paraId="4C48F072" w14:textId="0A444A85" w:rsidR="00570F96" w:rsidRPr="00C34387" w:rsidRDefault="00570F96" w:rsidP="00570F96">
      <w:pPr>
        <w:pStyle w:val="Heading1"/>
        <w:rPr>
          <w:rFonts w:ascii="Arial" w:hAnsi="Arial" w:cs="Arial"/>
          <w:sz w:val="32"/>
          <w:szCs w:val="32"/>
          <w:lang w:val="en-GB"/>
        </w:rPr>
      </w:pPr>
      <w:r w:rsidRPr="00C34387">
        <w:rPr>
          <w:rFonts w:ascii="Arial" w:hAnsi="Arial" w:cs="Arial"/>
          <w:sz w:val="32"/>
          <w:szCs w:val="32"/>
          <w:lang w:val="en-GB"/>
        </w:rPr>
        <w:lastRenderedPageBreak/>
        <w:t>List of Figures</w:t>
      </w:r>
    </w:p>
    <w:p w14:paraId="253D2938" w14:textId="77777777" w:rsidR="00570F96" w:rsidRPr="003A473D" w:rsidRDefault="00570F96" w:rsidP="00570F96">
      <w:pPr>
        <w:spacing w:after="0" w:line="360" w:lineRule="auto"/>
        <w:rPr>
          <w:rFonts w:ascii="Arial" w:hAnsi="Arial" w:cs="Arial"/>
          <w:b/>
          <w:bCs/>
          <w:lang w:val="en-GB"/>
        </w:rPr>
      </w:pPr>
    </w:p>
    <w:p w14:paraId="36632116" w14:textId="164F66F9" w:rsidR="00570F96" w:rsidRPr="003A473D" w:rsidRDefault="00570F96" w:rsidP="00570F96">
      <w:pPr>
        <w:spacing w:after="0" w:line="360" w:lineRule="auto"/>
        <w:rPr>
          <w:rFonts w:ascii="Arial" w:hAnsi="Arial" w:cs="Arial"/>
          <w:lang w:val="en-GB"/>
        </w:rPr>
      </w:pPr>
      <w:r w:rsidRPr="003A473D">
        <w:rPr>
          <w:rFonts w:ascii="Arial" w:hAnsi="Arial" w:cs="Arial"/>
          <w:b/>
          <w:bCs/>
          <w:lang w:val="en-GB"/>
        </w:rPr>
        <w:t>Figure 1:</w:t>
      </w:r>
      <w:r w:rsidRPr="003A473D">
        <w:rPr>
          <w:rFonts w:ascii="Arial" w:hAnsi="Arial" w:cs="Arial"/>
          <w:lang w:val="en-GB"/>
        </w:rPr>
        <w:t xml:space="preserve"> Comparison of Emotional Intelligence Models (adapted from Mayer and Salovey, 1997; Goleman, 1995; Bar-On, 2006) …………………….. Page </w:t>
      </w:r>
      <w:r w:rsidR="0046428D">
        <w:rPr>
          <w:rFonts w:ascii="Arial" w:hAnsi="Arial" w:cs="Arial"/>
          <w:lang w:val="en-GB"/>
        </w:rPr>
        <w:t>8</w:t>
      </w:r>
    </w:p>
    <w:p w14:paraId="13F9175F" w14:textId="38770FFE" w:rsidR="00570F96" w:rsidRPr="003A473D" w:rsidRDefault="00570F96" w:rsidP="00570F96">
      <w:pPr>
        <w:spacing w:after="0" w:line="360" w:lineRule="auto"/>
        <w:rPr>
          <w:rFonts w:ascii="Arial" w:hAnsi="Arial" w:cs="Arial"/>
          <w:lang w:val="en-GB"/>
        </w:rPr>
      </w:pPr>
      <w:r w:rsidRPr="003A473D">
        <w:rPr>
          <w:rFonts w:ascii="Arial" w:hAnsi="Arial" w:cs="Arial"/>
          <w:b/>
          <w:bCs/>
          <w:lang w:val="en-GB"/>
        </w:rPr>
        <w:t>Figure 2:</w:t>
      </w:r>
      <w:r w:rsidRPr="003A473D">
        <w:rPr>
          <w:rFonts w:ascii="Arial" w:hAnsi="Arial" w:cs="Arial"/>
          <w:lang w:val="en-GB"/>
        </w:rPr>
        <w:t xml:space="preserve"> Integration of the GROW Coaching Model with Emotional Intelligence Aspects (Whitmore, 2017; Caruso and Salovey, 2004) …………………….. Page </w:t>
      </w:r>
      <w:r w:rsidR="0046428D">
        <w:rPr>
          <w:rFonts w:ascii="Arial" w:hAnsi="Arial" w:cs="Arial"/>
          <w:lang w:val="en-GB"/>
        </w:rPr>
        <w:t>10</w:t>
      </w:r>
    </w:p>
    <w:p w14:paraId="04F3D8AD" w14:textId="77777777" w:rsidR="00570F96" w:rsidRDefault="00570F96" w:rsidP="00296D3E">
      <w:pPr>
        <w:pStyle w:val="Heading1"/>
        <w:rPr>
          <w:rFonts w:ascii="Arial" w:hAnsi="Arial" w:cs="Arial"/>
          <w:sz w:val="32"/>
          <w:szCs w:val="32"/>
        </w:rPr>
      </w:pPr>
    </w:p>
    <w:p w14:paraId="478E65A6" w14:textId="77777777" w:rsidR="00570F96" w:rsidRDefault="00570F96" w:rsidP="00296D3E">
      <w:pPr>
        <w:pStyle w:val="Heading1"/>
        <w:rPr>
          <w:rFonts w:ascii="Arial" w:hAnsi="Arial" w:cs="Arial"/>
          <w:sz w:val="32"/>
          <w:szCs w:val="32"/>
        </w:rPr>
      </w:pPr>
    </w:p>
    <w:p w14:paraId="6D81BD21" w14:textId="77777777" w:rsidR="00680FB6" w:rsidRDefault="00680FB6" w:rsidP="00680FB6"/>
    <w:p w14:paraId="618C714E" w14:textId="77777777" w:rsidR="00680FB6" w:rsidRDefault="00680FB6" w:rsidP="00680FB6"/>
    <w:p w14:paraId="2E0E80CE" w14:textId="77777777" w:rsidR="00680FB6" w:rsidRDefault="00680FB6" w:rsidP="00680FB6"/>
    <w:p w14:paraId="525E177F" w14:textId="77777777" w:rsidR="00680FB6" w:rsidRDefault="00680FB6" w:rsidP="00680FB6"/>
    <w:p w14:paraId="7F3B7B24" w14:textId="77777777" w:rsidR="00680FB6" w:rsidRDefault="00680FB6" w:rsidP="00680FB6"/>
    <w:p w14:paraId="3FEAE40B" w14:textId="77777777" w:rsidR="00680FB6" w:rsidRDefault="00680FB6" w:rsidP="00680FB6"/>
    <w:p w14:paraId="49CA4469" w14:textId="77777777" w:rsidR="00680FB6" w:rsidRDefault="00680FB6" w:rsidP="00680FB6"/>
    <w:p w14:paraId="304C1606" w14:textId="77777777" w:rsidR="00680FB6" w:rsidRDefault="00680FB6" w:rsidP="00680FB6"/>
    <w:p w14:paraId="7C0611CB" w14:textId="77777777" w:rsidR="00680FB6" w:rsidRDefault="00680FB6" w:rsidP="00680FB6"/>
    <w:p w14:paraId="77B0626F" w14:textId="77777777" w:rsidR="00680FB6" w:rsidRDefault="00680FB6" w:rsidP="00680FB6"/>
    <w:p w14:paraId="284115F7" w14:textId="77777777" w:rsidR="00680FB6" w:rsidRDefault="00680FB6" w:rsidP="00680FB6"/>
    <w:p w14:paraId="32E83866" w14:textId="77777777" w:rsidR="00680FB6" w:rsidRDefault="00680FB6" w:rsidP="00680FB6"/>
    <w:p w14:paraId="4F2302C6" w14:textId="77777777" w:rsidR="00680FB6" w:rsidRDefault="00680FB6" w:rsidP="00680FB6"/>
    <w:p w14:paraId="43065217" w14:textId="77777777" w:rsidR="00680FB6" w:rsidRDefault="00680FB6" w:rsidP="00680FB6"/>
    <w:p w14:paraId="550D1F39" w14:textId="77777777" w:rsidR="00680FB6" w:rsidRDefault="00680FB6" w:rsidP="00680FB6"/>
    <w:p w14:paraId="3612217E" w14:textId="77777777" w:rsidR="00680FB6" w:rsidRDefault="00680FB6" w:rsidP="00680FB6"/>
    <w:p w14:paraId="1EC45EB8" w14:textId="77777777" w:rsidR="001948B6" w:rsidRDefault="001948B6" w:rsidP="001948B6">
      <w:pPr>
        <w:spacing w:after="0" w:line="360" w:lineRule="auto"/>
        <w:rPr>
          <w:rFonts w:ascii="Arial" w:eastAsia="Arial" w:hAnsi="Arial" w:cs="Arial"/>
          <w:b/>
          <w:bCs/>
          <w:sz w:val="28"/>
          <w:szCs w:val="28"/>
          <w:lang w:val="en-GB"/>
        </w:rPr>
      </w:pPr>
    </w:p>
    <w:p w14:paraId="1F4F2769" w14:textId="77777777" w:rsidR="00C82A67" w:rsidRPr="00296D3E" w:rsidRDefault="00C82A67" w:rsidP="00C82A67">
      <w:pPr>
        <w:pStyle w:val="Heading1"/>
        <w:rPr>
          <w:rFonts w:ascii="Arial" w:hAnsi="Arial" w:cs="Arial"/>
          <w:sz w:val="32"/>
          <w:szCs w:val="32"/>
        </w:rPr>
      </w:pPr>
      <w:r w:rsidRPr="007F2643">
        <w:rPr>
          <w:rFonts w:ascii="Arial" w:hAnsi="Arial" w:cs="Arial"/>
          <w:sz w:val="32"/>
          <w:szCs w:val="32"/>
        </w:rPr>
        <w:lastRenderedPageBreak/>
        <w:t>Mindfulness and Emotional Intelligence in the Workplace</w:t>
      </w:r>
      <w:r w:rsidRPr="00B512F3">
        <w:rPr>
          <w:rFonts w:ascii="Arial" w:hAnsi="Arial" w:cs="Arial"/>
          <w:noProof/>
        </w:rPr>
        <mc:AlternateContent>
          <mc:Choice Requires="wps">
            <w:drawing>
              <wp:anchor distT="0" distB="0" distL="114300" distR="114300" simplePos="0" relativeHeight="251662336" behindDoc="0" locked="0" layoutInCell="1" allowOverlap="1" wp14:anchorId="53469C11" wp14:editId="56DE22B9">
                <wp:simplePos x="0" y="0"/>
                <wp:positionH relativeFrom="column">
                  <wp:posOffset>9936480</wp:posOffset>
                </wp:positionH>
                <wp:positionV relativeFrom="paragraph">
                  <wp:posOffset>12546330</wp:posOffset>
                </wp:positionV>
                <wp:extent cx="17495520" cy="230832"/>
                <wp:effectExtent l="0" t="0" r="0" b="0"/>
                <wp:wrapNone/>
                <wp:docPr id="1958710314" name="TextBox 3"/>
                <wp:cNvGraphicFramePr/>
                <a:graphic xmlns:a="http://schemas.openxmlformats.org/drawingml/2006/main">
                  <a:graphicData uri="http://schemas.microsoft.com/office/word/2010/wordprocessingShape">
                    <wps:wsp>
                      <wps:cNvSpPr txBox="1"/>
                      <wps:spPr>
                        <a:xfrm>
                          <a:off x="0" y="0"/>
                          <a:ext cx="17495520" cy="230832"/>
                        </a:xfrm>
                        <a:prstGeom prst="rect">
                          <a:avLst/>
                        </a:prstGeom>
                        <a:noFill/>
                      </wps:spPr>
                      <wps:txbx>
                        <w:txbxContent>
                          <w:p w14:paraId="52B751B5" w14:textId="77777777" w:rsidR="00C82A67" w:rsidRDefault="00C82A67" w:rsidP="00C82A67">
                            <w:pPr>
                              <w:rPr>
                                <w:rFonts w:hAnsi="Cambria"/>
                                <w:color w:val="000000" w:themeColor="text1"/>
                                <w:kern w:val="24"/>
                                <w:sz w:val="18"/>
                                <w:szCs w:val="18"/>
                              </w:rPr>
                            </w:pPr>
                            <w:hyperlink r:id="rId9" w:history="1">
                              <w:r>
                                <w:rPr>
                                  <w:rStyle w:val="Hyperlink"/>
                                  <w:rFonts w:hAnsi="Cambria"/>
                                  <w:color w:val="000000" w:themeColor="text1"/>
                                  <w:kern w:val="24"/>
                                  <w:sz w:val="18"/>
                                  <w:szCs w:val="18"/>
                                </w:rPr>
                                <w:t>This Photo</w:t>
                              </w:r>
                            </w:hyperlink>
                            <w:r>
                              <w:rPr>
                                <w:rFonts w:hAnsi="Cambria"/>
                                <w:color w:val="000000" w:themeColor="text1"/>
                                <w:kern w:val="24"/>
                                <w:sz w:val="18"/>
                                <w:szCs w:val="18"/>
                              </w:rPr>
                              <w:t xml:space="preserve"> by Unknown Author is licensed under </w:t>
                            </w:r>
                            <w:hyperlink r:id="rId10" w:history="1">
                              <w:r>
                                <w:rPr>
                                  <w:rStyle w:val="Hyperlink"/>
                                  <w:rFonts w:hAnsi="Cambria"/>
                                  <w:color w:val="000000" w:themeColor="text1"/>
                                  <w:kern w:val="24"/>
                                  <w:sz w:val="18"/>
                                  <w:szCs w:val="18"/>
                                </w:rPr>
                                <w:t>CC BY</w:t>
                              </w:r>
                            </w:hyperlink>
                          </w:p>
                        </w:txbxContent>
                      </wps:txbx>
                      <wps:bodyPr wrap="square" rtlCol="0">
                        <a:spAutoFit/>
                      </wps:bodyPr>
                    </wps:wsp>
                  </a:graphicData>
                </a:graphic>
              </wp:anchor>
            </w:drawing>
          </mc:Choice>
          <mc:Fallback>
            <w:pict>
              <v:shapetype w14:anchorId="53469C11" id="_x0000_t202" coordsize="21600,21600" o:spt="202" path="m,l,21600r21600,l21600,xe">
                <v:stroke joinstyle="miter"/>
                <v:path gradientshapeok="t" o:connecttype="rect"/>
              </v:shapetype>
              <v:shape id="TextBox 3" o:spid="_x0000_s1026" type="#_x0000_t202" style="position:absolute;margin-left:782.4pt;margin-top:987.9pt;width:1377.6pt;height:18.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" filled="f" stroked="f">
                <v:textbox style="mso-fit-shape-to-text:t">
                  <w:txbxContent>
                    <w:p w14:paraId="52B751B5" w14:textId="77777777" w:rsidR="00C82A67" w:rsidRDefault="00C82A67" w:rsidP="00C82A67">
                      <w:pPr>
                        <w:rPr>
                          <w:rFonts w:hAnsi="Cambria"/>
                          <w:color w:val="000000" w:themeColor="text1"/>
                          <w:kern w:val="24"/>
                          <w:sz w:val="18"/>
                          <w:szCs w:val="18"/>
                        </w:rPr>
                      </w:pPr>
                      <w:hyperlink r:id="rId11" w:history="1">
                        <w:r>
                          <w:rPr>
                            <w:rStyle w:val="Hyperlink"/>
                            <w:rFonts w:hAnsi="Cambria"/>
                            <w:color w:val="000000" w:themeColor="text1"/>
                            <w:kern w:val="24"/>
                            <w:sz w:val="18"/>
                            <w:szCs w:val="18"/>
                          </w:rPr>
                          <w:t>This Photo</w:t>
                        </w:r>
                      </w:hyperlink>
                      <w:r>
                        <w:rPr>
                          <w:rFonts w:hAnsi="Cambria"/>
                          <w:color w:val="000000" w:themeColor="text1"/>
                          <w:kern w:val="24"/>
                          <w:sz w:val="18"/>
                          <w:szCs w:val="18"/>
                        </w:rPr>
                        <w:t xml:space="preserve"> by Unknown Author is licensed under </w:t>
                      </w:r>
                      <w:hyperlink r:id="rId12" w:history="1">
                        <w:r>
                          <w:rPr>
                            <w:rStyle w:val="Hyperlink"/>
                            <w:rFonts w:hAnsi="Cambria"/>
                            <w:color w:val="000000" w:themeColor="text1"/>
                            <w:kern w:val="24"/>
                            <w:sz w:val="18"/>
                            <w:szCs w:val="18"/>
                          </w:rPr>
                          <w:t>CC BY</w:t>
                        </w:r>
                      </w:hyperlink>
                    </w:p>
                  </w:txbxContent>
                </v:textbox>
              </v:shape>
            </w:pict>
          </mc:Fallback>
        </mc:AlternateContent>
      </w:r>
    </w:p>
    <w:p w14:paraId="3AA7AAA8" w14:textId="77777777" w:rsidR="00C82A67" w:rsidRPr="007F2643" w:rsidRDefault="00C82A67" w:rsidP="00C82A67">
      <w:pPr>
        <w:pStyle w:val="Heading1"/>
        <w:rPr>
          <w:rFonts w:ascii="Arial" w:hAnsi="Arial" w:cs="Arial"/>
          <w:sz w:val="32"/>
          <w:szCs w:val="32"/>
          <w:lang w:val="en-GB"/>
        </w:rPr>
      </w:pPr>
      <w:r w:rsidRPr="007F2643">
        <w:rPr>
          <w:rFonts w:ascii="Arial" w:hAnsi="Arial" w:cs="Arial"/>
          <w:sz w:val="32"/>
          <w:szCs w:val="32"/>
        </w:rPr>
        <w:t>Executive Summary</w:t>
      </w:r>
    </w:p>
    <w:p w14:paraId="4D4ABBC2" w14:textId="77777777" w:rsidR="00C82A67" w:rsidRDefault="00C82A67" w:rsidP="00C82A67">
      <w:pPr>
        <w:spacing w:after="0" w:line="360" w:lineRule="auto"/>
        <w:rPr>
          <w:rFonts w:ascii="Arial" w:eastAsia="Arial" w:hAnsi="Arial" w:cs="Arial"/>
          <w:b/>
          <w:bCs/>
          <w:sz w:val="28"/>
          <w:szCs w:val="28"/>
          <w:lang w:val="en-GB"/>
        </w:rPr>
      </w:pPr>
    </w:p>
    <w:p w14:paraId="4711DB51" w14:textId="77777777" w:rsidR="00C82A67" w:rsidRPr="005B231D" w:rsidRDefault="00C82A67" w:rsidP="00C82A67">
      <w:pPr>
        <w:spacing w:after="0" w:line="360" w:lineRule="auto"/>
        <w:jc w:val="both"/>
        <w:rPr>
          <w:rFonts w:ascii="Arial" w:eastAsia="Arial" w:hAnsi="Arial" w:cs="Arial"/>
          <w:lang w:val="en-GB"/>
        </w:rPr>
      </w:pPr>
      <w:r w:rsidRPr="005B231D">
        <w:rPr>
          <w:rFonts w:ascii="Arial" w:eastAsia="Arial" w:hAnsi="Arial" w:cs="Arial"/>
          <w:lang w:val="en-GB"/>
        </w:rPr>
        <w:t>This report critically examines how Emotional Intelligence (EI) and mindfulness enhance workplace performance, leadership, and intergenerational collaboration. Drawing on Mayer and Salovey’s ability model, Goleman’s mixed model, and Bar-On’s trait model, it explores how employees apply self-awareness, self-regulation, motivation, empathy, and social skill to manage complex emotional and social dynamics. Mindfulness strengthens emotional control, focus, and resilience, providing the neural and cognitive foundations for reflective and ethical decision-making.</w:t>
      </w:r>
    </w:p>
    <w:p w14:paraId="1317841A" w14:textId="77777777" w:rsidR="00C82A67" w:rsidRPr="005B231D" w:rsidRDefault="00C82A67" w:rsidP="00C82A67">
      <w:pPr>
        <w:spacing w:after="0" w:line="360" w:lineRule="auto"/>
        <w:jc w:val="both"/>
        <w:rPr>
          <w:rFonts w:ascii="Arial" w:eastAsia="Arial" w:hAnsi="Arial" w:cs="Arial"/>
          <w:lang w:val="en-GB"/>
        </w:rPr>
      </w:pPr>
      <w:r w:rsidRPr="005B231D">
        <w:rPr>
          <w:rFonts w:ascii="Arial" w:eastAsia="Arial" w:hAnsi="Arial" w:cs="Arial"/>
          <w:lang w:val="en-GB"/>
        </w:rPr>
        <w:t>The analysis also evaluates how Generations X, Y (Millennials), and Z differ in emotional expression, motivation, and communication, influencing recruitment and management strategies. Evidence indicates that integrating EI and mindfulness across leadership, performance, and recruitment systems enhances psychological safety and engagement.</w:t>
      </w:r>
    </w:p>
    <w:p w14:paraId="08338C7A" w14:textId="77777777" w:rsidR="00C82A67" w:rsidRPr="005B231D" w:rsidRDefault="00C82A67" w:rsidP="00C82A67">
      <w:pPr>
        <w:spacing w:after="0" w:line="360" w:lineRule="auto"/>
        <w:jc w:val="both"/>
        <w:rPr>
          <w:rFonts w:ascii="Arial" w:eastAsia="Arial" w:hAnsi="Arial" w:cs="Arial"/>
          <w:lang w:val="en-GB"/>
        </w:rPr>
      </w:pPr>
      <w:r w:rsidRPr="005B231D">
        <w:rPr>
          <w:rFonts w:ascii="Arial" w:eastAsia="Arial" w:hAnsi="Arial" w:cs="Arial"/>
          <w:lang w:val="en-GB"/>
        </w:rPr>
        <w:t>Recommendations include embedding EI into competency frameworks, aligning performance management with coaching models such as GROW, incorporating mindfulness-based training, and leveraging generational diversity to strengthen innovation and inclusion.</w:t>
      </w:r>
    </w:p>
    <w:p w14:paraId="5DC1FE6A" w14:textId="77777777" w:rsidR="00E57166" w:rsidRDefault="00E57166" w:rsidP="00C82A67">
      <w:pPr>
        <w:spacing w:after="0" w:line="360" w:lineRule="auto"/>
        <w:rPr>
          <w:rFonts w:ascii="Arial" w:eastAsia="Arial" w:hAnsi="Arial" w:cs="Arial"/>
          <w:b/>
          <w:bCs/>
          <w:lang w:val="en-GB"/>
        </w:rPr>
      </w:pPr>
    </w:p>
    <w:p w14:paraId="240B2FCC" w14:textId="77777777" w:rsidR="00364B93" w:rsidRDefault="00364B93" w:rsidP="00C82A67">
      <w:pPr>
        <w:spacing w:after="0" w:line="360" w:lineRule="auto"/>
        <w:rPr>
          <w:rFonts w:ascii="Arial" w:eastAsia="Arial" w:hAnsi="Arial" w:cs="Arial"/>
          <w:b/>
          <w:bCs/>
          <w:lang w:val="en-GB"/>
        </w:rPr>
      </w:pPr>
    </w:p>
    <w:p w14:paraId="06BF36B8" w14:textId="77777777" w:rsidR="00364B93" w:rsidRDefault="00364B93" w:rsidP="00C82A67">
      <w:pPr>
        <w:spacing w:after="0" w:line="360" w:lineRule="auto"/>
        <w:rPr>
          <w:rFonts w:ascii="Arial" w:eastAsia="Arial" w:hAnsi="Arial" w:cs="Arial"/>
          <w:b/>
          <w:bCs/>
          <w:lang w:val="en-GB"/>
        </w:rPr>
      </w:pPr>
    </w:p>
    <w:p w14:paraId="330FBB9E" w14:textId="77777777" w:rsidR="00364B93" w:rsidRDefault="00364B93" w:rsidP="00C82A67">
      <w:pPr>
        <w:spacing w:after="0" w:line="360" w:lineRule="auto"/>
        <w:rPr>
          <w:rFonts w:ascii="Arial" w:eastAsia="Arial" w:hAnsi="Arial" w:cs="Arial"/>
          <w:b/>
          <w:bCs/>
          <w:lang w:val="en-GB"/>
        </w:rPr>
      </w:pPr>
    </w:p>
    <w:p w14:paraId="1D4C4E25" w14:textId="77777777" w:rsidR="00364B93" w:rsidRDefault="00364B93" w:rsidP="00C82A67">
      <w:pPr>
        <w:spacing w:after="0" w:line="360" w:lineRule="auto"/>
        <w:rPr>
          <w:rFonts w:ascii="Arial" w:eastAsia="Arial" w:hAnsi="Arial" w:cs="Arial"/>
          <w:b/>
          <w:bCs/>
          <w:lang w:val="en-GB"/>
        </w:rPr>
      </w:pPr>
    </w:p>
    <w:p w14:paraId="300ABB75" w14:textId="77777777" w:rsidR="00364B93" w:rsidRDefault="00364B93" w:rsidP="00C82A67">
      <w:pPr>
        <w:spacing w:after="0" w:line="360" w:lineRule="auto"/>
        <w:rPr>
          <w:rFonts w:ascii="Arial" w:eastAsia="Arial" w:hAnsi="Arial" w:cs="Arial"/>
          <w:b/>
          <w:bCs/>
          <w:lang w:val="en-GB"/>
        </w:rPr>
      </w:pPr>
    </w:p>
    <w:p w14:paraId="1D9957C5" w14:textId="77777777" w:rsidR="00364B93" w:rsidRDefault="00364B93" w:rsidP="00C82A67">
      <w:pPr>
        <w:spacing w:after="0" w:line="360" w:lineRule="auto"/>
        <w:rPr>
          <w:rFonts w:ascii="Arial" w:eastAsia="Arial" w:hAnsi="Arial" w:cs="Arial"/>
          <w:b/>
          <w:bCs/>
          <w:lang w:val="en-GB"/>
        </w:rPr>
      </w:pPr>
    </w:p>
    <w:p w14:paraId="1A55F1D7" w14:textId="77777777" w:rsidR="00364B93" w:rsidRDefault="00364B93" w:rsidP="00C82A67">
      <w:pPr>
        <w:spacing w:after="0" w:line="360" w:lineRule="auto"/>
        <w:rPr>
          <w:rFonts w:ascii="Arial" w:eastAsia="Arial" w:hAnsi="Arial" w:cs="Arial"/>
          <w:b/>
          <w:bCs/>
          <w:lang w:val="en-GB"/>
        </w:rPr>
      </w:pPr>
    </w:p>
    <w:p w14:paraId="41D63414" w14:textId="77777777" w:rsidR="00364B93" w:rsidRPr="003A473D" w:rsidRDefault="00364B93" w:rsidP="00C82A67">
      <w:pPr>
        <w:spacing w:after="0" w:line="360" w:lineRule="auto"/>
        <w:rPr>
          <w:rFonts w:ascii="Arial" w:eastAsia="Arial" w:hAnsi="Arial" w:cs="Arial"/>
          <w:b/>
          <w:bCs/>
          <w:lang w:val="en-GB"/>
        </w:rPr>
      </w:pPr>
    </w:p>
    <w:p w14:paraId="7FC5F2D3" w14:textId="77777777" w:rsidR="00C82A67" w:rsidRPr="00A86C74" w:rsidRDefault="00C82A67" w:rsidP="00C82A67">
      <w:pPr>
        <w:pStyle w:val="Heading1"/>
        <w:rPr>
          <w:rFonts w:ascii="Arial" w:hAnsi="Arial" w:cs="Arial"/>
          <w:sz w:val="32"/>
          <w:szCs w:val="32"/>
        </w:rPr>
      </w:pPr>
      <w:r w:rsidRPr="00A86C74">
        <w:rPr>
          <w:rFonts w:ascii="Arial" w:hAnsi="Arial" w:cs="Arial"/>
          <w:sz w:val="32"/>
          <w:szCs w:val="32"/>
        </w:rPr>
        <w:lastRenderedPageBreak/>
        <w:t>1. Introduction</w:t>
      </w:r>
    </w:p>
    <w:p w14:paraId="3FC1731E" w14:textId="77777777" w:rsidR="00694AB0" w:rsidRPr="00E57166" w:rsidRDefault="00694AB0" w:rsidP="00694AB0">
      <w:pPr>
        <w:pStyle w:val="NormalWeb"/>
        <w:spacing w:line="360" w:lineRule="auto"/>
        <w:rPr>
          <w:rFonts w:ascii="Arial" w:hAnsi="Arial" w:cs="Arial"/>
          <w:sz w:val="22"/>
          <w:szCs w:val="22"/>
        </w:rPr>
      </w:pPr>
      <w:r w:rsidRPr="00E57166">
        <w:rPr>
          <w:rFonts w:ascii="Arial" w:hAnsi="Arial" w:cs="Arial"/>
          <w:sz w:val="22"/>
          <w:szCs w:val="22"/>
        </w:rPr>
        <w:t>The modern workplace is characterised by rapid technological advancement, hybrid collaboration, and increasing generational diversity. In such contexts, technical skill alone is insufficient; success depends on the ability to perceive, interpret, and regulate emotions in oneself and others. Emotional Intelligence (EI), first conceptualised by Mayer and Salovey (1997), refers to the ability to monitor emotions, distinguish among them, and use emotional information to guide cognition and behaviour. Goleman (1995; 2011) expanded this framework to organisational practice, identifying five competencies associated with effective collaboration and leadership: self-awareness, self-regulation, motivation, empathy, and social skill.</w:t>
      </w:r>
    </w:p>
    <w:p w14:paraId="7B6A1D56" w14:textId="77777777" w:rsidR="00694AB0" w:rsidRPr="00E57166" w:rsidRDefault="00694AB0" w:rsidP="00694AB0">
      <w:pPr>
        <w:pStyle w:val="NormalWeb"/>
        <w:spacing w:line="360" w:lineRule="auto"/>
        <w:rPr>
          <w:rFonts w:ascii="Arial" w:hAnsi="Arial" w:cs="Arial"/>
          <w:sz w:val="22"/>
          <w:szCs w:val="22"/>
        </w:rPr>
      </w:pPr>
      <w:r w:rsidRPr="00E57166">
        <w:rPr>
          <w:rFonts w:ascii="Arial" w:hAnsi="Arial" w:cs="Arial"/>
          <w:sz w:val="22"/>
          <w:szCs w:val="22"/>
        </w:rPr>
        <w:t>Mindfulness, defined as non-judgemental present-moment awareness (Kabat-Zinn, 1994), supports EI by enhancing attention, emotional regulation, and resilience. Neuroscientific research shows increased activation in brain regions associated with self-control and empathy during mindfulness practice (Hölzel et al., 2011; Tang, Hölzel and Posner, 2015).</w:t>
      </w:r>
    </w:p>
    <w:p w14:paraId="30F46B79" w14:textId="77777777" w:rsidR="00694AB0" w:rsidRPr="00E57166" w:rsidRDefault="00694AB0" w:rsidP="00694AB0">
      <w:pPr>
        <w:pStyle w:val="NormalWeb"/>
        <w:spacing w:line="360" w:lineRule="auto"/>
        <w:rPr>
          <w:rFonts w:ascii="Arial" w:hAnsi="Arial" w:cs="Arial"/>
          <w:sz w:val="22"/>
          <w:szCs w:val="22"/>
        </w:rPr>
      </w:pPr>
      <w:r w:rsidRPr="00E57166">
        <w:rPr>
          <w:rFonts w:ascii="Arial" w:hAnsi="Arial" w:cs="Arial"/>
          <w:sz w:val="22"/>
          <w:szCs w:val="22"/>
        </w:rPr>
        <w:t>However, application of EI and mindfulness requires critical awareness. Measurement tools may be culturally biased, conceptual boundaries are contested (Landy, 2005; Matthews, Zeidner and Roberts, 2019), and there is a risk of promoting emotional self-management without addressing structural causes of stress (Purser, 2019). Emotional norms also vary across cultures and age groups (Matsumoto, Yoo and Nakagawa, 2008; Costanza et al., 2017).</w:t>
      </w:r>
    </w:p>
    <w:p w14:paraId="2BCBC4EB" w14:textId="77777777" w:rsidR="00694AB0" w:rsidRPr="00E57166" w:rsidRDefault="00694AB0" w:rsidP="00694AB0">
      <w:pPr>
        <w:pStyle w:val="NormalWeb"/>
        <w:spacing w:line="360" w:lineRule="auto"/>
        <w:rPr>
          <w:rFonts w:ascii="Arial" w:hAnsi="Arial" w:cs="Arial"/>
          <w:sz w:val="22"/>
          <w:szCs w:val="22"/>
        </w:rPr>
      </w:pPr>
      <w:r w:rsidRPr="00E57166">
        <w:rPr>
          <w:rFonts w:ascii="Arial" w:hAnsi="Arial" w:cs="Arial"/>
          <w:sz w:val="22"/>
          <w:szCs w:val="22"/>
        </w:rPr>
        <w:t>This report therefore:</w:t>
      </w:r>
    </w:p>
    <w:p w14:paraId="434E3B8B" w14:textId="77777777" w:rsidR="00694AB0" w:rsidRPr="00E57166" w:rsidRDefault="00694AB0" w:rsidP="00694AB0">
      <w:pPr>
        <w:pStyle w:val="NormalWeb"/>
        <w:numPr>
          <w:ilvl w:val="0"/>
          <w:numId w:val="17"/>
        </w:numPr>
        <w:spacing w:line="360" w:lineRule="auto"/>
        <w:rPr>
          <w:rFonts w:ascii="Arial" w:hAnsi="Arial" w:cs="Arial"/>
          <w:sz w:val="22"/>
          <w:szCs w:val="22"/>
        </w:rPr>
      </w:pPr>
      <w:r w:rsidRPr="00E57166">
        <w:rPr>
          <w:rFonts w:ascii="Arial" w:hAnsi="Arial" w:cs="Arial"/>
          <w:sz w:val="22"/>
          <w:szCs w:val="22"/>
        </w:rPr>
        <w:t>Critically evaluates how employees use EI components alongside mindfulness research.</w:t>
      </w:r>
    </w:p>
    <w:p w14:paraId="2B4F2AF9" w14:textId="77777777" w:rsidR="00694AB0" w:rsidRPr="00E57166" w:rsidRDefault="00694AB0" w:rsidP="00694AB0">
      <w:pPr>
        <w:pStyle w:val="NormalWeb"/>
        <w:numPr>
          <w:ilvl w:val="0"/>
          <w:numId w:val="17"/>
        </w:numPr>
        <w:spacing w:line="360" w:lineRule="auto"/>
        <w:rPr>
          <w:rFonts w:ascii="Arial" w:hAnsi="Arial" w:cs="Arial"/>
          <w:sz w:val="22"/>
          <w:szCs w:val="22"/>
        </w:rPr>
      </w:pPr>
      <w:r w:rsidRPr="00E57166">
        <w:rPr>
          <w:rFonts w:ascii="Arial" w:hAnsi="Arial" w:cs="Arial"/>
          <w:sz w:val="22"/>
          <w:szCs w:val="22"/>
        </w:rPr>
        <w:t>Examines how generational characteristics influence EI in recruitment and selection.</w:t>
      </w:r>
    </w:p>
    <w:p w14:paraId="4FBFFEF2" w14:textId="6BC1AD39" w:rsidR="00C82A67" w:rsidRPr="000B3FEC" w:rsidRDefault="00694AB0" w:rsidP="000B3FEC">
      <w:pPr>
        <w:pStyle w:val="NormalWeb"/>
        <w:numPr>
          <w:ilvl w:val="0"/>
          <w:numId w:val="17"/>
        </w:numPr>
        <w:spacing w:line="360" w:lineRule="auto"/>
        <w:rPr>
          <w:rFonts w:ascii="Arial" w:hAnsi="Arial" w:cs="Arial"/>
          <w:sz w:val="22"/>
          <w:szCs w:val="22"/>
        </w:rPr>
      </w:pPr>
      <w:r w:rsidRPr="00E57166">
        <w:rPr>
          <w:rFonts w:ascii="Arial" w:hAnsi="Arial" w:cs="Arial"/>
          <w:sz w:val="22"/>
          <w:szCs w:val="22"/>
        </w:rPr>
        <w:t>Proposes recommendations for embedding EI and mindfulness in organisational practice.</w:t>
      </w:r>
    </w:p>
    <w:p w14:paraId="13A465C7" w14:textId="77777777" w:rsidR="00C82A67" w:rsidRPr="00D45476" w:rsidRDefault="00C82A67" w:rsidP="00C82A67">
      <w:pPr>
        <w:pStyle w:val="Heading1"/>
        <w:rPr>
          <w:rFonts w:ascii="Arial" w:hAnsi="Arial" w:cs="Arial"/>
          <w:sz w:val="32"/>
          <w:szCs w:val="32"/>
        </w:rPr>
      </w:pPr>
      <w:r w:rsidRPr="00D45476">
        <w:rPr>
          <w:rFonts w:ascii="Arial" w:hAnsi="Arial" w:cs="Arial"/>
          <w:sz w:val="32"/>
          <w:szCs w:val="32"/>
        </w:rPr>
        <w:lastRenderedPageBreak/>
        <w:t>2. Emotional Intelligence in the Workplace: Models, Mechanisms and Use</w:t>
      </w:r>
    </w:p>
    <w:p w14:paraId="24E1514C" w14:textId="77777777" w:rsidR="00C82A67" w:rsidRPr="003A473D" w:rsidRDefault="00C82A67" w:rsidP="00C82A67">
      <w:pPr>
        <w:spacing w:after="0" w:line="360" w:lineRule="auto"/>
        <w:jc w:val="both"/>
        <w:rPr>
          <w:rFonts w:ascii="Arial" w:eastAsia="Arial" w:hAnsi="Arial" w:cs="Arial"/>
          <w:lang w:val="en-GB"/>
        </w:rPr>
      </w:pPr>
    </w:p>
    <w:p w14:paraId="72F88774" w14:textId="77777777" w:rsidR="00C82A67" w:rsidRPr="00825477" w:rsidRDefault="00C82A67" w:rsidP="00C82A67">
      <w:pPr>
        <w:spacing w:after="0" w:line="360" w:lineRule="auto"/>
        <w:jc w:val="both"/>
        <w:rPr>
          <w:rFonts w:ascii="Arial" w:eastAsia="Arial" w:hAnsi="Arial" w:cs="Arial"/>
          <w:lang w:val="en-GB"/>
        </w:rPr>
      </w:pPr>
      <w:r w:rsidRPr="00825477">
        <w:rPr>
          <w:rFonts w:ascii="Arial" w:eastAsia="Arial" w:hAnsi="Arial" w:cs="Arial"/>
          <w:lang w:val="en-GB"/>
        </w:rPr>
        <w:t>A critical understanding of Emotional Intelligence (EI) in workplace contexts begins with conceptual clarity. The field is anchored by three complementary models: Mayer and Salovey’s ability model, Goleman’s mixed model, and Bar-On’s trait model. Each explains how emotions can be recognised, interpreted, and applied to enhance behaviour and decision-making.</w:t>
      </w:r>
    </w:p>
    <w:p w14:paraId="43716BD8" w14:textId="77777777" w:rsidR="00C82A67" w:rsidRPr="00B36319" w:rsidRDefault="00C82A67" w:rsidP="00C82A67">
      <w:pPr>
        <w:pStyle w:val="Heading2"/>
        <w:rPr>
          <w:rFonts w:ascii="Arial" w:hAnsi="Arial" w:cs="Arial"/>
          <w:sz w:val="22"/>
          <w:szCs w:val="22"/>
          <w:lang w:val="en-GB"/>
        </w:rPr>
      </w:pPr>
      <w:r w:rsidRPr="00B36319">
        <w:rPr>
          <w:rFonts w:ascii="Arial" w:hAnsi="Arial" w:cs="Arial"/>
          <w:sz w:val="22"/>
          <w:szCs w:val="22"/>
          <w:lang w:val="en-GB"/>
        </w:rPr>
        <w:t>2.1 The Ability Model</w:t>
      </w:r>
    </w:p>
    <w:p w14:paraId="71431D4D" w14:textId="77777777" w:rsidR="00C82A67" w:rsidRPr="003A473D" w:rsidRDefault="00C82A67" w:rsidP="00C82A67">
      <w:pPr>
        <w:rPr>
          <w:rFonts w:ascii="Arial" w:hAnsi="Arial" w:cs="Arial"/>
          <w:lang w:val="en-GB"/>
        </w:rPr>
      </w:pPr>
    </w:p>
    <w:p w14:paraId="36C7F907" w14:textId="77777777" w:rsidR="00C82A67" w:rsidRPr="004F1D49" w:rsidRDefault="00C82A67" w:rsidP="00C82A67">
      <w:pPr>
        <w:spacing w:after="0" w:line="360" w:lineRule="auto"/>
        <w:jc w:val="both"/>
        <w:rPr>
          <w:rFonts w:ascii="Arial" w:eastAsia="Arial" w:hAnsi="Arial" w:cs="Arial"/>
          <w:lang w:val="en-GB"/>
        </w:rPr>
      </w:pPr>
      <w:r w:rsidRPr="004F1D49">
        <w:rPr>
          <w:rFonts w:ascii="Arial" w:eastAsia="Arial" w:hAnsi="Arial" w:cs="Arial"/>
          <w:lang w:val="en-GB"/>
        </w:rPr>
        <w:t>Mayer and Salovey (1997) define EI as a set of cognitive–emotional abilities: perceiving emotions accurately, using emotion to facilitate thought, understanding emotional meanings, and regulating emotions to promote personal growth. Their model views EI as an information-processing capability, distinct from personality traits. The Mayer–Salovey–Caruso Emotional Intelligence Test (MSCEIT) operationalises this concept by assessing how individuals solve emotion-related problems (Mayer, Salovey and Caruso, 2002).</w:t>
      </w:r>
    </w:p>
    <w:p w14:paraId="30A9444E" w14:textId="77777777" w:rsidR="00C82A67" w:rsidRPr="004F1D49" w:rsidRDefault="00C82A67" w:rsidP="00C82A67">
      <w:pPr>
        <w:spacing w:after="0" w:line="360" w:lineRule="auto"/>
        <w:jc w:val="both"/>
        <w:rPr>
          <w:rFonts w:ascii="Arial" w:eastAsia="Arial" w:hAnsi="Arial" w:cs="Arial"/>
          <w:lang w:val="en-GB"/>
        </w:rPr>
      </w:pPr>
      <w:r w:rsidRPr="004F1D49">
        <w:rPr>
          <w:rFonts w:ascii="Arial" w:eastAsia="Arial" w:hAnsi="Arial" w:cs="Arial"/>
          <w:lang w:val="en-GB"/>
        </w:rPr>
        <w:t>Its strength lies in scientific precision and its link to workplace outcomes such as improved decision-making and stress tolerance. For instance, employees who can hold emotional information in working memory without being overwhelmed display higher composure during crises. This supports better leadership judgement and conflict resolution. However, some researchers question the ecological validity of test scenarios and potential cultural bias (Matthews, Zeidner and Roberts, 2019).</w:t>
      </w:r>
    </w:p>
    <w:p w14:paraId="68AE381B"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Thus, while the ability model clarifies </w:t>
      </w:r>
      <w:r w:rsidRPr="007B76CC">
        <w:rPr>
          <w:rFonts w:ascii="Arial" w:eastAsia="Arial" w:hAnsi="Arial" w:cs="Arial"/>
          <w:i/>
          <w:iCs/>
          <w:lang w:val="en-GB"/>
        </w:rPr>
        <w:t>what</w:t>
      </w:r>
      <w:r w:rsidRPr="007B76CC">
        <w:rPr>
          <w:rFonts w:ascii="Arial" w:eastAsia="Arial" w:hAnsi="Arial" w:cs="Arial"/>
          <w:lang w:val="en-GB"/>
        </w:rPr>
        <w:t xml:space="preserve"> EI is, its measurement and generalisability require careful interpretation in applied settings.</w:t>
      </w:r>
    </w:p>
    <w:p w14:paraId="7EAB407E" w14:textId="77777777" w:rsidR="00C82A67" w:rsidRPr="007B76CC" w:rsidRDefault="00C82A67" w:rsidP="00C82A67">
      <w:pPr>
        <w:spacing w:after="0" w:line="360" w:lineRule="auto"/>
        <w:jc w:val="both"/>
        <w:rPr>
          <w:rFonts w:ascii="Arial" w:eastAsia="Arial" w:hAnsi="Arial" w:cs="Arial"/>
          <w:lang w:val="en-GB"/>
        </w:rPr>
      </w:pPr>
    </w:p>
    <w:p w14:paraId="0AD61611"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2.2 The Mixed Model</w:t>
      </w:r>
    </w:p>
    <w:p w14:paraId="52193A0E" w14:textId="77777777" w:rsidR="00C82A67" w:rsidRPr="003A473D" w:rsidRDefault="00C82A67" w:rsidP="00C82A67">
      <w:pPr>
        <w:rPr>
          <w:rFonts w:ascii="Arial" w:hAnsi="Arial" w:cs="Arial"/>
          <w:lang w:val="en-GB"/>
        </w:rPr>
      </w:pPr>
    </w:p>
    <w:p w14:paraId="2CD5078D" w14:textId="77777777" w:rsidR="00C82A67" w:rsidRPr="004F1D49"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Goleman’s (1995; 2011) mixed model combines emotional abilities with social and behavioural competencies observable at work. It identifies five interdependent dimensions: </w:t>
      </w:r>
      <w:r w:rsidRPr="004F1D49">
        <w:rPr>
          <w:rFonts w:ascii="Arial" w:eastAsia="Arial" w:hAnsi="Arial" w:cs="Arial"/>
          <w:lang w:val="en-GB"/>
        </w:rPr>
        <w:t>self-awareness, self-regulation, motivation, empathy, and social skill.</w:t>
      </w:r>
    </w:p>
    <w:p w14:paraId="038F653F"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This framework links EI directly to performance outcomes and leadership effectiveness. For example, managers with high self-awareness interpret feedback constructively; those with strong self-regulation maintain composure under pressure; empathetic leaders adapt </w:t>
      </w:r>
      <w:r w:rsidRPr="007B76CC">
        <w:rPr>
          <w:rFonts w:ascii="Arial" w:eastAsia="Arial" w:hAnsi="Arial" w:cs="Arial"/>
          <w:lang w:val="en-GB"/>
        </w:rPr>
        <w:lastRenderedPageBreak/>
        <w:t>communication styles to diverse stakeholders; and socially skilled individuals build cooperation across teams.</w:t>
      </w:r>
    </w:p>
    <w:p w14:paraId="2F2BDE21" w14:textId="77777777" w:rsidR="00C82A67" w:rsidRPr="00B36319"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Critics argue that this model overlaps with personality traits such as extraversion and agreeableness, risking conceptual diffusion (Landy, 2005). However, its practical language and observable competencies make it valuable for performance management, recruitment, and leadership development. Goleman’s model is particularly influential because it frames EI as </w:t>
      </w:r>
      <w:r w:rsidRPr="005B0E91">
        <w:rPr>
          <w:rFonts w:ascii="Arial" w:eastAsia="Arial" w:hAnsi="Arial" w:cs="Arial"/>
          <w:lang w:val="en-GB"/>
        </w:rPr>
        <w:t xml:space="preserve">learnable </w:t>
      </w:r>
      <w:r w:rsidRPr="007B76CC">
        <w:rPr>
          <w:rFonts w:ascii="Arial" w:eastAsia="Arial" w:hAnsi="Arial" w:cs="Arial"/>
          <w:lang w:val="en-GB"/>
        </w:rPr>
        <w:t>a capability that can be improved through coaching, reflection, and mindfulness practice.</w:t>
      </w:r>
    </w:p>
    <w:p w14:paraId="40F57353"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2.3 The Trait Model</w:t>
      </w:r>
    </w:p>
    <w:p w14:paraId="2356211A" w14:textId="77777777" w:rsidR="00C82A67" w:rsidRPr="003A473D" w:rsidRDefault="00C82A67" w:rsidP="00C82A67">
      <w:pPr>
        <w:rPr>
          <w:rFonts w:ascii="Arial" w:hAnsi="Arial" w:cs="Arial"/>
          <w:lang w:val="en-GB"/>
        </w:rPr>
      </w:pPr>
    </w:p>
    <w:p w14:paraId="3A40B624" w14:textId="77777777" w:rsidR="00C82A67" w:rsidRPr="005B0E91" w:rsidRDefault="00C82A67" w:rsidP="00C82A67">
      <w:pPr>
        <w:spacing w:after="0" w:line="360" w:lineRule="auto"/>
        <w:jc w:val="both"/>
        <w:rPr>
          <w:rFonts w:ascii="Arial" w:eastAsia="Arial" w:hAnsi="Arial" w:cs="Arial"/>
          <w:lang w:val="en-GB"/>
        </w:rPr>
      </w:pPr>
      <w:r w:rsidRPr="005B0E91">
        <w:rPr>
          <w:rFonts w:ascii="Arial" w:eastAsia="Arial" w:hAnsi="Arial" w:cs="Arial"/>
          <w:lang w:val="en-GB"/>
        </w:rPr>
        <w:t>Bar-On (1997; 2006) conceptualises EI as a set of emotional and social competencies influencing personal and professional functioning. His model divides EI into intrapersonal intelligence (self-awareness, self-regard, and independence) and interpersonal intelligence (empathy, social responsibility, and relationship management). Additional dimensions adaptability, stress management, and general mood capture broader emotional wellbeing.</w:t>
      </w:r>
    </w:p>
    <w:p w14:paraId="5F9858CB" w14:textId="77777777" w:rsidR="00C82A67" w:rsidRPr="005B0E91" w:rsidRDefault="00C82A67" w:rsidP="00C82A67">
      <w:pPr>
        <w:spacing w:after="0" w:line="360" w:lineRule="auto"/>
        <w:jc w:val="both"/>
        <w:rPr>
          <w:rFonts w:ascii="Arial" w:eastAsia="Arial" w:hAnsi="Arial" w:cs="Arial"/>
          <w:lang w:val="en-GB"/>
        </w:rPr>
      </w:pPr>
      <w:r w:rsidRPr="005B0E91">
        <w:rPr>
          <w:rFonts w:ascii="Arial" w:eastAsia="Arial" w:hAnsi="Arial" w:cs="Arial"/>
          <w:lang w:val="en-GB"/>
        </w:rPr>
        <w:t>The Bar-On Emotional Quotient Inventory (EQ-</w:t>
      </w:r>
      <w:proofErr w:type="spellStart"/>
      <w:r w:rsidRPr="005B0E91">
        <w:rPr>
          <w:rFonts w:ascii="Arial" w:eastAsia="Arial" w:hAnsi="Arial" w:cs="Arial"/>
          <w:lang w:val="en-GB"/>
        </w:rPr>
        <w:t>i</w:t>
      </w:r>
      <w:proofErr w:type="spellEnd"/>
      <w:r w:rsidRPr="005B0E91">
        <w:rPr>
          <w:rFonts w:ascii="Arial" w:eastAsia="Arial" w:hAnsi="Arial" w:cs="Arial"/>
          <w:lang w:val="en-GB"/>
        </w:rPr>
        <w:t>) is widely used in organisational settings for leadership assessment and development. It provides a holistic picture of how individuals cope with environmental demands and social complexity. However, as a self-report tool, it is susceptible to response bias and inflated self-perception (Matthews, Zeidner and Roberts, 2019).</w:t>
      </w:r>
    </w:p>
    <w:p w14:paraId="72935C27" w14:textId="77777777" w:rsidR="00C82A67" w:rsidRPr="005B0E91" w:rsidRDefault="00C82A67" w:rsidP="00C82A67">
      <w:pPr>
        <w:spacing w:after="0" w:line="360" w:lineRule="auto"/>
        <w:jc w:val="both"/>
        <w:rPr>
          <w:rFonts w:ascii="Arial" w:eastAsia="Arial" w:hAnsi="Arial" w:cs="Arial"/>
          <w:lang w:val="en-GB"/>
        </w:rPr>
      </w:pPr>
      <w:r w:rsidRPr="005B0E91">
        <w:rPr>
          <w:rFonts w:ascii="Arial" w:eastAsia="Arial" w:hAnsi="Arial" w:cs="Arial"/>
          <w:lang w:val="en-GB"/>
        </w:rPr>
        <w:t>Despite limitations, Bar-On’s framework is valued for highlighting the balance between intrapersonal stability and interpersonal sensitivity a balance crucial for collaboration, ethical conduct, and resilience.</w:t>
      </w:r>
    </w:p>
    <w:p w14:paraId="1A434067" w14:textId="77777777" w:rsidR="00C82A67" w:rsidRPr="005B0E91" w:rsidRDefault="00C82A67" w:rsidP="00C82A67">
      <w:pPr>
        <w:spacing w:after="0" w:line="360" w:lineRule="auto"/>
        <w:jc w:val="both"/>
        <w:rPr>
          <w:rFonts w:ascii="Arial" w:eastAsia="Arial" w:hAnsi="Arial" w:cs="Arial"/>
          <w:lang w:val="en-GB"/>
        </w:rPr>
      </w:pPr>
    </w:p>
    <w:p w14:paraId="210A6931" w14:textId="77777777" w:rsidR="00C82A67" w:rsidRPr="003A473D" w:rsidRDefault="00C82A67" w:rsidP="00C82A67">
      <w:pPr>
        <w:spacing w:after="0" w:line="360" w:lineRule="auto"/>
        <w:jc w:val="both"/>
        <w:rPr>
          <w:rFonts w:ascii="Arial" w:eastAsia="Arial" w:hAnsi="Arial" w:cs="Arial"/>
          <w:lang w:val="en-GB"/>
        </w:rPr>
      </w:pPr>
      <w:r w:rsidRPr="003A473D">
        <w:rPr>
          <w:rFonts w:ascii="Arial" w:eastAsia="Arial" w:hAnsi="Arial" w:cs="Arial"/>
          <w:noProof/>
        </w:rPr>
        <w:lastRenderedPageBreak/>
        <w:drawing>
          <wp:inline distT="0" distB="0" distL="0" distR="0" wp14:anchorId="22E6F84A" wp14:editId="11CFE3A3">
            <wp:extent cx="5029200" cy="2873829"/>
            <wp:effectExtent l="0" t="0" r="0" b="0"/>
            <wp:docPr id="998626127" name="Picture 998626127"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529697" name="Picture 1009529697" descr="A graph with a red line&#10;&#10;AI-generated content may be incorrect."/>
                    <pic:cNvPicPr/>
                  </pic:nvPicPr>
                  <pic:blipFill>
                    <a:blip r:embed="rId13"/>
                    <a:stretch>
                      <a:fillRect/>
                    </a:stretch>
                  </pic:blipFill>
                  <pic:spPr>
                    <a:xfrm>
                      <a:off x="0" y="0"/>
                      <a:ext cx="5029200" cy="2873829"/>
                    </a:xfrm>
                    <a:prstGeom prst="rect">
                      <a:avLst/>
                    </a:prstGeom>
                  </pic:spPr>
                </pic:pic>
              </a:graphicData>
            </a:graphic>
          </wp:inline>
        </w:drawing>
      </w:r>
    </w:p>
    <w:p w14:paraId="27723200" w14:textId="77777777" w:rsidR="00C82A67" w:rsidRPr="003A473D" w:rsidRDefault="00C82A67" w:rsidP="00C82A67">
      <w:pPr>
        <w:spacing w:line="360" w:lineRule="auto"/>
        <w:jc w:val="both"/>
        <w:rPr>
          <w:rFonts w:ascii="Arial" w:hAnsi="Arial" w:cs="Arial"/>
          <w:b/>
          <w:bCs/>
        </w:rPr>
      </w:pPr>
    </w:p>
    <w:p w14:paraId="62F5027D" w14:textId="77777777" w:rsidR="00C82A67" w:rsidRPr="007B76CC" w:rsidRDefault="00C82A67" w:rsidP="00C82A67">
      <w:pPr>
        <w:spacing w:line="360" w:lineRule="auto"/>
        <w:jc w:val="both"/>
        <w:rPr>
          <w:rFonts w:ascii="Arial" w:hAnsi="Arial" w:cs="Arial"/>
        </w:rPr>
      </w:pPr>
      <w:r w:rsidRPr="003A473D">
        <w:rPr>
          <w:rFonts w:ascii="Arial" w:hAnsi="Arial" w:cs="Arial"/>
          <w:b/>
          <w:bCs/>
        </w:rPr>
        <w:t>Figure 1:</w:t>
      </w:r>
      <w:r w:rsidRPr="003A473D">
        <w:rPr>
          <w:rFonts w:ascii="Arial" w:hAnsi="Arial" w:cs="Arial"/>
        </w:rPr>
        <w:t xml:space="preserve"> Comparison of Emotional Intelligence Models (adapted from Mayer and Salovey, 1997; Goleman, 1995; Bar-On, 2006).</w:t>
      </w:r>
    </w:p>
    <w:p w14:paraId="6C6D631A"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2.4 Mindfulness: Cognitive and Neural Pathways Supporting EI</w:t>
      </w:r>
    </w:p>
    <w:p w14:paraId="3B7FD9A7" w14:textId="77777777" w:rsidR="00C82A67" w:rsidRPr="003A473D" w:rsidRDefault="00C82A67" w:rsidP="00C82A67">
      <w:pPr>
        <w:rPr>
          <w:rFonts w:ascii="Arial" w:hAnsi="Arial" w:cs="Arial"/>
          <w:lang w:val="en-GB"/>
        </w:rPr>
      </w:pPr>
    </w:p>
    <w:p w14:paraId="32CDA33A"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Mindfulness complements EI by strengthening attention and emotional regulation. Defined as purposeful, non-judgemental awareness of the present (Kabat-Zinn, 1994), mindfulness enhances activation in the prefrontal cortex and insula</w:t>
      </w:r>
      <w:r w:rsidRPr="003A473D">
        <w:rPr>
          <w:rFonts w:ascii="Arial" w:eastAsia="Arial" w:hAnsi="Arial" w:cs="Arial"/>
          <w:lang w:val="en-GB"/>
        </w:rPr>
        <w:t xml:space="preserve"> </w:t>
      </w:r>
      <w:r w:rsidRPr="007B76CC">
        <w:rPr>
          <w:rFonts w:ascii="Arial" w:eastAsia="Arial" w:hAnsi="Arial" w:cs="Arial"/>
          <w:lang w:val="en-GB"/>
        </w:rPr>
        <w:t>areas responsible for self-control and empathy</w:t>
      </w:r>
      <w:r w:rsidRPr="003A473D">
        <w:rPr>
          <w:rFonts w:ascii="Arial" w:eastAsia="Arial" w:hAnsi="Arial" w:cs="Arial"/>
          <w:lang w:val="en-GB"/>
        </w:rPr>
        <w:t xml:space="preserve"> </w:t>
      </w:r>
      <w:r w:rsidRPr="007B76CC">
        <w:rPr>
          <w:rFonts w:ascii="Arial" w:eastAsia="Arial" w:hAnsi="Arial" w:cs="Arial"/>
          <w:lang w:val="en-GB"/>
        </w:rPr>
        <w:t>while reducing amygdala reactivity to stressors (Hölzel et al., 2011; Tang, Hölzel and Posner, 2015).</w:t>
      </w:r>
    </w:p>
    <w:p w14:paraId="15FBAD75"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Cognitively, mindfulness improves sustained attention, working memory, and flexibility, enabling individuals to recognise emotional cues early and regulate reactions more effectively (Hyland, Lee and Mills, 2015). Interpersonally, mindfulness promotes empathic accuracy by reducing self-referential thinking, thus improving relationship quality and communication (</w:t>
      </w:r>
      <w:proofErr w:type="spellStart"/>
      <w:r w:rsidRPr="007B76CC">
        <w:rPr>
          <w:rFonts w:ascii="Arial" w:eastAsia="Arial" w:hAnsi="Arial" w:cs="Arial"/>
          <w:lang w:val="en-GB"/>
        </w:rPr>
        <w:t>Kiken</w:t>
      </w:r>
      <w:proofErr w:type="spellEnd"/>
      <w:r w:rsidRPr="007B76CC">
        <w:rPr>
          <w:rFonts w:ascii="Arial" w:eastAsia="Arial" w:hAnsi="Arial" w:cs="Arial"/>
          <w:lang w:val="en-GB"/>
        </w:rPr>
        <w:t xml:space="preserve"> and Shook, 2011; Lomas et al., 2017).</w:t>
      </w:r>
    </w:p>
    <w:p w14:paraId="733A1C9F"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Applied research links mindfulness with enhanced wellbeing, lower burnout, and higher engagement across healthcare, aviation, and corporate sectors (West, Bailey and Williams, 2014). However, its misuse</w:t>
      </w:r>
      <w:r w:rsidRPr="003A473D">
        <w:rPr>
          <w:rFonts w:ascii="Arial" w:eastAsia="Arial" w:hAnsi="Arial" w:cs="Arial"/>
          <w:lang w:val="en-GB"/>
        </w:rPr>
        <w:t xml:space="preserve"> </w:t>
      </w:r>
      <w:r w:rsidRPr="007B76CC">
        <w:rPr>
          <w:rFonts w:ascii="Arial" w:eastAsia="Arial" w:hAnsi="Arial" w:cs="Arial"/>
          <w:lang w:val="en-GB"/>
        </w:rPr>
        <w:t>as a superficial “stress fix”</w:t>
      </w:r>
      <w:r w:rsidRPr="003A473D">
        <w:rPr>
          <w:rFonts w:ascii="Arial" w:eastAsia="Arial" w:hAnsi="Arial" w:cs="Arial"/>
          <w:lang w:val="en-GB"/>
        </w:rPr>
        <w:t xml:space="preserve"> </w:t>
      </w:r>
      <w:r w:rsidRPr="007B76CC">
        <w:rPr>
          <w:rFonts w:ascii="Arial" w:eastAsia="Arial" w:hAnsi="Arial" w:cs="Arial"/>
          <w:lang w:val="en-GB"/>
        </w:rPr>
        <w:t>can individualise systemic issues, shifting responsibility from the organisation to employees (Purser, 2019). Ethical integration therefore requires pairing mindfulness training with structural support, workload balance, and transparent leadership.</w:t>
      </w:r>
    </w:p>
    <w:p w14:paraId="1768E5AB"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lastRenderedPageBreak/>
        <w:t>2.5 From Theory to Practice: Using EI Components at Work</w:t>
      </w:r>
    </w:p>
    <w:p w14:paraId="2E3F85CC" w14:textId="77777777" w:rsidR="00C82A67" w:rsidRPr="003A473D" w:rsidRDefault="00C82A67" w:rsidP="00C82A67">
      <w:pPr>
        <w:rPr>
          <w:rFonts w:ascii="Arial" w:hAnsi="Arial" w:cs="Arial"/>
          <w:lang w:val="en-GB"/>
        </w:rPr>
      </w:pPr>
    </w:p>
    <w:p w14:paraId="55FCB12F" w14:textId="77777777" w:rsidR="00C82A67" w:rsidRDefault="00C82A67" w:rsidP="00364B93">
      <w:pPr>
        <w:pStyle w:val="Heading2"/>
        <w:spacing w:line="360" w:lineRule="auto"/>
        <w:rPr>
          <w:rFonts w:ascii="Arial" w:eastAsia="Arial" w:hAnsi="Arial" w:cs="Arial"/>
          <w:b w:val="0"/>
          <w:bCs w:val="0"/>
          <w:color w:val="auto"/>
          <w:sz w:val="22"/>
          <w:szCs w:val="22"/>
        </w:rPr>
      </w:pPr>
      <w:r w:rsidRPr="004015CF">
        <w:rPr>
          <w:rFonts w:ascii="Arial" w:eastAsia="Arial" w:hAnsi="Arial" w:cs="Arial"/>
          <w:b w:val="0"/>
          <w:bCs w:val="0"/>
          <w:color w:val="auto"/>
          <w:sz w:val="22"/>
          <w:szCs w:val="22"/>
        </w:rPr>
        <w:t xml:space="preserve">In workplace settings, EI is demonstrated through </w:t>
      </w:r>
      <w:proofErr w:type="spellStart"/>
      <w:r w:rsidRPr="004015CF">
        <w:rPr>
          <w:rFonts w:ascii="Arial" w:eastAsia="Arial" w:hAnsi="Arial" w:cs="Arial"/>
          <w:b w:val="0"/>
          <w:bCs w:val="0"/>
          <w:color w:val="auto"/>
          <w:sz w:val="22"/>
          <w:szCs w:val="22"/>
        </w:rPr>
        <w:t>behaviours</w:t>
      </w:r>
      <w:proofErr w:type="spellEnd"/>
      <w:r w:rsidRPr="004015CF">
        <w:rPr>
          <w:rFonts w:ascii="Arial" w:eastAsia="Arial" w:hAnsi="Arial" w:cs="Arial"/>
          <w:b w:val="0"/>
          <w:bCs w:val="0"/>
          <w:color w:val="auto"/>
          <w:sz w:val="22"/>
          <w:szCs w:val="22"/>
        </w:rPr>
        <w:t xml:space="preserve"> that shape daily communication and decision-making. Self-awareness enables individuals to </w:t>
      </w:r>
      <w:proofErr w:type="spellStart"/>
      <w:r w:rsidRPr="004015CF">
        <w:rPr>
          <w:rFonts w:ascii="Arial" w:eastAsia="Arial" w:hAnsi="Arial" w:cs="Arial"/>
          <w:b w:val="0"/>
          <w:bCs w:val="0"/>
          <w:color w:val="auto"/>
          <w:sz w:val="22"/>
          <w:szCs w:val="22"/>
        </w:rPr>
        <w:t>recognise</w:t>
      </w:r>
      <w:proofErr w:type="spellEnd"/>
      <w:r w:rsidRPr="004015CF">
        <w:rPr>
          <w:rFonts w:ascii="Arial" w:eastAsia="Arial" w:hAnsi="Arial" w:cs="Arial"/>
          <w:b w:val="0"/>
          <w:bCs w:val="0"/>
          <w:color w:val="auto"/>
          <w:sz w:val="22"/>
          <w:szCs w:val="22"/>
        </w:rPr>
        <w:t xml:space="preserve"> emotional triggers and choose purposeful responses rather than reacting impulsively (</w:t>
      </w:r>
      <w:proofErr w:type="spellStart"/>
      <w:r w:rsidRPr="004015CF">
        <w:rPr>
          <w:rFonts w:ascii="Arial" w:eastAsia="Arial" w:hAnsi="Arial" w:cs="Arial"/>
          <w:b w:val="0"/>
          <w:bCs w:val="0"/>
          <w:color w:val="auto"/>
          <w:sz w:val="22"/>
          <w:szCs w:val="22"/>
        </w:rPr>
        <w:t>Ashkanasy</w:t>
      </w:r>
      <w:proofErr w:type="spellEnd"/>
      <w:r w:rsidRPr="004015CF">
        <w:rPr>
          <w:rFonts w:ascii="Arial" w:eastAsia="Arial" w:hAnsi="Arial" w:cs="Arial"/>
          <w:b w:val="0"/>
          <w:bCs w:val="0"/>
          <w:color w:val="auto"/>
          <w:sz w:val="22"/>
          <w:szCs w:val="22"/>
        </w:rPr>
        <w:t xml:space="preserve"> and Daus, 2005). Self-regulation involves expressing emotions appropriately, maintaining professionalism without suppressing legitimate concern. Motivation supports resilience by aligning effort with intrinsic values (Boyatzis, 2018). Empathy strengthens collaboration and conflict management but must be balanced to avoid emotional overextension (Bloom, 2017). Social skill translates emotional insight into constructive interaction, trust-building, and ethical influence (Joseph and Newman, 2010). Together, these competencies support leadership, engagement, and adaptability; however, emotionally intelligent cultures must also encourage open expression to ensure psychological safety rather than quiet compliance.</w:t>
      </w:r>
    </w:p>
    <w:p w14:paraId="5A263C41"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2.6 Embedding EI and Mindfulness in Performance Management and Coaching</w:t>
      </w:r>
    </w:p>
    <w:p w14:paraId="07E25DD6" w14:textId="77777777" w:rsidR="00C82A67" w:rsidRPr="003A473D" w:rsidRDefault="00C82A67" w:rsidP="00C82A67">
      <w:pPr>
        <w:rPr>
          <w:rFonts w:ascii="Arial" w:hAnsi="Arial" w:cs="Arial"/>
          <w:lang w:val="en-GB"/>
        </w:rPr>
      </w:pPr>
    </w:p>
    <w:p w14:paraId="12369484"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Traditional performance management often overemphasises outcomes at the expense of behaviours. Incorporating EI reframes performance around </w:t>
      </w:r>
      <w:r w:rsidRPr="007B76CC">
        <w:rPr>
          <w:rFonts w:ascii="Arial" w:eastAsia="Arial" w:hAnsi="Arial" w:cs="Arial"/>
          <w:i/>
          <w:iCs/>
          <w:lang w:val="en-GB"/>
        </w:rPr>
        <w:t>how</w:t>
      </w:r>
      <w:r w:rsidRPr="007B76CC">
        <w:rPr>
          <w:rFonts w:ascii="Arial" w:eastAsia="Arial" w:hAnsi="Arial" w:cs="Arial"/>
          <w:lang w:val="en-GB"/>
        </w:rPr>
        <w:t xml:space="preserve"> results are achieved. Behavioural indicators</w:t>
      </w:r>
      <w:r w:rsidRPr="003A473D">
        <w:rPr>
          <w:rFonts w:ascii="Arial" w:eastAsia="Arial" w:hAnsi="Arial" w:cs="Arial"/>
          <w:lang w:val="en-GB"/>
        </w:rPr>
        <w:t xml:space="preserve"> </w:t>
      </w:r>
      <w:r w:rsidRPr="007B76CC">
        <w:rPr>
          <w:rFonts w:ascii="Arial" w:eastAsia="Arial" w:hAnsi="Arial" w:cs="Arial"/>
          <w:lang w:val="en-GB"/>
        </w:rPr>
        <w:t>such as empathy, adaptability, and teamwork</w:t>
      </w:r>
      <w:r w:rsidRPr="003A473D">
        <w:rPr>
          <w:rFonts w:ascii="Arial" w:eastAsia="Arial" w:hAnsi="Arial" w:cs="Arial"/>
          <w:lang w:val="en-GB"/>
        </w:rPr>
        <w:t xml:space="preserve"> </w:t>
      </w:r>
      <w:r w:rsidRPr="007B76CC">
        <w:rPr>
          <w:rFonts w:ascii="Arial" w:eastAsia="Arial" w:hAnsi="Arial" w:cs="Arial"/>
          <w:lang w:val="en-GB"/>
        </w:rPr>
        <w:t>can be integrated into role profiles and appraisals.</w:t>
      </w:r>
    </w:p>
    <w:p w14:paraId="52EC4127"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Managers trained in EI provide feedback with empathy, clarity, and balance, increasing acceptance and motivation to improve (Caruso and Salovey, 2004). The </w:t>
      </w:r>
      <w:r w:rsidRPr="00534AE2">
        <w:rPr>
          <w:rFonts w:ascii="Arial" w:eastAsia="Arial" w:hAnsi="Arial" w:cs="Arial"/>
          <w:lang w:val="en-GB"/>
        </w:rPr>
        <w:t>GROW model</w:t>
      </w:r>
      <w:r w:rsidRPr="007B76CC">
        <w:rPr>
          <w:rFonts w:ascii="Arial" w:eastAsia="Arial" w:hAnsi="Arial" w:cs="Arial"/>
          <w:lang w:val="en-GB"/>
        </w:rPr>
        <w:t xml:space="preserve"> (Goal, Reality, Options, Way forward) (Whitmore, 2017) operationalises this process through structured reflection and coaching dialogue. High-quality GROW conversations depend on emotional </w:t>
      </w:r>
      <w:r w:rsidRPr="003A473D">
        <w:rPr>
          <w:rFonts w:ascii="Arial" w:eastAsia="Arial" w:hAnsi="Arial" w:cs="Arial"/>
          <w:lang w:val="en-GB"/>
        </w:rPr>
        <w:t xml:space="preserve">understanding </w:t>
      </w:r>
      <w:r w:rsidRPr="007B76CC">
        <w:rPr>
          <w:rFonts w:ascii="Arial" w:eastAsia="Arial" w:hAnsi="Arial" w:cs="Arial"/>
          <w:lang w:val="en-GB"/>
        </w:rPr>
        <w:t>listening without defensiveness and maintaining present-moment awareness.</w:t>
      </w:r>
    </w:p>
    <w:p w14:paraId="4C8C4DA8"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Mindfulness enhances coaching effectiveness by improving focus and tolerance for ambiguity. Organisational systems that train managers in both EI and mindfulness create coherence between cultural values and actual practice.</w:t>
      </w:r>
    </w:p>
    <w:p w14:paraId="3D8C13BA"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Three safeguards ensure ethical and effective EI-based performance systems (Grandey and Gabriel, 2015):</w:t>
      </w:r>
    </w:p>
    <w:p w14:paraId="41DD9D6A" w14:textId="77777777" w:rsidR="00C82A67" w:rsidRPr="007B76CC" w:rsidRDefault="00C82A67" w:rsidP="00C82A67">
      <w:pPr>
        <w:numPr>
          <w:ilvl w:val="0"/>
          <w:numId w:val="19"/>
        </w:numPr>
        <w:spacing w:after="0" w:line="360" w:lineRule="auto"/>
        <w:jc w:val="both"/>
        <w:rPr>
          <w:rFonts w:ascii="Arial" w:eastAsia="Arial" w:hAnsi="Arial" w:cs="Arial"/>
          <w:lang w:val="en-GB"/>
        </w:rPr>
      </w:pPr>
      <w:r w:rsidRPr="007B76CC">
        <w:rPr>
          <w:rFonts w:ascii="Arial" w:eastAsia="Arial" w:hAnsi="Arial" w:cs="Arial"/>
          <w:b/>
          <w:bCs/>
          <w:lang w:val="en-GB"/>
        </w:rPr>
        <w:t>Evidence diversity</w:t>
      </w:r>
      <w:r w:rsidRPr="007B76CC">
        <w:rPr>
          <w:rFonts w:ascii="Arial" w:eastAsia="Arial" w:hAnsi="Arial" w:cs="Arial"/>
          <w:lang w:val="en-GB"/>
        </w:rPr>
        <w:t xml:space="preserve"> – Multi-source feedback from peers, clients, and subordinates to minimise bias.</w:t>
      </w:r>
    </w:p>
    <w:p w14:paraId="6DECB2FD" w14:textId="77777777" w:rsidR="00C82A67" w:rsidRPr="007B76CC" w:rsidRDefault="00C82A67" w:rsidP="00C82A67">
      <w:pPr>
        <w:numPr>
          <w:ilvl w:val="0"/>
          <w:numId w:val="19"/>
        </w:numPr>
        <w:spacing w:after="0" w:line="360" w:lineRule="auto"/>
        <w:jc w:val="both"/>
        <w:rPr>
          <w:rFonts w:ascii="Arial" w:eastAsia="Arial" w:hAnsi="Arial" w:cs="Arial"/>
          <w:lang w:val="en-GB"/>
        </w:rPr>
      </w:pPr>
      <w:r w:rsidRPr="007B76CC">
        <w:rPr>
          <w:rFonts w:ascii="Arial" w:eastAsia="Arial" w:hAnsi="Arial" w:cs="Arial"/>
          <w:b/>
          <w:bCs/>
          <w:lang w:val="en-GB"/>
        </w:rPr>
        <w:lastRenderedPageBreak/>
        <w:t>Metric balance</w:t>
      </w:r>
      <w:r w:rsidRPr="007B76CC">
        <w:rPr>
          <w:rFonts w:ascii="Arial" w:eastAsia="Arial" w:hAnsi="Arial" w:cs="Arial"/>
          <w:lang w:val="en-GB"/>
        </w:rPr>
        <w:t xml:space="preserve"> – Weighting behavioural and outcome measures equally.</w:t>
      </w:r>
    </w:p>
    <w:p w14:paraId="2C9B78B1" w14:textId="77777777" w:rsidR="00C82A67" w:rsidRPr="007B76CC" w:rsidRDefault="00C82A67" w:rsidP="00C82A67">
      <w:pPr>
        <w:numPr>
          <w:ilvl w:val="0"/>
          <w:numId w:val="19"/>
        </w:numPr>
        <w:spacing w:after="0" w:line="360" w:lineRule="auto"/>
        <w:jc w:val="both"/>
        <w:rPr>
          <w:rFonts w:ascii="Arial" w:eastAsia="Arial" w:hAnsi="Arial" w:cs="Arial"/>
          <w:lang w:val="en-GB"/>
        </w:rPr>
      </w:pPr>
      <w:r w:rsidRPr="007B76CC">
        <w:rPr>
          <w:rFonts w:ascii="Arial" w:eastAsia="Arial" w:hAnsi="Arial" w:cs="Arial"/>
          <w:b/>
          <w:bCs/>
          <w:lang w:val="en-GB"/>
        </w:rPr>
        <w:t>Health indicators</w:t>
      </w:r>
      <w:r w:rsidRPr="007B76CC">
        <w:rPr>
          <w:rFonts w:ascii="Arial" w:eastAsia="Arial" w:hAnsi="Arial" w:cs="Arial"/>
          <w:lang w:val="en-GB"/>
        </w:rPr>
        <w:t xml:space="preserve"> – Tracking turnover, absence, and engagement to identify emotional strain.</w:t>
      </w:r>
    </w:p>
    <w:p w14:paraId="6371DD9D" w14:textId="77777777" w:rsidR="00C82A67" w:rsidRPr="003A473D"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These mechanisms support both performance and wellbeing, reinforcing a sustainable high-performance culture.</w:t>
      </w:r>
    </w:p>
    <w:p w14:paraId="224FBC89" w14:textId="77777777" w:rsidR="00C82A67" w:rsidRPr="003A473D" w:rsidRDefault="00C82A67" w:rsidP="00C82A67">
      <w:pPr>
        <w:spacing w:after="0" w:line="360" w:lineRule="auto"/>
        <w:jc w:val="both"/>
        <w:rPr>
          <w:rFonts w:ascii="Arial" w:eastAsia="Arial" w:hAnsi="Arial" w:cs="Arial"/>
          <w:lang w:val="en-GB"/>
        </w:rPr>
      </w:pPr>
    </w:p>
    <w:p w14:paraId="680087D8" w14:textId="77777777" w:rsidR="00C82A67" w:rsidRPr="003A473D" w:rsidRDefault="00C82A67" w:rsidP="00C82A67">
      <w:pPr>
        <w:spacing w:after="0" w:line="360" w:lineRule="auto"/>
        <w:jc w:val="both"/>
        <w:rPr>
          <w:rFonts w:ascii="Arial" w:eastAsia="Arial" w:hAnsi="Arial" w:cs="Arial"/>
          <w:lang w:val="en-GB"/>
        </w:rPr>
      </w:pPr>
      <w:r w:rsidRPr="003A473D">
        <w:rPr>
          <w:rFonts w:ascii="Arial" w:eastAsia="Arial" w:hAnsi="Arial" w:cs="Arial"/>
          <w:noProof/>
        </w:rPr>
        <w:drawing>
          <wp:inline distT="0" distB="0" distL="0" distR="0" wp14:anchorId="6F5C92E5" wp14:editId="4D7C3B40">
            <wp:extent cx="4572000" cy="4572000"/>
            <wp:effectExtent l="0" t="0" r="0" b="0"/>
            <wp:docPr id="2046108954" name="Picture 204610895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178604" name="Picture 1816178604" descr="A diagram of a diagram&#10;&#10;AI-generated content may be incorrect."/>
                    <pic:cNvPicPr/>
                  </pic:nvPicPr>
                  <pic:blipFill>
                    <a:blip r:embed="rId14"/>
                    <a:stretch>
                      <a:fillRect/>
                    </a:stretch>
                  </pic:blipFill>
                  <pic:spPr>
                    <a:xfrm>
                      <a:off x="0" y="0"/>
                      <a:ext cx="4572000" cy="4572000"/>
                    </a:xfrm>
                    <a:prstGeom prst="rect">
                      <a:avLst/>
                    </a:prstGeom>
                  </pic:spPr>
                </pic:pic>
              </a:graphicData>
            </a:graphic>
          </wp:inline>
        </w:drawing>
      </w:r>
    </w:p>
    <w:p w14:paraId="77684C85"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b/>
          <w:bCs/>
          <w:lang w:val="en-GB"/>
        </w:rPr>
        <w:t>Figure 2:</w:t>
      </w:r>
      <w:r w:rsidRPr="007B76CC">
        <w:rPr>
          <w:rFonts w:ascii="Arial" w:eastAsia="Arial" w:hAnsi="Arial" w:cs="Arial"/>
          <w:lang w:val="en-GB"/>
        </w:rPr>
        <w:t xml:space="preserve"> </w:t>
      </w:r>
      <w:r w:rsidRPr="007B76CC">
        <w:rPr>
          <w:rFonts w:ascii="Arial" w:eastAsia="Arial" w:hAnsi="Arial" w:cs="Arial"/>
          <w:i/>
          <w:iCs/>
          <w:lang w:val="en-GB"/>
        </w:rPr>
        <w:t>Integration of the GROW Coaching Model with EI Aspects</w:t>
      </w:r>
      <w:r w:rsidRPr="007B76CC">
        <w:rPr>
          <w:rFonts w:ascii="Arial" w:eastAsia="Arial" w:hAnsi="Arial" w:cs="Arial"/>
          <w:lang w:val="en-GB"/>
        </w:rPr>
        <w:t xml:space="preserve"> (Whitmore, 2017; Caruso and Salovey, 2004).</w:t>
      </w:r>
    </w:p>
    <w:p w14:paraId="774C8F76"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2.7 Limitations, Risks, and Cultural Context</w:t>
      </w:r>
    </w:p>
    <w:p w14:paraId="4F289987" w14:textId="77777777" w:rsidR="00C82A67" w:rsidRPr="003A473D" w:rsidRDefault="00C82A67" w:rsidP="00C82A67">
      <w:pPr>
        <w:rPr>
          <w:rFonts w:ascii="Arial" w:hAnsi="Arial" w:cs="Arial"/>
          <w:lang w:val="en-GB"/>
        </w:rPr>
      </w:pPr>
    </w:p>
    <w:p w14:paraId="6396AD07" w14:textId="77777777" w:rsidR="00C82A67" w:rsidRPr="007B76CC"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EI development is context-sensitive. Self-report tools can reflect aspiration rather than ability (Matthews, Zeidner and Roberts, 2019). Moreover, emotional norms differ across cultures: for example, assertiveness may signify confidence in Western contexts but </w:t>
      </w:r>
      <w:r w:rsidRPr="007B76CC">
        <w:rPr>
          <w:rFonts w:ascii="Arial" w:eastAsia="Arial" w:hAnsi="Arial" w:cs="Arial"/>
          <w:lang w:val="en-GB"/>
        </w:rPr>
        <w:lastRenderedPageBreak/>
        <w:t>disrespect in others (Matsumoto, Yoo and Nakagawa, 2008). Organisations must calibrate EI frameworks to cultural expectations and avoid ethnocentric bias.</w:t>
      </w:r>
    </w:p>
    <w:p w14:paraId="2678CF58" w14:textId="0C685D07" w:rsidR="00C82A67" w:rsidRDefault="00C82A67" w:rsidP="00C82A67">
      <w:pPr>
        <w:spacing w:after="0" w:line="360" w:lineRule="auto"/>
        <w:jc w:val="both"/>
        <w:rPr>
          <w:rFonts w:ascii="Arial" w:eastAsia="Arial" w:hAnsi="Arial" w:cs="Arial"/>
          <w:lang w:val="en-GB"/>
        </w:rPr>
      </w:pPr>
      <w:r w:rsidRPr="007B76CC">
        <w:rPr>
          <w:rFonts w:ascii="Arial" w:eastAsia="Arial" w:hAnsi="Arial" w:cs="Arial"/>
          <w:lang w:val="en-GB"/>
        </w:rPr>
        <w:t xml:space="preserve">A further risk is </w:t>
      </w:r>
      <w:r w:rsidRPr="00534AE2">
        <w:rPr>
          <w:rFonts w:ascii="Arial" w:eastAsia="Arial" w:hAnsi="Arial" w:cs="Arial"/>
          <w:lang w:val="en-GB"/>
        </w:rPr>
        <w:t xml:space="preserve">emotional </w:t>
      </w:r>
      <w:proofErr w:type="spellStart"/>
      <w:r w:rsidRPr="00534AE2">
        <w:rPr>
          <w:rFonts w:ascii="Arial" w:eastAsia="Arial" w:hAnsi="Arial" w:cs="Arial"/>
          <w:lang w:val="en-GB"/>
        </w:rPr>
        <w:t>instrumentali</w:t>
      </w:r>
      <w:r w:rsidR="00534AE2" w:rsidRPr="00534AE2">
        <w:rPr>
          <w:rFonts w:ascii="Arial" w:eastAsia="Arial" w:hAnsi="Arial" w:cs="Arial"/>
          <w:lang w:val="en-GB"/>
        </w:rPr>
        <w:t>s</w:t>
      </w:r>
      <w:r w:rsidRPr="00534AE2">
        <w:rPr>
          <w:rFonts w:ascii="Arial" w:eastAsia="Arial" w:hAnsi="Arial" w:cs="Arial"/>
          <w:lang w:val="en-GB"/>
        </w:rPr>
        <w:t>ation</w:t>
      </w:r>
      <w:proofErr w:type="spellEnd"/>
      <w:r w:rsidRPr="003A473D">
        <w:rPr>
          <w:rFonts w:ascii="Arial" w:eastAsia="Arial" w:hAnsi="Arial" w:cs="Arial"/>
          <w:lang w:val="en-GB"/>
        </w:rPr>
        <w:t xml:space="preserve"> </w:t>
      </w:r>
      <w:r w:rsidRPr="007B76CC">
        <w:rPr>
          <w:rFonts w:ascii="Arial" w:eastAsia="Arial" w:hAnsi="Arial" w:cs="Arial"/>
          <w:lang w:val="en-GB"/>
        </w:rPr>
        <w:t>using EI as a compliance tool that encourages emotional suppression rather than authentic engagement (Purser, 2019). Sustainable practice requires structural fairness, inclusive leadership, and open dialogue so that EI strengthens both performance and employee trust.</w:t>
      </w:r>
    </w:p>
    <w:p w14:paraId="03B728BB" w14:textId="77777777" w:rsidR="00C82A67" w:rsidRDefault="00C82A67" w:rsidP="00C82A67">
      <w:pPr>
        <w:pStyle w:val="Heading1"/>
        <w:rPr>
          <w:rFonts w:ascii="Arial" w:hAnsi="Arial" w:cs="Arial"/>
          <w:sz w:val="22"/>
          <w:szCs w:val="22"/>
          <w:lang w:val="en-GB"/>
        </w:rPr>
      </w:pPr>
      <w:r w:rsidRPr="009673A2">
        <w:rPr>
          <w:rFonts w:ascii="Arial" w:hAnsi="Arial" w:cs="Arial"/>
          <w:sz w:val="22"/>
          <w:szCs w:val="22"/>
          <w:lang w:val="en-GB"/>
        </w:rPr>
        <w:t>2.8 Comparative Evaluation of EI Models and Implications for Practice</w:t>
      </w:r>
    </w:p>
    <w:p w14:paraId="24A24588" w14:textId="77777777" w:rsidR="00C82A67" w:rsidRPr="009673A2" w:rsidRDefault="00C82A67" w:rsidP="00C82A67">
      <w:pPr>
        <w:rPr>
          <w:lang w:val="en-GB"/>
        </w:rPr>
      </w:pPr>
    </w:p>
    <w:p w14:paraId="005243B5"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A deeper comparison of the Ability, Mixed, and Trait EI models shows that each framework highlights different mechanisms through which emotions influence behaviour, and each carries distinct strengths and limitations for organisational use. The Ability Model conceptualises EI as a set of cognitive skills that can be assessed through performance-based tasks, which allows researchers to measure EI objectively rather than relying on self-perception (Mayer, Salovey and Caruso, 2002). This approach supports scientific credibility and offers predictive links to decision-making quality and stress regulation. However, critics argue that the MSCEIT test does not always reflect how individuals respond in real workplace situations, where emotions are dynamic, contextual, and influenced by power relationships. Employees may know the “correct” emotional response in theory but struggle to apply it in moments of pressure, constraint, or conflict (Matthews, Zeidner and Roberts, 2019). The Ability Model therefore excels in conceptual clarity but risks underestimating situational and relational complexity.</w:t>
      </w:r>
    </w:p>
    <w:p w14:paraId="6EFC2D4D"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In contrast, Goleman’s Mixed Model focuses on observable behaviours such as empathy, composure, adaptability, and influence (Goleman, 2011). This makes it highly relevant for leadership development, coaching, and performance management because it aligns EI with workplace expectations. It also supports the idea that EI can be learned and strengthened through reflective practice and feedback. However, the overlap between EI behaviours and personality traits has raised conceptual concerns. For example, social skill may reflect extraversion, while empathy may correlate with agreeableness (Landy, 2005). If EI is defined too broadly, it risks losing analytic distinctiveness and becoming simply a label for socially desirable traits. For organisations, this means that the Mixed Model is useful for training and development, but EI scoring must be interpreted carefully to avoid rewarding style over substance.</w:t>
      </w:r>
    </w:p>
    <w:p w14:paraId="5B62C5CE"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lastRenderedPageBreak/>
        <w:t>The Trait Model expands EI into emotional wellbeing, stress management, and interpersonal functioning (Bar-On, 2006). This holistic view reflects how emotions shape resilience and motivation across varying environments. It is particularly effective for identifying employees’ support needs, burnout risks, and coping resources. However, because the EQ-</w:t>
      </w:r>
      <w:proofErr w:type="spellStart"/>
      <w:r w:rsidRPr="009673A2">
        <w:rPr>
          <w:rFonts w:ascii="Arial" w:eastAsia="Arial" w:hAnsi="Arial" w:cs="Arial"/>
          <w:lang w:val="en-GB"/>
        </w:rPr>
        <w:t>i</w:t>
      </w:r>
      <w:proofErr w:type="spellEnd"/>
      <w:r w:rsidRPr="009673A2">
        <w:rPr>
          <w:rFonts w:ascii="Arial" w:eastAsia="Arial" w:hAnsi="Arial" w:cs="Arial"/>
          <w:lang w:val="en-GB"/>
        </w:rPr>
        <w:t xml:space="preserve"> is self-reported, individuals may present themselves more favourably, especially in recruitment or appraisal contexts (Matthews, Zeidner and Roberts, 2019). The Trait Model therefore provides insightful self-reflection but requires triangulation with behavioural evidence and feedback from colleagues.</w:t>
      </w:r>
    </w:p>
    <w:p w14:paraId="774B482C"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When compared directly, the models reflect different underlying questions:</w:t>
      </w:r>
      <w:r w:rsidRPr="009673A2">
        <w:rPr>
          <w:rFonts w:ascii="Arial" w:eastAsia="Arial" w:hAnsi="Arial" w:cs="Arial"/>
          <w:lang w:val="en-GB"/>
        </w:rPr>
        <w:br/>
        <w:t xml:space="preserve">• The Ability Model asks: </w:t>
      </w:r>
      <w:r w:rsidRPr="009673A2">
        <w:rPr>
          <w:rFonts w:ascii="Arial" w:eastAsia="Arial" w:hAnsi="Arial" w:cs="Arial"/>
          <w:i/>
          <w:iCs/>
          <w:lang w:val="en-GB"/>
        </w:rPr>
        <w:t>Can people use emotional information accurately?</w:t>
      </w:r>
      <w:r w:rsidRPr="009673A2">
        <w:rPr>
          <w:rFonts w:ascii="Arial" w:eastAsia="Arial" w:hAnsi="Arial" w:cs="Arial"/>
          <w:lang w:val="en-GB"/>
        </w:rPr>
        <w:br/>
        <w:t xml:space="preserve">• The Mixed Model asks: </w:t>
      </w:r>
      <w:r w:rsidRPr="009673A2">
        <w:rPr>
          <w:rFonts w:ascii="Arial" w:eastAsia="Arial" w:hAnsi="Arial" w:cs="Arial"/>
          <w:i/>
          <w:iCs/>
          <w:lang w:val="en-GB"/>
        </w:rPr>
        <w:t>How do people demonstrate EI in social and leadership behaviour?</w:t>
      </w:r>
      <w:r w:rsidRPr="009673A2">
        <w:rPr>
          <w:rFonts w:ascii="Arial" w:eastAsia="Arial" w:hAnsi="Arial" w:cs="Arial"/>
          <w:lang w:val="en-GB"/>
        </w:rPr>
        <w:br/>
        <w:t xml:space="preserve">• The Trait Model asks: </w:t>
      </w:r>
      <w:r w:rsidRPr="009673A2">
        <w:rPr>
          <w:rFonts w:ascii="Arial" w:eastAsia="Arial" w:hAnsi="Arial" w:cs="Arial"/>
          <w:i/>
          <w:iCs/>
          <w:lang w:val="en-GB"/>
        </w:rPr>
        <w:t>How do people feel, cope, and relate in emotional environments?</w:t>
      </w:r>
    </w:p>
    <w:p w14:paraId="1E1CC61C"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In practice, these models are most effective when applied in combination. For example, performance-based testing may establish baseline emotional reasoning, while behavioural frameworks guide coaching, and wellness indicators ensure sustainable workload and resilience. Integrating the three reduces the risk of simplification and ensures EI supports both performance and wellbeing.</w:t>
      </w:r>
    </w:p>
    <w:p w14:paraId="50E8D90B" w14:textId="77777777" w:rsidR="00C82A67" w:rsidRPr="009673A2"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This comparative view also reinforces the role of mindfulness. Mindfulness improves the link between internal emotional states and external behaviour across all three models because it strengthens present-moment awareness, reduces emotional reactivity, and increases cognitive flexibility (Hölzel et al., 2011). Rather than treating EI as a static trait, mindfulness situates EI within daily habits of attention and reflection, making emotional skill development more realistic and continuous.</w:t>
      </w:r>
    </w:p>
    <w:p w14:paraId="6B8C1056" w14:textId="2601C5A3" w:rsidR="00C82A67" w:rsidRPr="003A473D" w:rsidRDefault="00C82A67" w:rsidP="00C82A67">
      <w:pPr>
        <w:spacing w:after="0" w:line="360" w:lineRule="auto"/>
        <w:jc w:val="both"/>
        <w:rPr>
          <w:rFonts w:ascii="Arial" w:eastAsia="Arial" w:hAnsi="Arial" w:cs="Arial"/>
          <w:lang w:val="en-GB"/>
        </w:rPr>
      </w:pPr>
      <w:r w:rsidRPr="009673A2">
        <w:rPr>
          <w:rFonts w:ascii="Arial" w:eastAsia="Arial" w:hAnsi="Arial" w:cs="Arial"/>
          <w:lang w:val="en-GB"/>
        </w:rPr>
        <w:t>Overall, a combined approach to EI acknowledges that emotional behaviour is influenced by cognitive processing, interpersonal context, and wellbeing conditions. This ensures that EI contributes not only to individual performance but also to trust, relational quality, and psychological safety across teams.</w:t>
      </w:r>
    </w:p>
    <w:p w14:paraId="5B6674CC" w14:textId="77777777" w:rsidR="00E13E3D" w:rsidRDefault="00E13E3D" w:rsidP="00C82A67">
      <w:pPr>
        <w:pStyle w:val="Heading1"/>
        <w:rPr>
          <w:rFonts w:ascii="Arial" w:hAnsi="Arial" w:cs="Arial"/>
          <w:sz w:val="32"/>
          <w:szCs w:val="32"/>
          <w:lang w:val="en-GB"/>
        </w:rPr>
      </w:pPr>
    </w:p>
    <w:p w14:paraId="430FE368" w14:textId="5E4FEDF5" w:rsidR="00E13E3D" w:rsidRPr="00E13E3D" w:rsidRDefault="00C82A67" w:rsidP="00E13E3D">
      <w:pPr>
        <w:pStyle w:val="Heading1"/>
        <w:rPr>
          <w:rFonts w:ascii="Arial" w:hAnsi="Arial" w:cs="Arial"/>
          <w:sz w:val="32"/>
          <w:szCs w:val="32"/>
          <w:lang w:val="en-GB"/>
        </w:rPr>
      </w:pPr>
      <w:r w:rsidRPr="00B05333">
        <w:rPr>
          <w:rFonts w:ascii="Arial" w:hAnsi="Arial" w:cs="Arial"/>
          <w:sz w:val="32"/>
          <w:szCs w:val="32"/>
          <w:lang w:val="en-GB"/>
        </w:rPr>
        <w:t xml:space="preserve">3. Emotional Intelligence and Generational Recruitment </w:t>
      </w:r>
    </w:p>
    <w:p w14:paraId="108D75CB" w14:textId="5393DAEE"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3.1 Overview</w:t>
      </w:r>
    </w:p>
    <w:p w14:paraId="1DEC9F06" w14:textId="77777777" w:rsidR="00C82A67" w:rsidRPr="003A473D" w:rsidRDefault="00C82A67" w:rsidP="00C82A67">
      <w:pPr>
        <w:rPr>
          <w:rFonts w:ascii="Arial" w:hAnsi="Arial" w:cs="Arial"/>
          <w:lang w:val="en-GB"/>
        </w:rPr>
      </w:pPr>
    </w:p>
    <w:p w14:paraId="199D7E73"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Understanding Emotional Intelligence (EI) across generations helps managers tailor recruitment and development strategies that reflect diverse emotional and motivational profiles. Generational theory suggests that shared socio-economic, technological, and cultural experiences shape collective attitudes and work values (Parry and Urwin, 2011). While such trends offer useful context, they should inform</w:t>
      </w:r>
      <w:r w:rsidRPr="003A473D">
        <w:rPr>
          <w:rFonts w:ascii="Arial" w:hAnsi="Arial" w:cs="Arial"/>
          <w:lang w:val="en-GB"/>
        </w:rPr>
        <w:t xml:space="preserve"> </w:t>
      </w:r>
      <w:r w:rsidRPr="00F2192B">
        <w:rPr>
          <w:rFonts w:ascii="Arial" w:hAnsi="Arial" w:cs="Arial"/>
          <w:lang w:val="en-GB"/>
        </w:rPr>
        <w:t>not replace</w:t>
      </w:r>
      <w:r w:rsidRPr="003A473D">
        <w:rPr>
          <w:rFonts w:ascii="Arial" w:hAnsi="Arial" w:cs="Arial"/>
          <w:lang w:val="en-GB"/>
        </w:rPr>
        <w:t xml:space="preserve"> </w:t>
      </w:r>
      <w:r w:rsidRPr="00F2192B">
        <w:rPr>
          <w:rFonts w:ascii="Arial" w:hAnsi="Arial" w:cs="Arial"/>
          <w:lang w:val="en-GB"/>
        </w:rPr>
        <w:t>individual assessment (Costanza et al., 2017). In the workplace, differences in emotional expression, feedback preferences, and motivation can influence how employees from different cohorts demonstrate EI.</w:t>
      </w:r>
    </w:p>
    <w:p w14:paraId="4A08D060"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Managers who appreciate these distinctions can better design selection processes, communication styles, and developmental interventions that enhance inclusion, engagement, and performance.</w:t>
      </w:r>
    </w:p>
    <w:p w14:paraId="4F2EE178"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3.2 Generation X: Independence and Intrapersonal Resilience</w:t>
      </w:r>
    </w:p>
    <w:p w14:paraId="548C9654" w14:textId="77777777" w:rsidR="00C82A67" w:rsidRPr="003A473D" w:rsidRDefault="00C82A67" w:rsidP="00C82A67">
      <w:pPr>
        <w:rPr>
          <w:rFonts w:ascii="Arial" w:hAnsi="Arial" w:cs="Arial"/>
          <w:lang w:val="en-GB"/>
        </w:rPr>
      </w:pPr>
    </w:p>
    <w:p w14:paraId="306FF746" w14:textId="77777777" w:rsidR="00C82A67" w:rsidRPr="00725EEE" w:rsidRDefault="00C82A67" w:rsidP="00C82A67">
      <w:pPr>
        <w:spacing w:line="360" w:lineRule="auto"/>
        <w:jc w:val="both"/>
        <w:rPr>
          <w:rFonts w:ascii="Arial" w:hAnsi="Arial" w:cs="Arial"/>
          <w:lang w:val="en-GB"/>
        </w:rPr>
      </w:pPr>
      <w:r w:rsidRPr="00725EEE">
        <w:rPr>
          <w:rFonts w:ascii="Arial" w:hAnsi="Arial" w:cs="Arial"/>
          <w:lang w:val="en-GB"/>
        </w:rPr>
        <w:t>Generation X (born approximately 1965–1980) matured during economic restructuring and the early rise of digital technology. They typically exhibit intrapersonal intelligence self-reliance, adaptability, and emotional restraint developed through navigating uncertain job markets (Parry and Urwin, 2011).</w:t>
      </w:r>
    </w:p>
    <w:p w14:paraId="526DFB57" w14:textId="77777777" w:rsidR="00C82A67" w:rsidRPr="00725EEE" w:rsidRDefault="00C82A67" w:rsidP="00C82A67">
      <w:pPr>
        <w:spacing w:line="360" w:lineRule="auto"/>
        <w:jc w:val="both"/>
        <w:rPr>
          <w:rFonts w:ascii="Arial" w:hAnsi="Arial" w:cs="Arial"/>
          <w:lang w:val="en-GB"/>
        </w:rPr>
      </w:pPr>
      <w:r w:rsidRPr="00725EEE">
        <w:rPr>
          <w:rFonts w:ascii="Arial" w:hAnsi="Arial" w:cs="Arial"/>
          <w:lang w:val="en-GB"/>
        </w:rPr>
        <w:t>In the workplace, Gen X employees often value autonomy and competence-based recognition over hierarchical control. Their EI strengths frequently include self-regulation, realism, and composure under pressure. They manage ambiguity well and often display pragmatic optimism qualities linked to Bar-On’s intrapersonal EI dimensions (Bar-On, 2006).</w:t>
      </w:r>
    </w:p>
    <w:p w14:paraId="60501A4F" w14:textId="77777777" w:rsidR="00C82A67" w:rsidRPr="00DD3B38" w:rsidRDefault="00C82A67" w:rsidP="00C82A67">
      <w:pPr>
        <w:spacing w:line="360" w:lineRule="auto"/>
        <w:jc w:val="both"/>
        <w:rPr>
          <w:rFonts w:ascii="Arial" w:hAnsi="Arial" w:cs="Arial"/>
          <w:lang w:val="en-GB"/>
        </w:rPr>
      </w:pPr>
      <w:r w:rsidRPr="00F2192B">
        <w:rPr>
          <w:rFonts w:ascii="Arial" w:hAnsi="Arial" w:cs="Arial"/>
          <w:lang w:val="en-GB"/>
        </w:rPr>
        <w:t>However, these same traits can manifest as emotional distance or scepticism toward organisational rhetoric, potentially reducing interpersonal engagement with younger, more collaborative colleagues. In recruitment and performance discussions, managers should therefore probe not only technical resilience but also relational adaptability</w:t>
      </w:r>
      <w:r w:rsidRPr="003A473D">
        <w:rPr>
          <w:rFonts w:ascii="Arial" w:hAnsi="Arial" w:cs="Arial"/>
          <w:lang w:val="en-GB"/>
        </w:rPr>
        <w:t xml:space="preserve"> </w:t>
      </w:r>
      <w:r w:rsidRPr="00F2192B">
        <w:rPr>
          <w:rFonts w:ascii="Arial" w:hAnsi="Arial" w:cs="Arial"/>
          <w:lang w:val="en-GB"/>
        </w:rPr>
        <w:t xml:space="preserve">for instance, </w:t>
      </w:r>
      <w:r w:rsidRPr="00DD3B38">
        <w:rPr>
          <w:rFonts w:ascii="Arial" w:hAnsi="Arial" w:cs="Arial"/>
          <w:lang w:val="en-GB"/>
        </w:rPr>
        <w:lastRenderedPageBreak/>
        <w:t>through scenario-based interviews that test empathy, flexibility, and collaborative problem-solving.</w:t>
      </w:r>
    </w:p>
    <w:p w14:paraId="7C0E4381"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By balancing independence with teamwork measures, organisations can fully leverage Gen X’s maturity and ethical judgement without misinterpreting composure as disengagement.</w:t>
      </w:r>
    </w:p>
    <w:p w14:paraId="4A40A0E7"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3.3 Generation Y (Millennials): Interpersonal Orientation and Purpose</w:t>
      </w:r>
    </w:p>
    <w:p w14:paraId="2C698D45" w14:textId="77777777" w:rsidR="00C82A67" w:rsidRPr="003A473D" w:rsidRDefault="00C82A67" w:rsidP="00C82A67">
      <w:pPr>
        <w:rPr>
          <w:rFonts w:ascii="Arial" w:hAnsi="Arial" w:cs="Arial"/>
          <w:lang w:val="en-GB"/>
        </w:rPr>
      </w:pPr>
    </w:p>
    <w:p w14:paraId="685D5140" w14:textId="77777777" w:rsidR="00C82A67" w:rsidRPr="00DD3B38" w:rsidRDefault="00C82A67" w:rsidP="00C82A67">
      <w:pPr>
        <w:spacing w:line="360" w:lineRule="auto"/>
        <w:jc w:val="both"/>
        <w:rPr>
          <w:rFonts w:ascii="Arial" w:hAnsi="Arial" w:cs="Arial"/>
          <w:lang w:val="en-GB"/>
        </w:rPr>
      </w:pPr>
      <w:r w:rsidRPr="00F2192B">
        <w:rPr>
          <w:rFonts w:ascii="Arial" w:hAnsi="Arial" w:cs="Arial"/>
          <w:lang w:val="en-GB"/>
        </w:rPr>
        <w:t xml:space="preserve">Generation Y, or Millennials (born 1981–1996), entered the workforce amid globalisation, digital communication, and shifting organisational hierarchies. Research consistently links this cohort to </w:t>
      </w:r>
      <w:r w:rsidRPr="00DD3B38">
        <w:rPr>
          <w:rFonts w:ascii="Arial" w:hAnsi="Arial" w:cs="Arial"/>
          <w:lang w:val="en-GB"/>
        </w:rPr>
        <w:t>interpersonal emotional intelligence, with strong preferences for teamwork, feedback, and purposeful work (Deloitte, 2020).</w:t>
      </w:r>
    </w:p>
    <w:p w14:paraId="5F030580" w14:textId="77777777" w:rsidR="00C82A67" w:rsidRPr="00DD3B38" w:rsidRDefault="00C82A67" w:rsidP="00C82A67">
      <w:pPr>
        <w:spacing w:line="360" w:lineRule="auto"/>
        <w:jc w:val="both"/>
        <w:rPr>
          <w:rFonts w:ascii="Arial" w:hAnsi="Arial" w:cs="Arial"/>
          <w:lang w:val="en-GB"/>
        </w:rPr>
      </w:pPr>
      <w:r w:rsidRPr="00DD3B38">
        <w:rPr>
          <w:rFonts w:ascii="Arial" w:hAnsi="Arial" w:cs="Arial"/>
          <w:lang w:val="en-GB"/>
        </w:rPr>
        <w:t>Their emotional strengths often lie in empathy, inclusivity, and open communication attributes aligned with Goleman’s interpersonal competencies (Goleman, 2011). They value authentic leadership and expect psychological safety within teams. These traits support collaborative innovation and conflict resolution, making Millennials effective in roles requiring client engagement, facilitation, or cross-functional teamwork.</w:t>
      </w:r>
    </w:p>
    <w:p w14:paraId="11F6E601" w14:textId="77777777" w:rsidR="00C82A67" w:rsidRPr="00DD3B38" w:rsidRDefault="00C82A67" w:rsidP="00C82A67">
      <w:pPr>
        <w:spacing w:line="360" w:lineRule="auto"/>
        <w:jc w:val="both"/>
        <w:rPr>
          <w:rFonts w:ascii="Arial" w:hAnsi="Arial" w:cs="Arial"/>
          <w:lang w:val="en-GB"/>
        </w:rPr>
      </w:pPr>
      <w:r w:rsidRPr="00DD3B38">
        <w:rPr>
          <w:rFonts w:ascii="Arial" w:hAnsi="Arial" w:cs="Arial"/>
          <w:lang w:val="en-GB"/>
        </w:rPr>
        <w:t>However, constant connectivity and blurred boundaries between work and personal life can challenge emotional self-regulation. Studies note higher rates of anxiety and burnout compared to earlier generations (Twenge, Campbell and Freeman, 2019). Thus, recruitment and retention strategies should integrate realistic previews of job demands, coaching support, and wellbeing frameworks.</w:t>
      </w:r>
    </w:p>
    <w:p w14:paraId="47E27A6C" w14:textId="77777777" w:rsidR="00C82A67" w:rsidRPr="00F2192B" w:rsidRDefault="00C82A67" w:rsidP="00C82A67">
      <w:pPr>
        <w:spacing w:line="360" w:lineRule="auto"/>
        <w:jc w:val="both"/>
        <w:rPr>
          <w:rFonts w:ascii="Arial" w:hAnsi="Arial" w:cs="Arial"/>
          <w:lang w:val="en-GB"/>
        </w:rPr>
      </w:pPr>
      <w:r w:rsidRPr="00DD3B38">
        <w:rPr>
          <w:rFonts w:ascii="Arial" w:hAnsi="Arial" w:cs="Arial"/>
          <w:lang w:val="en-GB"/>
        </w:rPr>
        <w:t>Millennials also prioritise learning</w:t>
      </w:r>
      <w:r w:rsidRPr="00F2192B">
        <w:rPr>
          <w:rFonts w:ascii="Arial" w:hAnsi="Arial" w:cs="Arial"/>
          <w:lang w:val="en-GB"/>
        </w:rPr>
        <w:t xml:space="preserve"> and growth opportunities; aligning developmental pathways with EI-based feedback systems enhances engagement and retention. Regular check-ins, peer coaching, and recognition of collaborative achievements are key mechanisms for sustaining motivation and emotional balance in this generation.</w:t>
      </w:r>
    </w:p>
    <w:p w14:paraId="567F54B4"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3.4 Generation Z: Digital Empathy and Emerging Face-to-Face Fluency</w:t>
      </w:r>
    </w:p>
    <w:p w14:paraId="6DE16490" w14:textId="77777777" w:rsidR="00C82A67" w:rsidRPr="003A473D" w:rsidRDefault="00C82A67" w:rsidP="00C82A67">
      <w:pPr>
        <w:rPr>
          <w:rFonts w:ascii="Arial" w:hAnsi="Arial" w:cs="Arial"/>
          <w:lang w:val="en-GB"/>
        </w:rPr>
      </w:pPr>
    </w:p>
    <w:p w14:paraId="7ADBED15"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 xml:space="preserve">Generation Z (born 1997–2012) are </w:t>
      </w:r>
      <w:r w:rsidRPr="00DD3B38">
        <w:rPr>
          <w:rFonts w:ascii="Arial" w:hAnsi="Arial" w:cs="Arial"/>
          <w:lang w:val="en-GB"/>
        </w:rPr>
        <w:t>digital natives who have grown up immersed in social media and global connectivity. They exhibit strong digital empathy awareness of diverse identities and sensitivity to inclusion in online interactions (Schroth</w:t>
      </w:r>
      <w:r w:rsidRPr="00F2192B">
        <w:rPr>
          <w:rFonts w:ascii="Arial" w:hAnsi="Arial" w:cs="Arial"/>
          <w:lang w:val="en-GB"/>
        </w:rPr>
        <w:t xml:space="preserve">, 2019). This can translate into high emotional awareness and social responsibility in digital contexts, </w:t>
      </w:r>
      <w:r w:rsidRPr="00F2192B">
        <w:rPr>
          <w:rFonts w:ascii="Arial" w:hAnsi="Arial" w:cs="Arial"/>
          <w:lang w:val="en-GB"/>
        </w:rPr>
        <w:lastRenderedPageBreak/>
        <w:t>making them valuable in roles involving virtual collaboration, customer engagement, or digital marketing.</w:t>
      </w:r>
    </w:p>
    <w:p w14:paraId="622339BC"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 xml:space="preserve">However, continuous screen-based communication can limit the development of </w:t>
      </w:r>
      <w:r w:rsidRPr="00DD3B38">
        <w:rPr>
          <w:rFonts w:ascii="Arial" w:hAnsi="Arial" w:cs="Arial"/>
          <w:lang w:val="en-GB"/>
        </w:rPr>
        <w:t>face-to-face emotional fluency, such as reading body language and managing in-person conflict (Przybylski and Weinstein, 2017). As such, early career development should include</w:t>
      </w:r>
      <w:r w:rsidRPr="00F2192B">
        <w:rPr>
          <w:rFonts w:ascii="Arial" w:hAnsi="Arial" w:cs="Arial"/>
          <w:lang w:val="en-GB"/>
        </w:rPr>
        <w:t xml:space="preserve"> opportunities for live interpersonal interaction, negotiation practice, and feedback exchange to build full-spectrum EI.</w:t>
      </w:r>
    </w:p>
    <w:p w14:paraId="7C6ACBEB"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Gen Z is also strongly values-driven, prioritising authenticity, ethics, and mental health. They tend to disengage quickly from organisations that display inconsistency between espoused and lived values (Deloitte, 2020). Recruitment strategies should therefore highlight organisational transparency and social responsibility. Combining asynchronous online assessments with live group problem-solving tasks ensures a fair evaluation of both digital and interpersonal competencies.</w:t>
      </w:r>
    </w:p>
    <w:p w14:paraId="281DE26B"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3.5 Cross-Generational Synthesis and the Risk of Stereotypes</w:t>
      </w:r>
    </w:p>
    <w:p w14:paraId="1D83FA04" w14:textId="77777777" w:rsidR="00C82A67" w:rsidRPr="003A473D" w:rsidRDefault="00C82A67" w:rsidP="00C82A67">
      <w:pPr>
        <w:rPr>
          <w:rFonts w:ascii="Arial" w:hAnsi="Arial" w:cs="Arial"/>
          <w:lang w:val="en-GB"/>
        </w:rPr>
      </w:pPr>
    </w:p>
    <w:p w14:paraId="6B1B2871"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While generational profiling offers useful insights, it must be applied critically. Meta-analytic evidence shows that many reported generational differences diminish when controlling for career stage, cultural background, and economic context (Costanza et al., 2017). Overgeneralisation can lead to stereotyping, which undermines fairness and inclusion.</w:t>
      </w:r>
    </w:p>
    <w:p w14:paraId="0BEB71B6" w14:textId="77777777" w:rsidR="00C82A67" w:rsidRPr="00DD3B38" w:rsidRDefault="00C82A67" w:rsidP="00C82A67">
      <w:pPr>
        <w:spacing w:line="360" w:lineRule="auto"/>
        <w:jc w:val="both"/>
        <w:rPr>
          <w:rFonts w:ascii="Arial" w:hAnsi="Arial" w:cs="Arial"/>
          <w:lang w:val="en-GB"/>
        </w:rPr>
      </w:pPr>
      <w:r w:rsidRPr="00F2192B">
        <w:rPr>
          <w:rFonts w:ascii="Arial" w:hAnsi="Arial" w:cs="Arial"/>
          <w:lang w:val="en-GB"/>
        </w:rPr>
        <w:t xml:space="preserve">Instead, managers should use generational insights as </w:t>
      </w:r>
      <w:r w:rsidRPr="00DD3B38">
        <w:rPr>
          <w:rFonts w:ascii="Arial" w:hAnsi="Arial" w:cs="Arial"/>
          <w:lang w:val="en-GB"/>
        </w:rPr>
        <w:t>hypothesis generators helping anticipate potential motivational or communicative differences then verify them through behavioural evidence. A structured, evidence-based approach allows EI to serve as a bridge between generations rather than a source of division.</w:t>
      </w:r>
    </w:p>
    <w:p w14:paraId="627613EE" w14:textId="77777777" w:rsidR="00C82A67" w:rsidRPr="00F2192B" w:rsidRDefault="00C82A67" w:rsidP="00C82A67">
      <w:pPr>
        <w:spacing w:line="360" w:lineRule="auto"/>
        <w:jc w:val="both"/>
        <w:rPr>
          <w:rFonts w:ascii="Arial" w:hAnsi="Arial" w:cs="Arial"/>
          <w:lang w:val="en-GB"/>
        </w:rPr>
      </w:pPr>
      <w:r w:rsidRPr="00DD3B38">
        <w:rPr>
          <w:rFonts w:ascii="Arial" w:hAnsi="Arial" w:cs="Arial"/>
          <w:lang w:val="en-GB"/>
        </w:rPr>
        <w:t>A particularly effective approach is cross-generational mentoring</w:t>
      </w:r>
      <w:r w:rsidRPr="00F2192B">
        <w:rPr>
          <w:rFonts w:ascii="Arial" w:hAnsi="Arial" w:cs="Arial"/>
          <w:lang w:val="en-GB"/>
        </w:rPr>
        <w:t>, where complementary EI strengths are shared:</w:t>
      </w:r>
    </w:p>
    <w:p w14:paraId="66E76FDE" w14:textId="77777777" w:rsidR="00C82A67" w:rsidRPr="00F2192B" w:rsidRDefault="00C82A67" w:rsidP="00C82A67">
      <w:pPr>
        <w:numPr>
          <w:ilvl w:val="0"/>
          <w:numId w:val="20"/>
        </w:numPr>
        <w:spacing w:line="360" w:lineRule="auto"/>
        <w:jc w:val="both"/>
        <w:rPr>
          <w:rFonts w:ascii="Arial" w:hAnsi="Arial" w:cs="Arial"/>
          <w:lang w:val="en-GB"/>
        </w:rPr>
      </w:pPr>
      <w:r w:rsidRPr="00F2192B">
        <w:rPr>
          <w:rFonts w:ascii="Arial" w:hAnsi="Arial" w:cs="Arial"/>
          <w:lang w:val="en-GB"/>
        </w:rPr>
        <w:t>Generation X offers intrapersonal stability and pragmatic judgement;</w:t>
      </w:r>
    </w:p>
    <w:p w14:paraId="57BB92C1" w14:textId="77777777" w:rsidR="00C82A67" w:rsidRPr="00F2192B" w:rsidRDefault="00C82A67" w:rsidP="00C82A67">
      <w:pPr>
        <w:numPr>
          <w:ilvl w:val="0"/>
          <w:numId w:val="20"/>
        </w:numPr>
        <w:spacing w:line="360" w:lineRule="auto"/>
        <w:jc w:val="both"/>
        <w:rPr>
          <w:rFonts w:ascii="Arial" w:hAnsi="Arial" w:cs="Arial"/>
          <w:lang w:val="en-GB"/>
        </w:rPr>
      </w:pPr>
      <w:r w:rsidRPr="00F2192B">
        <w:rPr>
          <w:rFonts w:ascii="Arial" w:hAnsi="Arial" w:cs="Arial"/>
          <w:lang w:val="en-GB"/>
        </w:rPr>
        <w:t>Millennials contribute interpersonal fluency and collaborative energy;</w:t>
      </w:r>
    </w:p>
    <w:p w14:paraId="51F9E0A9" w14:textId="77777777" w:rsidR="00C82A67" w:rsidRPr="00F2192B" w:rsidRDefault="00C82A67" w:rsidP="00C82A67">
      <w:pPr>
        <w:numPr>
          <w:ilvl w:val="0"/>
          <w:numId w:val="20"/>
        </w:numPr>
        <w:spacing w:line="360" w:lineRule="auto"/>
        <w:jc w:val="both"/>
        <w:rPr>
          <w:rFonts w:ascii="Arial" w:hAnsi="Arial" w:cs="Arial"/>
          <w:lang w:val="en-GB"/>
        </w:rPr>
      </w:pPr>
      <w:r w:rsidRPr="00F2192B">
        <w:rPr>
          <w:rFonts w:ascii="Arial" w:hAnsi="Arial" w:cs="Arial"/>
          <w:lang w:val="en-GB"/>
        </w:rPr>
        <w:t>Generation Z brings digital empathy and innovative communication.</w:t>
      </w:r>
    </w:p>
    <w:p w14:paraId="7A2C9878" w14:textId="77777777" w:rsidR="00C82A67" w:rsidRDefault="00C82A67" w:rsidP="00C82A67">
      <w:pPr>
        <w:spacing w:line="360" w:lineRule="auto"/>
        <w:jc w:val="both"/>
        <w:rPr>
          <w:rFonts w:ascii="Arial" w:hAnsi="Arial" w:cs="Arial"/>
          <w:lang w:val="en-GB"/>
        </w:rPr>
      </w:pPr>
      <w:r w:rsidRPr="00F2192B">
        <w:rPr>
          <w:rFonts w:ascii="Arial" w:hAnsi="Arial" w:cs="Arial"/>
          <w:lang w:val="en-GB"/>
        </w:rPr>
        <w:lastRenderedPageBreak/>
        <w:t>Such exchanges promote empathy, mutual respect, and team cohesion</w:t>
      </w:r>
      <w:r w:rsidRPr="003A473D">
        <w:rPr>
          <w:rFonts w:ascii="Arial" w:hAnsi="Arial" w:cs="Arial"/>
          <w:lang w:val="en-GB"/>
        </w:rPr>
        <w:t xml:space="preserve"> </w:t>
      </w:r>
      <w:r w:rsidRPr="00F2192B">
        <w:rPr>
          <w:rFonts w:ascii="Arial" w:hAnsi="Arial" w:cs="Arial"/>
          <w:lang w:val="en-GB"/>
        </w:rPr>
        <w:t>core components of emotionally intelligent workplaces.</w:t>
      </w:r>
    </w:p>
    <w:p w14:paraId="1BE23513" w14:textId="77777777" w:rsidR="00C82A67" w:rsidRPr="00F2192B" w:rsidRDefault="00C82A67" w:rsidP="00C82A67">
      <w:pPr>
        <w:spacing w:line="360" w:lineRule="auto"/>
        <w:jc w:val="both"/>
        <w:rPr>
          <w:rFonts w:ascii="Arial" w:hAnsi="Arial" w:cs="Arial"/>
          <w:lang w:val="en-GB"/>
        </w:rPr>
      </w:pPr>
      <w:r w:rsidRPr="005B6603">
        <w:rPr>
          <w:rFonts w:ascii="Arial" w:hAnsi="Arial" w:cs="Arial"/>
        </w:rPr>
        <w:t xml:space="preserve">Together, these patterns suggest that emotionally intelligent management requires designing systems that </w:t>
      </w:r>
      <w:proofErr w:type="spellStart"/>
      <w:r w:rsidRPr="005B6603">
        <w:rPr>
          <w:rFonts w:ascii="Arial" w:hAnsi="Arial" w:cs="Arial"/>
        </w:rPr>
        <w:t>recognise</w:t>
      </w:r>
      <w:proofErr w:type="spellEnd"/>
      <w:r w:rsidRPr="005B6603">
        <w:rPr>
          <w:rFonts w:ascii="Arial" w:hAnsi="Arial" w:cs="Arial"/>
        </w:rPr>
        <w:t xml:space="preserve"> differing communication norms and emotional displays. This avoids stereotyping while enabling each generation’s strengths to support collective learning and </w:t>
      </w:r>
      <w:proofErr w:type="spellStart"/>
      <w:r w:rsidRPr="005B6603">
        <w:rPr>
          <w:rFonts w:ascii="Arial" w:hAnsi="Arial" w:cs="Arial"/>
        </w:rPr>
        <w:t>organisational</w:t>
      </w:r>
      <w:proofErr w:type="spellEnd"/>
      <w:r w:rsidRPr="005B6603">
        <w:rPr>
          <w:rFonts w:ascii="Arial" w:hAnsi="Arial" w:cs="Arial"/>
        </w:rPr>
        <w:t xml:space="preserve"> adaptability.</w:t>
      </w:r>
    </w:p>
    <w:p w14:paraId="501AC895" w14:textId="77777777" w:rsidR="00C82A67" w:rsidRPr="003A473D" w:rsidRDefault="00C82A67" w:rsidP="00C82A67">
      <w:pPr>
        <w:pStyle w:val="Heading2"/>
        <w:rPr>
          <w:rFonts w:ascii="Arial" w:hAnsi="Arial" w:cs="Arial"/>
          <w:sz w:val="22"/>
          <w:szCs w:val="22"/>
          <w:lang w:val="en-GB"/>
        </w:rPr>
      </w:pPr>
      <w:r w:rsidRPr="003A473D">
        <w:rPr>
          <w:rFonts w:ascii="Arial" w:hAnsi="Arial" w:cs="Arial"/>
          <w:sz w:val="22"/>
          <w:szCs w:val="22"/>
          <w:lang w:val="en-GB"/>
        </w:rPr>
        <w:t>3.6 Implications for Recruitment and Selection</w:t>
      </w:r>
    </w:p>
    <w:p w14:paraId="2E8DDC30" w14:textId="77777777" w:rsidR="00C82A67" w:rsidRPr="003A473D" w:rsidRDefault="00C82A67" w:rsidP="00C82A67">
      <w:pPr>
        <w:rPr>
          <w:rFonts w:ascii="Arial" w:hAnsi="Arial" w:cs="Arial"/>
          <w:lang w:val="en-GB"/>
        </w:rPr>
      </w:pPr>
    </w:p>
    <w:p w14:paraId="1344F209"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 xml:space="preserve">An EI-sensitive recruitment strategy integrates emotional, cultural, and generational intelligence. The process should begin with </w:t>
      </w:r>
      <w:r w:rsidRPr="004642DE">
        <w:rPr>
          <w:rFonts w:ascii="Arial" w:hAnsi="Arial" w:cs="Arial"/>
          <w:lang w:val="en-GB"/>
        </w:rPr>
        <w:t>clarifying the emotional demands</w:t>
      </w:r>
      <w:r w:rsidRPr="00F2192B">
        <w:rPr>
          <w:rFonts w:ascii="Arial" w:hAnsi="Arial" w:cs="Arial"/>
          <w:lang w:val="en-GB"/>
        </w:rPr>
        <w:t xml:space="preserve"> of each role</w:t>
      </w:r>
      <w:r w:rsidRPr="003A473D">
        <w:rPr>
          <w:rFonts w:ascii="Arial" w:hAnsi="Arial" w:cs="Arial"/>
          <w:lang w:val="en-GB"/>
        </w:rPr>
        <w:t xml:space="preserve"> </w:t>
      </w:r>
      <w:r w:rsidRPr="00F2192B">
        <w:rPr>
          <w:rFonts w:ascii="Arial" w:hAnsi="Arial" w:cs="Arial"/>
          <w:lang w:val="en-GB"/>
        </w:rPr>
        <w:t>for example, resilience and composure in crisis management roles, empathy in client relations, or self-regulation in high-stakes negotiations.</w:t>
      </w:r>
    </w:p>
    <w:p w14:paraId="5705F984"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Multi-method assessment improves fairness and validity. Recommended practices include:</w:t>
      </w:r>
    </w:p>
    <w:p w14:paraId="1B422A47" w14:textId="77777777" w:rsidR="00C82A67" w:rsidRPr="00F2192B" w:rsidRDefault="00C82A67" w:rsidP="00C82A67">
      <w:pPr>
        <w:numPr>
          <w:ilvl w:val="0"/>
          <w:numId w:val="21"/>
        </w:numPr>
        <w:spacing w:line="360" w:lineRule="auto"/>
        <w:jc w:val="both"/>
        <w:rPr>
          <w:rFonts w:ascii="Arial" w:hAnsi="Arial" w:cs="Arial"/>
          <w:lang w:val="en-GB"/>
        </w:rPr>
      </w:pPr>
      <w:r w:rsidRPr="00F2192B">
        <w:rPr>
          <w:rFonts w:ascii="Arial" w:hAnsi="Arial" w:cs="Arial"/>
          <w:b/>
          <w:bCs/>
          <w:lang w:val="en-GB"/>
        </w:rPr>
        <w:t>Validated EI assessments</w:t>
      </w:r>
      <w:r w:rsidRPr="00F2192B">
        <w:rPr>
          <w:rFonts w:ascii="Arial" w:hAnsi="Arial" w:cs="Arial"/>
          <w:lang w:val="en-GB"/>
        </w:rPr>
        <w:t xml:space="preserve"> (e.g., MSCEIT or EQ-</w:t>
      </w:r>
      <w:proofErr w:type="spellStart"/>
      <w:r w:rsidRPr="00F2192B">
        <w:rPr>
          <w:rFonts w:ascii="Arial" w:hAnsi="Arial" w:cs="Arial"/>
          <w:lang w:val="en-GB"/>
        </w:rPr>
        <w:t>i</w:t>
      </w:r>
      <w:proofErr w:type="spellEnd"/>
      <w:r w:rsidRPr="00F2192B">
        <w:rPr>
          <w:rFonts w:ascii="Arial" w:hAnsi="Arial" w:cs="Arial"/>
          <w:lang w:val="en-GB"/>
        </w:rPr>
        <w:t>) to gauge baseline ability;</w:t>
      </w:r>
    </w:p>
    <w:p w14:paraId="545C99CB" w14:textId="77777777" w:rsidR="00C82A67" w:rsidRPr="00F2192B" w:rsidRDefault="00C82A67" w:rsidP="00C82A67">
      <w:pPr>
        <w:numPr>
          <w:ilvl w:val="0"/>
          <w:numId w:val="21"/>
        </w:numPr>
        <w:spacing w:line="360" w:lineRule="auto"/>
        <w:jc w:val="both"/>
        <w:rPr>
          <w:rFonts w:ascii="Arial" w:hAnsi="Arial" w:cs="Arial"/>
          <w:lang w:val="en-GB"/>
        </w:rPr>
      </w:pPr>
      <w:r w:rsidRPr="00F2192B">
        <w:rPr>
          <w:rFonts w:ascii="Arial" w:hAnsi="Arial" w:cs="Arial"/>
          <w:b/>
          <w:bCs/>
          <w:lang w:val="en-GB"/>
        </w:rPr>
        <w:t>Behavioural and situational interviews</w:t>
      </w:r>
      <w:r w:rsidRPr="00F2192B">
        <w:rPr>
          <w:rFonts w:ascii="Arial" w:hAnsi="Arial" w:cs="Arial"/>
          <w:lang w:val="en-GB"/>
        </w:rPr>
        <w:t xml:space="preserve"> exploring how candidates manage emotion-laden challenges;</w:t>
      </w:r>
    </w:p>
    <w:p w14:paraId="7F84DCD4" w14:textId="77777777" w:rsidR="00C82A67" w:rsidRPr="00F2192B" w:rsidRDefault="00C82A67" w:rsidP="00C82A67">
      <w:pPr>
        <w:numPr>
          <w:ilvl w:val="0"/>
          <w:numId w:val="21"/>
        </w:numPr>
        <w:spacing w:line="360" w:lineRule="auto"/>
        <w:jc w:val="both"/>
        <w:rPr>
          <w:rFonts w:ascii="Arial" w:hAnsi="Arial" w:cs="Arial"/>
          <w:lang w:val="en-GB"/>
        </w:rPr>
      </w:pPr>
      <w:r w:rsidRPr="00F2192B">
        <w:rPr>
          <w:rFonts w:ascii="Arial" w:hAnsi="Arial" w:cs="Arial"/>
          <w:b/>
          <w:bCs/>
          <w:lang w:val="en-GB"/>
        </w:rPr>
        <w:t>Simulations or role-plays</w:t>
      </w:r>
      <w:r w:rsidRPr="00F2192B">
        <w:rPr>
          <w:rFonts w:ascii="Arial" w:hAnsi="Arial" w:cs="Arial"/>
          <w:lang w:val="en-GB"/>
        </w:rPr>
        <w:t xml:space="preserve"> to observe emotional regulation, empathy, and communication under pressure.</w:t>
      </w:r>
    </w:p>
    <w:p w14:paraId="2718BA49" w14:textId="77777777" w:rsidR="00C82A67" w:rsidRPr="00F2192B" w:rsidRDefault="00C82A67" w:rsidP="00C82A67">
      <w:pPr>
        <w:spacing w:line="360" w:lineRule="auto"/>
        <w:jc w:val="both"/>
        <w:rPr>
          <w:rFonts w:ascii="Arial" w:hAnsi="Arial" w:cs="Arial"/>
          <w:lang w:val="en-GB"/>
        </w:rPr>
      </w:pPr>
      <w:r w:rsidRPr="00F2192B">
        <w:rPr>
          <w:rFonts w:ascii="Arial" w:hAnsi="Arial" w:cs="Arial"/>
          <w:lang w:val="en-GB"/>
        </w:rPr>
        <w:t xml:space="preserve">Recruiters must also receive </w:t>
      </w:r>
      <w:r w:rsidRPr="00F2192B">
        <w:rPr>
          <w:rFonts w:ascii="Arial" w:hAnsi="Arial" w:cs="Arial"/>
          <w:b/>
          <w:bCs/>
          <w:lang w:val="en-GB"/>
        </w:rPr>
        <w:t>bias-awareness training</w:t>
      </w:r>
      <w:r w:rsidRPr="00F2192B">
        <w:rPr>
          <w:rFonts w:ascii="Arial" w:hAnsi="Arial" w:cs="Arial"/>
          <w:lang w:val="en-GB"/>
        </w:rPr>
        <w:t>, ensuring that charisma or culturally specific emotional displays are not mistaken for high EI (Matsumoto, Yoo and Nakagawa, 2008). Structured rubrics and diverse panels further enhance objectivity.</w:t>
      </w:r>
    </w:p>
    <w:p w14:paraId="7AAF535D" w14:textId="77777777" w:rsidR="00C82A67" w:rsidRPr="003A473D" w:rsidRDefault="00C82A67" w:rsidP="00C82A67">
      <w:pPr>
        <w:spacing w:line="360" w:lineRule="auto"/>
        <w:jc w:val="both"/>
        <w:rPr>
          <w:rFonts w:ascii="Arial" w:hAnsi="Arial" w:cs="Arial"/>
          <w:lang w:val="en-GB"/>
        </w:rPr>
      </w:pPr>
      <w:r w:rsidRPr="00F2192B">
        <w:rPr>
          <w:rFonts w:ascii="Arial" w:hAnsi="Arial" w:cs="Arial"/>
          <w:lang w:val="en-GB"/>
        </w:rPr>
        <w:t>Embedding generational understanding within EI-informed recruitment supports inclusive, high-performing teams where emotional and cognitive diversity are viewed as complementary assets.</w:t>
      </w:r>
    </w:p>
    <w:p w14:paraId="331E169D" w14:textId="77777777" w:rsidR="00C82A67" w:rsidRPr="00787083" w:rsidRDefault="00C82A67" w:rsidP="00C82A67">
      <w:pPr>
        <w:pStyle w:val="Heading1"/>
        <w:rPr>
          <w:rFonts w:ascii="Arial" w:hAnsi="Arial" w:cs="Arial"/>
          <w:sz w:val="32"/>
          <w:szCs w:val="32"/>
        </w:rPr>
      </w:pPr>
      <w:r w:rsidRPr="00787083">
        <w:rPr>
          <w:rFonts w:ascii="Arial" w:hAnsi="Arial" w:cs="Arial"/>
          <w:sz w:val="32"/>
          <w:szCs w:val="32"/>
        </w:rPr>
        <w:t>4.Recommendation</w:t>
      </w:r>
    </w:p>
    <w:p w14:paraId="24565A61" w14:textId="77777777" w:rsidR="00C82A67" w:rsidRPr="00F2192B" w:rsidRDefault="00C82A67" w:rsidP="00C82A67">
      <w:pPr>
        <w:pStyle w:val="NormalWeb"/>
        <w:spacing w:line="360" w:lineRule="auto"/>
        <w:jc w:val="both"/>
        <w:rPr>
          <w:rFonts w:ascii="Arial" w:hAnsi="Arial" w:cs="Arial"/>
          <w:sz w:val="22"/>
          <w:szCs w:val="22"/>
        </w:rPr>
      </w:pPr>
      <w:r w:rsidRPr="003A473D">
        <w:rPr>
          <w:rFonts w:ascii="Arial" w:hAnsi="Arial" w:cs="Arial"/>
          <w:sz w:val="22"/>
          <w:szCs w:val="22"/>
        </w:rPr>
        <w:t>To embed Emotional Intelligence (EI) and mindfulness effectively, organisations should align their overall strategy, systems, and people development practices. EI</w:t>
      </w:r>
      <w:r>
        <w:rPr>
          <w:rFonts w:ascii="Arial" w:hAnsi="Arial" w:cs="Arial"/>
          <w:sz w:val="22"/>
          <w:szCs w:val="22"/>
        </w:rPr>
        <w:t xml:space="preserve"> </w:t>
      </w:r>
      <w:r w:rsidRPr="003A473D">
        <w:rPr>
          <w:rFonts w:ascii="Arial" w:hAnsi="Arial" w:cs="Arial"/>
          <w:sz w:val="22"/>
          <w:szCs w:val="22"/>
        </w:rPr>
        <w:t xml:space="preserve">competencies </w:t>
      </w:r>
      <w:r w:rsidRPr="003A473D">
        <w:rPr>
          <w:rFonts w:ascii="Arial" w:hAnsi="Arial" w:cs="Arial"/>
          <w:sz w:val="22"/>
          <w:szCs w:val="22"/>
        </w:rPr>
        <w:lastRenderedPageBreak/>
        <w:t>need to be clearly defined and incorporated into recruitment, onboarding, and performance appraisal processes so that emotional awareness and interpersonal effectiveness are genuinely recognised and rewarded. Managers should be supported through training in mindfulness techniques and coaching skills to enhance reflection, empathy, and balanced decision-making. Performance management should shift from traditional annual reviews to continuous, open dialogue that focuses on wellbeing, progress, and development. Recruitment should also adopt fair and diverse assessment methods that evaluate emotional awareness, resilience, and collaboration, ensuring that genuine EI is valued over charisma or style. Encouraging cross-generational mentoring can help employees share their strengths and perspectives, promoting teamwork and mutual understanding. Finally, regular evaluation of engagement, retention, and customer satisfaction will help measure the real impact of EI and mindfulness initiatives, allowing organisations to refine their approach and sustain a culture of emotional awareness and authentic leadership.</w:t>
      </w:r>
    </w:p>
    <w:p w14:paraId="1FD610CF" w14:textId="77777777" w:rsidR="00C82A67" w:rsidRPr="00FA6E34" w:rsidRDefault="00C82A67" w:rsidP="00C82A67">
      <w:pPr>
        <w:pStyle w:val="Heading1"/>
        <w:jc w:val="both"/>
        <w:rPr>
          <w:rFonts w:ascii="Arial" w:hAnsi="Arial" w:cs="Arial"/>
          <w:sz w:val="32"/>
          <w:szCs w:val="32"/>
        </w:rPr>
      </w:pPr>
      <w:r w:rsidRPr="00FA6E34">
        <w:rPr>
          <w:rFonts w:ascii="Arial" w:hAnsi="Arial" w:cs="Arial"/>
          <w:sz w:val="32"/>
          <w:szCs w:val="32"/>
        </w:rPr>
        <w:t xml:space="preserve">5.Conclusion </w:t>
      </w:r>
    </w:p>
    <w:p w14:paraId="724F994E" w14:textId="77777777" w:rsidR="00C82A67" w:rsidRPr="003A473D" w:rsidRDefault="00C82A67" w:rsidP="00C82A67">
      <w:pPr>
        <w:pStyle w:val="ListParagraph"/>
        <w:jc w:val="both"/>
        <w:rPr>
          <w:rFonts w:ascii="Arial" w:hAnsi="Arial" w:cs="Arial"/>
          <w:lang w:val="en-GB"/>
        </w:rPr>
      </w:pPr>
    </w:p>
    <w:p w14:paraId="72B949CE" w14:textId="77777777" w:rsidR="00C82A67" w:rsidRPr="003A473D" w:rsidRDefault="00C82A67" w:rsidP="00C82A67">
      <w:pPr>
        <w:spacing w:line="360" w:lineRule="auto"/>
        <w:jc w:val="both"/>
        <w:rPr>
          <w:rFonts w:ascii="Arial" w:hAnsi="Arial" w:cs="Arial"/>
          <w:lang w:val="en-GB"/>
        </w:rPr>
      </w:pPr>
      <w:r w:rsidRPr="00CC0C78">
        <w:rPr>
          <w:rFonts w:ascii="Arial" w:hAnsi="Arial" w:cs="Arial"/>
        </w:rPr>
        <w:t xml:space="preserve">Emotional Intelligence and mindfulness are core capabilities that support judgement, collaboration, and resilience in contemporary workplaces. The ability, mixed, and trait models show that EI involves cognitive processing, </w:t>
      </w:r>
      <w:proofErr w:type="spellStart"/>
      <w:r w:rsidRPr="00CC0C78">
        <w:rPr>
          <w:rFonts w:ascii="Arial" w:hAnsi="Arial" w:cs="Arial"/>
        </w:rPr>
        <w:t>behavioural</w:t>
      </w:r>
      <w:proofErr w:type="spellEnd"/>
      <w:r w:rsidRPr="00CC0C78">
        <w:rPr>
          <w:rFonts w:ascii="Arial" w:hAnsi="Arial" w:cs="Arial"/>
        </w:rPr>
        <w:t xml:space="preserve"> expression, and wellbeing, while mindfulness strengthens regulation and empathic awareness. When applied through recruitment, coaching, and feedback systems, EI can enhance psychological safety and ethical performance across generations. </w:t>
      </w:r>
      <w:proofErr w:type="spellStart"/>
      <w:r w:rsidRPr="00CC0C78">
        <w:rPr>
          <w:rFonts w:ascii="Arial" w:hAnsi="Arial" w:cs="Arial"/>
        </w:rPr>
        <w:t>Organisations</w:t>
      </w:r>
      <w:proofErr w:type="spellEnd"/>
      <w:r w:rsidRPr="00CC0C78">
        <w:rPr>
          <w:rFonts w:ascii="Arial" w:hAnsi="Arial" w:cs="Arial"/>
        </w:rPr>
        <w:t xml:space="preserve"> that integrate EI with supportive structures, rather than using it as an individual self-management tool, sustain more adaptable and inclusive cultures.</w:t>
      </w:r>
    </w:p>
    <w:p w14:paraId="4951696F" w14:textId="77777777" w:rsidR="00C82A67" w:rsidRPr="003A473D" w:rsidRDefault="00C82A67" w:rsidP="00C82A67">
      <w:pPr>
        <w:spacing w:line="360" w:lineRule="auto"/>
        <w:jc w:val="both"/>
        <w:rPr>
          <w:rFonts w:ascii="Arial" w:hAnsi="Arial" w:cs="Arial"/>
          <w:lang w:val="en-GB"/>
        </w:rPr>
      </w:pPr>
    </w:p>
    <w:p w14:paraId="5318153A" w14:textId="77777777" w:rsidR="00D90ADE" w:rsidRPr="003A473D" w:rsidRDefault="00D90ADE" w:rsidP="005534F0">
      <w:pPr>
        <w:spacing w:after="0" w:line="360" w:lineRule="auto"/>
        <w:rPr>
          <w:rFonts w:ascii="Arial" w:eastAsia="Arial" w:hAnsi="Arial" w:cs="Arial"/>
          <w:b/>
          <w:bCs/>
          <w:lang w:val="en-GB"/>
        </w:rPr>
      </w:pPr>
    </w:p>
    <w:p w14:paraId="39C501B6" w14:textId="77777777" w:rsidR="00D51BE5" w:rsidRPr="003A473D" w:rsidRDefault="00D51BE5" w:rsidP="00D51BE5">
      <w:pPr>
        <w:spacing w:line="360" w:lineRule="auto"/>
        <w:jc w:val="both"/>
        <w:rPr>
          <w:rFonts w:ascii="Arial" w:hAnsi="Arial" w:cs="Arial"/>
          <w:lang w:val="en-GB"/>
        </w:rPr>
      </w:pPr>
    </w:p>
    <w:p w14:paraId="7967D912" w14:textId="77777777" w:rsidR="00D51BE5" w:rsidRPr="003A473D" w:rsidRDefault="00D51BE5" w:rsidP="00D51BE5">
      <w:pPr>
        <w:spacing w:line="360" w:lineRule="auto"/>
        <w:jc w:val="both"/>
        <w:rPr>
          <w:rFonts w:ascii="Arial" w:hAnsi="Arial" w:cs="Arial"/>
          <w:lang w:val="en-GB"/>
        </w:rPr>
      </w:pPr>
    </w:p>
    <w:p w14:paraId="26F66D91" w14:textId="77777777" w:rsidR="00D51BE5" w:rsidRPr="003A473D" w:rsidRDefault="00D51BE5" w:rsidP="00D51BE5">
      <w:pPr>
        <w:spacing w:line="360" w:lineRule="auto"/>
        <w:jc w:val="both"/>
        <w:rPr>
          <w:rFonts w:ascii="Arial" w:hAnsi="Arial" w:cs="Arial"/>
          <w:lang w:val="en-GB"/>
        </w:rPr>
      </w:pPr>
    </w:p>
    <w:p w14:paraId="12361F28" w14:textId="77777777" w:rsidR="000B73F2" w:rsidRDefault="000B73F2" w:rsidP="00D51BE5">
      <w:pPr>
        <w:spacing w:line="360" w:lineRule="auto"/>
        <w:jc w:val="both"/>
        <w:rPr>
          <w:rFonts w:ascii="Arial" w:hAnsi="Arial" w:cs="Arial"/>
          <w:lang w:val="en-GB"/>
        </w:rPr>
      </w:pPr>
    </w:p>
    <w:p w14:paraId="31FA7A09" w14:textId="77777777" w:rsidR="00901625" w:rsidRPr="003A473D" w:rsidRDefault="00901625" w:rsidP="00D51BE5">
      <w:pPr>
        <w:spacing w:line="360" w:lineRule="auto"/>
        <w:jc w:val="both"/>
        <w:rPr>
          <w:rFonts w:ascii="Arial" w:hAnsi="Arial" w:cs="Arial"/>
          <w:lang w:val="en-GB"/>
        </w:rPr>
      </w:pPr>
    </w:p>
    <w:p w14:paraId="5FDF64EB" w14:textId="7EAAEAD6" w:rsidR="00F47A76" w:rsidRPr="00FA6E34" w:rsidRDefault="00480B47" w:rsidP="00FA6E34">
      <w:pPr>
        <w:pStyle w:val="Heading1"/>
        <w:rPr>
          <w:rFonts w:ascii="Arial" w:hAnsi="Arial" w:cs="Arial"/>
          <w:sz w:val="32"/>
          <w:szCs w:val="32"/>
        </w:rPr>
      </w:pPr>
      <w:bookmarkStart w:id="0" w:name="_Toc212884702"/>
      <w:r w:rsidRPr="00FA6E34">
        <w:rPr>
          <w:rFonts w:ascii="Arial" w:hAnsi="Arial" w:cs="Arial"/>
          <w:sz w:val="32"/>
          <w:szCs w:val="32"/>
        </w:rPr>
        <w:t xml:space="preserve">6. </w:t>
      </w:r>
      <w:r w:rsidR="00296D3E" w:rsidRPr="00FA6E34">
        <w:rPr>
          <w:rFonts w:ascii="Arial" w:hAnsi="Arial" w:cs="Arial"/>
          <w:sz w:val="32"/>
          <w:szCs w:val="32"/>
        </w:rPr>
        <w:t>References</w:t>
      </w:r>
      <w:bookmarkEnd w:id="0"/>
    </w:p>
    <w:p w14:paraId="61D9F4B0" w14:textId="77777777" w:rsidR="00797C22" w:rsidRPr="003A473D" w:rsidRDefault="00797C22" w:rsidP="00797C22">
      <w:pPr>
        <w:rPr>
          <w:rFonts w:ascii="Arial" w:hAnsi="Arial" w:cs="Arial"/>
        </w:rPr>
      </w:pPr>
    </w:p>
    <w:p w14:paraId="7DA1ADE0" w14:textId="77777777" w:rsidR="001A3AB1" w:rsidRDefault="001A3AB1" w:rsidP="00CA2BC0">
      <w:pPr>
        <w:spacing w:after="0" w:line="360" w:lineRule="auto"/>
        <w:rPr>
          <w:rFonts w:ascii="Arial" w:eastAsia="Arial" w:hAnsi="Arial" w:cs="Arial"/>
          <w:lang w:val="en-GB"/>
        </w:rPr>
      </w:pPr>
      <w:proofErr w:type="spellStart"/>
      <w:r w:rsidRPr="001A3AB1">
        <w:rPr>
          <w:rFonts w:ascii="Arial" w:eastAsia="Arial" w:hAnsi="Arial" w:cs="Arial"/>
          <w:lang w:val="en-GB"/>
        </w:rPr>
        <w:t>Ashkanasy</w:t>
      </w:r>
      <w:proofErr w:type="spellEnd"/>
      <w:r w:rsidRPr="001A3AB1">
        <w:rPr>
          <w:rFonts w:ascii="Arial" w:eastAsia="Arial" w:hAnsi="Arial" w:cs="Arial"/>
          <w:lang w:val="en-GB"/>
        </w:rPr>
        <w:t xml:space="preserve">, N.M. and Daus, C.S. (2005) ‘Rumours of the death of emotional intelligence in organizational </w:t>
      </w:r>
      <w:proofErr w:type="spellStart"/>
      <w:r w:rsidRPr="001A3AB1">
        <w:rPr>
          <w:rFonts w:ascii="Arial" w:eastAsia="Arial" w:hAnsi="Arial" w:cs="Arial"/>
          <w:lang w:val="en-GB"/>
        </w:rPr>
        <w:t>behavior</w:t>
      </w:r>
      <w:proofErr w:type="spellEnd"/>
      <w:r w:rsidRPr="001A3AB1">
        <w:rPr>
          <w:rFonts w:ascii="Arial" w:eastAsia="Arial" w:hAnsi="Arial" w:cs="Arial"/>
          <w:lang w:val="en-GB"/>
        </w:rPr>
        <w:t xml:space="preserve"> are vastly exaggerated’, </w:t>
      </w:r>
      <w:r w:rsidRPr="001A3AB1">
        <w:rPr>
          <w:rFonts w:ascii="Arial" w:eastAsia="Arial" w:hAnsi="Arial" w:cs="Arial"/>
          <w:i/>
          <w:iCs/>
          <w:lang w:val="en-GB"/>
        </w:rPr>
        <w:t xml:space="preserve">Journal of Organizational </w:t>
      </w:r>
      <w:proofErr w:type="spellStart"/>
      <w:r w:rsidRPr="001A3AB1">
        <w:rPr>
          <w:rFonts w:ascii="Arial" w:eastAsia="Arial" w:hAnsi="Arial" w:cs="Arial"/>
          <w:i/>
          <w:iCs/>
          <w:lang w:val="en-GB"/>
        </w:rPr>
        <w:t>Behavior</w:t>
      </w:r>
      <w:proofErr w:type="spellEnd"/>
      <w:r w:rsidRPr="001A3AB1">
        <w:rPr>
          <w:rFonts w:ascii="Arial" w:eastAsia="Arial" w:hAnsi="Arial" w:cs="Arial"/>
          <w:lang w:val="en-GB"/>
        </w:rPr>
        <w:t>, 26(4), pp. 441–452.</w:t>
      </w:r>
    </w:p>
    <w:p w14:paraId="5579679D" w14:textId="77777777" w:rsidR="00CA2BC0" w:rsidRPr="001A3AB1" w:rsidRDefault="00CA2BC0" w:rsidP="00CA2BC0">
      <w:pPr>
        <w:spacing w:after="0" w:line="360" w:lineRule="auto"/>
        <w:rPr>
          <w:rFonts w:ascii="Arial" w:eastAsia="Arial" w:hAnsi="Arial" w:cs="Arial"/>
          <w:lang w:val="en-GB"/>
        </w:rPr>
      </w:pPr>
    </w:p>
    <w:p w14:paraId="3E9854EC" w14:textId="3F44E86F"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Bar-On, R. (1997) </w:t>
      </w:r>
      <w:r w:rsidRPr="001A3AB1">
        <w:rPr>
          <w:rFonts w:ascii="Arial" w:eastAsia="Arial" w:hAnsi="Arial" w:cs="Arial"/>
          <w:i/>
          <w:iCs/>
          <w:lang w:val="en-GB"/>
        </w:rPr>
        <w:t xml:space="preserve">Bar-On Emotional Quotient </w:t>
      </w:r>
      <w:proofErr w:type="spellStart"/>
      <w:r w:rsidRPr="001A3AB1">
        <w:rPr>
          <w:rFonts w:ascii="Arial" w:eastAsia="Arial" w:hAnsi="Arial" w:cs="Arial"/>
          <w:i/>
          <w:iCs/>
          <w:lang w:val="en-GB"/>
        </w:rPr>
        <w:t>Inven</w:t>
      </w:r>
      <w:proofErr w:type="spellEnd"/>
      <w:r w:rsidR="00F7440A">
        <w:rPr>
          <w:rFonts w:ascii="Arial" w:eastAsia="Arial" w:hAnsi="Arial" w:cs="Arial"/>
          <w:i/>
          <w:iCs/>
          <w:lang w:val="en-GB"/>
        </w:rPr>
        <w:t xml:space="preserve"> </w:t>
      </w:r>
      <w:r w:rsidRPr="001A3AB1">
        <w:rPr>
          <w:rFonts w:ascii="Arial" w:eastAsia="Arial" w:hAnsi="Arial" w:cs="Arial"/>
          <w:i/>
          <w:iCs/>
          <w:lang w:val="en-GB"/>
        </w:rPr>
        <w:t>tory (EQ-</w:t>
      </w:r>
      <w:proofErr w:type="spellStart"/>
      <w:r w:rsidRPr="001A3AB1">
        <w:rPr>
          <w:rFonts w:ascii="Arial" w:eastAsia="Arial" w:hAnsi="Arial" w:cs="Arial"/>
          <w:i/>
          <w:iCs/>
          <w:lang w:val="en-GB"/>
        </w:rPr>
        <w:t>i</w:t>
      </w:r>
      <w:proofErr w:type="spellEnd"/>
      <w:r w:rsidRPr="001A3AB1">
        <w:rPr>
          <w:rFonts w:ascii="Arial" w:eastAsia="Arial" w:hAnsi="Arial" w:cs="Arial"/>
          <w:i/>
          <w:iCs/>
          <w:lang w:val="en-GB"/>
        </w:rPr>
        <w:t>): Technical Manual</w:t>
      </w:r>
      <w:r w:rsidRPr="001A3AB1">
        <w:rPr>
          <w:rFonts w:ascii="Arial" w:eastAsia="Arial" w:hAnsi="Arial" w:cs="Arial"/>
          <w:lang w:val="en-GB"/>
        </w:rPr>
        <w:t>. Toronto: Multi-Health Systems.</w:t>
      </w:r>
    </w:p>
    <w:p w14:paraId="78211295" w14:textId="77777777" w:rsidR="00CA2BC0" w:rsidRPr="001A3AB1" w:rsidRDefault="00CA2BC0" w:rsidP="00CA2BC0">
      <w:pPr>
        <w:spacing w:after="0" w:line="360" w:lineRule="auto"/>
        <w:rPr>
          <w:rFonts w:ascii="Arial" w:eastAsia="Arial" w:hAnsi="Arial" w:cs="Arial"/>
          <w:lang w:val="en-GB"/>
        </w:rPr>
      </w:pPr>
    </w:p>
    <w:p w14:paraId="74FEC6F6"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Bar-On, R. (2006) ‘The Bar-On model of emotional-social intelligence (ESI)’, </w:t>
      </w:r>
      <w:proofErr w:type="spellStart"/>
      <w:r w:rsidRPr="001A3AB1">
        <w:rPr>
          <w:rFonts w:ascii="Arial" w:eastAsia="Arial" w:hAnsi="Arial" w:cs="Arial"/>
          <w:i/>
          <w:iCs/>
          <w:lang w:val="en-GB"/>
        </w:rPr>
        <w:t>Psicothema</w:t>
      </w:r>
      <w:proofErr w:type="spellEnd"/>
      <w:r w:rsidRPr="001A3AB1">
        <w:rPr>
          <w:rFonts w:ascii="Arial" w:eastAsia="Arial" w:hAnsi="Arial" w:cs="Arial"/>
          <w:lang w:val="en-GB"/>
        </w:rPr>
        <w:t>, 18, pp. 13–25.</w:t>
      </w:r>
    </w:p>
    <w:p w14:paraId="5D273164" w14:textId="77777777" w:rsidR="00CA2BC0" w:rsidRPr="001A3AB1" w:rsidRDefault="00CA2BC0" w:rsidP="00CA2BC0">
      <w:pPr>
        <w:spacing w:after="0" w:line="360" w:lineRule="auto"/>
        <w:rPr>
          <w:rFonts w:ascii="Arial" w:eastAsia="Arial" w:hAnsi="Arial" w:cs="Arial"/>
          <w:lang w:val="en-GB"/>
        </w:rPr>
      </w:pPr>
    </w:p>
    <w:p w14:paraId="6D23B46A"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Bloom, P. (2017) </w:t>
      </w:r>
      <w:r w:rsidRPr="001A3AB1">
        <w:rPr>
          <w:rFonts w:ascii="Arial" w:eastAsia="Arial" w:hAnsi="Arial" w:cs="Arial"/>
          <w:i/>
          <w:iCs/>
          <w:lang w:val="en-GB"/>
        </w:rPr>
        <w:t>Against Empathy: The Case for Rational Compassion</w:t>
      </w:r>
      <w:r w:rsidRPr="001A3AB1">
        <w:rPr>
          <w:rFonts w:ascii="Arial" w:eastAsia="Arial" w:hAnsi="Arial" w:cs="Arial"/>
          <w:lang w:val="en-GB"/>
        </w:rPr>
        <w:t>. London: Vintage.</w:t>
      </w:r>
    </w:p>
    <w:p w14:paraId="37931E0B" w14:textId="77777777" w:rsidR="00CA2BC0" w:rsidRPr="001A3AB1" w:rsidRDefault="00CA2BC0" w:rsidP="00CA2BC0">
      <w:pPr>
        <w:spacing w:after="0" w:line="360" w:lineRule="auto"/>
        <w:rPr>
          <w:rFonts w:ascii="Arial" w:eastAsia="Arial" w:hAnsi="Arial" w:cs="Arial"/>
          <w:lang w:val="en-GB"/>
        </w:rPr>
      </w:pPr>
    </w:p>
    <w:p w14:paraId="0DCD39D3"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Boyatzis, R.E. (2018) </w:t>
      </w:r>
      <w:r w:rsidRPr="001A3AB1">
        <w:rPr>
          <w:rFonts w:ascii="Arial" w:eastAsia="Arial" w:hAnsi="Arial" w:cs="Arial"/>
          <w:i/>
          <w:iCs/>
          <w:lang w:val="en-GB"/>
        </w:rPr>
        <w:t>The Competent Manager: A Model for Effective Performance</w:t>
      </w:r>
      <w:r w:rsidRPr="001A3AB1">
        <w:rPr>
          <w:rFonts w:ascii="Arial" w:eastAsia="Arial" w:hAnsi="Arial" w:cs="Arial"/>
          <w:lang w:val="en-GB"/>
        </w:rPr>
        <w:t>. New York: Wiley.</w:t>
      </w:r>
    </w:p>
    <w:p w14:paraId="60F8FACE" w14:textId="77777777" w:rsidR="00E246F2" w:rsidRPr="001A3AB1" w:rsidRDefault="00E246F2" w:rsidP="00CA2BC0">
      <w:pPr>
        <w:spacing w:after="0" w:line="360" w:lineRule="auto"/>
        <w:rPr>
          <w:rFonts w:ascii="Arial" w:eastAsia="Arial" w:hAnsi="Arial" w:cs="Arial"/>
          <w:lang w:val="en-GB"/>
        </w:rPr>
      </w:pPr>
    </w:p>
    <w:p w14:paraId="15301C1C"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Caruso, D. and Salovey, P. (2004) </w:t>
      </w:r>
      <w:r w:rsidRPr="001A3AB1">
        <w:rPr>
          <w:rFonts w:ascii="Arial" w:eastAsia="Arial" w:hAnsi="Arial" w:cs="Arial"/>
          <w:i/>
          <w:iCs/>
          <w:lang w:val="en-GB"/>
        </w:rPr>
        <w:t>The Emotionally Intelligent Manager</w:t>
      </w:r>
      <w:r w:rsidRPr="001A3AB1">
        <w:rPr>
          <w:rFonts w:ascii="Arial" w:eastAsia="Arial" w:hAnsi="Arial" w:cs="Arial"/>
          <w:lang w:val="en-GB"/>
        </w:rPr>
        <w:t>. San Francisco: Jossey-Bass.</w:t>
      </w:r>
    </w:p>
    <w:p w14:paraId="75B3CEFC" w14:textId="77777777" w:rsidR="00E246F2" w:rsidRPr="001A3AB1" w:rsidRDefault="00E246F2" w:rsidP="00CA2BC0">
      <w:pPr>
        <w:spacing w:after="0" w:line="360" w:lineRule="auto"/>
        <w:rPr>
          <w:rFonts w:ascii="Arial" w:eastAsia="Arial" w:hAnsi="Arial" w:cs="Arial"/>
          <w:lang w:val="en-GB"/>
        </w:rPr>
      </w:pPr>
    </w:p>
    <w:p w14:paraId="71B32A72"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Costanza, D.P., Badger, J.M., Fraser, R.L., Severt, J.B. and Gade, P.A. (2017) ‘Generational differences in work-related attitudes: A meta-analysis’, </w:t>
      </w:r>
      <w:r w:rsidRPr="001A3AB1">
        <w:rPr>
          <w:rFonts w:ascii="Arial" w:eastAsia="Arial" w:hAnsi="Arial" w:cs="Arial"/>
          <w:i/>
          <w:iCs/>
          <w:lang w:val="en-GB"/>
        </w:rPr>
        <w:t>Journal of Business and Psychology</w:t>
      </w:r>
      <w:r w:rsidRPr="001A3AB1">
        <w:rPr>
          <w:rFonts w:ascii="Arial" w:eastAsia="Arial" w:hAnsi="Arial" w:cs="Arial"/>
          <w:lang w:val="en-GB"/>
        </w:rPr>
        <w:t>, 27(4), pp. 375–394.</w:t>
      </w:r>
    </w:p>
    <w:p w14:paraId="5FEC16A3" w14:textId="77777777" w:rsidR="00E246F2" w:rsidRPr="001A3AB1" w:rsidRDefault="00E246F2" w:rsidP="00CA2BC0">
      <w:pPr>
        <w:spacing w:after="0" w:line="360" w:lineRule="auto"/>
        <w:rPr>
          <w:rFonts w:ascii="Arial" w:eastAsia="Arial" w:hAnsi="Arial" w:cs="Arial"/>
          <w:lang w:val="en-GB"/>
        </w:rPr>
      </w:pPr>
    </w:p>
    <w:p w14:paraId="0170542C"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Deloitte (2020) </w:t>
      </w:r>
      <w:r w:rsidRPr="001A3AB1">
        <w:rPr>
          <w:rFonts w:ascii="Arial" w:eastAsia="Arial" w:hAnsi="Arial" w:cs="Arial"/>
          <w:i/>
          <w:iCs/>
          <w:lang w:val="en-GB"/>
        </w:rPr>
        <w:t>Millennial Survey 2020</w:t>
      </w:r>
      <w:r w:rsidRPr="001A3AB1">
        <w:rPr>
          <w:rFonts w:ascii="Arial" w:eastAsia="Arial" w:hAnsi="Arial" w:cs="Arial"/>
          <w:lang w:val="en-GB"/>
        </w:rPr>
        <w:t xml:space="preserve">. Available at: </w:t>
      </w:r>
      <w:hyperlink r:id="rId15" w:tgtFrame="_new" w:history="1">
        <w:r w:rsidRPr="001A3AB1">
          <w:rPr>
            <w:rStyle w:val="Hyperlink"/>
            <w:rFonts w:ascii="Arial" w:eastAsia="Arial" w:hAnsi="Arial" w:cs="Arial"/>
            <w:lang w:val="en-GB"/>
          </w:rPr>
          <w:t>https://www2.deloitte.com</w:t>
        </w:r>
      </w:hyperlink>
      <w:r w:rsidRPr="001A3AB1">
        <w:rPr>
          <w:rFonts w:ascii="Arial" w:eastAsia="Arial" w:hAnsi="Arial" w:cs="Arial"/>
          <w:lang w:val="en-GB"/>
        </w:rPr>
        <w:t xml:space="preserve"> (Accessed: 31 October 2025).</w:t>
      </w:r>
    </w:p>
    <w:p w14:paraId="09797C56" w14:textId="77777777" w:rsidR="00E246F2" w:rsidRPr="001A3AB1" w:rsidRDefault="00E246F2" w:rsidP="00CA2BC0">
      <w:pPr>
        <w:spacing w:after="0" w:line="360" w:lineRule="auto"/>
        <w:rPr>
          <w:rFonts w:ascii="Arial" w:eastAsia="Arial" w:hAnsi="Arial" w:cs="Arial"/>
          <w:lang w:val="en-GB"/>
        </w:rPr>
      </w:pPr>
    </w:p>
    <w:p w14:paraId="4D59E018"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Goleman, D. (1995) </w:t>
      </w:r>
      <w:r w:rsidRPr="001A3AB1">
        <w:rPr>
          <w:rFonts w:ascii="Arial" w:eastAsia="Arial" w:hAnsi="Arial" w:cs="Arial"/>
          <w:i/>
          <w:iCs/>
          <w:lang w:val="en-GB"/>
        </w:rPr>
        <w:t>Emotional Intelligence: Why It Can Matter More Than IQ</w:t>
      </w:r>
      <w:r w:rsidRPr="001A3AB1">
        <w:rPr>
          <w:rFonts w:ascii="Arial" w:eastAsia="Arial" w:hAnsi="Arial" w:cs="Arial"/>
          <w:lang w:val="en-GB"/>
        </w:rPr>
        <w:t>. New York: Bantam Books.</w:t>
      </w:r>
    </w:p>
    <w:p w14:paraId="63FF8604" w14:textId="77777777" w:rsidR="00E246F2" w:rsidRPr="001A3AB1" w:rsidRDefault="00E246F2" w:rsidP="00CA2BC0">
      <w:pPr>
        <w:spacing w:after="0" w:line="360" w:lineRule="auto"/>
        <w:rPr>
          <w:rFonts w:ascii="Arial" w:eastAsia="Arial" w:hAnsi="Arial" w:cs="Arial"/>
          <w:lang w:val="en-GB"/>
        </w:rPr>
      </w:pPr>
    </w:p>
    <w:p w14:paraId="0BF6D6D5" w14:textId="77777777" w:rsidR="001A3AB1" w:rsidRP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lastRenderedPageBreak/>
        <w:t xml:space="preserve">Goleman, D. (2011) </w:t>
      </w:r>
      <w:r w:rsidRPr="001A3AB1">
        <w:rPr>
          <w:rFonts w:ascii="Arial" w:eastAsia="Arial" w:hAnsi="Arial" w:cs="Arial"/>
          <w:i/>
          <w:iCs/>
          <w:lang w:val="en-GB"/>
        </w:rPr>
        <w:t>Leadership: The Power of Emotional Intelligence</w:t>
      </w:r>
      <w:r w:rsidRPr="001A3AB1">
        <w:rPr>
          <w:rFonts w:ascii="Arial" w:eastAsia="Arial" w:hAnsi="Arial" w:cs="Arial"/>
          <w:lang w:val="en-GB"/>
        </w:rPr>
        <w:t>. Northampton, MA: More Than Sound.</w:t>
      </w:r>
    </w:p>
    <w:p w14:paraId="179C6DB7"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Grandey, A. and Gabriel, A. (2015) ‘Emotional labour at a crossroads: Where do we go from here?’, </w:t>
      </w:r>
      <w:r w:rsidRPr="001A3AB1">
        <w:rPr>
          <w:rFonts w:ascii="Arial" w:eastAsia="Arial" w:hAnsi="Arial" w:cs="Arial"/>
          <w:i/>
          <w:iCs/>
          <w:lang w:val="en-GB"/>
        </w:rPr>
        <w:t xml:space="preserve">Annual Review of Organizational Psychology and Organizational </w:t>
      </w:r>
      <w:proofErr w:type="spellStart"/>
      <w:r w:rsidRPr="001A3AB1">
        <w:rPr>
          <w:rFonts w:ascii="Arial" w:eastAsia="Arial" w:hAnsi="Arial" w:cs="Arial"/>
          <w:i/>
          <w:iCs/>
          <w:lang w:val="en-GB"/>
        </w:rPr>
        <w:t>Behavior</w:t>
      </w:r>
      <w:proofErr w:type="spellEnd"/>
      <w:r w:rsidRPr="001A3AB1">
        <w:rPr>
          <w:rFonts w:ascii="Arial" w:eastAsia="Arial" w:hAnsi="Arial" w:cs="Arial"/>
          <w:lang w:val="en-GB"/>
        </w:rPr>
        <w:t>, 2, pp. 323–349.</w:t>
      </w:r>
    </w:p>
    <w:p w14:paraId="12DCFD70" w14:textId="77777777" w:rsidR="00E246F2" w:rsidRPr="001A3AB1" w:rsidRDefault="00E246F2" w:rsidP="00CA2BC0">
      <w:pPr>
        <w:spacing w:after="0" w:line="360" w:lineRule="auto"/>
        <w:rPr>
          <w:rFonts w:ascii="Arial" w:eastAsia="Arial" w:hAnsi="Arial" w:cs="Arial"/>
          <w:lang w:val="en-GB"/>
        </w:rPr>
      </w:pPr>
    </w:p>
    <w:p w14:paraId="6729D221"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Hölzel, B.K., Lazar, S.W., Gard, T., Schuman-Olivier, Z., Vago, D.R. and Ott, U. (2011) ‘How does mindfulness meditation work? Proposing mechanisms of action from a conceptual and neural perspective’, </w:t>
      </w:r>
      <w:r w:rsidRPr="001A3AB1">
        <w:rPr>
          <w:rFonts w:ascii="Arial" w:eastAsia="Arial" w:hAnsi="Arial" w:cs="Arial"/>
          <w:i/>
          <w:iCs/>
          <w:lang w:val="en-GB"/>
        </w:rPr>
        <w:t>Perspectives on Psychological Science</w:t>
      </w:r>
      <w:r w:rsidRPr="001A3AB1">
        <w:rPr>
          <w:rFonts w:ascii="Arial" w:eastAsia="Arial" w:hAnsi="Arial" w:cs="Arial"/>
          <w:lang w:val="en-GB"/>
        </w:rPr>
        <w:t>, 6(6), pp. 537–559.</w:t>
      </w:r>
    </w:p>
    <w:p w14:paraId="0E3D90C7" w14:textId="77777777" w:rsidR="00E246F2" w:rsidRPr="001A3AB1" w:rsidRDefault="00E246F2" w:rsidP="00CA2BC0">
      <w:pPr>
        <w:spacing w:after="0" w:line="360" w:lineRule="auto"/>
        <w:rPr>
          <w:rFonts w:ascii="Arial" w:eastAsia="Arial" w:hAnsi="Arial" w:cs="Arial"/>
          <w:lang w:val="en-GB"/>
        </w:rPr>
      </w:pPr>
    </w:p>
    <w:p w14:paraId="4A6F3539"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Hyland, P.K., Lee, R.A. and Mills, M.J. (2015) ‘Mindfulness at work: A new approach to improving individual and organizational performance’, </w:t>
      </w:r>
      <w:r w:rsidRPr="001A3AB1">
        <w:rPr>
          <w:rFonts w:ascii="Arial" w:eastAsia="Arial" w:hAnsi="Arial" w:cs="Arial"/>
          <w:i/>
          <w:iCs/>
          <w:lang w:val="en-GB"/>
        </w:rPr>
        <w:t>Industrial and Organizational Psychology</w:t>
      </w:r>
      <w:r w:rsidRPr="001A3AB1">
        <w:rPr>
          <w:rFonts w:ascii="Arial" w:eastAsia="Arial" w:hAnsi="Arial" w:cs="Arial"/>
          <w:lang w:val="en-GB"/>
        </w:rPr>
        <w:t>, 8(4), pp. 576–602.</w:t>
      </w:r>
    </w:p>
    <w:p w14:paraId="5D0620F5" w14:textId="77777777" w:rsidR="00E246F2" w:rsidRPr="001A3AB1" w:rsidRDefault="00E246F2" w:rsidP="00CA2BC0">
      <w:pPr>
        <w:spacing w:after="0" w:line="360" w:lineRule="auto"/>
        <w:rPr>
          <w:rFonts w:ascii="Arial" w:eastAsia="Arial" w:hAnsi="Arial" w:cs="Arial"/>
          <w:lang w:val="en-GB"/>
        </w:rPr>
      </w:pPr>
    </w:p>
    <w:p w14:paraId="2759A180"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Joseph, D.L. and Newman, D.A. (2010) ‘Emotional intelligence: An integrative meta-analysis and cascading model’, </w:t>
      </w:r>
      <w:r w:rsidRPr="001A3AB1">
        <w:rPr>
          <w:rFonts w:ascii="Arial" w:eastAsia="Arial" w:hAnsi="Arial" w:cs="Arial"/>
          <w:i/>
          <w:iCs/>
          <w:lang w:val="en-GB"/>
        </w:rPr>
        <w:t>Journal of Applied Psychology</w:t>
      </w:r>
      <w:r w:rsidRPr="001A3AB1">
        <w:rPr>
          <w:rFonts w:ascii="Arial" w:eastAsia="Arial" w:hAnsi="Arial" w:cs="Arial"/>
          <w:lang w:val="en-GB"/>
        </w:rPr>
        <w:t>, 95(1), pp. 54–78.</w:t>
      </w:r>
    </w:p>
    <w:p w14:paraId="1E2385FC" w14:textId="77777777" w:rsidR="0016598A" w:rsidRPr="001A3AB1" w:rsidRDefault="0016598A" w:rsidP="00CA2BC0">
      <w:pPr>
        <w:spacing w:after="0" w:line="360" w:lineRule="auto"/>
        <w:rPr>
          <w:rFonts w:ascii="Arial" w:eastAsia="Arial" w:hAnsi="Arial" w:cs="Arial"/>
          <w:lang w:val="en-GB"/>
        </w:rPr>
      </w:pPr>
    </w:p>
    <w:p w14:paraId="34958484"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Kabat-Zinn, J. (1994) </w:t>
      </w:r>
      <w:r w:rsidRPr="001A3AB1">
        <w:rPr>
          <w:rFonts w:ascii="Arial" w:eastAsia="Arial" w:hAnsi="Arial" w:cs="Arial"/>
          <w:i/>
          <w:iCs/>
          <w:lang w:val="en-GB"/>
        </w:rPr>
        <w:t>Wherever You Go, There You Are: Mindfulness Meditation in Everyday Life</w:t>
      </w:r>
      <w:r w:rsidRPr="001A3AB1">
        <w:rPr>
          <w:rFonts w:ascii="Arial" w:eastAsia="Arial" w:hAnsi="Arial" w:cs="Arial"/>
          <w:lang w:val="en-GB"/>
        </w:rPr>
        <w:t>. New York: Hyperion.</w:t>
      </w:r>
    </w:p>
    <w:p w14:paraId="4AC374B0" w14:textId="77777777" w:rsidR="00E246F2" w:rsidRPr="001A3AB1" w:rsidRDefault="00E246F2" w:rsidP="00CA2BC0">
      <w:pPr>
        <w:spacing w:after="0" w:line="360" w:lineRule="auto"/>
        <w:rPr>
          <w:rFonts w:ascii="Arial" w:eastAsia="Arial" w:hAnsi="Arial" w:cs="Arial"/>
          <w:lang w:val="en-GB"/>
        </w:rPr>
      </w:pPr>
    </w:p>
    <w:p w14:paraId="67098DB3" w14:textId="77777777" w:rsidR="001A3AB1" w:rsidRDefault="001A3AB1" w:rsidP="00CA2BC0">
      <w:pPr>
        <w:spacing w:after="0" w:line="360" w:lineRule="auto"/>
        <w:rPr>
          <w:rFonts w:ascii="Arial" w:eastAsia="Arial" w:hAnsi="Arial" w:cs="Arial"/>
          <w:lang w:val="en-GB"/>
        </w:rPr>
      </w:pPr>
      <w:proofErr w:type="spellStart"/>
      <w:r w:rsidRPr="001A3AB1">
        <w:rPr>
          <w:rFonts w:ascii="Arial" w:eastAsia="Arial" w:hAnsi="Arial" w:cs="Arial"/>
          <w:lang w:val="en-GB"/>
        </w:rPr>
        <w:t>Kiken</w:t>
      </w:r>
      <w:proofErr w:type="spellEnd"/>
      <w:r w:rsidRPr="001A3AB1">
        <w:rPr>
          <w:rFonts w:ascii="Arial" w:eastAsia="Arial" w:hAnsi="Arial" w:cs="Arial"/>
          <w:lang w:val="en-GB"/>
        </w:rPr>
        <w:t xml:space="preserve">, L.G. and Shook, N.J. (2011) ‘Looking up: Mindfulness increases positive judgments and reduces negativity bias’, </w:t>
      </w:r>
      <w:r w:rsidRPr="001A3AB1">
        <w:rPr>
          <w:rFonts w:ascii="Arial" w:eastAsia="Arial" w:hAnsi="Arial" w:cs="Arial"/>
          <w:i/>
          <w:iCs/>
          <w:lang w:val="en-GB"/>
        </w:rPr>
        <w:t>Social Psychological and Personality Science</w:t>
      </w:r>
      <w:r w:rsidRPr="001A3AB1">
        <w:rPr>
          <w:rFonts w:ascii="Arial" w:eastAsia="Arial" w:hAnsi="Arial" w:cs="Arial"/>
          <w:lang w:val="en-GB"/>
        </w:rPr>
        <w:t>, 2(4), pp. 425–431.</w:t>
      </w:r>
    </w:p>
    <w:p w14:paraId="565F33F3" w14:textId="77777777" w:rsidR="00E246F2" w:rsidRPr="001A3AB1" w:rsidRDefault="00E246F2" w:rsidP="00CA2BC0">
      <w:pPr>
        <w:spacing w:after="0" w:line="360" w:lineRule="auto"/>
        <w:rPr>
          <w:rFonts w:ascii="Arial" w:eastAsia="Arial" w:hAnsi="Arial" w:cs="Arial"/>
          <w:lang w:val="en-GB"/>
        </w:rPr>
      </w:pPr>
    </w:p>
    <w:p w14:paraId="748DEC62"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Landy, F.J. (2005) ‘Some historical and scientific issues related to research on emotional intelligence’, </w:t>
      </w:r>
      <w:r w:rsidRPr="001A3AB1">
        <w:rPr>
          <w:rFonts w:ascii="Arial" w:eastAsia="Arial" w:hAnsi="Arial" w:cs="Arial"/>
          <w:i/>
          <w:iCs/>
          <w:lang w:val="en-GB"/>
        </w:rPr>
        <w:t xml:space="preserve">Journal of Organizational </w:t>
      </w:r>
      <w:proofErr w:type="spellStart"/>
      <w:r w:rsidRPr="001A3AB1">
        <w:rPr>
          <w:rFonts w:ascii="Arial" w:eastAsia="Arial" w:hAnsi="Arial" w:cs="Arial"/>
          <w:i/>
          <w:iCs/>
          <w:lang w:val="en-GB"/>
        </w:rPr>
        <w:t>Behavior</w:t>
      </w:r>
      <w:proofErr w:type="spellEnd"/>
      <w:r w:rsidRPr="001A3AB1">
        <w:rPr>
          <w:rFonts w:ascii="Arial" w:eastAsia="Arial" w:hAnsi="Arial" w:cs="Arial"/>
          <w:lang w:val="en-GB"/>
        </w:rPr>
        <w:t>, 26(4), pp. 411–424.</w:t>
      </w:r>
    </w:p>
    <w:p w14:paraId="32681B7A" w14:textId="77777777" w:rsidR="00722B74" w:rsidRPr="001A3AB1" w:rsidRDefault="00722B74" w:rsidP="00CA2BC0">
      <w:pPr>
        <w:spacing w:after="0" w:line="360" w:lineRule="auto"/>
        <w:rPr>
          <w:rFonts w:ascii="Arial" w:eastAsia="Arial" w:hAnsi="Arial" w:cs="Arial"/>
          <w:lang w:val="en-GB"/>
        </w:rPr>
      </w:pPr>
    </w:p>
    <w:p w14:paraId="03B25C13"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Lomas, T., Medina, J.C., </w:t>
      </w:r>
      <w:proofErr w:type="spellStart"/>
      <w:r w:rsidRPr="001A3AB1">
        <w:rPr>
          <w:rFonts w:ascii="Arial" w:eastAsia="Arial" w:hAnsi="Arial" w:cs="Arial"/>
          <w:lang w:val="en-GB"/>
        </w:rPr>
        <w:t>Ivtzan</w:t>
      </w:r>
      <w:proofErr w:type="spellEnd"/>
      <w:r w:rsidRPr="001A3AB1">
        <w:rPr>
          <w:rFonts w:ascii="Arial" w:eastAsia="Arial" w:hAnsi="Arial" w:cs="Arial"/>
          <w:lang w:val="en-GB"/>
        </w:rPr>
        <w:t xml:space="preserve">, I., Rupprecht, S., Hart, R. and </w:t>
      </w:r>
      <w:proofErr w:type="spellStart"/>
      <w:r w:rsidRPr="001A3AB1">
        <w:rPr>
          <w:rFonts w:ascii="Arial" w:eastAsia="Arial" w:hAnsi="Arial" w:cs="Arial"/>
          <w:lang w:val="en-GB"/>
        </w:rPr>
        <w:t>Eiroa</w:t>
      </w:r>
      <w:proofErr w:type="spellEnd"/>
      <w:r w:rsidRPr="001A3AB1">
        <w:rPr>
          <w:rFonts w:ascii="Arial" w:eastAsia="Arial" w:hAnsi="Arial" w:cs="Arial"/>
          <w:lang w:val="en-GB"/>
        </w:rPr>
        <w:t xml:space="preserve">-Orosa, F.J. (2017) ‘The impact of mindfulness on well-being and performance in the workplace: An inclusive systematic review’, </w:t>
      </w:r>
      <w:r w:rsidRPr="001A3AB1">
        <w:rPr>
          <w:rFonts w:ascii="Arial" w:eastAsia="Arial" w:hAnsi="Arial" w:cs="Arial"/>
          <w:i/>
          <w:iCs/>
          <w:lang w:val="en-GB"/>
        </w:rPr>
        <w:t>European Journal of Work and Organizational Psychology</w:t>
      </w:r>
      <w:r w:rsidRPr="001A3AB1">
        <w:rPr>
          <w:rFonts w:ascii="Arial" w:eastAsia="Arial" w:hAnsi="Arial" w:cs="Arial"/>
          <w:lang w:val="en-GB"/>
        </w:rPr>
        <w:t>, 26(4), pp. 492–513.</w:t>
      </w:r>
    </w:p>
    <w:p w14:paraId="713E9D89" w14:textId="77777777" w:rsidR="00E246F2" w:rsidRPr="001A3AB1" w:rsidRDefault="00E246F2" w:rsidP="00CA2BC0">
      <w:pPr>
        <w:spacing w:after="0" w:line="360" w:lineRule="auto"/>
        <w:rPr>
          <w:rFonts w:ascii="Arial" w:eastAsia="Arial" w:hAnsi="Arial" w:cs="Arial"/>
          <w:lang w:val="en-GB"/>
        </w:rPr>
      </w:pPr>
    </w:p>
    <w:p w14:paraId="6C82EABD" w14:textId="77777777" w:rsidR="001A3AB1" w:rsidRP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lastRenderedPageBreak/>
        <w:t xml:space="preserve">Matsumoto, D., Yoo, S.H. and Nakagawa, S. (2008) ‘Culture, emotion regulation, and adjustment’, </w:t>
      </w:r>
      <w:r w:rsidRPr="001A3AB1">
        <w:rPr>
          <w:rFonts w:ascii="Arial" w:eastAsia="Arial" w:hAnsi="Arial" w:cs="Arial"/>
          <w:i/>
          <w:iCs/>
          <w:lang w:val="en-GB"/>
        </w:rPr>
        <w:t>Journal of Personality and Social Psychology</w:t>
      </w:r>
      <w:r w:rsidRPr="001A3AB1">
        <w:rPr>
          <w:rFonts w:ascii="Arial" w:eastAsia="Arial" w:hAnsi="Arial" w:cs="Arial"/>
          <w:lang w:val="en-GB"/>
        </w:rPr>
        <w:t>, 94(6), pp. 925–937.</w:t>
      </w:r>
    </w:p>
    <w:p w14:paraId="75744A72"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Matthews, G., Zeidner, M. and Roberts, R.D. (2019) </w:t>
      </w:r>
      <w:r w:rsidRPr="001A3AB1">
        <w:rPr>
          <w:rFonts w:ascii="Arial" w:eastAsia="Arial" w:hAnsi="Arial" w:cs="Arial"/>
          <w:i/>
          <w:iCs/>
          <w:lang w:val="en-GB"/>
        </w:rPr>
        <w:t>Emotional Intelligence: Science and Myth</w:t>
      </w:r>
      <w:r w:rsidRPr="001A3AB1">
        <w:rPr>
          <w:rFonts w:ascii="Arial" w:eastAsia="Arial" w:hAnsi="Arial" w:cs="Arial"/>
          <w:lang w:val="en-GB"/>
        </w:rPr>
        <w:t xml:space="preserve">. 2nd </w:t>
      </w:r>
      <w:proofErr w:type="spellStart"/>
      <w:r w:rsidRPr="001A3AB1">
        <w:rPr>
          <w:rFonts w:ascii="Arial" w:eastAsia="Arial" w:hAnsi="Arial" w:cs="Arial"/>
          <w:lang w:val="en-GB"/>
        </w:rPr>
        <w:t>edn</w:t>
      </w:r>
      <w:proofErr w:type="spellEnd"/>
      <w:r w:rsidRPr="001A3AB1">
        <w:rPr>
          <w:rFonts w:ascii="Arial" w:eastAsia="Arial" w:hAnsi="Arial" w:cs="Arial"/>
          <w:lang w:val="en-GB"/>
        </w:rPr>
        <w:t>. Cambridge, MA: MIT Press.</w:t>
      </w:r>
    </w:p>
    <w:p w14:paraId="27265A12" w14:textId="77777777" w:rsidR="00722B74" w:rsidRPr="001A3AB1" w:rsidRDefault="00722B74" w:rsidP="00CA2BC0">
      <w:pPr>
        <w:spacing w:after="0" w:line="360" w:lineRule="auto"/>
        <w:rPr>
          <w:rFonts w:ascii="Arial" w:eastAsia="Arial" w:hAnsi="Arial" w:cs="Arial"/>
          <w:lang w:val="en-GB"/>
        </w:rPr>
      </w:pPr>
    </w:p>
    <w:p w14:paraId="0958E5F0"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Mayer, J.D. and Salovey, P. (1997) ‘What is emotional intelligence?’, in Salovey, P. and Sluyter, D.J. (eds.) </w:t>
      </w:r>
      <w:r w:rsidRPr="001A3AB1">
        <w:rPr>
          <w:rFonts w:ascii="Arial" w:eastAsia="Arial" w:hAnsi="Arial" w:cs="Arial"/>
          <w:i/>
          <w:iCs/>
          <w:lang w:val="en-GB"/>
        </w:rPr>
        <w:t>Emotional Development and Emotional Intelligence: Educational Implications</w:t>
      </w:r>
      <w:r w:rsidRPr="001A3AB1">
        <w:rPr>
          <w:rFonts w:ascii="Arial" w:eastAsia="Arial" w:hAnsi="Arial" w:cs="Arial"/>
          <w:lang w:val="en-GB"/>
        </w:rPr>
        <w:t>. New York: Basic Books, pp. 3–31.</w:t>
      </w:r>
    </w:p>
    <w:p w14:paraId="3520CD5D" w14:textId="77777777" w:rsidR="00E246F2" w:rsidRPr="001A3AB1" w:rsidRDefault="00E246F2" w:rsidP="00CA2BC0">
      <w:pPr>
        <w:spacing w:after="0" w:line="360" w:lineRule="auto"/>
        <w:rPr>
          <w:rFonts w:ascii="Arial" w:eastAsia="Arial" w:hAnsi="Arial" w:cs="Arial"/>
          <w:lang w:val="en-GB"/>
        </w:rPr>
      </w:pPr>
    </w:p>
    <w:p w14:paraId="3279D8AB"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Mayer, J.D., Salovey, P. and Caruso, D.R. (2002) </w:t>
      </w:r>
      <w:r w:rsidRPr="001A3AB1">
        <w:rPr>
          <w:rFonts w:ascii="Arial" w:eastAsia="Arial" w:hAnsi="Arial" w:cs="Arial"/>
          <w:i/>
          <w:iCs/>
          <w:lang w:val="en-GB"/>
        </w:rPr>
        <w:t>Mayer–Salovey–Caruso Emotional Intelligence Test (MSCEIT) User’s Manual</w:t>
      </w:r>
      <w:r w:rsidRPr="001A3AB1">
        <w:rPr>
          <w:rFonts w:ascii="Arial" w:eastAsia="Arial" w:hAnsi="Arial" w:cs="Arial"/>
          <w:lang w:val="en-GB"/>
        </w:rPr>
        <w:t>. Toronto: Multi-Health Systems.</w:t>
      </w:r>
    </w:p>
    <w:p w14:paraId="4D4037C6" w14:textId="77777777" w:rsidR="00E246F2" w:rsidRPr="001A3AB1" w:rsidRDefault="00E246F2" w:rsidP="00CA2BC0">
      <w:pPr>
        <w:spacing w:after="0" w:line="360" w:lineRule="auto"/>
        <w:rPr>
          <w:rFonts w:ascii="Arial" w:eastAsia="Arial" w:hAnsi="Arial" w:cs="Arial"/>
          <w:lang w:val="en-GB"/>
        </w:rPr>
      </w:pPr>
    </w:p>
    <w:p w14:paraId="0779DF9B"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Parry, E. and Urwin, P. (2011) ‘Generational differences in work values: A review of theory and evidence’, </w:t>
      </w:r>
      <w:r w:rsidRPr="001A3AB1">
        <w:rPr>
          <w:rFonts w:ascii="Arial" w:eastAsia="Arial" w:hAnsi="Arial" w:cs="Arial"/>
          <w:i/>
          <w:iCs/>
          <w:lang w:val="en-GB"/>
        </w:rPr>
        <w:t>International Journal of Management Reviews</w:t>
      </w:r>
      <w:r w:rsidRPr="001A3AB1">
        <w:rPr>
          <w:rFonts w:ascii="Arial" w:eastAsia="Arial" w:hAnsi="Arial" w:cs="Arial"/>
          <w:lang w:val="en-GB"/>
        </w:rPr>
        <w:t>, 13(1), pp. 79–96.</w:t>
      </w:r>
    </w:p>
    <w:p w14:paraId="61EAFC8A" w14:textId="77777777" w:rsidR="00E246F2" w:rsidRPr="001A3AB1" w:rsidRDefault="00E246F2" w:rsidP="00CA2BC0">
      <w:pPr>
        <w:spacing w:after="0" w:line="360" w:lineRule="auto"/>
        <w:rPr>
          <w:rFonts w:ascii="Arial" w:eastAsia="Arial" w:hAnsi="Arial" w:cs="Arial"/>
          <w:lang w:val="en-GB"/>
        </w:rPr>
      </w:pPr>
    </w:p>
    <w:p w14:paraId="6983FBB9"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Przybylski, A.K. and Weinstein, N. (2017) ‘Digital screen time limits and young people’s psychological well-being’, </w:t>
      </w:r>
      <w:r w:rsidRPr="001A3AB1">
        <w:rPr>
          <w:rFonts w:ascii="Arial" w:eastAsia="Arial" w:hAnsi="Arial" w:cs="Arial"/>
          <w:i/>
          <w:iCs/>
          <w:lang w:val="en-GB"/>
        </w:rPr>
        <w:t>Child Development</w:t>
      </w:r>
      <w:r w:rsidRPr="001A3AB1">
        <w:rPr>
          <w:rFonts w:ascii="Arial" w:eastAsia="Arial" w:hAnsi="Arial" w:cs="Arial"/>
          <w:lang w:val="en-GB"/>
        </w:rPr>
        <w:t>, 90(1), pp. 56–65.</w:t>
      </w:r>
    </w:p>
    <w:p w14:paraId="5437CF22" w14:textId="77777777" w:rsidR="00E246F2" w:rsidRPr="001A3AB1" w:rsidRDefault="00E246F2" w:rsidP="00CA2BC0">
      <w:pPr>
        <w:spacing w:after="0" w:line="360" w:lineRule="auto"/>
        <w:rPr>
          <w:rFonts w:ascii="Arial" w:eastAsia="Arial" w:hAnsi="Arial" w:cs="Arial"/>
          <w:lang w:val="en-GB"/>
        </w:rPr>
      </w:pPr>
    </w:p>
    <w:p w14:paraId="075CCDD0"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Purser, R. (2019) </w:t>
      </w:r>
      <w:proofErr w:type="spellStart"/>
      <w:r w:rsidRPr="001A3AB1">
        <w:rPr>
          <w:rFonts w:ascii="Arial" w:eastAsia="Arial" w:hAnsi="Arial" w:cs="Arial"/>
          <w:i/>
          <w:iCs/>
          <w:lang w:val="en-GB"/>
        </w:rPr>
        <w:t>McMindfulness</w:t>
      </w:r>
      <w:proofErr w:type="spellEnd"/>
      <w:r w:rsidRPr="001A3AB1">
        <w:rPr>
          <w:rFonts w:ascii="Arial" w:eastAsia="Arial" w:hAnsi="Arial" w:cs="Arial"/>
          <w:i/>
          <w:iCs/>
          <w:lang w:val="en-GB"/>
        </w:rPr>
        <w:t>: How Mindfulness Became the New Capitalist Spirituality</w:t>
      </w:r>
      <w:r w:rsidRPr="001A3AB1">
        <w:rPr>
          <w:rFonts w:ascii="Arial" w:eastAsia="Arial" w:hAnsi="Arial" w:cs="Arial"/>
          <w:lang w:val="en-GB"/>
        </w:rPr>
        <w:t>. London: Repeater Books.</w:t>
      </w:r>
    </w:p>
    <w:p w14:paraId="61712038" w14:textId="77777777" w:rsidR="00E246F2" w:rsidRPr="001A3AB1" w:rsidRDefault="00E246F2" w:rsidP="00CA2BC0">
      <w:pPr>
        <w:spacing w:after="0" w:line="360" w:lineRule="auto"/>
        <w:rPr>
          <w:rFonts w:ascii="Arial" w:eastAsia="Arial" w:hAnsi="Arial" w:cs="Arial"/>
          <w:lang w:val="en-GB"/>
        </w:rPr>
      </w:pPr>
    </w:p>
    <w:p w14:paraId="0E5063BB"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Schroth, H. (2019) ‘Are you ready for Gen Z in the workplace?’, </w:t>
      </w:r>
      <w:r w:rsidRPr="001A3AB1">
        <w:rPr>
          <w:rFonts w:ascii="Arial" w:eastAsia="Arial" w:hAnsi="Arial" w:cs="Arial"/>
          <w:i/>
          <w:iCs/>
          <w:lang w:val="en-GB"/>
        </w:rPr>
        <w:t>California Management Review</w:t>
      </w:r>
      <w:r w:rsidRPr="001A3AB1">
        <w:rPr>
          <w:rFonts w:ascii="Arial" w:eastAsia="Arial" w:hAnsi="Arial" w:cs="Arial"/>
          <w:lang w:val="en-GB"/>
        </w:rPr>
        <w:t>, 61(3), pp. 5–18.</w:t>
      </w:r>
    </w:p>
    <w:p w14:paraId="007FB698" w14:textId="77777777" w:rsidR="00E246F2" w:rsidRPr="001A3AB1" w:rsidRDefault="00E246F2" w:rsidP="00CA2BC0">
      <w:pPr>
        <w:spacing w:after="0" w:line="360" w:lineRule="auto"/>
        <w:rPr>
          <w:rFonts w:ascii="Arial" w:eastAsia="Arial" w:hAnsi="Arial" w:cs="Arial"/>
          <w:lang w:val="en-GB"/>
        </w:rPr>
      </w:pPr>
    </w:p>
    <w:p w14:paraId="3D0EB521"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Tang, Y.Y., Hölzel, B.K. and Posner, M.I. (2015) ‘The neuroscience of mindfulness meditation’, </w:t>
      </w:r>
      <w:r w:rsidRPr="001A3AB1">
        <w:rPr>
          <w:rFonts w:ascii="Arial" w:eastAsia="Arial" w:hAnsi="Arial" w:cs="Arial"/>
          <w:i/>
          <w:iCs/>
          <w:lang w:val="en-GB"/>
        </w:rPr>
        <w:t>Nature Reviews Neuroscience</w:t>
      </w:r>
      <w:r w:rsidRPr="001A3AB1">
        <w:rPr>
          <w:rFonts w:ascii="Arial" w:eastAsia="Arial" w:hAnsi="Arial" w:cs="Arial"/>
          <w:lang w:val="en-GB"/>
        </w:rPr>
        <w:t>, 16(4), pp. 213–225.</w:t>
      </w:r>
    </w:p>
    <w:p w14:paraId="3229BD95" w14:textId="77777777" w:rsidR="00E246F2" w:rsidRPr="001A3AB1" w:rsidRDefault="00E246F2" w:rsidP="00CA2BC0">
      <w:pPr>
        <w:spacing w:after="0" w:line="360" w:lineRule="auto"/>
        <w:rPr>
          <w:rFonts w:ascii="Arial" w:eastAsia="Arial" w:hAnsi="Arial" w:cs="Arial"/>
          <w:lang w:val="en-GB"/>
        </w:rPr>
      </w:pPr>
    </w:p>
    <w:p w14:paraId="784795AA"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Twenge, J.M., Campbell, S.M. and Freeman, E.C. (2019) ‘Generational differences in work values’, </w:t>
      </w:r>
      <w:r w:rsidRPr="001A3AB1">
        <w:rPr>
          <w:rFonts w:ascii="Arial" w:eastAsia="Arial" w:hAnsi="Arial" w:cs="Arial"/>
          <w:i/>
          <w:iCs/>
          <w:lang w:val="en-GB"/>
        </w:rPr>
        <w:t>Journal of Management</w:t>
      </w:r>
      <w:r w:rsidRPr="001A3AB1">
        <w:rPr>
          <w:rFonts w:ascii="Arial" w:eastAsia="Arial" w:hAnsi="Arial" w:cs="Arial"/>
          <w:lang w:val="en-GB"/>
        </w:rPr>
        <w:t>, 45(5), pp. 1117–1145.</w:t>
      </w:r>
    </w:p>
    <w:p w14:paraId="4AE2D54B" w14:textId="77777777" w:rsidR="00A54AFC" w:rsidRPr="001A3AB1" w:rsidRDefault="00A54AFC" w:rsidP="00CA2BC0">
      <w:pPr>
        <w:spacing w:after="0" w:line="360" w:lineRule="auto"/>
        <w:rPr>
          <w:rFonts w:ascii="Arial" w:eastAsia="Arial" w:hAnsi="Arial" w:cs="Arial"/>
          <w:lang w:val="en-GB"/>
        </w:rPr>
      </w:pPr>
    </w:p>
    <w:p w14:paraId="6D45A36D" w14:textId="77777777" w:rsid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West, M., Bailey, S. and Williams, E. (2014) </w:t>
      </w:r>
      <w:r w:rsidRPr="001A3AB1">
        <w:rPr>
          <w:rFonts w:ascii="Arial" w:eastAsia="Arial" w:hAnsi="Arial" w:cs="Arial"/>
          <w:i/>
          <w:iCs/>
          <w:lang w:val="en-GB"/>
        </w:rPr>
        <w:t>Is the NHS better through staff engagement and mindfulness?</w:t>
      </w:r>
      <w:r w:rsidRPr="001A3AB1">
        <w:rPr>
          <w:rFonts w:ascii="Arial" w:eastAsia="Arial" w:hAnsi="Arial" w:cs="Arial"/>
          <w:lang w:val="en-GB"/>
        </w:rPr>
        <w:t xml:space="preserve"> The King’s Fund Report, pp. 1–24.</w:t>
      </w:r>
    </w:p>
    <w:p w14:paraId="350D703C" w14:textId="77777777" w:rsidR="00A54AFC" w:rsidRPr="001A3AB1" w:rsidRDefault="00A54AFC" w:rsidP="00CA2BC0">
      <w:pPr>
        <w:spacing w:after="0" w:line="360" w:lineRule="auto"/>
        <w:rPr>
          <w:rFonts w:ascii="Arial" w:eastAsia="Arial" w:hAnsi="Arial" w:cs="Arial"/>
          <w:lang w:val="en-GB"/>
        </w:rPr>
      </w:pPr>
    </w:p>
    <w:p w14:paraId="239B726D" w14:textId="77777777" w:rsidR="001A3AB1" w:rsidRP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lastRenderedPageBreak/>
        <w:t xml:space="preserve">Whitmore, J. (2017) </w:t>
      </w:r>
      <w:r w:rsidRPr="001A3AB1">
        <w:rPr>
          <w:rFonts w:ascii="Arial" w:eastAsia="Arial" w:hAnsi="Arial" w:cs="Arial"/>
          <w:i/>
          <w:iCs/>
          <w:lang w:val="en-GB"/>
        </w:rPr>
        <w:t>Coaching for Performance: The Principles and Practice of Coaching and Leadership</w:t>
      </w:r>
      <w:r w:rsidRPr="001A3AB1">
        <w:rPr>
          <w:rFonts w:ascii="Arial" w:eastAsia="Arial" w:hAnsi="Arial" w:cs="Arial"/>
          <w:lang w:val="en-GB"/>
        </w:rPr>
        <w:t xml:space="preserve">. 5th </w:t>
      </w:r>
      <w:proofErr w:type="spellStart"/>
      <w:r w:rsidRPr="001A3AB1">
        <w:rPr>
          <w:rFonts w:ascii="Arial" w:eastAsia="Arial" w:hAnsi="Arial" w:cs="Arial"/>
          <w:lang w:val="en-GB"/>
        </w:rPr>
        <w:t>edn</w:t>
      </w:r>
      <w:proofErr w:type="spellEnd"/>
      <w:r w:rsidRPr="001A3AB1">
        <w:rPr>
          <w:rFonts w:ascii="Arial" w:eastAsia="Arial" w:hAnsi="Arial" w:cs="Arial"/>
          <w:lang w:val="en-GB"/>
        </w:rPr>
        <w:t>. London: Nicholas Brealey.</w:t>
      </w:r>
    </w:p>
    <w:p w14:paraId="1D8193BF" w14:textId="77777777" w:rsidR="001A3AB1" w:rsidRPr="001A3AB1" w:rsidRDefault="001A3AB1" w:rsidP="00CA2BC0">
      <w:pPr>
        <w:spacing w:after="0" w:line="360" w:lineRule="auto"/>
        <w:rPr>
          <w:rFonts w:ascii="Arial" w:eastAsia="Arial" w:hAnsi="Arial" w:cs="Arial"/>
          <w:lang w:val="en-GB"/>
        </w:rPr>
      </w:pPr>
      <w:r w:rsidRPr="001A3AB1">
        <w:rPr>
          <w:rFonts w:ascii="Arial" w:eastAsia="Arial" w:hAnsi="Arial" w:cs="Arial"/>
          <w:lang w:val="en-GB"/>
        </w:rPr>
        <w:t xml:space="preserve">Zeidner, M., Matthews, G. and Roberts, R.D. (2004) ‘Emotional intelligence in the workplace: A critical review’, </w:t>
      </w:r>
      <w:r w:rsidRPr="001A3AB1">
        <w:rPr>
          <w:rFonts w:ascii="Arial" w:eastAsia="Arial" w:hAnsi="Arial" w:cs="Arial"/>
          <w:i/>
          <w:iCs/>
          <w:lang w:val="en-GB"/>
        </w:rPr>
        <w:t>Applied Psychology: An International Review</w:t>
      </w:r>
      <w:r w:rsidRPr="001A3AB1">
        <w:rPr>
          <w:rFonts w:ascii="Arial" w:eastAsia="Arial" w:hAnsi="Arial" w:cs="Arial"/>
          <w:lang w:val="en-GB"/>
        </w:rPr>
        <w:t>, 53(3), pp. 371–399.</w:t>
      </w:r>
    </w:p>
    <w:p w14:paraId="5A4EA464" w14:textId="77777777" w:rsidR="00DC50B2" w:rsidRPr="003A473D" w:rsidRDefault="00DC50B2">
      <w:pPr>
        <w:spacing w:after="0" w:line="360" w:lineRule="auto"/>
        <w:rPr>
          <w:rFonts w:ascii="Arial" w:hAnsi="Arial" w:cs="Arial"/>
        </w:rPr>
      </w:pPr>
    </w:p>
    <w:sectPr w:rsidR="00DC50B2" w:rsidRPr="003A473D" w:rsidSect="00034616">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3E561" w14:textId="77777777" w:rsidR="00627AA4" w:rsidRDefault="00627AA4">
      <w:pPr>
        <w:spacing w:after="0" w:line="240" w:lineRule="auto"/>
      </w:pPr>
      <w:r>
        <w:separator/>
      </w:r>
    </w:p>
  </w:endnote>
  <w:endnote w:type="continuationSeparator" w:id="0">
    <w:p w14:paraId="51BCEFFB" w14:textId="77777777" w:rsidR="00627AA4" w:rsidRDefault="00627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923533"/>
      <w:docPartObj>
        <w:docPartGallery w:val="Page Numbers (Bottom of Page)"/>
        <w:docPartUnique/>
      </w:docPartObj>
    </w:sdtPr>
    <w:sdtEndPr>
      <w:rPr>
        <w:noProof/>
      </w:rPr>
    </w:sdtEndPr>
    <w:sdtContent>
      <w:p w14:paraId="2CC71DF6" w14:textId="2E444F92" w:rsidR="00796F79" w:rsidRDefault="00796F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C9892D" w14:textId="672FB888" w:rsidR="00F47A76" w:rsidRDefault="00F47A7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C0881" w14:textId="77777777" w:rsidR="00627AA4" w:rsidRDefault="00627AA4">
      <w:pPr>
        <w:spacing w:after="0" w:line="240" w:lineRule="auto"/>
      </w:pPr>
      <w:r>
        <w:separator/>
      </w:r>
    </w:p>
  </w:footnote>
  <w:footnote w:type="continuationSeparator" w:id="0">
    <w:p w14:paraId="3A636269" w14:textId="77777777" w:rsidR="00627AA4" w:rsidRDefault="00627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2A0DE0"/>
    <w:multiLevelType w:val="multilevel"/>
    <w:tmpl w:val="FE1AC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78A56E8"/>
    <w:multiLevelType w:val="multilevel"/>
    <w:tmpl w:val="8800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97F0628"/>
    <w:multiLevelType w:val="hybridMultilevel"/>
    <w:tmpl w:val="53C87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4D488F"/>
    <w:multiLevelType w:val="multilevel"/>
    <w:tmpl w:val="B8B2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CE7492"/>
    <w:multiLevelType w:val="multilevel"/>
    <w:tmpl w:val="893AF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0800E6"/>
    <w:multiLevelType w:val="hybridMultilevel"/>
    <w:tmpl w:val="70B40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DC7574"/>
    <w:multiLevelType w:val="multilevel"/>
    <w:tmpl w:val="53729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467672"/>
    <w:multiLevelType w:val="hybridMultilevel"/>
    <w:tmpl w:val="60EA8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97438D"/>
    <w:multiLevelType w:val="multilevel"/>
    <w:tmpl w:val="7B248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9360D9"/>
    <w:multiLevelType w:val="multilevel"/>
    <w:tmpl w:val="7DDCE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655A27"/>
    <w:multiLevelType w:val="multilevel"/>
    <w:tmpl w:val="BEA2F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A7215E"/>
    <w:multiLevelType w:val="hybridMultilevel"/>
    <w:tmpl w:val="99FCC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4A76B8"/>
    <w:multiLevelType w:val="hybridMultilevel"/>
    <w:tmpl w:val="E02460A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4D5717"/>
    <w:multiLevelType w:val="multilevel"/>
    <w:tmpl w:val="B8923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72B374F"/>
    <w:multiLevelType w:val="hybridMultilevel"/>
    <w:tmpl w:val="2ECE2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34624A"/>
    <w:multiLevelType w:val="multilevel"/>
    <w:tmpl w:val="EBF81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5D475C"/>
    <w:multiLevelType w:val="hybridMultilevel"/>
    <w:tmpl w:val="65B68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2780600">
    <w:abstractNumId w:val="8"/>
  </w:num>
  <w:num w:numId="2" w16cid:durableId="986670443">
    <w:abstractNumId w:val="6"/>
  </w:num>
  <w:num w:numId="3" w16cid:durableId="482239640">
    <w:abstractNumId w:val="5"/>
  </w:num>
  <w:num w:numId="4" w16cid:durableId="2006860877">
    <w:abstractNumId w:val="4"/>
  </w:num>
  <w:num w:numId="5" w16cid:durableId="1024555956">
    <w:abstractNumId w:val="7"/>
  </w:num>
  <w:num w:numId="6" w16cid:durableId="700322836">
    <w:abstractNumId w:val="3"/>
  </w:num>
  <w:num w:numId="7" w16cid:durableId="420952951">
    <w:abstractNumId w:val="2"/>
  </w:num>
  <w:num w:numId="8" w16cid:durableId="380176338">
    <w:abstractNumId w:val="1"/>
  </w:num>
  <w:num w:numId="9" w16cid:durableId="1615668372">
    <w:abstractNumId w:val="0"/>
  </w:num>
  <w:num w:numId="10" w16cid:durableId="1924483202">
    <w:abstractNumId w:val="19"/>
  </w:num>
  <w:num w:numId="11" w16cid:durableId="429276525">
    <w:abstractNumId w:val="14"/>
  </w:num>
  <w:num w:numId="12" w16cid:durableId="840504989">
    <w:abstractNumId w:val="16"/>
  </w:num>
  <w:num w:numId="13" w16cid:durableId="780489892">
    <w:abstractNumId w:val="20"/>
  </w:num>
  <w:num w:numId="14" w16cid:durableId="720251356">
    <w:abstractNumId w:val="11"/>
  </w:num>
  <w:num w:numId="15" w16cid:durableId="1204488722">
    <w:abstractNumId w:val="23"/>
  </w:num>
  <w:num w:numId="16" w16cid:durableId="432941473">
    <w:abstractNumId w:val="25"/>
  </w:num>
  <w:num w:numId="17" w16cid:durableId="786628748">
    <w:abstractNumId w:val="22"/>
  </w:num>
  <w:num w:numId="18" w16cid:durableId="1108307941">
    <w:abstractNumId w:val="12"/>
  </w:num>
  <w:num w:numId="19" w16cid:durableId="751125806">
    <w:abstractNumId w:val="24"/>
  </w:num>
  <w:num w:numId="20" w16cid:durableId="1337079018">
    <w:abstractNumId w:val="10"/>
  </w:num>
  <w:num w:numId="21" w16cid:durableId="975918273">
    <w:abstractNumId w:val="18"/>
  </w:num>
  <w:num w:numId="22" w16cid:durableId="2103720451">
    <w:abstractNumId w:val="9"/>
  </w:num>
  <w:num w:numId="23" w16cid:durableId="1120994921">
    <w:abstractNumId w:val="17"/>
  </w:num>
  <w:num w:numId="24" w16cid:durableId="217985384">
    <w:abstractNumId w:val="15"/>
  </w:num>
  <w:num w:numId="25" w16cid:durableId="902525124">
    <w:abstractNumId w:val="21"/>
  </w:num>
  <w:num w:numId="26" w16cid:durableId="20723843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398"/>
    <w:rsid w:val="00034616"/>
    <w:rsid w:val="00053414"/>
    <w:rsid w:val="0006063C"/>
    <w:rsid w:val="00076F43"/>
    <w:rsid w:val="00085A90"/>
    <w:rsid w:val="000B3FEC"/>
    <w:rsid w:val="000B73F2"/>
    <w:rsid w:val="000F1D21"/>
    <w:rsid w:val="00101F0A"/>
    <w:rsid w:val="0010309D"/>
    <w:rsid w:val="001044BC"/>
    <w:rsid w:val="00104D8B"/>
    <w:rsid w:val="0015074B"/>
    <w:rsid w:val="0015518A"/>
    <w:rsid w:val="00157BE2"/>
    <w:rsid w:val="00163A05"/>
    <w:rsid w:val="0016598A"/>
    <w:rsid w:val="00165A72"/>
    <w:rsid w:val="00177F3F"/>
    <w:rsid w:val="001948B6"/>
    <w:rsid w:val="001A3AB1"/>
    <w:rsid w:val="001B54DE"/>
    <w:rsid w:val="001E04A5"/>
    <w:rsid w:val="001F62CE"/>
    <w:rsid w:val="00225834"/>
    <w:rsid w:val="00235542"/>
    <w:rsid w:val="0024272B"/>
    <w:rsid w:val="0026373E"/>
    <w:rsid w:val="002962A9"/>
    <w:rsid w:val="0029639D"/>
    <w:rsid w:val="00296D3E"/>
    <w:rsid w:val="002A6213"/>
    <w:rsid w:val="002B7561"/>
    <w:rsid w:val="002E262F"/>
    <w:rsid w:val="002F2442"/>
    <w:rsid w:val="00306253"/>
    <w:rsid w:val="003073F7"/>
    <w:rsid w:val="00326F90"/>
    <w:rsid w:val="003270A4"/>
    <w:rsid w:val="00336D44"/>
    <w:rsid w:val="003644F9"/>
    <w:rsid w:val="00364B93"/>
    <w:rsid w:val="00371549"/>
    <w:rsid w:val="00380FDB"/>
    <w:rsid w:val="003854C7"/>
    <w:rsid w:val="00387464"/>
    <w:rsid w:val="003A473D"/>
    <w:rsid w:val="003A7E7F"/>
    <w:rsid w:val="003C2068"/>
    <w:rsid w:val="003C2B2C"/>
    <w:rsid w:val="003F693A"/>
    <w:rsid w:val="004015CF"/>
    <w:rsid w:val="00401B13"/>
    <w:rsid w:val="00402C6A"/>
    <w:rsid w:val="004040B0"/>
    <w:rsid w:val="00414AA9"/>
    <w:rsid w:val="00436210"/>
    <w:rsid w:val="00445ADB"/>
    <w:rsid w:val="00450898"/>
    <w:rsid w:val="0046428D"/>
    <w:rsid w:val="004642DE"/>
    <w:rsid w:val="00467E36"/>
    <w:rsid w:val="00472214"/>
    <w:rsid w:val="00480B47"/>
    <w:rsid w:val="004A1A68"/>
    <w:rsid w:val="004C0656"/>
    <w:rsid w:val="004E11BE"/>
    <w:rsid w:val="004F1D49"/>
    <w:rsid w:val="005051FD"/>
    <w:rsid w:val="005062DD"/>
    <w:rsid w:val="00527273"/>
    <w:rsid w:val="005341A9"/>
    <w:rsid w:val="00534AE2"/>
    <w:rsid w:val="005534F0"/>
    <w:rsid w:val="00561BD9"/>
    <w:rsid w:val="00570F96"/>
    <w:rsid w:val="0057244A"/>
    <w:rsid w:val="00587337"/>
    <w:rsid w:val="005B0E91"/>
    <w:rsid w:val="005B231D"/>
    <w:rsid w:val="005B3119"/>
    <w:rsid w:val="005B6603"/>
    <w:rsid w:val="005C3770"/>
    <w:rsid w:val="005E41C3"/>
    <w:rsid w:val="005F2C11"/>
    <w:rsid w:val="00627AA4"/>
    <w:rsid w:val="006514D8"/>
    <w:rsid w:val="00680FB6"/>
    <w:rsid w:val="00687131"/>
    <w:rsid w:val="00692331"/>
    <w:rsid w:val="00694AB0"/>
    <w:rsid w:val="006A0C69"/>
    <w:rsid w:val="006A0F57"/>
    <w:rsid w:val="006A4704"/>
    <w:rsid w:val="006A6CDE"/>
    <w:rsid w:val="006A7D95"/>
    <w:rsid w:val="00722B74"/>
    <w:rsid w:val="00723E33"/>
    <w:rsid w:val="00725EEE"/>
    <w:rsid w:val="00732EAE"/>
    <w:rsid w:val="00734197"/>
    <w:rsid w:val="00752429"/>
    <w:rsid w:val="00762383"/>
    <w:rsid w:val="0077059B"/>
    <w:rsid w:val="00784A49"/>
    <w:rsid w:val="00784DDC"/>
    <w:rsid w:val="00787083"/>
    <w:rsid w:val="00796F79"/>
    <w:rsid w:val="00797C22"/>
    <w:rsid w:val="007B21D3"/>
    <w:rsid w:val="007B571B"/>
    <w:rsid w:val="007B65C8"/>
    <w:rsid w:val="007B76CC"/>
    <w:rsid w:val="007C636E"/>
    <w:rsid w:val="007D6937"/>
    <w:rsid w:val="007F2643"/>
    <w:rsid w:val="00806CAC"/>
    <w:rsid w:val="00816233"/>
    <w:rsid w:val="008243A7"/>
    <w:rsid w:val="00825477"/>
    <w:rsid w:val="0084247F"/>
    <w:rsid w:val="008525AF"/>
    <w:rsid w:val="00894796"/>
    <w:rsid w:val="008C0375"/>
    <w:rsid w:val="008F1C84"/>
    <w:rsid w:val="00901625"/>
    <w:rsid w:val="009408EF"/>
    <w:rsid w:val="00944458"/>
    <w:rsid w:val="00947B66"/>
    <w:rsid w:val="00953A34"/>
    <w:rsid w:val="009673A2"/>
    <w:rsid w:val="0098095B"/>
    <w:rsid w:val="009832A3"/>
    <w:rsid w:val="009B1682"/>
    <w:rsid w:val="009D57FD"/>
    <w:rsid w:val="00A014CB"/>
    <w:rsid w:val="00A26D7F"/>
    <w:rsid w:val="00A30AD5"/>
    <w:rsid w:val="00A54AFC"/>
    <w:rsid w:val="00A5501F"/>
    <w:rsid w:val="00A76C35"/>
    <w:rsid w:val="00A86C74"/>
    <w:rsid w:val="00AA1D8D"/>
    <w:rsid w:val="00AC265C"/>
    <w:rsid w:val="00AE4286"/>
    <w:rsid w:val="00B05333"/>
    <w:rsid w:val="00B10DAE"/>
    <w:rsid w:val="00B36319"/>
    <w:rsid w:val="00B47730"/>
    <w:rsid w:val="00B512F3"/>
    <w:rsid w:val="00B92C7B"/>
    <w:rsid w:val="00BA6BAC"/>
    <w:rsid w:val="00BD0022"/>
    <w:rsid w:val="00BD0CE5"/>
    <w:rsid w:val="00C11D31"/>
    <w:rsid w:val="00C14A1E"/>
    <w:rsid w:val="00C25FDA"/>
    <w:rsid w:val="00C34387"/>
    <w:rsid w:val="00C52707"/>
    <w:rsid w:val="00C76F9D"/>
    <w:rsid w:val="00C82A67"/>
    <w:rsid w:val="00C864B9"/>
    <w:rsid w:val="00C91C30"/>
    <w:rsid w:val="00CA2BC0"/>
    <w:rsid w:val="00CB0664"/>
    <w:rsid w:val="00CB71D8"/>
    <w:rsid w:val="00CC0C78"/>
    <w:rsid w:val="00CE087C"/>
    <w:rsid w:val="00D118C0"/>
    <w:rsid w:val="00D276E1"/>
    <w:rsid w:val="00D40399"/>
    <w:rsid w:val="00D407BB"/>
    <w:rsid w:val="00D45476"/>
    <w:rsid w:val="00D51BE5"/>
    <w:rsid w:val="00D72217"/>
    <w:rsid w:val="00D90ADE"/>
    <w:rsid w:val="00DB0E38"/>
    <w:rsid w:val="00DC50B2"/>
    <w:rsid w:val="00DC536F"/>
    <w:rsid w:val="00DD178A"/>
    <w:rsid w:val="00DD3B38"/>
    <w:rsid w:val="00DD7651"/>
    <w:rsid w:val="00E00DD2"/>
    <w:rsid w:val="00E13E3D"/>
    <w:rsid w:val="00E23F43"/>
    <w:rsid w:val="00E246F2"/>
    <w:rsid w:val="00E31914"/>
    <w:rsid w:val="00E32927"/>
    <w:rsid w:val="00E37995"/>
    <w:rsid w:val="00E37F9C"/>
    <w:rsid w:val="00E51F6F"/>
    <w:rsid w:val="00E57166"/>
    <w:rsid w:val="00E579AF"/>
    <w:rsid w:val="00E612FE"/>
    <w:rsid w:val="00E61F93"/>
    <w:rsid w:val="00E7250A"/>
    <w:rsid w:val="00E8172C"/>
    <w:rsid w:val="00EA557D"/>
    <w:rsid w:val="00EB45B6"/>
    <w:rsid w:val="00EC4244"/>
    <w:rsid w:val="00EF3AED"/>
    <w:rsid w:val="00F04E3E"/>
    <w:rsid w:val="00F2192B"/>
    <w:rsid w:val="00F414BA"/>
    <w:rsid w:val="00F47A76"/>
    <w:rsid w:val="00F55F78"/>
    <w:rsid w:val="00F7440A"/>
    <w:rsid w:val="00F842EA"/>
    <w:rsid w:val="00F87CDD"/>
    <w:rsid w:val="00F96D0F"/>
    <w:rsid w:val="00FA6E34"/>
    <w:rsid w:val="00FB1A07"/>
    <w:rsid w:val="00FB30F6"/>
    <w:rsid w:val="00FB45D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B5847E"/>
  <w14:defaultImageDpi w14:val="300"/>
  <w15:docId w15:val="{6A57FC6C-6181-42BD-9C92-FF9F94BE3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512F3"/>
    <w:rPr>
      <w:color w:val="0000FF"/>
      <w:u w:val="single"/>
    </w:rPr>
  </w:style>
  <w:style w:type="character" w:styleId="UnresolvedMention">
    <w:name w:val="Unresolved Mention"/>
    <w:basedOn w:val="DefaultParagraphFont"/>
    <w:uiPriority w:val="99"/>
    <w:semiHidden/>
    <w:unhideWhenUsed/>
    <w:rsid w:val="00BD0022"/>
    <w:rPr>
      <w:color w:val="605E5C"/>
      <w:shd w:val="clear" w:color="auto" w:fill="E1DFDD"/>
    </w:rPr>
  </w:style>
  <w:style w:type="paragraph" w:styleId="TOC1">
    <w:name w:val="toc 1"/>
    <w:basedOn w:val="Normal"/>
    <w:next w:val="Normal"/>
    <w:autoRedefine/>
    <w:uiPriority w:val="39"/>
    <w:unhideWhenUsed/>
    <w:rsid w:val="00480B47"/>
    <w:pPr>
      <w:spacing w:after="100"/>
    </w:pPr>
  </w:style>
  <w:style w:type="paragraph" w:styleId="TOC2">
    <w:name w:val="toc 2"/>
    <w:basedOn w:val="Normal"/>
    <w:next w:val="Normal"/>
    <w:autoRedefine/>
    <w:uiPriority w:val="39"/>
    <w:unhideWhenUsed/>
    <w:rsid w:val="00C14A1E"/>
    <w:pPr>
      <w:tabs>
        <w:tab w:val="right" w:leader="dot" w:pos="8630"/>
      </w:tabs>
      <w:spacing w:after="100"/>
      <w:ind w:left="220"/>
    </w:pPr>
    <w:rPr>
      <w:rFonts w:ascii="Arial" w:hAnsi="Arial" w:cs="Arial"/>
      <w:lang w:val="en-GB"/>
    </w:rPr>
  </w:style>
  <w:style w:type="paragraph" w:styleId="NormalWeb">
    <w:name w:val="Normal (Web)"/>
    <w:basedOn w:val="Normal"/>
    <w:uiPriority w:val="99"/>
    <w:unhideWhenUsed/>
    <w:rsid w:val="00E51F6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3.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ercommons.org/courseware/lesson/78334" TargetMode="External"/><Relationship Id="rId5" Type="http://schemas.openxmlformats.org/officeDocument/2006/relationships/webSettings" Target="webSettings.xml"/><Relationship Id="rId15" Type="http://schemas.openxmlformats.org/officeDocument/2006/relationships/hyperlink" Target="https://www2.deloitte.com" TargetMode="External"/><Relationship Id="rId10" Type="http://schemas.openxmlformats.org/officeDocument/2006/relationships/hyperlink" Target="https://creativecommons.org/licenses/by/3.0/" TargetMode="External"/><Relationship Id="rId4" Type="http://schemas.openxmlformats.org/officeDocument/2006/relationships/settings" Target="settings.xml"/><Relationship Id="rId9" Type="http://schemas.openxmlformats.org/officeDocument/2006/relationships/hyperlink" Target="https://oercommons.org/courseware/lesson/78334"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4254</Words>
  <Characters>28848</Characters>
  <Application>Microsoft Office Word</Application>
  <DocSecurity>0</DocSecurity>
  <Lines>554</Lines>
  <Paragraphs>206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Suleha Azad</cp:lastModifiedBy>
  <cp:revision>12</cp:revision>
  <dcterms:created xsi:type="dcterms:W3CDTF">2025-11-15T09:43:00Z</dcterms:created>
  <dcterms:modified xsi:type="dcterms:W3CDTF">2025-11-15T10:24:00Z</dcterms:modified>
  <cp:category/>
</cp:coreProperties>
</file>