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32A794" w14:textId="77777777" w:rsidR="00FD027A" w:rsidRDefault="000A150F">
      <w:pPr>
        <w:pStyle w:val="Heading1"/>
      </w:pPr>
      <w:r>
        <w:t>Instructions</w:t>
      </w:r>
    </w:p>
    <w:p w14:paraId="0953A007" w14:textId="77777777" w:rsidR="00FD027A" w:rsidRDefault="000A150F">
      <w:r>
        <w:t>Make sure that all the sources you’ve used in your paper are listed on the reference page. Place the reference page on a new page, right after the body text, but before any appendices.</w:t>
      </w:r>
    </w:p>
    <w:p w14:paraId="682ED60D" w14:textId="77777777" w:rsidR="00FD027A" w:rsidRDefault="000A150F">
      <w:r>
        <w:t>The Scribbr Citation Generator already applied the APA format to your reference list, meaning:</w:t>
      </w:r>
    </w:p>
    <w:p w14:paraId="67D6A2B0" w14:textId="77777777" w:rsidR="00FD027A" w:rsidRDefault="000A150F">
      <w:pPr>
        <w:pStyle w:val="ListBullet"/>
      </w:pPr>
      <w:r>
        <w:t>The page starts with the section label “References” (bold and centered)</w:t>
      </w:r>
    </w:p>
    <w:p w14:paraId="302C1E58" w14:textId="77777777" w:rsidR="00FD027A" w:rsidRDefault="000A150F">
      <w:pPr>
        <w:pStyle w:val="ListBullet"/>
      </w:pPr>
      <w:r>
        <w:t xml:space="preserve">References are ordered </w:t>
      </w:r>
      <w:hyperlink r:id="rId7" w:history="1">
        <w:r>
          <w:rPr>
            <w:rStyle w:val="Hyperlink"/>
          </w:rPr>
          <w:t>alphabetically</w:t>
        </w:r>
      </w:hyperlink>
    </w:p>
    <w:p w14:paraId="2794D8BB" w14:textId="77777777" w:rsidR="00FD027A" w:rsidRDefault="000A150F">
      <w:pPr>
        <w:pStyle w:val="ListBullet"/>
      </w:pPr>
      <w:r>
        <w:t>The text is double-spaced</w:t>
      </w:r>
    </w:p>
    <w:p w14:paraId="144B51B5" w14:textId="77777777" w:rsidR="00FD027A" w:rsidRDefault="000A150F">
      <w:pPr>
        <w:pStyle w:val="ListBullet"/>
      </w:pPr>
      <w:r>
        <w:t>A hanging indent of ½ inch is applied</w:t>
      </w:r>
    </w:p>
    <w:p w14:paraId="288A4314" w14:textId="77777777" w:rsidR="00FD027A" w:rsidRDefault="000A150F">
      <w:pPr>
        <w:pStyle w:val="ListBullet"/>
      </w:pPr>
      <w:r>
        <w:t>Page numbering in the top-right corner</w:t>
      </w:r>
    </w:p>
    <w:p w14:paraId="5B3C2431" w14:textId="77777777" w:rsidR="00FD027A" w:rsidRDefault="000A150F">
      <w:r>
        <w:t xml:space="preserve">Still have questions? Check out Scribbr’s </w:t>
      </w:r>
      <w:hyperlink r:id="rId8" w:history="1">
        <w:r>
          <w:rPr>
            <w:rStyle w:val="Hyperlink"/>
          </w:rPr>
          <w:t>article on formatting the reference page</w:t>
        </w:r>
      </w:hyperlink>
      <w:r>
        <w:t>.</w:t>
      </w:r>
    </w:p>
    <w:p w14:paraId="2D45420B" w14:textId="77777777" w:rsidR="00FD027A" w:rsidRDefault="000A150F">
      <w:pPr>
        <w:pBdr>
          <w:top w:val="single" w:sz="1" w:space="12" w:color="E8F2FC"/>
          <w:left w:val="single" w:sz="1" w:space="12" w:color="E8F2FC"/>
          <w:bottom w:val="single" w:sz="1" w:space="0" w:color="E8F2FC"/>
          <w:right w:val="single" w:sz="1" w:space="12" w:color="E8F2FC"/>
        </w:pBdr>
        <w:shd w:val="solid" w:color="E8F2FC" w:fill="auto"/>
        <w:ind w:firstLine="0"/>
      </w:pPr>
      <w:r>
        <w:t xml:space="preserve">Tip: don’t forget to check your </w:t>
      </w:r>
      <w:hyperlink r:id="rId9" w:history="1">
        <w:r>
          <w:rPr>
            <w:rStyle w:val="Hyperlink"/>
          </w:rPr>
          <w:t>in-text citations</w:t>
        </w:r>
      </w:hyperlink>
      <w:r>
        <w:t xml:space="preserve"> for accuracy. Need a little help? The </w:t>
      </w:r>
      <w:hyperlink r:id="rId10" w:history="1">
        <w:r>
          <w:rPr>
            <w:rStyle w:val="Hyperlink"/>
          </w:rPr>
          <w:t>Scribbr Citation Checker</w:t>
        </w:r>
      </w:hyperlink>
      <w:r>
        <w:t xml:space="preserve"> can automatically analyze your in-text citations for stylistic errors and inconsistencies, presenting you with simple instructions that help fix them.</w:t>
      </w:r>
    </w:p>
    <w:p w14:paraId="01CA73E4" w14:textId="5CB09C50" w:rsidR="00FD027A" w:rsidRDefault="00287DD9" w:rsidP="00351121">
      <w:pPr>
        <w:pStyle w:val="Heading1"/>
        <w:pageBreakBefore/>
        <w:rPr>
          <w:lang w:val="nl-NL"/>
        </w:rPr>
      </w:pPr>
      <w:r>
        <w:rPr>
          <w:lang w:val="nl-NL"/>
        </w:rPr>
        <w:lastRenderedPageBreak/>
        <w:t>References</w:t>
      </w:r>
    </w:p>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ACCPAdmin. (2024, January 25). </w:t>
      </w:r>
      <w:r>
        <w:rPr>
          <w:b w:val="false"/>
          <w:bCs w:val="false"/>
          <w:i w:val="true"/>
          <w:iCs w:val="true"/>
        </w:rPr>
        <w:t xml:space="preserve">Updated &amp;#8211; Corporate Social Responsibility: A Brief History</w:t>
      </w:r>
      <w:r>
        <w:rPr>
          <w:b w:val="false"/>
          <w:bCs w:val="false"/>
          <w:i w:val="false"/>
          <w:iCs w:val="false"/>
        </w:rPr>
        <w:t xml:space="preserve">. Association of Corporate Citizenship Professionals. </w:t>
      </w:r>
      <w:r>
        <w:rPr>
          <w:b w:val="false"/>
          <w:bCs w:val="false"/>
          <w:i w:val="false"/>
          <w:iCs w:val="false"/>
        </w:rPr>
        <w:t xml:space="preserve">https://accp.org/resources/csr-resources/accp-insights-blog/corporate-social-responsibility-brief-history/#:~:text=Howard%20Bowen%2C%20an%20American%20economist,called%20Social%20Responsibilities%20of%20the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Acharya, M. (2023, September 22). </w:t>
      </w:r>
      <w:r>
        <w:rPr>
          <w:b w:val="false"/>
          <w:bCs w:val="false"/>
          <w:i w:val="true"/>
          <w:iCs w:val="true"/>
        </w:rPr>
        <w:t xml:space="preserve">Corporate social Responsibility under Section 135 of Companies Act 2013</w:t>
      </w:r>
      <w:r>
        <w:rPr>
          <w:b w:val="false"/>
          <w:bCs w:val="false"/>
          <w:i w:val="false"/>
          <w:iCs w:val="false"/>
        </w:rPr>
        <w:t xml:space="preserve">. Cleartax. </w:t>
      </w:r>
      <w:r>
        <w:rPr>
          <w:b w:val="false"/>
          <w:bCs w:val="false"/>
          <w:i w:val="false"/>
          <w:iCs w:val="false"/>
        </w:rPr>
        <w:t xml:space="preserve">https://cleartax.in/s/corporate-social-responsibility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Aldrick, P. (2021, March 5). Companies ‘will quit UK’ over Sunak’s corporation tax rise. </w:t>
      </w:r>
      <w:r>
        <w:rPr>
          <w:b w:val="false"/>
          <w:bCs w:val="false"/>
          <w:i w:val="true"/>
          <w:iCs w:val="true"/>
        </w:rPr>
        <w:t xml:space="preserve">The Times</w:t>
      </w:r>
      <w:r>
        <w:rPr>
          <w:b w:val="false"/>
          <w:bCs w:val="false"/>
          <w:i w:val="false"/>
          <w:iCs w:val="false"/>
        </w:rPr>
        <w:t xml:space="preserve">. </w:t>
      </w:r>
      <w:r>
        <w:rPr>
          <w:b w:val="false"/>
          <w:bCs w:val="false"/>
          <w:i w:val="false"/>
          <w:iCs w:val="false"/>
        </w:rPr>
        <w:t xml:space="preserve">https://www.thetimes.co.uk/article/companies-will-quit-uk-over-sunaks-corporation-tax-rise-2vdq8vnd9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Bhattacharyya, A., &amp; Rahman, L. (2019). Mandatory CSR expenditure and firm performance. </w:t>
      </w:r>
      <w:r>
        <w:rPr>
          <w:b w:val="false"/>
          <w:bCs w:val="false"/>
          <w:i w:val="true"/>
          <w:iCs w:val="true"/>
        </w:rPr>
        <w:t xml:space="preserve">Journal of Contemporary Accounting &amp; Economics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15</w:t>
      </w:r>
      <w:r>
        <w:rPr>
          <w:b w:val="false"/>
          <w:bCs w:val="false"/>
          <w:i w:val="false"/>
          <w:iCs w:val="false"/>
        </w:rPr>
        <w:t xml:space="preserve">(3), 100163. </w:t>
      </w:r>
      <w:r>
        <w:rPr>
          <w:b w:val="false"/>
          <w:bCs w:val="false"/>
          <w:i w:val="false"/>
          <w:iCs w:val="false"/>
        </w:rPr>
        <w:t xml:space="preserve">https://doi.org/10.1016/j.jcae.2019.100163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Bigouette, S. (2019, May 21). </w:t>
      </w:r>
      <w:r>
        <w:rPr>
          <w:b w:val="false"/>
          <w:bCs w:val="false"/>
          <w:i w:val="true"/>
          <w:iCs w:val="true"/>
        </w:rPr>
        <w:t xml:space="preserve">Where does Volvo’s reputation for safety come from?</w:t>
      </w:r>
      <w:r>
        <w:rPr>
          <w:b w:val="false"/>
          <w:bCs w:val="false"/>
          <w:i w:val="false"/>
          <w:iCs w:val="false"/>
        </w:rPr>
        <w:t xml:space="preserve"> Wyant Group. </w:t>
      </w:r>
      <w:r>
        <w:rPr>
          <w:b w:val="false"/>
          <w:bCs w:val="false"/>
          <w:i w:val="false"/>
          <w:iCs w:val="false"/>
        </w:rPr>
        <w:t xml:space="preserve">https://wyantgroup.com/where-does-volvos-reputation-for-safety-come-from/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Cashore, B. (2002). Legitimacy and the Privatization of Environmental Governance: How Non–State Market–Driven (NSMD) Governance Systems Gain Rule–Making Authority. </w:t>
      </w:r>
      <w:r>
        <w:rPr>
          <w:b w:val="false"/>
          <w:bCs w:val="false"/>
          <w:i w:val="true"/>
          <w:iCs w:val="true"/>
        </w:rPr>
        <w:t xml:space="preserve">Governance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15</w:t>
      </w:r>
      <w:r>
        <w:rPr>
          <w:b w:val="false"/>
          <w:bCs w:val="false"/>
          <w:i w:val="false"/>
          <w:iCs w:val="false"/>
        </w:rPr>
        <w:t xml:space="preserve">(4), 503–529. </w:t>
      </w:r>
      <w:r>
        <w:rPr>
          <w:b w:val="false"/>
          <w:bCs w:val="false"/>
          <w:i w:val="false"/>
          <w:iCs w:val="false"/>
        </w:rPr>
        <w:t xml:space="preserve">https://doi.org/10.1111/1468-0491.00199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Dolan, B. (2023, February 28). </w:t>
      </w:r>
      <w:r>
        <w:rPr>
          <w:b w:val="false"/>
          <w:bCs w:val="false"/>
          <w:i w:val="true"/>
          <w:iCs w:val="true"/>
        </w:rPr>
        <w:t xml:space="preserve">Enron Executives: What happened, and where are they now?</w:t>
      </w:r>
      <w:r>
        <w:rPr>
          <w:b w:val="false"/>
          <w:bCs w:val="false"/>
          <w:i w:val="false"/>
          <w:iCs w:val="false"/>
        </w:rPr>
        <w:t xml:space="preserve"> Investopedia. </w:t>
      </w:r>
      <w:r>
        <w:rPr>
          <w:b w:val="false"/>
          <w:bCs w:val="false"/>
          <w:i w:val="false"/>
          <w:iCs w:val="false"/>
        </w:rPr>
        <w:t xml:space="preserve">https://www.investopedia.com/enron-executives-6831970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Energy Company Obligation (ECO)</w:t>
      </w:r>
      <w:r>
        <w:rPr>
          <w:b w:val="false"/>
          <w:bCs w:val="false"/>
          <w:i w:val="false"/>
          <w:iCs w:val="false"/>
        </w:rPr>
        <w:t xml:space="preserve">. (n.d.). Ofgem. </w:t>
      </w:r>
      <w:r>
        <w:rPr>
          <w:b w:val="false"/>
          <w:bCs w:val="false"/>
          <w:i w:val="false"/>
          <w:iCs w:val="false"/>
        </w:rPr>
        <w:t xml:space="preserve">https://www.ofgem.gov.uk/environmental-and-social-schemes/energy-company-obligation-eco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Engaged employees are asking their leaders to take climate action</w:t>
      </w:r>
      <w:r>
        <w:rPr>
          <w:b w:val="false"/>
          <w:bCs w:val="false"/>
          <w:i w:val="false"/>
          <w:iCs w:val="false"/>
        </w:rPr>
        <w:t xml:space="preserve">. (2023, November 10). Deloitte Insights. </w:t>
      </w:r>
      <w:r>
        <w:rPr>
          <w:b w:val="false"/>
          <w:bCs w:val="false"/>
          <w:i w:val="false"/>
          <w:iCs w:val="false"/>
        </w:rPr>
        <w:t xml:space="preserve">https://www2.deloitte.com/uk/en/insights/environmental-social-governance/importance-of-sustainability-to-employees.html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Friedman, M. (2007). The social responsibility of business is to increase its profits. In </w:t>
      </w:r>
      <w:r>
        <w:rPr>
          <w:b w:val="false"/>
          <w:bCs w:val="false"/>
          <w:i w:val="true"/>
          <w:iCs w:val="true"/>
        </w:rPr>
        <w:t xml:space="preserve">Springer eBooks</w:t>
      </w:r>
      <w:r>
        <w:rPr>
          <w:b w:val="false"/>
          <w:bCs w:val="false"/>
          <w:i w:val="false"/>
          <w:iCs w:val="false"/>
        </w:rPr>
        <w:t xml:space="preserve"> (pp. 173–178). </w:t>
      </w:r>
      <w:r>
        <w:rPr>
          <w:b w:val="false"/>
          <w:bCs w:val="false"/>
          <w:i w:val="false"/>
          <w:iCs w:val="false"/>
        </w:rPr>
        <w:t xml:space="preserve">https://doi.org/10.1007/978-3-540-70818-6_14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From there to here: 50 years of thinking on the social responsibility of business</w:t>
      </w:r>
      <w:r>
        <w:rPr>
          <w:b w:val="false"/>
          <w:bCs w:val="false"/>
          <w:i w:val="false"/>
          <w:iCs w:val="false"/>
        </w:rPr>
        <w:t xml:space="preserve">. (2020, September 11). McKinsey &amp; Company. </w:t>
      </w:r>
      <w:r>
        <w:rPr>
          <w:b w:val="false"/>
          <w:bCs w:val="false"/>
          <w:i w:val="false"/>
          <w:iCs w:val="false"/>
        </w:rPr>
        <w:t xml:space="preserve">https://www.mckinsey.com/featured-insights/corporate-purpose/from-there-to-here-50-years-of-thinking-on-the-social-responsibility-of-business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Garriga, E., &amp; Mêlé, D. (2004). Corporate Social Responsibility Theories: Mapping the Territory. </w:t>
      </w:r>
      <w:r>
        <w:rPr>
          <w:b w:val="false"/>
          <w:bCs w:val="false"/>
          <w:i w:val="true"/>
          <w:iCs w:val="true"/>
        </w:rPr>
        <w:t xml:space="preserve">Journal of Business Ethics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53</w:t>
      </w:r>
      <w:r>
        <w:rPr>
          <w:b w:val="false"/>
          <w:bCs w:val="false"/>
          <w:i w:val="false"/>
          <w:iCs w:val="false"/>
        </w:rPr>
        <w:t xml:space="preserve">(1/2), 51–71. </w:t>
      </w:r>
      <w:r>
        <w:rPr>
          <w:b w:val="false"/>
          <w:bCs w:val="false"/>
          <w:i w:val="false"/>
          <w:iCs w:val="false"/>
        </w:rPr>
        <w:t xml:space="preserve">https://doi.org/10.1023/b:busi.0000039399.90587.34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Gatti, L., Vishwanath, B., Seele, P., &amp; Cottier, B. (2018). Are We Moving Beyond Voluntary CSR? Exploring Theoretical and Managerial Implications of Mandatory CSR Resulting from the New Indian Companies Act. </w:t>
      </w:r>
      <w:r>
        <w:rPr>
          <w:b w:val="false"/>
          <w:bCs w:val="false"/>
          <w:i w:val="true"/>
          <w:iCs w:val="true"/>
        </w:rPr>
        <w:t xml:space="preserve">Journal of Business Ethics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160</w:t>
      </w:r>
      <w:r>
        <w:rPr>
          <w:b w:val="false"/>
          <w:bCs w:val="false"/>
          <w:i w:val="false"/>
          <w:iCs w:val="false"/>
        </w:rPr>
        <w:t xml:space="preserve">(4), 961–972. </w:t>
      </w:r>
      <w:r>
        <w:rPr>
          <w:b w:val="false"/>
          <w:bCs w:val="false"/>
          <w:i w:val="false"/>
          <w:iCs w:val="false"/>
        </w:rPr>
        <w:t xml:space="preserve">https://doi.org/10.1007/s10551-018-3783-8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Giménez, C. M., Sierra, V., &amp; Rodón, J. (2012). Sustainable operations: Their impact on the triple bottom line. </w:t>
      </w:r>
      <w:r>
        <w:rPr>
          <w:b w:val="false"/>
          <w:bCs w:val="false"/>
          <w:i w:val="true"/>
          <w:iCs w:val="true"/>
        </w:rPr>
        <w:t xml:space="preserve">International Journal of Production Economics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140</w:t>
      </w:r>
      <w:r>
        <w:rPr>
          <w:b w:val="false"/>
          <w:bCs w:val="false"/>
          <w:i w:val="false"/>
          <w:iCs w:val="false"/>
        </w:rPr>
        <w:t xml:space="preserve">(1), 149–159. </w:t>
      </w:r>
      <w:r>
        <w:rPr>
          <w:b w:val="false"/>
          <w:bCs w:val="false"/>
          <w:i w:val="false"/>
          <w:iCs w:val="false"/>
        </w:rPr>
        <w:t xml:space="preserve">https://doi.org/10.1016/j.ijpe.2012.01.035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Hayes, A. (2024, February 29). </w:t>
      </w:r>
      <w:r>
        <w:rPr>
          <w:b w:val="false"/>
          <w:bCs w:val="false"/>
          <w:i w:val="true"/>
          <w:iCs w:val="true"/>
        </w:rPr>
        <w:t xml:space="preserve">What is a business? Understanding different types and company sizes</w:t>
      </w:r>
      <w:r>
        <w:rPr>
          <w:b w:val="false"/>
          <w:bCs w:val="false"/>
          <w:i w:val="false"/>
          <w:iCs w:val="false"/>
        </w:rPr>
        <w:t xml:space="preserve">. Investopedia. </w:t>
      </w:r>
      <w:r>
        <w:rPr>
          <w:b w:val="false"/>
          <w:bCs w:val="false"/>
          <w:i w:val="false"/>
          <w:iCs w:val="false"/>
        </w:rPr>
        <w:t xml:space="preserve">https://www.investopedia.com/terms/b/business.asp#:~:text=A%20business%20is%20defined%20as,proprietorships%2C%20corporations%2C%20and%20partnerships.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Holder, M. (n.d.). </w:t>
      </w:r>
      <w:r>
        <w:rPr>
          <w:b w:val="false"/>
          <w:bCs w:val="false"/>
          <w:i w:val="true"/>
          <w:iCs w:val="true"/>
        </w:rPr>
        <w:t xml:space="preserve">Business green</w:t>
      </w:r>
      <w:r>
        <w:rPr>
          <w:b w:val="false"/>
          <w:bCs w:val="false"/>
          <w:i w:val="false"/>
          <w:iCs w:val="false"/>
        </w:rPr>
        <w:t xml:space="preserve">. </w:t>
      </w:r>
      <w:r>
        <w:rPr>
          <w:b w:val="false"/>
          <w:bCs w:val="false"/>
          <w:i w:val="false"/>
          <w:iCs w:val="false"/>
        </w:rPr>
        <w:t xml:space="preserve">https://www.businessgreen.com/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Husted, B. W., &amp; Salazar, J. (2006). Taking Friedman seriously: maximizing profits and social performance*. </w:t>
      </w:r>
      <w:r>
        <w:rPr>
          <w:b w:val="false"/>
          <w:bCs w:val="false"/>
          <w:i w:val="true"/>
          <w:iCs w:val="true"/>
        </w:rPr>
        <w:t xml:space="preserve">Journal of Management Studies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43</w:t>
      </w:r>
      <w:r>
        <w:rPr>
          <w:b w:val="false"/>
          <w:bCs w:val="false"/>
          <w:i w:val="false"/>
          <w:iCs w:val="false"/>
        </w:rPr>
        <w:t xml:space="preserve">(1), 75–91. </w:t>
      </w:r>
      <w:r>
        <w:rPr>
          <w:b w:val="false"/>
          <w:bCs w:val="false"/>
          <w:i w:val="false"/>
          <w:iCs w:val="false"/>
        </w:rPr>
        <w:t xml:space="preserve">https://doi.org/10.1111/j.1467-6486.2006.00583.x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Ioannou, I., &amp; Serafeim, G. (2011). The consequences of mandatory corporate sustainability reporting. </w:t>
      </w:r>
      <w:r>
        <w:rPr>
          <w:b w:val="false"/>
          <w:bCs w:val="false"/>
          <w:i w:val="true"/>
          <w:iCs w:val="true"/>
        </w:rPr>
        <w:t xml:space="preserve">Social Science Research Network</w:t>
      </w:r>
      <w:r>
        <w:rPr>
          <w:b w:val="false"/>
          <w:bCs w:val="false"/>
          <w:i w:val="false"/>
          <w:iCs w:val="false"/>
        </w:rPr>
        <w:t xml:space="preserve">. </w:t>
      </w:r>
      <w:r>
        <w:rPr>
          <w:b w:val="false"/>
          <w:bCs w:val="false"/>
          <w:i w:val="false"/>
          <w:iCs w:val="false"/>
        </w:rPr>
        <w:t xml:space="preserve">https://doi.org/10.2139/ssrn.1799589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Kati, E. (2023, January 31). </w:t>
      </w:r>
      <w:r>
        <w:rPr>
          <w:b w:val="false"/>
          <w:bCs w:val="false"/>
          <w:i w:val="true"/>
          <w:iCs w:val="true"/>
        </w:rPr>
        <w:t xml:space="preserve">What is Corporate Social Responsibility in the UK? - LegalVision UK</w:t>
      </w:r>
      <w:r>
        <w:rPr>
          <w:b w:val="false"/>
          <w:bCs w:val="false"/>
          <w:i w:val="false"/>
          <w:iCs w:val="false"/>
        </w:rPr>
        <w:t xml:space="preserve">. LegalVision UK. </w:t>
      </w:r>
      <w:r>
        <w:rPr>
          <w:b w:val="false"/>
          <w:bCs w:val="false"/>
          <w:i w:val="false"/>
          <w:iCs w:val="false"/>
        </w:rPr>
        <w:t xml:space="preserve">https://legalvision.co.uk/regulatory-compliance/corporate-social-responsibility/#:~:text=Is%20my%20business%20legally%20required,make%20corporate%20social%20responsibility%20commitments.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Kitthananan, A. (2009). Creating Business and Social Value: the Asian Way to Integrate CSR into Business Strategies. </w:t>
      </w:r>
      <w:r>
        <w:rPr>
          <w:b w:val="false"/>
          <w:bCs w:val="false"/>
          <w:i w:val="true"/>
          <w:iCs w:val="true"/>
        </w:rPr>
        <w:t xml:space="preserve">RePEc: Research Papers in Economics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68</w:t>
      </w:r>
      <w:r>
        <w:rPr>
          <w:b w:val="false"/>
          <w:bCs w:val="false"/>
          <w:i w:val="false"/>
          <w:iCs w:val="false"/>
        </w:rPr>
        <w:t xml:space="preserve">. </w:t>
      </w:r>
      <w:r>
        <w:rPr>
          <w:b w:val="false"/>
          <w:bCs w:val="false"/>
          <w:i w:val="false"/>
          <w:iCs w:val="false"/>
        </w:rPr>
        <w:t xml:space="preserve">https://econpapers.repec.org/RePEc:unt:ecbook:indpub2565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Martínez, C. V. (2005). Corporate social Responsibility and Corporate citizenship: towards corporate accountability. </w:t>
      </w:r>
      <w:r>
        <w:rPr>
          <w:b w:val="false"/>
          <w:bCs w:val="false"/>
          <w:i w:val="true"/>
          <w:iCs w:val="true"/>
        </w:rPr>
        <w:t xml:space="preserve">Business and Society Review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110</w:t>
      </w:r>
      <w:r>
        <w:rPr>
          <w:b w:val="false"/>
          <w:bCs w:val="false"/>
          <w:i w:val="false"/>
          <w:iCs w:val="false"/>
        </w:rPr>
        <w:t xml:space="preserve">(2), 191–212. </w:t>
      </w:r>
      <w:r>
        <w:rPr>
          <w:b w:val="false"/>
          <w:bCs w:val="false"/>
          <w:i w:val="false"/>
          <w:iCs w:val="false"/>
        </w:rPr>
        <w:t xml:space="preserve">https://doi.org/10.1111/j.0045-3609.2005.00011.x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McWilliams, A., &amp; Siegel, D. S. (2001). Corporate Social Responsibility: a Theory of the Firm Perspective. </w:t>
      </w:r>
      <w:r>
        <w:rPr>
          <w:b w:val="false"/>
          <w:bCs w:val="false"/>
          <w:i w:val="true"/>
          <w:iCs w:val="true"/>
        </w:rPr>
        <w:t xml:space="preserve">Academy of Management Review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26</w:t>
      </w:r>
      <w:r>
        <w:rPr>
          <w:b w:val="false"/>
          <w:bCs w:val="false"/>
          <w:i w:val="false"/>
          <w:iCs w:val="false"/>
        </w:rPr>
        <w:t xml:space="preserve">(1), 117–127. </w:t>
      </w:r>
      <w:r>
        <w:rPr>
          <w:b w:val="false"/>
          <w:bCs w:val="false"/>
          <w:i w:val="false"/>
          <w:iCs w:val="false"/>
        </w:rPr>
        <w:t xml:space="preserve">https://doi.org/10.5465/amr.2001.4011987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Peter Drucker on the Purpose of Business - Berkeley Haas</w:t>
      </w:r>
      <w:r>
        <w:rPr>
          <w:b w:val="false"/>
          <w:bCs w:val="false"/>
          <w:i w:val="false"/>
          <w:iCs w:val="false"/>
        </w:rPr>
        <w:t xml:space="preserve">. (2016, February 9). Berkeley Haas. </w:t>
      </w:r>
      <w:r>
        <w:rPr>
          <w:b w:val="false"/>
          <w:bCs w:val="false"/>
          <w:i w:val="false"/>
          <w:iCs w:val="false"/>
        </w:rPr>
        <w:t xml:space="preserve">https://haas.berkeley.edu/responsible-business/blog/posts/peter-drucker-on-the-purpose-of-business/#:~:text=%E2%80%9CThe%20purpose%20of%20business%2C%E2%80%9D,company%20has%20an%20optimum%20profitability.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Ramdhony, D. (2018). The Implications of Mandatory Corporate Social Responsibility—A Literature Review Perspective. </w:t>
      </w:r>
      <w:r>
        <w:rPr>
          <w:b w:val="false"/>
          <w:bCs w:val="false"/>
          <w:i w:val="true"/>
          <w:iCs w:val="true"/>
        </w:rPr>
        <w:t xml:space="preserve">Theoretical Economics Letters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08</w:t>
      </w:r>
      <w:r>
        <w:rPr>
          <w:b w:val="false"/>
          <w:bCs w:val="false"/>
          <w:i w:val="false"/>
          <w:iCs w:val="false"/>
        </w:rPr>
        <w:t xml:space="preserve">(03), 432–447. </w:t>
      </w:r>
      <w:r>
        <w:rPr>
          <w:b w:val="false"/>
          <w:bCs w:val="false"/>
          <w:i w:val="false"/>
          <w:iCs w:val="false"/>
        </w:rPr>
        <w:t xml:space="preserve">https://doi.org/10.4236/tel.2018.83031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Ross, S. (2022, September 27). </w:t>
      </w:r>
      <w:r>
        <w:rPr>
          <w:b w:val="false"/>
          <w:bCs w:val="false"/>
          <w:i w:val="true"/>
          <w:iCs w:val="true"/>
        </w:rPr>
        <w:t xml:space="preserve">Top 4 oil companies that protect the environment</w:t>
      </w:r>
      <w:r>
        <w:rPr>
          <w:b w:val="false"/>
          <w:bCs w:val="false"/>
          <w:i w:val="false"/>
          <w:iCs w:val="false"/>
        </w:rPr>
        <w:t xml:space="preserve">. Investopedia. </w:t>
      </w:r>
      <w:r>
        <w:rPr>
          <w:b w:val="false"/>
          <w:bCs w:val="false"/>
          <w:i w:val="false"/>
          <w:iCs w:val="false"/>
        </w:rPr>
        <w:t xml:space="preserve">https://www.investopedia.com/articles/markets/030816/top-4-oil-companies-protect-environment-xom-sun.asp#:~:text=Many%20companies%20are%20moving%20towards,the%20creation%20of%20green%20energy.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Smith, L., John, L., &amp; O’Neill, R. (2024, January 20). </w:t>
      </w:r>
      <w:r>
        <w:rPr>
          <w:b w:val="false"/>
          <w:bCs w:val="false"/>
          <w:i w:val="true"/>
          <w:iCs w:val="true"/>
        </w:rPr>
        <w:t xml:space="preserve">The Welsh town that will never be the same after devastating news</w:t>
      </w:r>
      <w:r>
        <w:rPr>
          <w:b w:val="false"/>
          <w:bCs w:val="false"/>
          <w:i w:val="false"/>
          <w:iCs w:val="false"/>
        </w:rPr>
        <w:t xml:space="preserve">. Wales Online. </w:t>
      </w:r>
      <w:r>
        <w:rPr>
          <w:b w:val="false"/>
          <w:bCs w:val="false"/>
          <w:i w:val="false"/>
          <w:iCs w:val="false"/>
        </w:rPr>
        <w:t xml:space="preserve">https://www.walesonline.co.uk/news/wales-news/this-reverberate-generations-come-despair-28480562#:~:text=The%20plans%20will%20see%20Tata,within%20the%20next%2018%20months.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The global eco-wakening: how consumers are driving sustainability</w:t>
      </w:r>
      <w:r>
        <w:rPr>
          <w:b w:val="false"/>
          <w:bCs w:val="false"/>
          <w:i w:val="false"/>
          <w:iCs w:val="false"/>
        </w:rPr>
        <w:t xml:space="preserve">. (2023, January 31). World Economic Forum. </w:t>
      </w:r>
      <w:r>
        <w:rPr>
          <w:b w:val="false"/>
          <w:bCs w:val="false"/>
          <w:i w:val="false"/>
          <w:iCs w:val="false"/>
        </w:rPr>
        <w:t xml:space="preserve">https://www.weforum.org/agenda/2021/05/eco-wakening-consumers-driving-sustainability/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The rise, fall, and rise again of Eco-Active consumers</w:t>
      </w:r>
      <w:r>
        <w:rPr>
          <w:b w:val="false"/>
          <w:bCs w:val="false"/>
          <w:i w:val="false"/>
          <w:iCs w:val="false"/>
        </w:rPr>
        <w:t xml:space="preserve">. (n.d.). </w:t>
      </w:r>
      <w:r>
        <w:rPr>
          <w:b w:val="false"/>
          <w:bCs w:val="false"/>
          <w:i w:val="false"/>
          <w:iCs w:val="false"/>
        </w:rPr>
        <w:t xml:space="preserve">https://www.kantar.com/company-news/the-rise-fall-and-rise-again-of-eco-active-consumers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Toms, J. (2002). FIRM RESOURCES, QUALITY SIGNALS AND THE DETERMINANTS OF CORPORATE ENVIRONMENTAL REPUTATION: SOME UK EVIDENCE. </w:t>
      </w:r>
      <w:r>
        <w:rPr>
          <w:b w:val="false"/>
          <w:bCs w:val="false"/>
          <w:i w:val="true"/>
          <w:iCs w:val="true"/>
        </w:rPr>
        <w:t xml:space="preserve">The British Accounting Review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34</w:t>
      </w:r>
      <w:r>
        <w:rPr>
          <w:b w:val="false"/>
          <w:bCs w:val="false"/>
          <w:i w:val="false"/>
          <w:iCs w:val="false"/>
        </w:rPr>
        <w:t xml:space="preserve">(3), 257–282. </w:t>
      </w:r>
      <w:r>
        <w:rPr>
          <w:b w:val="false"/>
          <w:bCs w:val="false"/>
          <w:i w:val="false"/>
          <w:iCs w:val="false"/>
        </w:rPr>
        <w:t xml:space="preserve">https://doi.org/10.1006/bare.2002.0211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University of Houston Energy Fellows. (2019, October 11). Can corporate social responsibility be legally enforced? </w:t>
      </w:r>
      <w:r>
        <w:rPr>
          <w:b w:val="false"/>
          <w:bCs w:val="false"/>
          <w:i w:val="true"/>
          <w:iCs w:val="true"/>
        </w:rPr>
        <w:t xml:space="preserve">Forbes</w:t>
      </w:r>
      <w:r>
        <w:rPr>
          <w:b w:val="false"/>
          <w:bCs w:val="false"/>
          <w:i w:val="false"/>
          <w:iCs w:val="false"/>
        </w:rPr>
        <w:t xml:space="preserve">. </w:t>
      </w:r>
      <w:r>
        <w:rPr>
          <w:b w:val="false"/>
          <w:bCs w:val="false"/>
          <w:i w:val="false"/>
          <w:iCs w:val="false"/>
        </w:rPr>
        <w:t xml:space="preserve">https://www.forbes.com/sites/uhenergy/2019/10/11/can-corporate-social-responsibility-be-legally-enforced/?sh=a4435f53d449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Vitasek, K. (2022, June 2). Businesses should always consider the environment. </w:t>
      </w:r>
      <w:r>
        <w:rPr>
          <w:b w:val="false"/>
          <w:bCs w:val="false"/>
          <w:i w:val="true"/>
          <w:iCs w:val="true"/>
        </w:rPr>
        <w:t xml:space="preserve">Forbes</w:t>
      </w:r>
      <w:r>
        <w:rPr>
          <w:b w:val="false"/>
          <w:bCs w:val="false"/>
          <w:i w:val="false"/>
          <w:iCs w:val="false"/>
        </w:rPr>
        <w:t xml:space="preserve">. </w:t>
      </w:r>
      <w:r>
        <w:rPr>
          <w:b w:val="false"/>
          <w:bCs w:val="false"/>
          <w:i w:val="false"/>
          <w:iCs w:val="false"/>
        </w:rPr>
        <w:t xml:space="preserve">https://www.forbes.com/sites/katevitasek/2022/06/02/businesses-should-always-consider-the-environment/?sh=6f579c578950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/>
      </w:r>
      <w:r>
        <w:rPr>
          <w:b w:val="false"/>
          <w:bCs w:val="false"/>
          <w:i w:val="true"/>
          <w:iCs w:val="true"/>
        </w:rPr>
        <w:t xml:space="preserve">What is corporate social responsibility? 4 types</w:t>
      </w:r>
      <w:r>
        <w:rPr>
          <w:b w:val="false"/>
          <w:bCs w:val="false"/>
          <w:i w:val="false"/>
          <w:iCs w:val="false"/>
        </w:rPr>
        <w:t xml:space="preserve">. (2021, April 8). Business Insights Blog. </w:t>
      </w:r>
      <w:r>
        <w:rPr>
          <w:b w:val="false"/>
          <w:bCs w:val="false"/>
          <w:i w:val="false"/>
          <w:iCs w:val="false"/>
        </w:rPr>
        <w:t xml:space="preserve">https://online.hbs.edu/blog/post/types-of-corporate-social-responsibility</w:t>
      </w:r>
      <w:r>
        <w:rPr>
          <w:b w:val="false"/>
          <w:bCs w:val="false"/>
          <w:i w:val="false"/>
          <w:iCs w:val="false"/>
        </w:rPr>
        <w:t xml:space="preserve"/>
      </w:r>
    </w:p>
    ,
    <w:p>
      <w:pPr>
        <w:pStyle w:val="Bibliography"/>
      </w:pPr>
      <w:r>
        <w:rPr>
          <w:b w:val="false"/>
          <w:bCs w:val="false"/>
          <w:i w:val="false"/>
          <w:iCs w:val="false"/>
        </w:rPr>
        <w:t xml:space="preserve">Zou, Z., Liu, Y., Ahmad, N., Sial, M. S., Bădulescu, A., Zia-Ud-Din, M., &amp; Bădulescu, D. (2021). What Prompts Small and Medium Enterprises to Implement CSR? A Qualitative Insight from an Emerging Economy. </w:t>
      </w:r>
      <w:r>
        <w:rPr>
          <w:b w:val="false"/>
          <w:bCs w:val="false"/>
          <w:i w:val="true"/>
          <w:iCs w:val="true"/>
        </w:rPr>
        <w:t xml:space="preserve">Sustainability</w:t>
      </w:r>
      <w:r>
        <w:rPr>
          <w:b w:val="false"/>
          <w:bCs w:val="false"/>
          <w:i w:val="false"/>
          <w:iCs w:val="false"/>
        </w:rPr>
        <w:t xml:space="preserve">, </w:t>
      </w:r>
      <w:r>
        <w:rPr>
          <w:b w:val="false"/>
          <w:bCs w:val="false"/>
          <w:i w:val="true"/>
          <w:iCs w:val="true"/>
        </w:rPr>
        <w:t xml:space="preserve">13</w:t>
      </w:r>
      <w:r>
        <w:rPr>
          <w:b w:val="false"/>
          <w:bCs w:val="false"/>
          <w:i w:val="false"/>
          <w:iCs w:val="false"/>
        </w:rPr>
        <w:t xml:space="preserve">(2), 952. </w:t>
      </w:r>
      <w:r>
        <w:rPr>
          <w:b w:val="false"/>
          <w:bCs w:val="false"/>
          <w:i w:val="false"/>
          <w:iCs w:val="false"/>
        </w:rPr>
        <w:t xml:space="preserve">https://doi.org/10.3390/su13020952</w:t>
      </w:r>
      <w:r>
        <w:rPr>
          <w:b w:val="false"/>
          <w:bCs w:val="false"/>
          <w:i w:val="false"/>
          <w:iCs w:val="false"/>
        </w:rPr>
        <w:t xml:space="preserve"/>
      </w:r>
    </w:p>
    <w:sectPr w:rsidR="00287DD9" w:rsidRPr="00287D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2CDA13" w14:textId="77777777" w:rsidR="00781B41" w:rsidRDefault="00781B41">
      <w:pPr>
        <w:spacing w:line="240" w:lineRule="auto"/>
      </w:pPr>
      <w:r>
        <w:separator/>
      </w:r>
    </w:p>
  </w:endnote>
  <w:endnote w:type="continuationSeparator" w:id="0">
    <w:p w14:paraId="55E8D2F1" w14:textId="77777777" w:rsidR="00781B41" w:rsidRDefault="00781B4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moder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AB637A" w14:textId="77777777" w:rsidR="00FD027A" w:rsidRDefault="000A150F">
    <w:pPr>
      <w:jc w:val="right"/>
    </w:pPr>
    <w:r>
      <w:rPr>
        <w:noProof/>
      </w:rPr>
      <w:drawing>
        <wp:inline distT="0" distB="0" distL="0" distR="0" wp14:anchorId="509459EA" wp14:editId="664A3F18">
          <wp:extent cx="1571625" cy="34290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71625" cy="3429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521A9D" w14:textId="77777777" w:rsidR="00781B41" w:rsidRDefault="00781B41">
      <w:pPr>
        <w:spacing w:line="240" w:lineRule="auto"/>
      </w:pPr>
      <w:r>
        <w:separator/>
      </w:r>
    </w:p>
  </w:footnote>
  <w:footnote w:type="continuationSeparator" w:id="0">
    <w:p w14:paraId="5E40E91A" w14:textId="77777777" w:rsidR="00781B41" w:rsidRDefault="00781B4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AE003E" w14:textId="77777777" w:rsidR="00FD027A" w:rsidRDefault="000A150F">
    <w:pPr>
      <w:pStyle w:val="Header"/>
      <w:jc w:val="right"/>
    </w:pPr>
    <w:r>
      <w:fldChar w:fldCharType="begin"/>
    </w:r>
    <w:r>
      <w:instrText>PAGE</w:instrText>
    </w:r>
    <w:r>
      <w:fldChar w:fldCharType="separate"/>
    </w:r>
    <w:r w:rsidR="00351121">
      <w:rPr>
        <w:noProof/>
      </w:rPr>
      <w:t>1</w:t>
    </w:r>
    <w: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430AF"/>
    <w:multiLevelType w:val="hybridMultilevel"/>
    <w:tmpl w:val="D69A8A36"/>
    <w:lvl w:ilvl="0" w:tplc="D7AA5822">
      <w:start w:val="1"/>
      <w:numFmt w:val="bullet"/>
      <w:pStyle w:val="ListBullet"/>
      <w:lvlText w:val="●"/>
      <w:lvlJc w:val="left"/>
      <w:pPr>
        <w:ind w:left="720" w:hanging="360"/>
      </w:pPr>
    </w:lvl>
    <w:lvl w:ilvl="1" w:tplc="71F64D74">
      <w:start w:val="1"/>
      <w:numFmt w:val="bullet"/>
      <w:lvlText w:val="○"/>
      <w:lvlJc w:val="left"/>
      <w:pPr>
        <w:ind w:left="1440" w:hanging="360"/>
      </w:pPr>
    </w:lvl>
    <w:lvl w:ilvl="2" w:tplc="BA20E348">
      <w:start w:val="1"/>
      <w:numFmt w:val="bullet"/>
      <w:lvlText w:val="■"/>
      <w:lvlJc w:val="left"/>
      <w:pPr>
        <w:ind w:left="2160" w:hanging="360"/>
      </w:pPr>
    </w:lvl>
    <w:lvl w:ilvl="3" w:tplc="E5B295A6">
      <w:start w:val="1"/>
      <w:numFmt w:val="bullet"/>
      <w:lvlText w:val="●"/>
      <w:lvlJc w:val="left"/>
      <w:pPr>
        <w:ind w:left="2880" w:hanging="360"/>
      </w:pPr>
    </w:lvl>
    <w:lvl w:ilvl="4" w:tplc="AC20E2A0">
      <w:start w:val="1"/>
      <w:numFmt w:val="bullet"/>
      <w:lvlText w:val="○"/>
      <w:lvlJc w:val="left"/>
      <w:pPr>
        <w:ind w:left="3600" w:hanging="360"/>
      </w:pPr>
    </w:lvl>
    <w:lvl w:ilvl="5" w:tplc="BB3A204E">
      <w:start w:val="1"/>
      <w:numFmt w:val="bullet"/>
      <w:lvlText w:val="■"/>
      <w:lvlJc w:val="left"/>
      <w:pPr>
        <w:ind w:left="4320" w:hanging="360"/>
      </w:pPr>
    </w:lvl>
    <w:lvl w:ilvl="6" w:tplc="A510C2F2">
      <w:start w:val="1"/>
      <w:numFmt w:val="bullet"/>
      <w:lvlText w:val="●"/>
      <w:lvlJc w:val="left"/>
      <w:pPr>
        <w:ind w:left="5040" w:hanging="360"/>
      </w:pPr>
    </w:lvl>
    <w:lvl w:ilvl="7" w:tplc="36D02FBC">
      <w:start w:val="1"/>
      <w:numFmt w:val="bullet"/>
      <w:lvlText w:val="●"/>
      <w:lvlJc w:val="left"/>
      <w:pPr>
        <w:ind w:left="5760" w:hanging="360"/>
      </w:pPr>
    </w:lvl>
    <w:lvl w:ilvl="8" w:tplc="93D01F50">
      <w:start w:val="1"/>
      <w:numFmt w:val="bullet"/>
      <w:lvlText w:val="●"/>
      <w:lvlJc w:val="left"/>
      <w:pPr>
        <w:ind w:left="6480" w:hanging="360"/>
      </w:pPr>
    </w:lvl>
  </w:abstractNum>
  <w:num w:numId="1" w16cid:durableId="1953592140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4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027A"/>
    <w:rsid w:val="000A150F"/>
    <w:rsid w:val="00287DD9"/>
    <w:rsid w:val="00351121"/>
    <w:rsid w:val="00781B41"/>
    <w:rsid w:val="00FD0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86AC05A"/>
  <w15:docId w15:val="{3D28F9DE-1CC2-3549-AAD2-DBD64B807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NL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480" w:lineRule="auto"/>
      <w:ind w:firstLine="720"/>
    </w:pPr>
    <w:rPr>
      <w:sz w:val="24"/>
      <w:szCs w:val="24"/>
      <w:rFonts w:ascii="Times New Roman" w:cs="Times New Roman" w:eastAsia="Times New Roman" w:hAnsi="Times New Roman"/>
    </w:rPr>
  </w:style>
  <w:style w:type="paragraph" w:styleId="Heading1">
    <w:name w:val="heading 1"/>
    <w:basedOn w:val="Normal"/>
    <w:next w:val="Normal"/>
    <w:uiPriority w:val="9"/>
    <w:qFormat/>
    <w:pPr>
      <w:ind w:firstLine="0"/>
      <w:jc w:val="center"/>
      <w:outlineLvl w:val="0"/>
    </w:pPr>
    <w:rPr>
      <w:b/>
      <w:bCs/>
    </w:rPr>
  </w:style>
  <w:style w:type="paragraph" w:styleId="Heading2">
    <w:name w:val="heading 2"/>
    <w:basedOn w:val="Normal"/>
    <w:next w:val="Normal"/>
    <w:uiPriority w:val="9"/>
    <w:unhideWhenUsed/>
    <w:qFormat/>
    <w:pPr>
      <w:ind w:firstLine="0"/>
      <w:outlineLvl w:val="1"/>
    </w:pPr>
    <w:rPr>
      <w:b/>
      <w:bCs/>
    </w:rPr>
  </w:style>
  <w:style w:type="paragraph" w:styleId="Heading3">
    <w:name w:val="heading 3"/>
    <w:basedOn w:val="Normal"/>
    <w:next w:val="Normal"/>
    <w:uiPriority w:val="9"/>
    <w:unhideWhenUsed/>
    <w:qFormat/>
    <w:pPr>
      <w:ind w:firstLine="0"/>
      <w:outlineLvl w:val="2"/>
    </w:pPr>
    <w:rPr>
      <w:b/>
      <w:bCs/>
      <w:i/>
      <w:iCs/>
    </w:rPr>
  </w:style>
  <w:style w:type="paragraph" w:styleId="Heading4">
    <w:name w:val="heading 4"/>
    <w:basedOn w:val="Normal"/>
    <w:next w:val="Normal"/>
    <w:uiPriority w:val="9"/>
    <w:unhideWhenUsed/>
    <w:qFormat/>
    <w:pPr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unhideWhenUsed/>
    <w:qFormat/>
    <w:pPr>
      <w:outlineLvl w:val="4"/>
    </w:pPr>
    <w:rPr>
      <w:b/>
      <w:bCs/>
      <w:i/>
      <w:i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outlineLvl w:val="5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ind w:firstLine="0"/>
      <w:jc w:val="center"/>
    </w:pPr>
  </w:style>
  <w:style w:type="paragraph" w:customStyle="1" w:styleId="Strong1">
    <w:name w:val="Strong1"/>
    <w:basedOn w:val="Normal"/>
    <w:next w:val="Normal"/>
    <w:qFormat/>
    <w:rPr>
      <w:b/>
      <w:bCs/>
    </w:rPr>
  </w:style>
  <w:style w:type="paragraph" w:styleId="ListParagraph">
    <w:name w:val="List Paragraph"/>
    <w:basedOn w:val="Normal"/>
  </w:style>
  <w:style w:type="character" w:styleId="Hyperlink">
    <w:name w:val="Hyperlink"/>
    <w:uiPriority w:val="99"/>
    <w:unhideWhenUsed/>
    <w:rPr>
      <w:color w:val="1F80E8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Bibliography">
    <w:name w:val="Bibliography"/>
    <w:basedOn w:val="Normal"/>
    <w:pPr>
      <w:ind w:left="720" w:hanging="720"/>
    </w:pPr>
  </w:style>
  <w:style w:type="paragraph" w:customStyle="1" w:styleId="BibliographyAnnotation">
    <w:name w:val="Bibliography Annotation"/>
    <w:basedOn w:val="Normal"/>
    <w:pPr>
      <w:ind w:left="720"/>
    </w:pPr>
  </w:style>
  <w:style w:type="paragraph" w:customStyle="1" w:styleId="BibliographyAnnotationFirstLine">
    <w:name w:val="Bibliography Annotation First Line"/>
    <w:basedOn w:val="BibliographyAnnotation"/>
    <w:next w:val="BibliographyAnnotation"/>
    <w:pPr>
      <w:ind w:firstLine="0"/>
    </w:pPr>
  </w:style>
  <w:style w:type="paragraph" w:customStyle="1" w:styleId="BibliographyAnnotationMultiLine">
    <w:name w:val="Bibliography Annotation Multi Line"/>
    <w:basedOn w:val="BibliographyAnnotation"/>
  </w:style>
  <w:style w:type="paragraph" w:customStyle="1" w:styleId="BibliographyAnnotationMultiLineFirstLine">
    <w:name w:val="Bibliography Annotation Multi Line First Line"/>
    <w:basedOn w:val="BibliographyAnnotationFirstLine"/>
    <w:next w:val="BibliographyAnnotationMultiLine"/>
  </w:style>
  <w:style w:type="paragraph" w:styleId="Header">
    <w:name w:val="header"/>
    <w:basedOn w:val="Normal"/>
    <w:pPr>
      <w:spacing w:line="240" w:lineRule="auto"/>
      <w:ind w:firstLine="0"/>
    </w:pPr>
  </w:style>
  <w:style w:type="paragraph" w:styleId="ListBullet">
    <w:name w:val="List Bullet"/>
    <w:basedOn w:val="Normal"/>
    <w:pPr>
      <w:numPr>
        <w:numId w:val="1"/>
      </w:numPr>
      <w:ind w:left="108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m/apa-style/apa-reference-page/?utm_source=citation-generator&amp;utm_medium=word-export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cribbr.com/apa-style/ordering-references/?utm_source=citation-generator&amp;utm_medium=word-export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scribbr.com/citation/checker/?utm_source=citation-generator&amp;utm_medium=word-expor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ribbr.com/apa-style/in-text-citation/?utm_source=citation-generator&amp;utm_medium=word-export" TargetMode="Externa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202</Words>
  <Characters>1155</Characters>
  <Application>Microsoft Office Word</Application>
  <DocSecurity>0</DocSecurity>
  <Lines>9</Lines>
  <Paragraphs>2</Paragraphs>
  <ScaleCrop>false</ScaleCrop>
  <Company/>
  <LinksUpToDate>false</LinksUpToDate>
  <CharactersWithSpaces>1355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Operations 2</cp:lastModifiedBy>
  <cp:revision>3</cp:revision>
  <dcterms:created xsi:type="dcterms:W3CDTF">2022-05-31T12:50:00Z</dcterms:created>
  <dcterms:modified xsi:type="dcterms:W3CDTF">2022-06-23T09:54:00Z</dcterms:modified>
</cp:coreProperties>
</file>