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30B29E" w14:textId="3C021C31" w:rsidR="00D225C0" w:rsidRDefault="00A74F18">
      <w:pPr>
        <w:rPr>
          <w:rFonts w:ascii="Arial" w:hAnsi="Arial" w:cs="Arial"/>
          <w:sz w:val="28"/>
          <w:szCs w:val="28"/>
        </w:rPr>
      </w:pPr>
      <w:r>
        <w:rPr>
          <w:rFonts w:ascii="Arial" w:hAnsi="Arial" w:cs="Arial"/>
          <w:sz w:val="28"/>
          <w:szCs w:val="28"/>
        </w:rPr>
        <w:t>Governance Exam – Section 3 – Daniel Jackson – 1904793</w:t>
      </w:r>
    </w:p>
    <w:p w14:paraId="4B7D9764" w14:textId="62D8F071" w:rsidR="00A74F18" w:rsidRDefault="00A74F18">
      <w:pPr>
        <w:rPr>
          <w:rFonts w:ascii="Arial" w:hAnsi="Arial" w:cs="Arial"/>
          <w:sz w:val="24"/>
          <w:szCs w:val="24"/>
        </w:rPr>
      </w:pPr>
      <w:r>
        <w:rPr>
          <w:rFonts w:ascii="Arial" w:hAnsi="Arial" w:cs="Arial"/>
          <w:sz w:val="24"/>
          <w:szCs w:val="24"/>
        </w:rPr>
        <w:t xml:space="preserve">“The principles of good environmental governance are vital to the post COVID-19 world.” </w:t>
      </w:r>
    </w:p>
    <w:p w14:paraId="378CF9B7" w14:textId="75CEA68F" w:rsidR="00A74F18" w:rsidRDefault="00A74F18">
      <w:pPr>
        <w:rPr>
          <w:rFonts w:ascii="Arial" w:hAnsi="Arial" w:cs="Arial"/>
          <w:sz w:val="24"/>
          <w:szCs w:val="24"/>
        </w:rPr>
      </w:pPr>
      <w:r>
        <w:rPr>
          <w:rFonts w:ascii="Arial" w:hAnsi="Arial" w:cs="Arial"/>
          <w:sz w:val="24"/>
          <w:szCs w:val="24"/>
        </w:rPr>
        <w:t xml:space="preserve">Describe and explain the </w:t>
      </w:r>
      <w:r w:rsidR="004C2929">
        <w:rPr>
          <w:rFonts w:ascii="Arial" w:hAnsi="Arial" w:cs="Arial"/>
          <w:sz w:val="24"/>
          <w:szCs w:val="24"/>
        </w:rPr>
        <w:t>principles</w:t>
      </w:r>
      <w:r>
        <w:rPr>
          <w:rFonts w:ascii="Arial" w:hAnsi="Arial" w:cs="Arial"/>
          <w:sz w:val="24"/>
          <w:szCs w:val="24"/>
        </w:rPr>
        <w:t xml:space="preserve"> of good environmental governance and briefly comment on their future role. </w:t>
      </w:r>
    </w:p>
    <w:p w14:paraId="0034A884" w14:textId="72A2E205" w:rsidR="00A74F18" w:rsidRDefault="00A74F18">
      <w:pPr>
        <w:rPr>
          <w:rFonts w:ascii="Arial" w:hAnsi="Arial" w:cs="Arial"/>
        </w:rPr>
      </w:pPr>
    </w:p>
    <w:p w14:paraId="6DC5D333" w14:textId="79C5D7CB" w:rsidR="00A74F18" w:rsidRDefault="00A74F18">
      <w:pPr>
        <w:rPr>
          <w:rFonts w:ascii="Arial" w:hAnsi="Arial" w:cs="Arial"/>
        </w:rPr>
      </w:pPr>
      <w:r>
        <w:rPr>
          <w:rFonts w:ascii="Arial" w:hAnsi="Arial" w:cs="Arial"/>
        </w:rPr>
        <w:t xml:space="preserve">To analyse good environmental governance and assess its implications in the future first we must </w:t>
      </w:r>
      <w:r w:rsidR="004C2929">
        <w:rPr>
          <w:rFonts w:ascii="Arial" w:hAnsi="Arial" w:cs="Arial"/>
        </w:rPr>
        <w:t>define</w:t>
      </w:r>
      <w:r>
        <w:rPr>
          <w:rFonts w:ascii="Arial" w:hAnsi="Arial" w:cs="Arial"/>
        </w:rPr>
        <w:t xml:space="preserve"> governance, good governance and good environmental governance. </w:t>
      </w:r>
    </w:p>
    <w:p w14:paraId="2FBDC776" w14:textId="6AEE9EA5" w:rsidR="00A74F18" w:rsidRDefault="00A74F18">
      <w:pPr>
        <w:rPr>
          <w:rFonts w:ascii="Arial" w:hAnsi="Arial" w:cs="Arial"/>
        </w:rPr>
      </w:pPr>
      <w:r>
        <w:rPr>
          <w:rFonts w:ascii="Arial" w:hAnsi="Arial" w:cs="Arial"/>
        </w:rPr>
        <w:t xml:space="preserve">Governance can be fined as, “the process of making decisions and the process by which decisions are or are not implemented.” This broad definition encompasses the state, which provides the political and legal system for society, the private sector which provides the financial and economic aspects of society, and the civil sector, which enables social interaction with politics, legal system and does this through the mobilization of groups to participate in these areas. All three of these areas have strengths and weaknesses and good governance transcends all three and promotes conducive interaction between them. </w:t>
      </w:r>
    </w:p>
    <w:p w14:paraId="5F491953" w14:textId="139B4137" w:rsidR="00A74F18" w:rsidRDefault="00A74F18">
      <w:pPr>
        <w:rPr>
          <w:rFonts w:ascii="Arial" w:hAnsi="Arial" w:cs="Arial"/>
        </w:rPr>
      </w:pPr>
      <w:r>
        <w:rPr>
          <w:rFonts w:ascii="Arial" w:hAnsi="Arial" w:cs="Arial"/>
        </w:rPr>
        <w:t xml:space="preserve">Good environmental governance employs a different set of principles which require defining as well. Environmental governance is a concept of political ecology and policy which was defined by at the Rio Earth and Sustainability summit in 1991. 178 nations signed the </w:t>
      </w:r>
      <w:r w:rsidR="00542B4C">
        <w:rPr>
          <w:rFonts w:ascii="Arial" w:hAnsi="Arial" w:cs="Arial"/>
        </w:rPr>
        <w:t xml:space="preserve">declaration of 27 principles which were created to help guide the world to sustainable development. </w:t>
      </w:r>
      <w:r w:rsidR="001672E8">
        <w:rPr>
          <w:rFonts w:ascii="Arial" w:hAnsi="Arial" w:cs="Arial"/>
        </w:rPr>
        <w:t>The importance of these principles</w:t>
      </w:r>
      <w:r w:rsidR="004C2929">
        <w:rPr>
          <w:rFonts w:ascii="Arial" w:hAnsi="Arial" w:cs="Arial"/>
        </w:rPr>
        <w:t xml:space="preserve"> was highlighted again in 2002 at the World Summit. </w:t>
      </w:r>
    </w:p>
    <w:p w14:paraId="65C9ADA3" w14:textId="633279E4" w:rsidR="00542B4C" w:rsidRDefault="00542B4C">
      <w:pPr>
        <w:rPr>
          <w:rFonts w:ascii="Arial" w:hAnsi="Arial" w:cs="Arial"/>
        </w:rPr>
      </w:pPr>
      <w:r>
        <w:rPr>
          <w:rFonts w:ascii="Arial" w:hAnsi="Arial" w:cs="Arial"/>
        </w:rPr>
        <w:t xml:space="preserve">One of the most important of these principles is how to decide at what level to manage an environment or subsidiarity. Central management risks losing local knowledge and context. Through managing at a local level, it enables local communities to use that local knowledge and context to make decisions about the environment or ecosystem that surrounds them. The more centralised the decision-making process the more it is insulated from the local communities that are impacted most. An example of this is the EU, who govern centrally however devolve power to as local a level as seen to be appropriate. </w:t>
      </w:r>
    </w:p>
    <w:p w14:paraId="2148B747" w14:textId="5ADC82A1" w:rsidR="00542B4C" w:rsidRDefault="00542B4C">
      <w:pPr>
        <w:rPr>
          <w:rFonts w:ascii="Arial" w:hAnsi="Arial" w:cs="Arial"/>
        </w:rPr>
      </w:pPr>
      <w:r>
        <w:rPr>
          <w:rFonts w:ascii="Arial" w:hAnsi="Arial" w:cs="Arial"/>
        </w:rPr>
        <w:t xml:space="preserve">However, it is not always possible to govern at a local level. The decision can be based on the size of the environment or ecosystem that is being managed. A small forest can be managed by a community nearby. However, a large river basin or area of global importance to biodiversity would be more appropriately managed by a state or organisation with greater geographical or political reach. </w:t>
      </w:r>
      <w:r w:rsidR="00B7425B">
        <w:rPr>
          <w:rFonts w:ascii="Arial" w:hAnsi="Arial" w:cs="Arial"/>
        </w:rPr>
        <w:t xml:space="preserve">Especially if the issue is transboundary a larger organisation can more effectively manage the environment. An example of the kind of transboundary cooperation that this entails is the decisions on fishing quotas of indigenous communities in Alaska and Canada. A larger organising body carries out assessments on fish stocks and makes what it sees as an appropriate decision on fishing quotas further upstream. Local communities are then assessed to ensure the quotas are not being exceeded to ensure the fish stocks remain replenished for other communities further into the interior. </w:t>
      </w:r>
    </w:p>
    <w:p w14:paraId="37FD5ABA" w14:textId="4DA8F086" w:rsidR="00770A97" w:rsidRDefault="00B7425B">
      <w:pPr>
        <w:rPr>
          <w:rFonts w:ascii="Arial" w:hAnsi="Arial" w:cs="Arial"/>
        </w:rPr>
      </w:pPr>
      <w:r>
        <w:rPr>
          <w:rFonts w:ascii="Arial" w:hAnsi="Arial" w:cs="Arial"/>
        </w:rPr>
        <w:t xml:space="preserve">The heart of good environmental governance incorporates three things. Firstly, access; to the environment, the decision and the </w:t>
      </w:r>
      <w:r w:rsidR="004C2929">
        <w:rPr>
          <w:rFonts w:ascii="Arial" w:hAnsi="Arial" w:cs="Arial"/>
        </w:rPr>
        <w:t>decision-making</w:t>
      </w:r>
      <w:r>
        <w:rPr>
          <w:rFonts w:ascii="Arial" w:hAnsi="Arial" w:cs="Arial"/>
        </w:rPr>
        <w:t xml:space="preserve"> process itself. Good environment management ensures people have access to the requisite information which enables them to make an informed decision on the topic. </w:t>
      </w:r>
      <w:r w:rsidR="004C2929">
        <w:rPr>
          <w:rFonts w:ascii="Arial" w:hAnsi="Arial" w:cs="Arial"/>
        </w:rPr>
        <w:t>An</w:t>
      </w:r>
      <w:r>
        <w:rPr>
          <w:rFonts w:ascii="Arial" w:hAnsi="Arial" w:cs="Arial"/>
        </w:rPr>
        <w:t xml:space="preserve"> example of this not being carried out is during the construction of the Sochi games</w:t>
      </w:r>
      <w:r w:rsidR="00FF469E">
        <w:rPr>
          <w:rFonts w:ascii="Arial" w:hAnsi="Arial" w:cs="Arial"/>
        </w:rPr>
        <w:t>,</w:t>
      </w:r>
      <w:r>
        <w:rPr>
          <w:rFonts w:ascii="Arial" w:hAnsi="Arial" w:cs="Arial"/>
        </w:rPr>
        <w:t xml:space="preserve"> it was discovered construction waste had been dumped illegally in a protected water zone that supplied the town of Sochi’s water. The local </w:t>
      </w:r>
      <w:r>
        <w:rPr>
          <w:rFonts w:ascii="Arial" w:hAnsi="Arial" w:cs="Arial"/>
        </w:rPr>
        <w:lastRenderedPageBreak/>
        <w:t xml:space="preserve">population were not informed of this decision, or of the result until it was discovered by reporters. In an effective system of environmental </w:t>
      </w:r>
      <w:r w:rsidR="004C2929">
        <w:rPr>
          <w:rFonts w:ascii="Arial" w:hAnsi="Arial" w:cs="Arial"/>
        </w:rPr>
        <w:t>management,</w:t>
      </w:r>
      <w:r>
        <w:rPr>
          <w:rFonts w:ascii="Arial" w:hAnsi="Arial" w:cs="Arial"/>
        </w:rPr>
        <w:t xml:space="preserve"> the local population would have been aware of the decision to dump waste in their water supply so they could make an informed decision and </w:t>
      </w:r>
      <w:r w:rsidR="00770A97">
        <w:rPr>
          <w:rFonts w:ascii="Arial" w:hAnsi="Arial" w:cs="Arial"/>
        </w:rPr>
        <w:t xml:space="preserve">choose whether to drink the water or buy bottled water. </w:t>
      </w:r>
    </w:p>
    <w:p w14:paraId="588C51EC" w14:textId="2A4D2904" w:rsidR="00B7425B" w:rsidRDefault="00770A97">
      <w:pPr>
        <w:rPr>
          <w:rFonts w:ascii="Arial" w:hAnsi="Arial" w:cs="Arial"/>
        </w:rPr>
      </w:pPr>
      <w:r>
        <w:rPr>
          <w:rFonts w:ascii="Arial" w:hAnsi="Arial" w:cs="Arial"/>
        </w:rPr>
        <w:t xml:space="preserve">The second aspect is the opportunity to participate. Through effective participation with the </w:t>
      </w:r>
      <w:r w:rsidR="004C2929">
        <w:rPr>
          <w:rFonts w:ascii="Arial" w:hAnsi="Arial" w:cs="Arial"/>
        </w:rPr>
        <w:t>decision-making</w:t>
      </w:r>
      <w:r>
        <w:rPr>
          <w:rFonts w:ascii="Arial" w:hAnsi="Arial" w:cs="Arial"/>
        </w:rPr>
        <w:t xml:space="preserve"> process this ensures local populations are involved with decisions that will directly impact them. An example of this is citizens assemblies. Through involving a random selection of the general public on environmental decisions it gathers a consensus of what people believe to be important about the environment around them. This is currently being used in </w:t>
      </w:r>
      <w:r w:rsidR="004C2929">
        <w:rPr>
          <w:rFonts w:ascii="Arial" w:hAnsi="Arial" w:cs="Arial"/>
        </w:rPr>
        <w:t>several</w:t>
      </w:r>
      <w:r>
        <w:rPr>
          <w:rFonts w:ascii="Arial" w:hAnsi="Arial" w:cs="Arial"/>
        </w:rPr>
        <w:t xml:space="preserve"> countries throughout Europe as a direct consequence of climate change. Involving the people most affected ensures public </w:t>
      </w:r>
      <w:r w:rsidR="004C2929">
        <w:rPr>
          <w:rFonts w:ascii="Arial" w:hAnsi="Arial" w:cs="Arial"/>
        </w:rPr>
        <w:t>participation</w:t>
      </w:r>
      <w:r>
        <w:rPr>
          <w:rFonts w:ascii="Arial" w:hAnsi="Arial" w:cs="Arial"/>
        </w:rPr>
        <w:t xml:space="preserve"> and involvement.</w:t>
      </w:r>
    </w:p>
    <w:p w14:paraId="66E4701C" w14:textId="65201A65" w:rsidR="00770A97" w:rsidRDefault="00770A97">
      <w:pPr>
        <w:rPr>
          <w:rFonts w:ascii="Arial" w:hAnsi="Arial" w:cs="Arial"/>
        </w:rPr>
      </w:pPr>
      <w:r>
        <w:rPr>
          <w:rFonts w:ascii="Arial" w:hAnsi="Arial" w:cs="Arial"/>
        </w:rPr>
        <w:t xml:space="preserve">The third aspect of is the ability to seek redress; if a decision is deemed to be unlawful, unjust or unfair. The state should provide access to administrative and judicial resolutions if the it is deemed public officials have failed. An example of this is the legal disputes involving </w:t>
      </w:r>
      <w:r w:rsidR="004C2929">
        <w:rPr>
          <w:rFonts w:ascii="Arial" w:hAnsi="Arial" w:cs="Arial"/>
        </w:rPr>
        <w:t>indigenous</w:t>
      </w:r>
      <w:r>
        <w:rPr>
          <w:rFonts w:ascii="Arial" w:hAnsi="Arial" w:cs="Arial"/>
        </w:rPr>
        <w:t xml:space="preserve"> communities in Alaska and Canada. As governmental bodies banned the fishing of chinook salmon indigenous communities felt their cultural beliefs were </w:t>
      </w:r>
      <w:r w:rsidR="004C2929">
        <w:rPr>
          <w:rFonts w:ascii="Arial" w:hAnsi="Arial" w:cs="Arial"/>
        </w:rPr>
        <w:t>being</w:t>
      </w:r>
      <w:r>
        <w:rPr>
          <w:rFonts w:ascii="Arial" w:hAnsi="Arial" w:cs="Arial"/>
        </w:rPr>
        <w:t xml:space="preserve"> infringed upon. Through granting a legal case and providing the communities who felt their rights had been infringed upon this is an example of an effective ability to seek redress. </w:t>
      </w:r>
    </w:p>
    <w:p w14:paraId="2108B494" w14:textId="4EF7D524" w:rsidR="004C2929" w:rsidRDefault="00770A97">
      <w:pPr>
        <w:rPr>
          <w:rFonts w:ascii="Arial" w:hAnsi="Arial" w:cs="Arial"/>
        </w:rPr>
      </w:pPr>
      <w:r>
        <w:rPr>
          <w:rFonts w:ascii="Arial" w:hAnsi="Arial" w:cs="Arial"/>
        </w:rPr>
        <w:t>The integration principle is another important aspect of good environmental governance. By incorporating the environment into every policy related decision and creating a system that considers the environment first. As decision</w:t>
      </w:r>
      <w:r w:rsidR="004C2929">
        <w:rPr>
          <w:rFonts w:ascii="Arial" w:hAnsi="Arial" w:cs="Arial"/>
        </w:rPr>
        <w:t xml:space="preserve">s are rarely made that do not impact the environment it should not be left to environmentalist alone to consider it. </w:t>
      </w:r>
    </w:p>
    <w:p w14:paraId="14B8A038" w14:textId="3A0D05A3" w:rsidR="004C2929" w:rsidRPr="00A74F18" w:rsidRDefault="004C2929">
      <w:pPr>
        <w:rPr>
          <w:rFonts w:ascii="Arial" w:hAnsi="Arial" w:cs="Arial"/>
        </w:rPr>
      </w:pPr>
      <w:r>
        <w:rPr>
          <w:rFonts w:ascii="Arial" w:hAnsi="Arial" w:cs="Arial"/>
        </w:rPr>
        <w:t xml:space="preserve">As the recent pandemic has highlighted societies disconnect from nature, the future of good environmental governance should seek to readdress this disconnect. Integrating the environment and what the environment contains into all policy related decision would create a system that would put nature at the forefront of our issues. </w:t>
      </w:r>
      <w:r w:rsidR="00ED2B18">
        <w:rPr>
          <w:rFonts w:ascii="Arial" w:hAnsi="Arial" w:cs="Arial"/>
        </w:rPr>
        <w:t xml:space="preserve">Additionally, the three </w:t>
      </w:r>
      <w:r w:rsidR="001672E8">
        <w:rPr>
          <w:rFonts w:ascii="Arial" w:hAnsi="Arial" w:cs="Arial"/>
        </w:rPr>
        <w:t>elements</w:t>
      </w:r>
      <w:r w:rsidR="00ED2B18">
        <w:rPr>
          <w:rFonts w:ascii="Arial" w:hAnsi="Arial" w:cs="Arial"/>
        </w:rPr>
        <w:t xml:space="preserve"> at the heart of environmental governance; access, participate and redress are essential for a good system of environmental governance. By combining these core philosophies of the Rio Declaration a future of good environmental governance will help protect the flora and fauna remaining on Earth</w:t>
      </w:r>
      <w:r w:rsidR="00FF469E">
        <w:rPr>
          <w:rFonts w:ascii="Arial" w:hAnsi="Arial" w:cs="Arial"/>
        </w:rPr>
        <w:t xml:space="preserve"> and guide us towards a sustainable future. </w:t>
      </w:r>
    </w:p>
    <w:sectPr w:rsidR="004C2929" w:rsidRPr="00A74F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F18"/>
    <w:rsid w:val="001672E8"/>
    <w:rsid w:val="004C2929"/>
    <w:rsid w:val="00542B4C"/>
    <w:rsid w:val="00770A97"/>
    <w:rsid w:val="00A74F18"/>
    <w:rsid w:val="00B7425B"/>
    <w:rsid w:val="00D225C0"/>
    <w:rsid w:val="00ED2B18"/>
    <w:rsid w:val="00FF46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3B537"/>
  <w15:chartTrackingRefBased/>
  <w15:docId w15:val="{E94A81B7-F941-4637-8F28-17CF134BC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TotalTime>
  <Pages>2</Pages>
  <Words>936</Words>
  <Characters>5336</Characters>
  <Application>Microsoft Office Word</Application>
  <DocSecurity>0</DocSecurity>
  <Lines>44</Lines>
  <Paragraphs>12</Paragraphs>
  <ScaleCrop>false</ScaleCrop>
  <Company/>
  <LinksUpToDate>false</LinksUpToDate>
  <CharactersWithSpaces>6260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Jackson</dc:creator>
  <cp:keywords/>
  <dc:description/>
  <cp:lastModifiedBy>Daniel Jackson</cp:lastModifiedBy>
  <cp:revision>4</cp:revision>
  <dcterms:created xsi:type="dcterms:W3CDTF">2020-04-27T12:36:00Z</dcterms:created>
  <dcterms:modified xsi:type="dcterms:W3CDTF">2020-04-27T14:28:00Z</dcterms:modified>
</cp:coreProperties>
</file>