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ascii="Arial" w:hAnsi="Arial"/>
          <w:b/>
          <w:bCs/>
          <w:sz w:val="20"/>
          <w:szCs w:val="20"/>
          <w:u w:val="single"/>
        </w:rPr>
        <w:t>Dissertation P</w:t>
      </w:r>
      <w:r>
        <w:rPr>
          <w:rFonts w:ascii="Arial" w:hAnsi="Arial"/>
          <w:b/>
          <w:bCs/>
          <w:sz w:val="20"/>
          <w:szCs w:val="20"/>
          <w:u w:val="single"/>
        </w:rPr>
        <w:t>roposal</w:t>
      </w:r>
      <w:r>
        <w:rPr>
          <w:rFonts w:ascii="Arial" w:hAnsi="Arial"/>
          <w:b/>
          <w:bCs/>
          <w:sz w:val="20"/>
          <w:szCs w:val="20"/>
          <w:u w:val="single"/>
        </w:rPr>
        <w:t xml:space="preserve">, </w:t>
      </w:r>
      <w:r>
        <w:rPr>
          <w:rFonts w:ascii="Arial" w:hAnsi="Arial"/>
          <w:b/>
          <w:bCs/>
          <w:sz w:val="20"/>
          <w:szCs w:val="20"/>
          <w:u w:val="single"/>
        </w:rPr>
        <w:t>Research Practices (M5X01571),</w:t>
      </w:r>
      <w:r>
        <w:rPr>
          <w:rFonts w:ascii="Arial" w:hAnsi="Arial"/>
          <w:b/>
          <w:bCs/>
          <w:sz w:val="20"/>
          <w:szCs w:val="20"/>
          <w:u w:val="single"/>
        </w:rPr>
        <w:t xml:space="preserve"> Harley Piers Morgan</w:t>
      </w:r>
    </w:p>
    <w:p>
      <w:pPr>
        <w:pStyle w:val="Normal"/>
        <w:rPr>
          <w:rFonts w:ascii="Arial" w:hAnsi="Arial"/>
          <w:sz w:val="20"/>
          <w:szCs w:val="20"/>
        </w:rPr>
      </w:pPr>
      <w:r>
        <w:rPr>
          <w:rFonts w:ascii="Arial" w:hAnsi="Arial"/>
          <w:sz w:val="20"/>
          <w:szCs w:val="20"/>
        </w:rPr>
      </w:r>
    </w:p>
    <w:p>
      <w:pPr>
        <w:pStyle w:val="Normal"/>
        <w:rPr>
          <w:rFonts w:ascii="Arial" w:hAnsi="Arial"/>
          <w:sz w:val="20"/>
          <w:szCs w:val="20"/>
        </w:rPr>
      </w:pPr>
      <w:r>
        <w:rPr>
          <w:rFonts w:ascii="Arial" w:hAnsi="Arial"/>
          <w:sz w:val="20"/>
          <w:szCs w:val="20"/>
        </w:rPr>
      </w:r>
    </w:p>
    <w:p>
      <w:pPr>
        <w:pStyle w:val="Normal"/>
        <w:spacing w:lineRule="auto" w:line="360"/>
        <w:rPr>
          <w:rFonts w:ascii="Arial" w:hAnsi="Arial"/>
          <w:sz w:val="20"/>
          <w:szCs w:val="20"/>
        </w:rPr>
      </w:pPr>
      <w:r>
        <w:rPr>
          <w:rFonts w:ascii="Arial" w:hAnsi="Arial"/>
          <w:sz w:val="20"/>
          <w:szCs w:val="20"/>
        </w:rPr>
      </w:r>
    </w:p>
    <w:p>
      <w:pPr>
        <w:pStyle w:val="Normal"/>
        <w:spacing w:lineRule="auto" w:line="360"/>
        <w:rPr>
          <w:rFonts w:ascii="Arial" w:hAnsi="Arial"/>
          <w:sz w:val="20"/>
          <w:szCs w:val="20"/>
        </w:rPr>
      </w:pPr>
      <w:r>
        <w:rPr>
          <w:rFonts w:ascii="Arial" w:hAnsi="Arial"/>
          <w:sz w:val="20"/>
          <w:szCs w:val="20"/>
        </w:rPr>
        <w:tab/>
        <w:t>The introduction of Modern Art has resulted in a paradigm shift, changing artistic focus from an aesthetic to narrative based approach. While this in and of itself is not an issue, there is a trend among both the casual and critical observer to attribute certain speculative narrative qualities, such as the intention of the artist, to the artwork itself. This is despite the fact that many such qualities are in fact based heavily on interpretation rather than any real measurable or quantifiable value.</w:t>
      </w:r>
    </w:p>
    <w:p>
      <w:pPr>
        <w:pStyle w:val="Normal"/>
        <w:spacing w:lineRule="auto" w:line="360"/>
        <w:rPr>
          <w:sz w:val="20"/>
          <w:szCs w:val="20"/>
        </w:rPr>
      </w:pPr>
      <w:r>
        <w:rPr>
          <w:rFonts w:ascii="Arial" w:hAnsi="Arial"/>
          <w:color w:val="000000"/>
          <w:sz w:val="20"/>
          <w:szCs w:val="20"/>
        </w:rPr>
        <w:tab/>
      </w:r>
    </w:p>
    <w:p>
      <w:pPr>
        <w:pStyle w:val="Normal"/>
        <w:spacing w:lineRule="auto" w:line="360"/>
        <w:rPr>
          <w:sz w:val="20"/>
          <w:szCs w:val="20"/>
        </w:rPr>
      </w:pPr>
      <w:r>
        <w:rPr>
          <w:rFonts w:ascii="Arial" w:hAnsi="Arial"/>
          <w:color w:val="000000"/>
          <w:sz w:val="20"/>
          <w:szCs w:val="20"/>
        </w:rPr>
        <w:tab/>
        <w:t>To better understand this problem, we must first look at my first keyword, art. Art today can no longer be simply defined, opinion of it more muddled and confused than ever before. While originally focused primarily upon aesthetics, the advent of Modern Art has seen such values become totally eclipsed by those of context and narrative (Costache, 2012) as artists have shifted from representing reality to interpreting it (Spalding, 2003). The result of this is manifold, greatly affecting the ways in which we as an audience look at art, altering artist intention and hugely influencing the manner in which art is critically discussed and reviewed. Julian Spalding (2003) speaks of a crisis in art as he laments the disappearance of great painters and sculptors from our time, with what few we have crushed beneath the fame of more eccentric and sensationalist artists who capture the attention of the media. While I do not believe this can be considered a crisis, many works of Modern Art thought provoking and meaningful in their own right, it cannot be denied that this represents something of a paradigm shift. And the effects of this shift are hugely significant.</w:t>
      </w:r>
    </w:p>
    <w:p>
      <w:pPr>
        <w:pStyle w:val="Normal"/>
        <w:spacing w:lineRule="auto" w:line="360"/>
        <w:rPr/>
      </w:pPr>
      <w:r>
        <w:rPr>
          <w:rFonts w:ascii="Arial" w:hAnsi="Arial"/>
          <w:color w:val="000000"/>
          <w:sz w:val="20"/>
          <w:szCs w:val="20"/>
        </w:rPr>
        <w:tab/>
        <w:t>While context has always been important to properly appraise and understand art, never has this been more the case than now. Kieran (2005) is of the opinion that criticism that ignores the intention and situation of the artist to focus only on the possible experience of the observer is deeply misguided, an opinion with which I totally agree. But while traditional art often contains its context within it, in the form of colour, technical workmanship, fine detail and content, thus guiding and directing our understanding, many more recent pieces rely on blind assumption or knowledge that is absent from the work itself. Items such as Tracey Emin’s ‘My Bed’ are considered superficial by Kieran (2005) in providing little to actually direct our thoughts other than juxtaposition and incongruity. Meanwhile Rosenberg (1972 : 12) believes that at this point in time “No one can say with assurance what a work of art is – or, more important, what is not a work of art.” The reason for such a view is quite simple. The meaning and intention of art has now become so far removed from the work itself as to become indistinguishable without the appropriate context.</w:t>
      </w:r>
    </w:p>
    <w:p>
      <w:pPr>
        <w:pStyle w:val="Normal"/>
        <w:spacing w:lineRule="auto" w:line="360"/>
        <w:rPr>
          <w:sz w:val="20"/>
          <w:szCs w:val="20"/>
        </w:rPr>
      </w:pPr>
      <w:r>
        <w:rPr>
          <w:rFonts w:ascii="Arial" w:hAnsi="Arial"/>
          <w:color w:val="000000"/>
          <w:sz w:val="20"/>
          <w:szCs w:val="20"/>
        </w:rPr>
        <w:tab/>
        <w:t>This lack of inherent meaning causes numerous problems for both the casual and critical audience. Szczelkun (1993 : 107 - 108) states “Because the working class has not been able to have its own fine artists, it is not surprising if it does not react with understanding” and this, in conjunction with the thoughts of Costache (2012) who believes that much of the history and process behind a work is concealed by the display,  shows why so few people can truly make informed commentary regarding art today. Even those that do understand art history, the techniques involved or the personal background of the artist often struggle to accurately assess work. O’Toole (1994) believes that many observations often fail to connect into a meaningful whole and exist instead as isolated monologues that talk about what surrounds the art, rather than directly conveying any information about the item itself. As such, in order to truly appraise a piece, an almost comprehensive understanding of every aspect of the work is virtually a pre-requisite, and with so much information often absent from the body of the art itself context is truly vital like never before. Art has essentially lost its inherent meaning.</w:t>
      </w:r>
    </w:p>
    <w:p>
      <w:pPr>
        <w:pStyle w:val="Normal"/>
        <w:spacing w:lineRule="auto" w:line="360"/>
        <w:rPr>
          <w:sz w:val="20"/>
          <w:szCs w:val="20"/>
        </w:rPr>
      </w:pPr>
      <w:r>
        <w:rPr>
          <w:rFonts w:ascii="Arial" w:hAnsi="Arial"/>
          <w:sz w:val="20"/>
          <w:szCs w:val="20"/>
        </w:rPr>
        <w:tab/>
      </w:r>
    </w:p>
    <w:p>
      <w:pPr>
        <w:pStyle w:val="Normal"/>
        <w:spacing w:lineRule="auto" w:line="360"/>
        <w:rPr>
          <w:rFonts w:ascii="Arial" w:hAnsi="Arial"/>
          <w:sz w:val="20"/>
          <w:szCs w:val="20"/>
        </w:rPr>
      </w:pPr>
      <w:r>
        <w:rPr>
          <w:rFonts w:ascii="Arial" w:hAnsi="Arial"/>
          <w:sz w:val="20"/>
          <w:szCs w:val="20"/>
        </w:rPr>
        <w:tab/>
        <w:t>This brings us to my second keyword, context, which we have already touched upon. Costache (2012) states that when analysing art many factors beyond the final product are important, such as additional visual sources, primary and secondary texts and other such information. Even the manner in which art is classified can further affect the way art is valued and perceived. As such it has always been important to understand relevant art history, political and philosophical movements, the position of the artist at the time, their likely intention and potentially so much more. Rosenberg (1972) believes that most works are half formed from words, which are vital in determining the visual tradition in which that work is seen.</w:t>
      </w:r>
    </w:p>
    <w:p>
      <w:pPr>
        <w:pStyle w:val="Normal"/>
        <w:spacing w:lineRule="auto" w:line="360"/>
        <w:rPr>
          <w:rFonts w:ascii="Arial" w:hAnsi="Arial"/>
          <w:sz w:val="20"/>
          <w:szCs w:val="20"/>
        </w:rPr>
      </w:pPr>
      <w:r>
        <w:rPr>
          <w:rFonts w:ascii="Arial" w:hAnsi="Arial"/>
          <w:sz w:val="20"/>
          <w:szCs w:val="20"/>
        </w:rPr>
        <w:tab/>
        <w:t xml:space="preserve">There are certain inherent issues with this however. Baxandall (1985 : 10 – 11) writes “If we wish to explain pictures, in the sense of expanding them in terms of their historical causes, what we actually explain seems likely to be not the unmediated picture but the picture as considered under a partially interpretive description. This description is an untidy and lively affair.” What it meant by this is that while the information contained within a work of art itself is conclusive, context often is anything but. We may understand that a particular political movement was occurring simultaneously with the creation of a work, claiming it the cause for a particular element of the piece, but unless actually stated by the artist this is merely an interpretation. This is further supported by O’Toole (1994) who is of the opinion that when looking at context the authority of the discourse comes from outside the work itself, from a tradition of authority figures, grandiose generalisations and comparisons with other artworks that are simply presumed to be related. There is often little hard evidence. As a result of this when, in the absence of inherent meaning within the art as already discussed, context becomes the focal point it is of vital importance that said context be of high and reputable quality in order to at least facilitate at least some manner of accurate judgement and appraisal. </w:t>
      </w:r>
    </w:p>
    <w:p>
      <w:pPr>
        <w:pStyle w:val="Normal"/>
        <w:spacing w:lineRule="auto" w:line="360"/>
        <w:rPr>
          <w:sz w:val="20"/>
          <w:szCs w:val="20"/>
        </w:rPr>
      </w:pPr>
      <w:r>
        <w:rPr>
          <w:rFonts w:ascii="Arial" w:hAnsi="Arial"/>
          <w:sz w:val="20"/>
          <w:szCs w:val="20"/>
        </w:rPr>
        <w:tab/>
        <w:t>A perfect example for the vital importance of context, as well as the necessity of said context coming from reputable and believable sources, is the work of Joseph Beuys. After surviving an airplane crash in 1944, Beuys wove a heroic tale of being rescued by Tatar Shamans who nursed him back to health after his plane was struck by Russian artillery. Spalding (2003) writes that this event became an integral part of his future artistic practice, to the extent that much of Beuys’ work is virtually meaningless without knowledge of this context. However it has since been discovered that much of this story was in fact falsehood and elaboration, leaving the work barren and without essence, which leads me to my third and most important keyword, narrative.</w:t>
      </w:r>
    </w:p>
    <w:p>
      <w:pPr>
        <w:pStyle w:val="Normal"/>
        <w:spacing w:lineRule="auto" w:line="360"/>
        <w:rPr>
          <w:sz w:val="20"/>
          <w:szCs w:val="20"/>
        </w:rPr>
      </w:pPr>
      <w:r>
        <w:rPr>
          <w:rFonts w:ascii="Arial" w:hAnsi="Arial"/>
          <w:sz w:val="20"/>
          <w:szCs w:val="20"/>
        </w:rPr>
        <w:tab/>
      </w:r>
    </w:p>
    <w:p>
      <w:pPr>
        <w:pStyle w:val="Normal"/>
        <w:spacing w:lineRule="auto" w:line="360"/>
        <w:rPr>
          <w:sz w:val="20"/>
          <w:szCs w:val="20"/>
        </w:rPr>
      </w:pPr>
      <w:r>
        <w:rPr>
          <w:rFonts w:ascii="Arial" w:hAnsi="Arial"/>
          <w:sz w:val="20"/>
          <w:szCs w:val="20"/>
        </w:rPr>
        <w:tab/>
      </w:r>
    </w:p>
    <w:p>
      <w:pPr>
        <w:pStyle w:val="Normal"/>
        <w:spacing w:lineRule="auto" w:line="360"/>
        <w:rPr>
          <w:rFonts w:ascii="Arial" w:hAnsi="Arial"/>
        </w:rPr>
      </w:pPr>
      <w:r>
        <w:rPr>
          <w:rFonts w:ascii="Arial" w:hAnsi="Arial"/>
        </w:rPr>
      </w:r>
    </w:p>
    <w:p>
      <w:pPr>
        <w:pStyle w:val="Normal"/>
        <w:spacing w:lineRule="auto" w:line="360"/>
        <w:rPr>
          <w:rFonts w:ascii="Arial" w:hAnsi="Arial"/>
        </w:rPr>
      </w:pPr>
      <w:r>
        <w:rPr>
          <w:rFonts w:ascii="Arial" w:hAnsi="Arial"/>
        </w:rPr>
      </w:r>
    </w:p>
    <w:p>
      <w:pPr>
        <w:pStyle w:val="Normal"/>
        <w:spacing w:lineRule="auto" w:line="360"/>
        <w:rPr/>
      </w:pPr>
      <w:r>
        <w:rPr>
          <w:rFonts w:ascii="Arial" w:hAnsi="Arial"/>
          <w:sz w:val="20"/>
          <w:szCs w:val="20"/>
        </w:rPr>
        <w:tab/>
        <w:t xml:space="preserve">Narrative within art is the story woven around an artist and their work, a tale that captures the context and meaning to create a tangible whole. Inherent narrative restricts itself to the facts, commenting upon elements that are present and visible within the work itself as well as the context, at least that which can be proven to be accurate, which surrounds it. However there also exists imposed narrative, narrative which cannot be proven nor substantially backed up and does not exist in the work itself. I am firmly of the opinion that imposed narrative is one of the greatest dangers in art today, as echoed by Baxandall (1985) who believes that once we start inferring intentions and causes in artwork, we are doing something that is obviously very precarious indeed. </w:t>
      </w:r>
    </w:p>
    <w:p>
      <w:pPr>
        <w:pStyle w:val="Normal"/>
        <w:spacing w:lineRule="auto" w:line="360"/>
        <w:ind w:firstLine="709"/>
        <w:rPr/>
      </w:pPr>
      <w:r>
        <w:rPr>
          <w:rFonts w:ascii="Arial" w:hAnsi="Arial"/>
          <w:sz w:val="20"/>
          <w:szCs w:val="20"/>
        </w:rPr>
        <w:t>The true issue however arises when imposed narrative is mistaken for, or accepted as, inherent narrative. We unfortunately see this quite commonly within works of art, when we are told such things as that certain colours or strokes represent the anger of the artist during this period, that the artist’s intention was to capture the burgeoning conflict between man and machine or that the work is in fact a statement on feminism. Spalding (2003) warns that we cannot be certain of what was in an artist’s mind when they created their work, with often no trace left on the objects created to indicate their thoughts and feelings. Much of what we see as ‘true’ about art falls victim to this, for example the work of Joseph Beuys which we briefly discussed in the last section. Beuys’ work only existed as a direct result of an imposed narrative, the gross exaggeration of his crash and the related events, with none of this actually being evident in the work itself. Rosenberg (1972 : 12) writes, “The post-art artist carries the de-definition of art to the point where nothing is left of art but the fiction of the artist” and we can clearly see the results of this here. Without Beuys’ fiction to support it, his work essentially ceases to function as art.</w:t>
      </w:r>
    </w:p>
    <w:p>
      <w:pPr>
        <w:pStyle w:val="Normal"/>
        <w:spacing w:lineRule="auto" w:line="360"/>
        <w:ind w:firstLine="709"/>
        <w:rPr>
          <w:rFonts w:ascii="Arial" w:hAnsi="Arial"/>
          <w:sz w:val="20"/>
          <w:szCs w:val="20"/>
        </w:rPr>
      </w:pPr>
      <w:r>
        <w:rPr>
          <w:rFonts w:ascii="Arial" w:hAnsi="Arial"/>
          <w:sz w:val="20"/>
          <w:szCs w:val="20"/>
        </w:rPr>
        <w:t>O’Toole (1994 : 177) speaks of the art historian Hartt’s analysis of Tintoretto, which faultlessly showcases the habit of resorting to biographical, psychological and spiritual evidence. He writes “because (biographically) we know that sometimes he painted only for the cost of materials, and left his widow in poverty, if follows (psychologically) that he had a sincere and uncomplicated personality and how no ambition to compete with Titian’s life of ease (rather hard to substantiate these assertions, one might think). Out of this personality springs ‘spontaneously’ his personal style (style is something that belongs to people, not the objects they create) which enabled him (spiritually) to communicate religious experiences with the force of revelation. We are involved here in more and more diffuse layers of speculation, enunciated with greater and greater degrees of dogmatism.” This, in perfect clarity, reveals the absurdity of our imposed narratives and the spurious leaps of logic we take when discussing many artworks.</w:t>
      </w:r>
    </w:p>
    <w:p>
      <w:pPr>
        <w:pStyle w:val="Normal"/>
        <w:spacing w:lineRule="auto" w:line="360"/>
        <w:ind w:firstLine="709"/>
        <w:rPr>
          <w:sz w:val="20"/>
          <w:szCs w:val="20"/>
        </w:rPr>
      </w:pPr>
      <w:r>
        <w:rPr>
          <w:rFonts w:ascii="Arial" w:hAnsi="Arial"/>
          <w:sz w:val="20"/>
          <w:szCs w:val="20"/>
        </w:rPr>
        <w:t>Such imposed narratives are essentially the artistic equivalent of a metanarrative, a form of narrative that seeks to explain everything in one grand truth. Postmodernists, such as Jean-Francois Lyotard, were deeply suspicious of such statements, with Butler (2002 : 62) stating “Lyotard not surprisingly saw it as the job of contemporary artists to question the role of the metanarrative”</w:t>
      </w:r>
      <w:bookmarkStart w:id="0" w:name="docs-internal-guid-721e145f-3fdf-4b9e-3e"/>
      <w:bookmarkStart w:id="1" w:name="docs-internal-guid-721e145f-3fde-d1eb-b0"/>
      <w:bookmarkEnd w:id="0"/>
      <w:bookmarkEnd w:id="1"/>
      <w:r>
        <w:rPr>
          <w:rFonts w:ascii="Arial" w:hAnsi="Arial"/>
          <w:sz w:val="20"/>
          <w:szCs w:val="20"/>
        </w:rPr>
        <w:t>. From this we can see that imposed narrative has been an issue for several decades now, but despite this we continue to become more reliant upon it and continue to confuse it with the inherent narrative of the work itself.</w:t>
      </w:r>
    </w:p>
    <w:p>
      <w:pPr>
        <w:pStyle w:val="Normal"/>
        <w:spacing w:lineRule="auto" w:line="360"/>
        <w:ind w:firstLine="709"/>
        <w:rPr>
          <w:rFonts w:ascii="Arial" w:hAnsi="Arial"/>
        </w:rPr>
      </w:pPr>
      <w:r>
        <w:rPr>
          <w:rFonts w:ascii="Arial" w:hAnsi="Arial"/>
        </w:rPr>
      </w:r>
    </w:p>
    <w:p>
      <w:pPr>
        <w:pStyle w:val="Normal"/>
        <w:spacing w:lineRule="auto" w:line="360"/>
        <w:ind w:hanging="0"/>
        <w:rPr>
          <w:rFonts w:ascii="Arial" w:hAnsi="Arial"/>
        </w:rPr>
      </w:pPr>
      <w:r>
        <w:rPr>
          <w:rFonts w:ascii="Arial" w:hAnsi="Arial"/>
        </w:rPr>
      </w:r>
    </w:p>
    <w:p>
      <w:pPr>
        <w:pStyle w:val="Normal"/>
        <w:spacing w:lineRule="auto" w:line="360"/>
        <w:ind w:hanging="0"/>
        <w:rPr>
          <w:sz w:val="20"/>
          <w:szCs w:val="20"/>
        </w:rPr>
      </w:pPr>
      <w:r>
        <w:rPr>
          <w:rFonts w:ascii="Arial" w:hAnsi="Arial"/>
          <w:sz w:val="20"/>
          <w:szCs w:val="20"/>
        </w:rPr>
        <w:tab/>
        <w:t>My dissertation will attempt to further explore the issues of mistaking inherent and imposed narrative as well as exploring the ways in which various artists have been affected and harmed by this issue. I will examine the work of Georgia O’Keeffe, Mark Rothko and several others in order to better understand the mechanisms of narrative, as well as looking more deeply into the causes and the manner in which it affects both casual and critical art analysis. As such, my dissertation title shall be as follows;</w:t>
      </w:r>
    </w:p>
    <w:p>
      <w:pPr>
        <w:pStyle w:val="Normal"/>
        <w:spacing w:lineRule="auto" w:line="360"/>
        <w:ind w:hanging="0"/>
        <w:jc w:val="center"/>
        <w:rPr>
          <w:rFonts w:ascii="Arial" w:hAnsi="Arial"/>
        </w:rPr>
      </w:pPr>
      <w:r>
        <w:rPr>
          <w:rFonts w:ascii="Arial" w:hAnsi="Arial"/>
        </w:rPr>
      </w:r>
    </w:p>
    <w:p>
      <w:pPr>
        <w:pStyle w:val="Normal"/>
        <w:spacing w:lineRule="auto" w:line="360"/>
        <w:ind w:hanging="0"/>
        <w:jc w:val="center"/>
        <w:rPr>
          <w:sz w:val="20"/>
          <w:szCs w:val="20"/>
        </w:rPr>
      </w:pPr>
      <w:r>
        <w:rPr>
          <w:rFonts w:ascii="Arial" w:hAnsi="Arial"/>
          <w:sz w:val="20"/>
          <w:szCs w:val="20"/>
        </w:rPr>
        <w:t>‘</w:t>
      </w:r>
      <w:r>
        <w:rPr>
          <w:rFonts w:ascii="Arial" w:hAnsi="Arial"/>
          <w:sz w:val="20"/>
          <w:szCs w:val="20"/>
        </w:rPr>
        <w:t>Narrative Within Art, A Critical Analysis of the Roles of Inherent and Imposed Narrative and the Issues Surrounding Them.’</w:t>
      </w:r>
    </w:p>
    <w:p>
      <w:pPr>
        <w:pStyle w:val="Normal"/>
        <w:spacing w:lineRule="auto" w:line="360"/>
        <w:ind w:firstLine="709"/>
        <w:rPr>
          <w:rFonts w:ascii="Arial" w:hAnsi="Arial"/>
        </w:rPr>
      </w:pPr>
      <w:r>
        <w:rPr>
          <w:rFonts w:ascii="Arial" w:hAnsi="Arial"/>
        </w:rPr>
      </w:r>
    </w:p>
    <w:p>
      <w:pPr>
        <w:pStyle w:val="Normal"/>
        <w:spacing w:lineRule="auto" w:line="360"/>
        <w:ind w:hanging="0"/>
        <w:rPr>
          <w:sz w:val="20"/>
          <w:szCs w:val="20"/>
        </w:rPr>
      </w:pPr>
      <w:r>
        <w:rPr>
          <w:rFonts w:ascii="Arial" w:hAnsi="Arial"/>
          <w:sz w:val="20"/>
          <w:szCs w:val="20"/>
        </w:rPr>
        <w:t>And shall also address the following sub-questions;</w:t>
      </w:r>
    </w:p>
    <w:p>
      <w:pPr>
        <w:pStyle w:val="Normal"/>
        <w:spacing w:lineRule="auto" w:line="360"/>
        <w:ind w:firstLine="709"/>
        <w:rPr>
          <w:rFonts w:ascii="Arial" w:hAnsi="Arial"/>
        </w:rPr>
      </w:pPr>
      <w:r>
        <w:rPr>
          <w:rFonts w:ascii="Arial" w:hAnsi="Arial"/>
        </w:rPr>
      </w:r>
    </w:p>
    <w:p>
      <w:pPr>
        <w:pStyle w:val="Normal"/>
        <w:spacing w:lineRule="auto" w:line="360"/>
        <w:ind w:hanging="0"/>
        <w:jc w:val="center"/>
        <w:rPr>
          <w:sz w:val="20"/>
          <w:szCs w:val="20"/>
        </w:rPr>
      </w:pPr>
      <w:r>
        <w:rPr>
          <w:rFonts w:ascii="Arial" w:hAnsi="Arial"/>
          <w:sz w:val="20"/>
          <w:szCs w:val="20"/>
        </w:rPr>
        <w:t>‘</w:t>
      </w:r>
      <w:r>
        <w:rPr>
          <w:rFonts w:ascii="Arial" w:hAnsi="Arial"/>
          <w:sz w:val="20"/>
          <w:szCs w:val="20"/>
        </w:rPr>
        <w:t>What is the Difference Between Inherent and Imposed Narrative?’</w:t>
      </w:r>
    </w:p>
    <w:p>
      <w:pPr>
        <w:pStyle w:val="Normal"/>
        <w:spacing w:lineRule="auto" w:line="360"/>
        <w:ind w:firstLine="709"/>
        <w:rPr>
          <w:rFonts w:ascii="Arial" w:hAnsi="Arial"/>
        </w:rPr>
      </w:pPr>
      <w:r>
        <w:rPr>
          <w:rFonts w:ascii="Arial" w:hAnsi="Arial"/>
        </w:rPr>
      </w:r>
    </w:p>
    <w:p>
      <w:pPr>
        <w:pStyle w:val="Normal"/>
        <w:spacing w:lineRule="auto" w:line="360"/>
        <w:ind w:hanging="0"/>
        <w:jc w:val="center"/>
        <w:rPr>
          <w:sz w:val="20"/>
          <w:szCs w:val="20"/>
        </w:rPr>
      </w:pPr>
      <w:r>
        <w:rPr>
          <w:rFonts w:ascii="Arial" w:hAnsi="Arial"/>
          <w:sz w:val="20"/>
          <w:szCs w:val="20"/>
        </w:rPr>
        <w:t>‘</w:t>
      </w:r>
      <w:r>
        <w:rPr>
          <w:rFonts w:ascii="Arial" w:hAnsi="Arial"/>
          <w:sz w:val="20"/>
          <w:szCs w:val="20"/>
        </w:rPr>
        <w:t>How has Imposition of Narrative Affected Artists and their Work?’</w:t>
      </w:r>
    </w:p>
    <w:p>
      <w:pPr>
        <w:pStyle w:val="Normal"/>
        <w:spacing w:lineRule="auto" w:line="360"/>
        <w:ind w:firstLine="709"/>
        <w:rPr>
          <w:rFonts w:ascii="Arial" w:hAnsi="Arial"/>
        </w:rPr>
      </w:pPr>
      <w:r>
        <w:rPr>
          <w:rFonts w:ascii="Arial" w:hAnsi="Arial"/>
        </w:rPr>
      </w:r>
    </w:p>
    <w:p>
      <w:pPr>
        <w:pStyle w:val="Normal"/>
        <w:spacing w:lineRule="auto" w:line="360"/>
        <w:ind w:hanging="0"/>
        <w:jc w:val="center"/>
        <w:rPr>
          <w:sz w:val="20"/>
          <w:szCs w:val="20"/>
        </w:rPr>
      </w:pPr>
      <w:r>
        <w:rPr>
          <w:rFonts w:ascii="Arial" w:hAnsi="Arial"/>
          <w:sz w:val="20"/>
          <w:szCs w:val="20"/>
        </w:rPr>
        <w:t>‘</w:t>
      </w:r>
      <w:r>
        <w:rPr>
          <w:rFonts w:ascii="Arial" w:hAnsi="Arial"/>
          <w:sz w:val="20"/>
          <w:szCs w:val="20"/>
        </w:rPr>
        <w:t>How is Narrative Used Within Casual and Critical Art Analysis?’</w:t>
      </w:r>
    </w:p>
    <w:p>
      <w:pPr>
        <w:pStyle w:val="Normal"/>
        <w:spacing w:lineRule="auto" w:line="360"/>
        <w:ind w:hanging="0"/>
        <w:jc w:val="center"/>
        <w:rPr>
          <w:rFonts w:ascii="Arial" w:hAnsi="Arial"/>
        </w:rPr>
      </w:pPr>
      <w:r>
        <w:rPr>
          <w:rFonts w:ascii="Arial" w:hAnsi="Arial"/>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rFonts w:ascii="Arial" w:hAnsi="Arial"/>
          <w:b/>
          <w:b/>
          <w:bCs/>
          <w:i w:val="false"/>
          <w:i w:val="false"/>
          <w:iCs w:val="false"/>
          <w:sz w:val="24"/>
          <w:szCs w:val="24"/>
          <w:lang w:val="en-GB" w:eastAsia="en-US" w:bidi="en-US"/>
        </w:rPr>
      </w:pPr>
      <w:r>
        <w:rPr>
          <w:rFonts w:ascii="Arial" w:hAnsi="Arial"/>
          <w:b/>
          <w:bCs/>
          <w:i w:val="false"/>
          <w:iCs w:val="false"/>
          <w:sz w:val="24"/>
          <w:szCs w:val="24"/>
          <w:lang w:val="en-GB" w:eastAsia="en-US" w:bidi="en-US"/>
        </w:rPr>
      </w:r>
    </w:p>
    <w:p>
      <w:pPr>
        <w:pStyle w:val="Normal"/>
        <w:spacing w:lineRule="auto" w:line="360"/>
        <w:jc w:val="center"/>
        <w:rPr/>
      </w:pPr>
      <w:r>
        <w:rPr>
          <w:rFonts w:ascii="Arial" w:hAnsi="Arial"/>
          <w:b/>
          <w:bCs/>
          <w:i w:val="false"/>
          <w:iCs w:val="false"/>
          <w:sz w:val="24"/>
          <w:szCs w:val="24"/>
          <w:lang w:val="en-GB" w:eastAsia="en-US" w:bidi="en-US"/>
        </w:rPr>
        <w:t>References</w:t>
      </w:r>
    </w:p>
    <w:p>
      <w:pPr>
        <w:pStyle w:val="Normal"/>
        <w:spacing w:lineRule="auto" w:line="360"/>
        <w:jc w:val="center"/>
        <w:rPr>
          <w:rFonts w:ascii="Arial" w:hAnsi="Arial"/>
          <w:i w:val="false"/>
          <w:i w:val="false"/>
          <w:iCs w:val="false"/>
          <w:sz w:val="20"/>
          <w:szCs w:val="20"/>
          <w:lang w:val="en-GB" w:eastAsia="en-US" w:bidi="en-US"/>
        </w:rPr>
      </w:pPr>
      <w:r>
        <w:rPr>
          <w:rFonts w:ascii="Arial" w:hAnsi="Arial"/>
          <w:i w:val="false"/>
          <w:iCs w:val="false"/>
          <w:sz w:val="20"/>
          <w:szCs w:val="20"/>
          <w:lang w:val="en-GB" w:eastAsia="en-US" w:bidi="en-US"/>
        </w:rPr>
      </w:r>
    </w:p>
    <w:p>
      <w:pPr>
        <w:pStyle w:val="Normal"/>
        <w:spacing w:lineRule="auto" w:line="360"/>
        <w:ind w:right="0" w:hanging="0"/>
        <w:jc w:val="left"/>
        <w:rPr/>
      </w:pPr>
      <w:r>
        <w:rPr>
          <w:rFonts w:ascii="Arial" w:hAnsi="Arial"/>
          <w:i w:val="false"/>
          <w:iCs w:val="false"/>
          <w:sz w:val="20"/>
          <w:szCs w:val="20"/>
          <w:lang w:val="en-GB" w:eastAsia="en-US" w:bidi="en-US"/>
        </w:rPr>
        <w:t xml:space="preserve">Baxandall, M. (1985) </w:t>
      </w:r>
      <w:r>
        <w:rPr>
          <w:rFonts w:ascii="Arial" w:hAnsi="Arial"/>
          <w:i/>
          <w:iCs/>
          <w:sz w:val="20"/>
          <w:szCs w:val="20"/>
          <w:lang w:val="en-GB" w:eastAsia="en-US" w:bidi="en-US"/>
        </w:rPr>
        <w:t>Patterns of Intention</w:t>
      </w:r>
      <w:r>
        <w:rPr>
          <w:rFonts w:ascii="Arial" w:hAnsi="Arial"/>
          <w:i w:val="false"/>
          <w:iCs w:val="false"/>
          <w:sz w:val="20"/>
          <w:szCs w:val="20"/>
          <w:lang w:val="en-GB" w:eastAsia="en-US" w:bidi="en-US"/>
        </w:rPr>
        <w:t>. New Haven: Yale University Press.</w:t>
      </w:r>
    </w:p>
    <w:p>
      <w:pPr>
        <w:pStyle w:val="Normal"/>
        <w:spacing w:lineRule="auto" w:line="360"/>
        <w:ind w:right="0" w:hanging="0"/>
        <w:jc w:val="left"/>
        <w:rPr>
          <w:rFonts w:ascii="Arial" w:hAnsi="Arial"/>
          <w:i w:val="false"/>
          <w:i w:val="false"/>
          <w:iCs w:val="false"/>
          <w:sz w:val="20"/>
          <w:szCs w:val="20"/>
          <w:lang w:val="en-GB" w:eastAsia="en-US" w:bidi="en-US"/>
        </w:rPr>
      </w:pPr>
      <w:r>
        <w:rPr>
          <w:rFonts w:ascii="Arial" w:hAnsi="Arial"/>
          <w:i w:val="false"/>
          <w:iCs w:val="false"/>
          <w:sz w:val="20"/>
          <w:szCs w:val="20"/>
          <w:lang w:val="en-GB" w:eastAsia="en-US" w:bidi="en-US"/>
        </w:rPr>
      </w:r>
    </w:p>
    <w:p>
      <w:pPr>
        <w:pStyle w:val="Normal"/>
        <w:spacing w:lineRule="auto" w:line="360"/>
        <w:ind w:right="0" w:hanging="0"/>
        <w:jc w:val="left"/>
        <w:rPr/>
      </w:pPr>
      <w:r>
        <w:rPr>
          <w:rFonts w:ascii="Arial" w:hAnsi="Arial"/>
          <w:i w:val="false"/>
          <w:iCs w:val="false"/>
          <w:sz w:val="20"/>
          <w:szCs w:val="20"/>
          <w:lang w:val="en-GB" w:eastAsia="en-US" w:bidi="en-US"/>
        </w:rPr>
        <w:t xml:space="preserve">Butler, C. (2002) </w:t>
      </w:r>
      <w:r>
        <w:rPr>
          <w:rFonts w:ascii="Arial" w:hAnsi="Arial"/>
          <w:i/>
          <w:iCs/>
          <w:sz w:val="20"/>
          <w:szCs w:val="20"/>
          <w:lang w:val="en-GB" w:eastAsia="en-US" w:bidi="en-US"/>
        </w:rPr>
        <w:t>Postmodernism: A Very Short Introduction</w:t>
      </w:r>
      <w:r>
        <w:rPr>
          <w:rFonts w:ascii="Arial" w:hAnsi="Arial"/>
          <w:i w:val="false"/>
          <w:iCs w:val="false"/>
          <w:sz w:val="20"/>
          <w:szCs w:val="20"/>
          <w:lang w:val="en-GB" w:eastAsia="en-US" w:bidi="en-US"/>
        </w:rPr>
        <w:t>. Oxford: Oxford University Press.</w:t>
      </w:r>
    </w:p>
    <w:p>
      <w:pPr>
        <w:pStyle w:val="Normal"/>
        <w:spacing w:lineRule="auto" w:line="360"/>
        <w:ind w:right="0" w:hanging="0"/>
        <w:jc w:val="left"/>
        <w:rPr>
          <w:szCs w:val="20"/>
        </w:rPr>
      </w:pPr>
      <w:r>
        <w:rPr>
          <w:szCs w:val="20"/>
        </w:rPr>
      </w:r>
    </w:p>
    <w:p>
      <w:pPr>
        <w:pStyle w:val="Normal"/>
        <w:spacing w:lineRule="auto" w:line="360"/>
        <w:ind w:left="850" w:right="0" w:hanging="850"/>
        <w:jc w:val="left"/>
        <w:rPr/>
      </w:pPr>
      <w:r>
        <w:rPr>
          <w:rFonts w:ascii="Arial" w:hAnsi="Arial"/>
          <w:i w:val="false"/>
          <w:iCs w:val="false"/>
          <w:sz w:val="20"/>
          <w:szCs w:val="20"/>
          <w:lang w:val="en-GB" w:eastAsia="en-US" w:bidi="en-US"/>
        </w:rPr>
        <w:t xml:space="preserve">Costache, I. (2012) </w:t>
      </w:r>
      <w:r>
        <w:rPr>
          <w:rFonts w:ascii="Arial" w:hAnsi="Arial"/>
          <w:i/>
          <w:iCs/>
          <w:sz w:val="20"/>
          <w:szCs w:val="20"/>
          <w:lang w:val="en-GB" w:eastAsia="en-US" w:bidi="en-US"/>
        </w:rPr>
        <w:t>The Art of Understanding Art</w:t>
      </w:r>
      <w:r>
        <w:rPr>
          <w:rFonts w:ascii="Arial" w:hAnsi="Arial"/>
          <w:i w:val="false"/>
          <w:iCs w:val="false"/>
          <w:sz w:val="20"/>
          <w:szCs w:val="20"/>
          <w:lang w:val="en-GB" w:eastAsia="en-US" w:bidi="en-US"/>
        </w:rPr>
        <w:t>. London: Blackwell Publishing Ltd.</w:t>
      </w:r>
    </w:p>
    <w:p>
      <w:pPr>
        <w:pStyle w:val="Normal"/>
        <w:spacing w:lineRule="auto" w:line="360"/>
        <w:ind w:left="850" w:right="0" w:hanging="850"/>
        <w:jc w:val="left"/>
        <w:rPr>
          <w:rFonts w:ascii="Arial" w:hAnsi="Arial"/>
          <w:i w:val="false"/>
          <w:i w:val="false"/>
          <w:iCs w:val="false"/>
          <w:sz w:val="20"/>
          <w:szCs w:val="20"/>
          <w:lang w:val="en-GB" w:eastAsia="en-US" w:bidi="en-US"/>
        </w:rPr>
      </w:pPr>
      <w:r>
        <w:rPr>
          <w:rFonts w:ascii="Arial" w:hAnsi="Arial"/>
          <w:i w:val="false"/>
          <w:iCs w:val="false"/>
          <w:sz w:val="20"/>
          <w:szCs w:val="20"/>
          <w:lang w:val="en-GB" w:eastAsia="en-US" w:bidi="en-US"/>
        </w:rPr>
      </w:r>
    </w:p>
    <w:p>
      <w:pPr>
        <w:pStyle w:val="Normal"/>
        <w:spacing w:lineRule="auto" w:line="360"/>
        <w:ind w:left="850" w:right="0" w:hanging="850"/>
        <w:jc w:val="left"/>
        <w:rPr/>
      </w:pPr>
      <w:r>
        <w:rPr>
          <w:rFonts w:ascii="Arial" w:hAnsi="Arial"/>
          <w:i w:val="false"/>
          <w:iCs w:val="false"/>
          <w:sz w:val="20"/>
          <w:szCs w:val="20"/>
          <w:lang w:val="en-GB" w:eastAsia="en-US" w:bidi="en-US"/>
        </w:rPr>
        <w:t xml:space="preserve">Kieran, M. (2005) </w:t>
      </w:r>
      <w:r>
        <w:rPr>
          <w:rFonts w:ascii="Arial" w:hAnsi="Arial"/>
          <w:i/>
          <w:iCs/>
          <w:sz w:val="20"/>
          <w:szCs w:val="20"/>
          <w:lang w:val="en-GB" w:eastAsia="en-US" w:bidi="en-US"/>
        </w:rPr>
        <w:t>Revealing Art</w:t>
      </w:r>
      <w:r>
        <w:rPr>
          <w:rFonts w:ascii="Arial" w:hAnsi="Arial"/>
          <w:i w:val="false"/>
          <w:iCs w:val="false"/>
          <w:sz w:val="20"/>
          <w:szCs w:val="20"/>
          <w:lang w:val="en-GB" w:eastAsia="en-US" w:bidi="en-US"/>
        </w:rPr>
        <w:t>. Abingdon: Routledge.</w:t>
      </w:r>
    </w:p>
    <w:p>
      <w:pPr>
        <w:pStyle w:val="Normal"/>
        <w:spacing w:lineRule="auto" w:line="360"/>
        <w:ind w:left="850" w:right="0" w:hanging="850"/>
        <w:jc w:val="left"/>
        <w:rPr>
          <w:rFonts w:ascii="Arial" w:hAnsi="Arial"/>
          <w:i w:val="false"/>
          <w:i w:val="false"/>
          <w:iCs w:val="false"/>
          <w:sz w:val="20"/>
          <w:szCs w:val="20"/>
          <w:lang w:val="en-GB" w:eastAsia="en-US" w:bidi="en-US"/>
        </w:rPr>
      </w:pPr>
      <w:r>
        <w:rPr>
          <w:rFonts w:ascii="Arial" w:hAnsi="Arial"/>
          <w:i w:val="false"/>
          <w:iCs w:val="false"/>
          <w:sz w:val="20"/>
          <w:szCs w:val="20"/>
          <w:lang w:val="en-GB" w:eastAsia="en-US" w:bidi="en-US"/>
        </w:rPr>
      </w:r>
    </w:p>
    <w:p>
      <w:pPr>
        <w:pStyle w:val="Normal"/>
        <w:spacing w:lineRule="auto" w:line="360"/>
        <w:ind w:left="850" w:right="0" w:hanging="850"/>
        <w:jc w:val="left"/>
        <w:rPr/>
      </w:pPr>
      <w:r>
        <w:rPr>
          <w:rFonts w:ascii="Arial" w:hAnsi="Arial"/>
          <w:i w:val="false"/>
          <w:iCs w:val="false"/>
          <w:sz w:val="20"/>
          <w:szCs w:val="20"/>
          <w:lang w:val="en-GB" w:eastAsia="en-US" w:bidi="en-US"/>
        </w:rPr>
        <w:t xml:space="preserve">O’Toole, M. (1994) </w:t>
      </w:r>
      <w:r>
        <w:rPr>
          <w:rFonts w:ascii="Arial" w:hAnsi="Arial"/>
          <w:i/>
          <w:iCs/>
          <w:sz w:val="20"/>
          <w:szCs w:val="20"/>
          <w:lang w:val="en-GB" w:eastAsia="en-US" w:bidi="en-US"/>
        </w:rPr>
        <w:t>The Language of Displayed Art</w:t>
      </w:r>
      <w:r>
        <w:rPr>
          <w:rFonts w:ascii="Arial" w:hAnsi="Arial"/>
          <w:i w:val="false"/>
          <w:iCs w:val="false"/>
          <w:sz w:val="20"/>
          <w:szCs w:val="20"/>
          <w:lang w:val="en-GB" w:eastAsia="en-US" w:bidi="en-US"/>
        </w:rPr>
        <w:t>. London: Leicester University Press.</w:t>
      </w:r>
    </w:p>
    <w:p>
      <w:pPr>
        <w:pStyle w:val="Normal"/>
        <w:spacing w:lineRule="auto" w:line="360"/>
        <w:ind w:right="0" w:hanging="0"/>
        <w:jc w:val="left"/>
        <w:rPr>
          <w:rFonts w:ascii="Arial" w:hAnsi="Arial"/>
        </w:rPr>
      </w:pPr>
      <w:r>
        <w:rPr>
          <w:rFonts w:ascii="Arial" w:hAnsi="Arial"/>
        </w:rPr>
      </w:r>
    </w:p>
    <w:p>
      <w:pPr>
        <w:pStyle w:val="Normal"/>
        <w:spacing w:lineRule="auto" w:line="360"/>
        <w:ind w:right="0" w:hanging="0"/>
        <w:jc w:val="left"/>
        <w:rPr/>
      </w:pPr>
      <w:r>
        <w:rPr>
          <w:rFonts w:ascii="Arial" w:hAnsi="Arial"/>
          <w:i w:val="false"/>
          <w:iCs w:val="false"/>
          <w:sz w:val="20"/>
          <w:szCs w:val="20"/>
          <w:lang w:val="en-GB" w:eastAsia="en-US" w:bidi="en-US"/>
        </w:rPr>
        <w:t xml:space="preserve">Rosenberg, H. (1972) </w:t>
      </w:r>
      <w:r>
        <w:rPr>
          <w:rFonts w:ascii="Arial" w:hAnsi="Arial"/>
          <w:i/>
          <w:iCs/>
          <w:sz w:val="20"/>
          <w:szCs w:val="20"/>
          <w:lang w:val="en-GB" w:eastAsia="en-US" w:bidi="en-US"/>
        </w:rPr>
        <w:t xml:space="preserve"> The De-definition of Art</w:t>
      </w:r>
      <w:r>
        <w:rPr>
          <w:rFonts w:ascii="Arial" w:hAnsi="Arial"/>
          <w:i w:val="false"/>
          <w:iCs w:val="false"/>
          <w:sz w:val="20"/>
          <w:szCs w:val="20"/>
          <w:lang w:val="en-GB" w:eastAsia="en-US" w:bidi="en-US"/>
        </w:rPr>
        <w:t>. London: Martin Secker &amp; Warburg Limited.</w:t>
      </w:r>
    </w:p>
    <w:p>
      <w:pPr>
        <w:pStyle w:val="Normal"/>
        <w:spacing w:lineRule="auto" w:line="360"/>
        <w:ind w:left="850" w:right="0" w:hanging="850"/>
        <w:jc w:val="left"/>
        <w:rPr>
          <w:rFonts w:ascii="Arial" w:hAnsi="Arial"/>
        </w:rPr>
      </w:pPr>
      <w:r>
        <w:rPr>
          <w:rFonts w:ascii="Arial" w:hAnsi="Arial"/>
        </w:rPr>
      </w:r>
    </w:p>
    <w:p>
      <w:pPr>
        <w:pStyle w:val="Normal"/>
        <w:spacing w:lineRule="auto" w:line="360"/>
        <w:ind w:left="850" w:right="0" w:hanging="850"/>
        <w:jc w:val="left"/>
        <w:rPr/>
      </w:pPr>
      <w:r>
        <w:rPr>
          <w:rFonts w:ascii="Arial" w:hAnsi="Arial"/>
          <w:i w:val="false"/>
          <w:iCs w:val="false"/>
          <w:sz w:val="20"/>
          <w:szCs w:val="20"/>
          <w:lang w:val="en-GB" w:eastAsia="en-US" w:bidi="en-US"/>
        </w:rPr>
        <w:t xml:space="preserve">Spalding, J. (2003) </w:t>
      </w:r>
      <w:r>
        <w:rPr>
          <w:rFonts w:ascii="Arial" w:hAnsi="Arial"/>
          <w:i/>
          <w:iCs/>
          <w:sz w:val="20"/>
          <w:szCs w:val="20"/>
          <w:lang w:val="en-GB" w:eastAsia="en-US" w:bidi="en-US"/>
        </w:rPr>
        <w:t>The Eclipse of Art</w:t>
      </w:r>
      <w:r>
        <w:rPr>
          <w:rFonts w:ascii="Arial" w:hAnsi="Arial"/>
          <w:i w:val="false"/>
          <w:iCs w:val="false"/>
          <w:sz w:val="20"/>
          <w:szCs w:val="20"/>
          <w:lang w:val="en-GB" w:eastAsia="en-US" w:bidi="en-US"/>
        </w:rPr>
        <w:t>. London: Prestel Publishing Ltd.</w:t>
      </w:r>
    </w:p>
    <w:p>
      <w:pPr>
        <w:pStyle w:val="Normal"/>
        <w:spacing w:lineRule="auto" w:line="360"/>
        <w:ind w:left="850" w:right="0" w:hanging="850"/>
        <w:jc w:val="left"/>
        <w:rPr>
          <w:rFonts w:ascii="Arial" w:hAnsi="Arial"/>
          <w:i w:val="false"/>
          <w:i w:val="false"/>
          <w:iCs w:val="false"/>
          <w:sz w:val="20"/>
          <w:szCs w:val="20"/>
          <w:lang w:val="en-GB" w:eastAsia="en-US" w:bidi="en-US"/>
        </w:rPr>
      </w:pPr>
      <w:r>
        <w:rPr>
          <w:rFonts w:ascii="Arial" w:hAnsi="Arial"/>
          <w:i w:val="false"/>
          <w:iCs w:val="false"/>
          <w:sz w:val="20"/>
          <w:szCs w:val="20"/>
          <w:lang w:val="en-GB" w:eastAsia="en-US" w:bidi="en-US"/>
        </w:rPr>
      </w:r>
    </w:p>
    <w:p>
      <w:pPr>
        <w:pStyle w:val="Normal"/>
        <w:spacing w:lineRule="auto" w:line="360"/>
        <w:ind w:left="850" w:right="0" w:hanging="850"/>
        <w:jc w:val="left"/>
        <w:rPr/>
      </w:pPr>
      <w:r>
        <w:rPr>
          <w:rFonts w:ascii="Arial" w:hAnsi="Arial"/>
          <w:i w:val="false"/>
          <w:iCs w:val="false"/>
          <w:sz w:val="20"/>
          <w:szCs w:val="20"/>
          <w:lang w:val="en-GB" w:eastAsia="en-US" w:bidi="en-US"/>
        </w:rPr>
        <w:t xml:space="preserve">Szczelkun, S. (1993) </w:t>
      </w:r>
      <w:r>
        <w:rPr>
          <w:rFonts w:ascii="Arial" w:hAnsi="Arial"/>
          <w:i/>
          <w:iCs/>
          <w:sz w:val="20"/>
          <w:szCs w:val="20"/>
          <w:lang w:val="en-GB" w:eastAsia="en-US" w:bidi="en-US"/>
        </w:rPr>
        <w:t>The Conspiracy of Good Taste</w:t>
      </w:r>
      <w:r>
        <w:rPr>
          <w:rFonts w:ascii="Arial" w:hAnsi="Arial"/>
          <w:i w:val="false"/>
          <w:iCs w:val="false"/>
          <w:sz w:val="20"/>
          <w:szCs w:val="20"/>
          <w:lang w:val="en-GB" w:eastAsia="en-US" w:bidi="en-US"/>
        </w:rPr>
        <w:t>. London: Working Press.</w:t>
      </w:r>
    </w:p>
    <w:p>
      <w:pPr>
        <w:pStyle w:val="Normal"/>
        <w:spacing w:lineRule="auto" w:line="360"/>
        <w:ind w:left="850" w:right="0" w:hanging="850"/>
        <w:jc w:val="left"/>
        <w:rPr>
          <w:rFonts w:ascii="Arial" w:hAnsi="Arial"/>
          <w:i w:val="false"/>
          <w:i w:val="false"/>
          <w:iCs w:val="false"/>
          <w:sz w:val="20"/>
          <w:szCs w:val="20"/>
          <w:lang w:val="en-GB" w:eastAsia="en-US" w:bidi="en-US"/>
        </w:rPr>
      </w:pPr>
      <w:r>
        <w:rPr>
          <w:rFonts w:ascii="Arial" w:hAnsi="Arial"/>
          <w:i w:val="false"/>
          <w:iCs w:val="false"/>
          <w:sz w:val="20"/>
          <w:szCs w:val="20"/>
          <w:lang w:val="en-GB" w:eastAsia="en-US" w:bidi="en-US"/>
        </w:rPr>
      </w:r>
    </w:p>
    <w:p>
      <w:pPr>
        <w:pStyle w:val="Normal"/>
        <w:spacing w:lineRule="auto" w:line="360"/>
        <w:jc w:val="center"/>
        <w:rPr/>
      </w:pPr>
      <w:r>
        <w:rPr>
          <w:rFonts w:ascii="Arial" w:hAnsi="Arial"/>
          <w:b/>
          <w:bCs/>
          <w:i w:val="false"/>
          <w:iCs w:val="false"/>
          <w:sz w:val="24"/>
          <w:szCs w:val="24"/>
          <w:lang w:val="en-GB" w:eastAsia="en-US" w:bidi="en-US"/>
        </w:rPr>
        <w:t>Additional Reading List</w:t>
      </w:r>
    </w:p>
    <w:p>
      <w:pPr>
        <w:pStyle w:val="Normal"/>
        <w:spacing w:lineRule="auto" w:line="360"/>
        <w:jc w:val="center"/>
        <w:rPr>
          <w:rFonts w:ascii="Arial" w:hAnsi="Arial"/>
          <w:i w:val="false"/>
          <w:i w:val="false"/>
          <w:iCs w:val="false"/>
          <w:sz w:val="20"/>
          <w:szCs w:val="20"/>
          <w:lang w:val="en-GB" w:eastAsia="en-US" w:bidi="en-US"/>
        </w:rPr>
      </w:pPr>
      <w:r>
        <w:rPr>
          <w:rFonts w:ascii="Arial" w:hAnsi="Arial"/>
          <w:i w:val="false"/>
          <w:iCs w:val="false"/>
          <w:sz w:val="20"/>
          <w:szCs w:val="20"/>
          <w:lang w:val="en-GB" w:eastAsia="en-US" w:bidi="en-US"/>
        </w:rPr>
      </w:r>
    </w:p>
    <w:p>
      <w:pPr>
        <w:pStyle w:val="Normal"/>
        <w:spacing w:lineRule="auto" w:line="360"/>
        <w:ind w:right="0" w:hanging="0"/>
        <w:jc w:val="left"/>
        <w:rPr/>
      </w:pPr>
      <w:r>
        <w:rPr>
          <w:rFonts w:ascii="Arial" w:hAnsi="Arial"/>
          <w:i w:val="false"/>
          <w:iCs w:val="false"/>
          <w:sz w:val="20"/>
          <w:szCs w:val="20"/>
          <w:lang w:val="en-GB" w:eastAsia="en-US" w:bidi="en-US"/>
        </w:rPr>
        <w:t xml:space="preserve">Antonelli, P. (2011) </w:t>
      </w:r>
      <w:r>
        <w:rPr>
          <w:rFonts w:ascii="Arial" w:hAnsi="Arial"/>
          <w:i/>
          <w:iCs/>
          <w:sz w:val="20"/>
          <w:szCs w:val="20"/>
          <w:lang w:val="en-GB" w:eastAsia="en-US" w:bidi="en-US"/>
        </w:rPr>
        <w:t>Talk To Me</w:t>
      </w:r>
      <w:r>
        <w:rPr>
          <w:rFonts w:ascii="Arial" w:hAnsi="Arial"/>
          <w:i w:val="false"/>
          <w:iCs w:val="false"/>
          <w:sz w:val="20"/>
          <w:szCs w:val="20"/>
          <w:lang w:val="en-GB" w:eastAsia="en-US" w:bidi="en-US"/>
        </w:rPr>
        <w:t>. New Work: The Museum of Modern Art.</w:t>
      </w:r>
    </w:p>
    <w:p>
      <w:pPr>
        <w:pStyle w:val="Normal"/>
        <w:spacing w:lineRule="auto" w:line="360"/>
        <w:ind w:right="0" w:hanging="0"/>
        <w:jc w:val="left"/>
        <w:rPr>
          <w:rFonts w:ascii="Arial" w:hAnsi="Arial"/>
          <w:i w:val="false"/>
          <w:i w:val="false"/>
          <w:iCs w:val="false"/>
          <w:sz w:val="20"/>
          <w:szCs w:val="20"/>
          <w:lang w:val="en-GB" w:eastAsia="en-US" w:bidi="en-US"/>
        </w:rPr>
      </w:pPr>
      <w:r>
        <w:rPr>
          <w:rFonts w:ascii="Arial" w:hAnsi="Arial"/>
          <w:i w:val="false"/>
          <w:iCs w:val="false"/>
          <w:sz w:val="20"/>
          <w:szCs w:val="20"/>
          <w:lang w:val="en-GB" w:eastAsia="en-US" w:bidi="en-US"/>
        </w:rPr>
      </w:r>
    </w:p>
    <w:p>
      <w:pPr>
        <w:pStyle w:val="Normal"/>
        <w:spacing w:lineRule="auto" w:line="360"/>
        <w:ind w:right="0" w:hanging="0"/>
        <w:jc w:val="left"/>
        <w:rPr/>
      </w:pPr>
      <w:r>
        <w:rPr>
          <w:rFonts w:ascii="Arial" w:hAnsi="Arial"/>
          <w:i w:val="false"/>
          <w:iCs w:val="false"/>
          <w:sz w:val="20"/>
          <w:szCs w:val="20"/>
          <w:lang w:val="en-GB" w:eastAsia="en-US" w:bidi="en-US"/>
        </w:rPr>
        <w:t xml:space="preserve">Foster, H. (1998) </w:t>
      </w:r>
      <w:r>
        <w:rPr>
          <w:rFonts w:ascii="Arial" w:hAnsi="Arial"/>
          <w:i/>
          <w:iCs/>
          <w:sz w:val="20"/>
          <w:szCs w:val="20"/>
          <w:lang w:val="en-GB" w:eastAsia="en-US" w:bidi="en-US"/>
        </w:rPr>
        <w:t>The Anti-Aesthetic</w:t>
      </w:r>
      <w:r>
        <w:rPr>
          <w:rFonts w:ascii="Arial" w:hAnsi="Arial"/>
          <w:i w:val="false"/>
          <w:iCs w:val="false"/>
          <w:sz w:val="20"/>
          <w:szCs w:val="20"/>
          <w:lang w:val="en-GB" w:eastAsia="en-US" w:bidi="en-US"/>
        </w:rPr>
        <w:t>. New York: The New Press.</w:t>
      </w:r>
    </w:p>
    <w:p>
      <w:pPr>
        <w:pStyle w:val="Normal"/>
        <w:spacing w:lineRule="auto" w:line="360"/>
        <w:ind w:right="0" w:hanging="0"/>
        <w:jc w:val="left"/>
        <w:rPr>
          <w:szCs w:val="20"/>
        </w:rPr>
      </w:pPr>
      <w:r>
        <w:rPr>
          <w:szCs w:val="20"/>
        </w:rPr>
      </w:r>
    </w:p>
    <w:p>
      <w:pPr>
        <w:pStyle w:val="Normal"/>
        <w:spacing w:lineRule="auto" w:line="360"/>
        <w:ind w:left="850" w:right="0" w:hanging="850"/>
        <w:jc w:val="left"/>
        <w:rPr/>
      </w:pPr>
      <w:r>
        <w:rPr>
          <w:rFonts w:ascii="Arial" w:hAnsi="Arial"/>
          <w:i w:val="false"/>
          <w:iCs w:val="false"/>
          <w:sz w:val="20"/>
          <w:szCs w:val="20"/>
          <w:lang w:val="en-GB" w:eastAsia="en-US" w:bidi="en-US"/>
        </w:rPr>
        <w:t xml:space="preserve">Thomas, J. (2001) </w:t>
      </w:r>
      <w:r>
        <w:rPr>
          <w:rFonts w:ascii="Arial" w:hAnsi="Arial"/>
          <w:i/>
          <w:iCs/>
          <w:sz w:val="20"/>
          <w:szCs w:val="20"/>
          <w:lang w:val="en-GB" w:eastAsia="en-US" w:bidi="en-US"/>
        </w:rPr>
        <w:t>Reading Images</w:t>
      </w:r>
      <w:r>
        <w:rPr>
          <w:rFonts w:ascii="Arial" w:hAnsi="Arial"/>
          <w:i w:val="false"/>
          <w:iCs w:val="false"/>
          <w:sz w:val="20"/>
          <w:szCs w:val="20"/>
          <w:lang w:val="en-GB" w:eastAsia="en-US" w:bidi="en-US"/>
        </w:rPr>
        <w:t>. New York: Palgrave.</w:t>
      </w:r>
    </w:p>
    <w:p>
      <w:pPr>
        <w:pStyle w:val="Normal"/>
        <w:ind w:firstLine="709"/>
        <w:rPr>
          <w:rFonts w:ascii="Arial" w:hAnsi="Arial"/>
        </w:rPr>
      </w:pPr>
      <w:r>
        <w:rPr>
          <w:rFonts w:ascii="Arial" w:hAnsi="Arial"/>
        </w:rPr>
      </w:r>
    </w:p>
    <w:p>
      <w:pPr>
        <w:pStyle w:val="Normal"/>
        <w:ind w:firstLine="709"/>
        <w:rPr>
          <w:rFonts w:ascii="Arial" w:hAnsi="Arial"/>
        </w:rPr>
      </w:pPr>
      <w:r>
        <w:rPr>
          <w:rFonts w:ascii="Arial" w:hAnsi="Arial"/>
        </w:rPr>
      </w:r>
    </w:p>
    <w:p>
      <w:pPr>
        <w:pStyle w:val="Normal"/>
        <w:ind w:firstLine="709"/>
        <w:rPr>
          <w:rFonts w:ascii="Arial" w:hAnsi="Arial"/>
        </w:rPr>
      </w:pPr>
      <w:r>
        <w:rPr>
          <w:rFonts w:ascii="Arial" w:hAnsi="Arial"/>
        </w:rPr>
      </w:r>
    </w:p>
    <w:p>
      <w:pPr>
        <w:pStyle w:val="Normal"/>
        <w:ind w:firstLine="709"/>
        <w:rPr>
          <w:rFonts w:ascii="Arial" w:hAnsi="Arial"/>
        </w:rPr>
      </w:pPr>
      <w:r>
        <w:rPr>
          <w:rFonts w:ascii="Arial" w:hAnsi="Arial"/>
        </w:rPr>
      </w:r>
    </w:p>
    <w:p>
      <w:pPr>
        <w:pStyle w:val="Normal"/>
        <w:ind w:firstLine="709"/>
        <w:rPr/>
      </w:pPr>
      <w:r>
        <w:rPr/>
      </w:r>
    </w:p>
    <w:sectPr>
      <w:headerReference w:type="default" r:id="rId2"/>
      <w:footerReference w:type="default" r:id="rId3"/>
      <w:type w:val="nextPage"/>
      <w:pgSz w:w="11906" w:h="16838"/>
      <w:pgMar w:left="1134" w:right="1134" w:header="1134" w:top="1785" w:footer="1134" w:bottom="1693"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instrText> PAGE </w:instrText>
    </w:r>
    <w:r>
      <w:fldChar w:fldCharType="separate"/>
    </w:r>
    <w:r>
      <w:t>5</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right"/>
      <w:rPr>
        <w:rFonts w:ascii="Arial" w:hAnsi="Arial"/>
        <w:sz w:val="16"/>
        <w:szCs w:val="16"/>
      </w:rPr>
    </w:pPr>
    <w:r>
      <w:rPr>
        <w:rFonts w:ascii="Arial" w:hAnsi="Arial"/>
        <w:sz w:val="16"/>
        <w:szCs w:val="16"/>
      </w:rPr>
      <w:t>Harley Piers Morgan</w:t>
    </w:r>
  </w:p>
  <w:p>
    <w:pPr>
      <w:pStyle w:val="Header"/>
      <w:jc w:val="right"/>
      <w:rPr>
        <w:rFonts w:ascii="Arial" w:hAnsi="Arial"/>
        <w:sz w:val="16"/>
        <w:szCs w:val="16"/>
      </w:rPr>
    </w:pPr>
    <w:r>
      <w:rPr>
        <w:rFonts w:ascii="Arial" w:hAnsi="Arial"/>
        <w:sz w:val="16"/>
        <w:szCs w:val="16"/>
      </w:rPr>
      <w:t>Fine Art, Year 2</w:t>
    </w:r>
  </w:p>
</w:hdr>
</file>

<file path=word/settings.xml><?xml version="1.0" encoding="utf-8"?>
<w:settings xmlns:w="http://schemas.openxmlformats.org/wordprocessingml/2006/main">
  <w:zoom w:percent="100"/>
  <w:defaultTabStop w:val="709"/>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Cs w:val="24"/>
        <w:lang w:val="en-GB"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Liberation Serif" w:hAnsi="Liberation Serif" w:eastAsia="SimSun" w:cs="Arial"/>
      <w:color w:val="00000A"/>
      <w:kern w:val="2"/>
      <w:sz w:val="24"/>
      <w:szCs w:val="24"/>
      <w:lang w:val="en-GB" w:eastAsia="zh-CN" w:bidi="hi-IN"/>
    </w:rPr>
  </w:style>
  <w:style w:type="character" w:styleId="DefaultParagraphFont" w:default="1">
    <w:name w:val="Default Paragraph Font"/>
    <w:uiPriority w:val="1"/>
    <w:semiHidden/>
    <w:unhideWhenUsed/>
    <w:qFormat/>
    <w:rPr/>
  </w:style>
  <w:style w:type="character" w:styleId="InternetLink">
    <w:name w:val="Internet Link"/>
    <w:rPr>
      <w:color w:val="000080"/>
      <w:u w:val="single"/>
      <w:lang w:val="zxx" w:eastAsia="zxx" w:bidi="zxx"/>
    </w:rPr>
  </w:style>
  <w:style w:type="character" w:styleId="VisitedInternetLink">
    <w:name w:val="Visited Internet Link"/>
    <w:rPr>
      <w:color w:val="800000"/>
      <w:u w:val="single"/>
      <w:lang w:val="zxx" w:eastAsia="zxx" w:bidi="zxx"/>
    </w:rPr>
  </w:style>
  <w:style w:type="paragraph" w:styleId="Heading" w:customStyle="1">
    <w:name w:val="Heading"/>
    <w:basedOn w:val="Normal"/>
    <w:next w:val="TextBody"/>
    <w:qFormat/>
    <w:pPr>
      <w:keepNext w:val="true"/>
      <w:spacing w:before="240" w:after="120"/>
    </w:pPr>
    <w:rPr>
      <w:rFonts w:ascii="Liberation Sans" w:hAnsi="Liberation Sans" w:eastAsia="Microsoft YaHei"/>
      <w:sz w:val="28"/>
      <w:szCs w:val="28"/>
    </w:rPr>
  </w:style>
  <w:style w:type="paragraph" w:styleId="TextBody">
    <w:name w:val="Body Text"/>
    <w:basedOn w:val="Normal"/>
    <w:pPr>
      <w:spacing w:lineRule="auto" w:line="288" w:before="0" w:after="140"/>
    </w:pPr>
    <w:rPr/>
  </w:style>
  <w:style w:type="paragraph" w:styleId="List">
    <w:name w:val="List"/>
    <w:basedOn w:val="TextBody"/>
    <w:pPr/>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style>
  <w:style w:type="paragraph" w:styleId="Caption1">
    <w:name w:val="caption"/>
    <w:basedOn w:val="Normal"/>
    <w:qFormat/>
    <w:pPr>
      <w:suppressLineNumbers/>
      <w:spacing w:before="120" w:after="120"/>
    </w:pPr>
    <w:rPr>
      <w:i/>
      <w:iCs/>
    </w:rPr>
  </w:style>
  <w:style w:type="paragraph" w:styleId="Header">
    <w:name w:val="Header"/>
    <w:basedOn w:val="Normal"/>
    <w:pPr>
      <w:suppressLineNumbers/>
      <w:tabs>
        <w:tab w:val="center" w:pos="4819" w:leader="none"/>
        <w:tab w:val="right" w:pos="9638" w:leader="none"/>
      </w:tabs>
    </w:pPr>
    <w:rPr/>
  </w:style>
  <w:style w:type="paragraph" w:styleId="Footer">
    <w:name w:val="Footer"/>
    <w:basedOn w:val="Normal"/>
    <w:pPr>
      <w:suppressLineNumbers/>
      <w:tabs>
        <w:tab w:val="center" w:pos="4819" w:leader="none"/>
        <w:tab w:val="right" w:pos="9638"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Application>LibreOffice/5.4.3.2$Windows_X86_64 LibreOffice_project/92a7159f7e4af62137622921e809f8546db437e5</Application>
  <Pages>5</Pages>
  <Words>2033</Words>
  <Characters>10429</Characters>
  <CharactersWithSpaces>12447</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2018-05-08T11:35:00Z</dcterms:created>
  <dc:creator>Harley Morgan (P143529)</dc:creator>
  <dc:description/>
  <dc:language>en-GB</dc:language>
  <cp:lastModifiedBy/>
  <dcterms:modified xsi:type="dcterms:W3CDTF">2018-05-09T22:29:40Z</dcterms:modified>
  <cp:revision>60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