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0FA61C" w14:textId="77777777" w:rsidR="009E1D39" w:rsidRDefault="009E1D39" w:rsidP="009E1D39">
      <w:pPr>
        <w:jc w:val="center"/>
        <w:rPr>
          <w:sz w:val="32"/>
          <w:szCs w:val="32"/>
          <w:u w:val="single"/>
        </w:rPr>
      </w:pPr>
      <w:r>
        <w:rPr>
          <w:sz w:val="32"/>
          <w:szCs w:val="32"/>
          <w:u w:val="single"/>
        </w:rPr>
        <w:t xml:space="preserve">Austerity to Extravagance: </w:t>
      </w:r>
    </w:p>
    <w:p w14:paraId="3F4E5402" w14:textId="33FE5BAC" w:rsidR="009E1D39" w:rsidRPr="009E1D39" w:rsidRDefault="009E1D39" w:rsidP="009E1D39">
      <w:pPr>
        <w:jc w:val="center"/>
        <w:rPr>
          <w:sz w:val="32"/>
          <w:szCs w:val="32"/>
          <w:u w:val="single"/>
        </w:rPr>
      </w:pPr>
      <w:r>
        <w:rPr>
          <w:sz w:val="32"/>
          <w:szCs w:val="32"/>
          <w:u w:val="single"/>
        </w:rPr>
        <w:t>Examining Changes in Roman Convivial Dining Culture</w:t>
      </w:r>
    </w:p>
    <w:p w14:paraId="18647F17" w14:textId="77777777" w:rsidR="009E1D39" w:rsidRDefault="009E1D39"/>
    <w:p w14:paraId="10250AD1" w14:textId="3AF9B368" w:rsidR="00890705" w:rsidRDefault="008532B5">
      <w:r>
        <w:t xml:space="preserve">The idea of the luxurious and decadent Roman banquet is one that many are likely familiar with. Indeed, one of the most pervasive </w:t>
      </w:r>
      <w:r w:rsidR="00122F63">
        <w:t xml:space="preserve">tales of Rome involves the </w:t>
      </w:r>
      <w:r w:rsidR="00122F63">
        <w:rPr>
          <w:i/>
          <w:iCs/>
        </w:rPr>
        <w:t>vomitorium</w:t>
      </w:r>
      <w:r w:rsidR="00122F63">
        <w:t>, in actuality a corridor described by Macrobius to allow quick passage of the audience in an amphitheatre to and from their seats</w:t>
      </w:r>
      <w:r w:rsidR="00122F63">
        <w:rPr>
          <w:rStyle w:val="FootnoteReference"/>
        </w:rPr>
        <w:footnoteReference w:id="1"/>
      </w:r>
      <w:r w:rsidR="00122F63">
        <w:t xml:space="preserve"> yet known to many as a room for feasters to empty their stomachs to continue feasting</w:t>
      </w:r>
      <w:r w:rsidR="00122F63">
        <w:rPr>
          <w:rStyle w:val="FootnoteReference"/>
        </w:rPr>
        <w:footnoteReference w:id="2"/>
      </w:r>
      <w:r w:rsidR="00122F63">
        <w:t>.</w:t>
      </w:r>
      <w:r w:rsidR="0024415D">
        <w:t xml:space="preserve"> There can be little doubt that Roman </w:t>
      </w:r>
      <w:r w:rsidR="00CD2E31">
        <w:t xml:space="preserve"> </w:t>
      </w:r>
      <w:r w:rsidR="0024415D">
        <w:t xml:space="preserve">dining could tend towards extravagance, but to gain a clear picture </w:t>
      </w:r>
      <w:r w:rsidR="009E3634">
        <w:t xml:space="preserve">one should examine the individual aspects : food, art, social norms and representations </w:t>
      </w:r>
      <w:r w:rsidR="00CD2E31">
        <w:t xml:space="preserve">of the particular forms of convivial dining (as opposed to public feasting) </w:t>
      </w:r>
      <w:r w:rsidR="009E3634">
        <w:t xml:space="preserve">to tell us whether dining culture changes over time in a significant fashion over the course of the Roman era. </w:t>
      </w:r>
    </w:p>
    <w:p w14:paraId="0E92258B" w14:textId="01112BC3" w:rsidR="009E3634" w:rsidRDefault="00C8244B">
      <w:r>
        <w:t xml:space="preserve">An important concept to consider is that of </w:t>
      </w:r>
      <w:r>
        <w:rPr>
          <w:i/>
          <w:iCs/>
        </w:rPr>
        <w:t>otium</w:t>
      </w:r>
      <w:r>
        <w:t xml:space="preserve"> and </w:t>
      </w:r>
      <w:r>
        <w:rPr>
          <w:i/>
          <w:iCs/>
        </w:rPr>
        <w:t>negotia</w:t>
      </w:r>
      <w:r>
        <w:t xml:space="preserve"> in Roman thought. </w:t>
      </w:r>
      <w:r>
        <w:rPr>
          <w:i/>
          <w:iCs/>
        </w:rPr>
        <w:t>Otium</w:t>
      </w:r>
      <w:r>
        <w:t xml:space="preserve"> (leisure) and </w:t>
      </w:r>
      <w:r>
        <w:rPr>
          <w:i/>
          <w:iCs/>
        </w:rPr>
        <w:t xml:space="preserve">negotia </w:t>
      </w:r>
      <w:r>
        <w:t xml:space="preserve">(occupation or duty) are distinct and important, and </w:t>
      </w:r>
      <w:r>
        <w:rPr>
          <w:i/>
          <w:iCs/>
        </w:rPr>
        <w:t>otium</w:t>
      </w:r>
      <w:r>
        <w:t xml:space="preserve"> is the function of the dining experience. Roller</w:t>
      </w:r>
      <w:r w:rsidR="00CD2E31">
        <w:t xml:space="preserve"> points towards a 2</w:t>
      </w:r>
      <w:r w:rsidR="00CD2E31" w:rsidRPr="00CD2E31">
        <w:rPr>
          <w:vertAlign w:val="superscript"/>
        </w:rPr>
        <w:t>nd</w:t>
      </w:r>
      <w:r w:rsidR="00CD2E31">
        <w:t xml:space="preserve"> century BCE fragment of Calpurnius Piso, telling of how King Romulus must drink little due to the work he had the next day</w:t>
      </w:r>
      <w:r w:rsidR="00CD2E31">
        <w:rPr>
          <w:rStyle w:val="FootnoteReference"/>
        </w:rPr>
        <w:footnoteReference w:id="3"/>
      </w:r>
      <w:r w:rsidR="00CD2E31">
        <w:t xml:space="preserve">, distinguishing between the </w:t>
      </w:r>
      <w:r w:rsidR="00CD2E31">
        <w:rPr>
          <w:i/>
          <w:iCs/>
        </w:rPr>
        <w:t>otium</w:t>
      </w:r>
      <w:r w:rsidR="00CD2E31">
        <w:t xml:space="preserve"> of the </w:t>
      </w:r>
      <w:r w:rsidR="00CD2E31">
        <w:rPr>
          <w:i/>
          <w:iCs/>
        </w:rPr>
        <w:t>convivium</w:t>
      </w:r>
      <w:r w:rsidR="00CD2E31">
        <w:t xml:space="preserve"> and the </w:t>
      </w:r>
      <w:r w:rsidR="00CD2E31">
        <w:rPr>
          <w:i/>
          <w:iCs/>
        </w:rPr>
        <w:t>negotia</w:t>
      </w:r>
      <w:r w:rsidR="00CD2E31">
        <w:t xml:space="preserve"> of the kings duties, and ideologically sanctioning the distinction with the association of Rome’s founder. Roller further illustrates with the example of </w:t>
      </w:r>
      <w:r w:rsidR="00F93A9D">
        <w:t xml:space="preserve">Valerius Flaccus’s </w:t>
      </w:r>
      <w:r w:rsidR="00F93A9D">
        <w:rPr>
          <w:i/>
          <w:iCs/>
        </w:rPr>
        <w:t>Argonautica</w:t>
      </w:r>
      <w:r w:rsidR="00F93A9D">
        <w:t>, in the 1</w:t>
      </w:r>
      <w:r w:rsidR="00F93A9D" w:rsidRPr="00F93A9D">
        <w:rPr>
          <w:vertAlign w:val="superscript"/>
        </w:rPr>
        <w:t>st</w:t>
      </w:r>
      <w:r w:rsidR="00F93A9D">
        <w:t xml:space="preserve"> century CE, in which Phineas “drinks down forgetfulness of his long punishment”</w:t>
      </w:r>
      <w:r w:rsidR="00F93A9D">
        <w:rPr>
          <w:rStyle w:val="FootnoteReference"/>
        </w:rPr>
        <w:footnoteReference w:id="4"/>
      </w:r>
      <w:r w:rsidR="00F93A9D">
        <w:t xml:space="preserve">. Phineas’s engagement with the </w:t>
      </w:r>
      <w:r w:rsidR="00F93A9D">
        <w:rPr>
          <w:i/>
          <w:iCs/>
        </w:rPr>
        <w:t>otium</w:t>
      </w:r>
      <w:r w:rsidR="00F93A9D">
        <w:t xml:space="preserve"> of drink allows him to forget his </w:t>
      </w:r>
      <w:r w:rsidR="00F93A9D">
        <w:rPr>
          <w:i/>
          <w:iCs/>
        </w:rPr>
        <w:t>negotia</w:t>
      </w:r>
      <w:r w:rsidR="00F93A9D">
        <w:t xml:space="preserve"> of punishment</w:t>
      </w:r>
      <w:r w:rsidR="00F93A9D">
        <w:rPr>
          <w:rStyle w:val="FootnoteReference"/>
        </w:rPr>
        <w:footnoteReference w:id="5"/>
      </w:r>
      <w:r w:rsidR="00F93A9D">
        <w:t xml:space="preserve">, and the 200 or so years between the two passages shows us that this concept existed for a large portion of Roman history. </w:t>
      </w:r>
    </w:p>
    <w:p w14:paraId="3C8C7D4F" w14:textId="28AD9B7E" w:rsidR="000B4AC3" w:rsidRDefault="00370095">
      <w:r>
        <w:t>What then are some of the key features of the Roman convivial dining experience? We can look to archaeological and literary sources to find not only the sights, smells, tastes and sounds associated with dining but an important distinction between the convivial dining experience of the Romans and that of the Greeks</w:t>
      </w:r>
      <w:r w:rsidR="00364BFC">
        <w:t xml:space="preserve"> which allows us to settle on a place on a timeline of changing dining culture in the ancient world</w:t>
      </w:r>
      <w:r>
        <w:t xml:space="preserve">. </w:t>
      </w:r>
      <w:r w:rsidR="00E52EFB">
        <w:t xml:space="preserve">Firstly, let’s examine the spaces themselves. As Roller describes, “The term </w:t>
      </w:r>
      <w:r w:rsidR="00E52EFB">
        <w:rPr>
          <w:i/>
          <w:iCs/>
        </w:rPr>
        <w:t>convivium</w:t>
      </w:r>
      <w:r w:rsidR="00E52EFB">
        <w:t xml:space="preserve"> labels a late afternoon or evening meal taking place in a domestic dining room or garden…involving some combination of family members and guests from a very few up to perhaps a dozen (nine is an ideal but not necessarily standard number), and ordinarily employing a single </w:t>
      </w:r>
      <w:r w:rsidR="00E52EFB">
        <w:rPr>
          <w:i/>
          <w:iCs/>
        </w:rPr>
        <w:t>triclinium</w:t>
      </w:r>
      <w:r w:rsidR="00E52EFB">
        <w:t>, the three-sided arrangement of couches commonly used for dining…”</w:t>
      </w:r>
      <w:r w:rsidR="00E52EFB">
        <w:rPr>
          <w:rStyle w:val="FootnoteReference"/>
        </w:rPr>
        <w:footnoteReference w:id="6"/>
      </w:r>
      <w:r w:rsidR="00E52EFB">
        <w:t xml:space="preserve">. Raff elaborates: “In a </w:t>
      </w:r>
      <w:r w:rsidR="00E52EFB">
        <w:rPr>
          <w:i/>
          <w:iCs/>
        </w:rPr>
        <w:t>triclinium</w:t>
      </w:r>
      <w:r w:rsidR="00E52EFB">
        <w:t xml:space="preserve">, the couches are arranged along three walls of the room in a U-shape, at the </w:t>
      </w:r>
      <w:r w:rsidR="009E1D39">
        <w:t>centre</w:t>
      </w:r>
      <w:r w:rsidR="00E52EFB">
        <w:t xml:space="preserve"> of which was placed a single table that was accessible to all of the diners. Couches were frequently made of wood, but there were also more opulent versions with fittings made of costly materials such as ivory or bronze.”</w:t>
      </w:r>
      <w:r w:rsidR="00E52EFB">
        <w:rPr>
          <w:rStyle w:val="FootnoteReference"/>
        </w:rPr>
        <w:footnoteReference w:id="7"/>
      </w:r>
      <w:r w:rsidR="00E52EFB">
        <w:t>.</w:t>
      </w:r>
      <w:r w:rsidR="000B4AC3">
        <w:t xml:space="preserve"> The Greek</w:t>
      </w:r>
      <w:r w:rsidR="00326FB0">
        <w:t xml:space="preserve"> </w:t>
      </w:r>
      <w:r w:rsidR="00326FB0">
        <w:rPr>
          <w:i/>
          <w:iCs/>
        </w:rPr>
        <w:t>andron</w:t>
      </w:r>
      <w:r w:rsidR="00326FB0">
        <w:t>, or room of men</w:t>
      </w:r>
      <w:r w:rsidR="00326FB0">
        <w:rPr>
          <w:rStyle w:val="FootnoteReference"/>
        </w:rPr>
        <w:footnoteReference w:id="8"/>
      </w:r>
      <w:r w:rsidR="000B4AC3">
        <w:t xml:space="preserve"> tended towards multiple tables in contrast</w:t>
      </w:r>
      <w:r w:rsidR="000B4AC3">
        <w:rPr>
          <w:rStyle w:val="FootnoteReference"/>
        </w:rPr>
        <w:footnoteReference w:id="9"/>
      </w:r>
      <w:r w:rsidR="005B198C">
        <w:t xml:space="preserve"> with </w:t>
      </w:r>
      <w:r w:rsidR="005B198C">
        <w:lastRenderedPageBreak/>
        <w:t>larger amounts of slightly smaller couches along the wall of the room. A note should be made of the placement of these rooms within their buildings which Dunbabin suggests highlights a difference in purpose</w:t>
      </w:r>
      <w:r w:rsidR="005B198C">
        <w:rPr>
          <w:rStyle w:val="FootnoteReference"/>
        </w:rPr>
        <w:footnoteReference w:id="10"/>
      </w:r>
      <w:r w:rsidR="000B4AC3">
        <w:t xml:space="preserve"> </w:t>
      </w:r>
    </w:p>
    <w:p w14:paraId="29993D85" w14:textId="27A01123" w:rsidR="00370095" w:rsidRDefault="000B4AC3">
      <w:r>
        <w:t>Shared decorative details can be found in the casa di Giuseppe and casa del Fabbro</w:t>
      </w:r>
      <w:r>
        <w:rPr>
          <w:rStyle w:val="FootnoteReference"/>
        </w:rPr>
        <w:footnoteReference w:id="11"/>
      </w:r>
      <w:r>
        <w:t xml:space="preserve">, two excavated houses in Pompeii which both display a wall painting depicting roughly the same scene. In this scene, </w:t>
      </w:r>
      <w:r w:rsidR="00B22F88">
        <w:t xml:space="preserve">a man and a woman recline together on a couch. The dark-skinned man and the light skinned woman both wear mantles and crowns seemingly made of flowers, and the woman holds a silver drinking vessel in her right hand. At the foot of the couch stand four people – one dark skinned man in a loincloth and two women with their heads held together, presumed to be slaves, and a fourth man whose identity is debated. Note the different sizes of the two houses: the casa di Guiseppe had a ground area of roughly 900 square metres and included a private bath, while the casa del Fabbro had a ground area of ‘only’ 310 square metres. </w:t>
      </w:r>
      <w:r w:rsidR="004D3E6A">
        <w:t>The casa di Guiseppe then is a house of considerable wealth while the casa del Fabbro is, while still near the top of the third quartile for house size, most likely did not house an elite but was likely headed by a trader of craftsman. However, what we see is a shared motif that somewhat transcends the class boundary</w:t>
      </w:r>
      <w:r w:rsidR="004D3E6A">
        <w:rPr>
          <w:rStyle w:val="FootnoteReference"/>
        </w:rPr>
        <w:footnoteReference w:id="12"/>
      </w:r>
      <w:r w:rsidR="004D3E6A">
        <w:t>, and we could extrapolate that the ideals represented are applicable to a larger part of Roman society.</w:t>
      </w:r>
      <w:r w:rsidR="006D0BAB">
        <w:t xml:space="preserve"> </w:t>
      </w:r>
      <w:r w:rsidR="00AC2472">
        <w:t>Plautus describes the seduction of Alcmena by Jupiter disguised as Amphitruo, through the procedures of dining</w:t>
      </w:r>
      <w:r w:rsidR="00AC2472">
        <w:rPr>
          <w:rStyle w:val="FootnoteReference"/>
        </w:rPr>
        <w:footnoteReference w:id="13"/>
      </w:r>
      <w:r w:rsidR="000E73DB">
        <w:t xml:space="preserve"> and we can begin to see a pattern of idealised convivial experiences having elements of eroticism – both in Plautus and in the wall paintings. Again we see a distinction between the Roman and the Greek – women in the </w:t>
      </w:r>
      <w:r w:rsidR="000E73DB">
        <w:rPr>
          <w:i/>
          <w:iCs/>
        </w:rPr>
        <w:t>symposium</w:t>
      </w:r>
      <w:r w:rsidR="000E73DB">
        <w:t xml:space="preserve"> were restricted to entertainers such as musicians or prostitutes</w:t>
      </w:r>
      <w:r w:rsidR="000E73DB">
        <w:rPr>
          <w:rStyle w:val="FootnoteReference"/>
        </w:rPr>
        <w:footnoteReference w:id="14"/>
      </w:r>
      <w:r w:rsidR="000E73DB">
        <w:t xml:space="preserve">, while it would certainly seem that in the </w:t>
      </w:r>
      <w:r w:rsidR="000E73DB">
        <w:rPr>
          <w:i/>
          <w:iCs/>
        </w:rPr>
        <w:t>convivium</w:t>
      </w:r>
      <w:r w:rsidR="000E73DB">
        <w:t xml:space="preserve"> women of stature could attend, Alcmena being the wife of the commander of the army of Thebes.</w:t>
      </w:r>
    </w:p>
    <w:p w14:paraId="42BE372B" w14:textId="400EA67E" w:rsidR="008976D2" w:rsidRDefault="008976D2">
      <w:r>
        <w:t>It should be obvious at this point that the experience of convivial dining was supposed to be spectacular, and the food was certainly no exception - “</w:t>
      </w:r>
      <w:r w:rsidRPr="008976D2">
        <w:t xml:space="preserve">The food and drink that was served was intended not only to satiate the guests but also to add an element of spectacle to the meal. Exotic produce, particularly those from wild animals, birds, and fish, were </w:t>
      </w:r>
      <w:proofErr w:type="spellStart"/>
      <w:r w:rsidR="009E1D39" w:rsidRPr="008976D2">
        <w:t>favored</w:t>
      </w:r>
      <w:proofErr w:type="spellEnd"/>
      <w:r w:rsidRPr="008976D2">
        <w:t xml:space="preserve"> at elite dinner parties because of their rarity, difficulty of procurement, and consequent high cost, which reflected the host’s affluence. Popular but costly fare included pheasant, thrush (or other songbirds), raw oysters, lobster, shellfish, venison, wild boar, and peacock.</w:t>
      </w:r>
      <w:r>
        <w:t>”</w:t>
      </w:r>
      <w:r>
        <w:rPr>
          <w:rStyle w:val="FootnoteReference"/>
        </w:rPr>
        <w:footnoteReference w:id="15"/>
      </w:r>
      <w:r>
        <w:t xml:space="preserve">. We can look to the </w:t>
      </w:r>
      <w:r>
        <w:rPr>
          <w:i/>
          <w:iCs/>
        </w:rPr>
        <w:t>Apicius</w:t>
      </w:r>
      <w:r>
        <w:t>, a collection of Roman recipes dating from the 1</w:t>
      </w:r>
      <w:r w:rsidRPr="008976D2">
        <w:rPr>
          <w:vertAlign w:val="superscript"/>
        </w:rPr>
        <w:t>st</w:t>
      </w:r>
      <w:r>
        <w:t xml:space="preserve"> century </w:t>
      </w:r>
      <w:r w:rsidR="009E1D39">
        <w:t>CE and</w:t>
      </w:r>
      <w:r>
        <w:t xml:space="preserve"> examine just a few of the entries to get a sense not only of the foods available but also the extent of the reach of the Roman world. </w:t>
      </w:r>
      <w:r w:rsidR="00E05E56">
        <w:t xml:space="preserve">For example, a recipe for “stuffed chicken (or pig)” calls for a dressing made of crushed pepper, lovage, ginger, raw pork or veal, cooked spelt, brains cooked in the chicken broth and eggs. With whole pepper and ‘plenty of nuts’, this one example shows extravagance as well as trade routes – black pepper from </w:t>
      </w:r>
      <w:r w:rsidR="00E05E56">
        <w:lastRenderedPageBreak/>
        <w:t>India</w:t>
      </w:r>
      <w:r w:rsidR="00E05E56">
        <w:rPr>
          <w:rStyle w:val="FootnoteReference"/>
        </w:rPr>
        <w:footnoteReference w:id="16"/>
      </w:r>
      <w:r w:rsidR="00AE67DA">
        <w:t xml:space="preserve"> and ginger from </w:t>
      </w:r>
      <w:r w:rsidR="00300C61">
        <w:t>north-east Africa</w:t>
      </w:r>
      <w:r w:rsidR="00AE67DA">
        <w:rPr>
          <w:rStyle w:val="FootnoteReference"/>
        </w:rPr>
        <w:footnoteReference w:id="17"/>
      </w:r>
      <w:r w:rsidR="00AE67DA">
        <w:t xml:space="preserve">. The ever-extravagant Trimalchio of the </w:t>
      </w:r>
      <w:r w:rsidR="00AE67DA">
        <w:rPr>
          <w:i/>
          <w:iCs/>
        </w:rPr>
        <w:t>Satyricon</w:t>
      </w:r>
      <w:r w:rsidR="00AE67DA">
        <w:t xml:space="preserve"> serves </w:t>
      </w:r>
      <w:r w:rsidR="00CB6AB7">
        <w:t>birds in peppered egg yolks</w:t>
      </w:r>
      <w:r w:rsidR="00CB6AB7">
        <w:rPr>
          <w:rStyle w:val="FootnoteReference"/>
        </w:rPr>
        <w:footnoteReference w:id="18"/>
      </w:r>
      <w:r w:rsidR="00CB6AB7">
        <w:t>, a wild boar with Syrian dates</w:t>
      </w:r>
      <w:r w:rsidR="00CB6AB7">
        <w:rPr>
          <w:rStyle w:val="FootnoteReference"/>
        </w:rPr>
        <w:footnoteReference w:id="19"/>
      </w:r>
      <w:r w:rsidR="00CB6AB7">
        <w:t xml:space="preserve"> and dormice sprinkled with poppy-seed and honey</w:t>
      </w:r>
      <w:r w:rsidR="00CB6AB7">
        <w:rPr>
          <w:rStyle w:val="FootnoteReference"/>
        </w:rPr>
        <w:footnoteReference w:id="20"/>
      </w:r>
      <w:r w:rsidR="00CB6AB7">
        <w:t xml:space="preserve">. </w:t>
      </w:r>
      <w:r w:rsidR="00925C61">
        <w:t xml:space="preserve">Trimalchio’s food isn’t meant for the private affairs, and the recipes of the </w:t>
      </w:r>
      <w:r w:rsidR="00925C61">
        <w:rPr>
          <w:i/>
          <w:iCs/>
        </w:rPr>
        <w:t>Apicius</w:t>
      </w:r>
      <w:r w:rsidR="00925C61">
        <w:t xml:space="preserve"> aren’t recipes of practicality for the regular Roman person. </w:t>
      </w:r>
      <w:r w:rsidR="00813991">
        <w:t>As Dunbabin states: “Numerous literary sources make clear the attention paid to the food and the importance attached to its variety, richness and elaborate preparation: they range from the extravagant accounts of the satirists…through the endless series of sumptuary laws with which the Senate battled fruitlessly to control expenditure on banquets</w:t>
      </w:r>
      <w:r w:rsidR="00B60D6C">
        <w:t>, to the actual recipes preserved for us under the name of the famous gourmet Apicius.”</w:t>
      </w:r>
      <w:r w:rsidR="00B60D6C">
        <w:rPr>
          <w:rStyle w:val="FootnoteReference"/>
        </w:rPr>
        <w:footnoteReference w:id="21"/>
      </w:r>
      <w:r w:rsidR="00B60D6C">
        <w:t>.</w:t>
      </w:r>
    </w:p>
    <w:p w14:paraId="3ED789AB" w14:textId="77777777" w:rsidR="00B60D6C" w:rsidRDefault="00B60D6C"/>
    <w:p w14:paraId="0C422D0A" w14:textId="66239058" w:rsidR="00925C61" w:rsidRPr="00925C61" w:rsidRDefault="00925C61">
      <w:r>
        <w:t xml:space="preserve">Wine is also an important feature of the </w:t>
      </w:r>
      <w:r>
        <w:rPr>
          <w:i/>
          <w:iCs/>
        </w:rPr>
        <w:t>convivium</w:t>
      </w:r>
      <w:r>
        <w:t xml:space="preserve">. Its serving throughout the meal as an accompaniment to the food is again contrasted to the Greek style in which the wine was reserved for the </w:t>
      </w:r>
      <w:r>
        <w:rPr>
          <w:i/>
          <w:iCs/>
        </w:rPr>
        <w:t>symposium</w:t>
      </w:r>
      <w:r>
        <w:t xml:space="preserve"> that followed the main meal</w:t>
      </w:r>
      <w:r>
        <w:rPr>
          <w:rStyle w:val="FootnoteReference"/>
        </w:rPr>
        <w:footnoteReference w:id="22"/>
      </w:r>
      <w:r>
        <w:t>.</w:t>
      </w:r>
      <w:r w:rsidR="00813991">
        <w:t xml:space="preserve"> The Romans also had a notion of drinking following eating, in the </w:t>
      </w:r>
      <w:r w:rsidR="00813991">
        <w:rPr>
          <w:i/>
          <w:iCs/>
        </w:rPr>
        <w:t>comissatio</w:t>
      </w:r>
      <w:r w:rsidR="00813991">
        <w:rPr>
          <w:rStyle w:val="FootnoteReference"/>
        </w:rPr>
        <w:footnoteReference w:id="23"/>
      </w:r>
      <w:r w:rsidR="00813991">
        <w:rPr>
          <w:i/>
          <w:iCs/>
        </w:rPr>
        <w:t xml:space="preserve">, </w:t>
      </w:r>
      <w:r w:rsidR="00813991">
        <w:t>but “</w:t>
      </w:r>
      <w:r w:rsidR="00813991" w:rsidRPr="00813991">
        <w:t>The ideology of commensality focused much more on the dinner; it was here that the games of status were played out, and that display and representation were concentrated.”</w:t>
      </w:r>
      <w:r w:rsidR="00813991">
        <w:rPr>
          <w:rStyle w:val="FootnoteReference"/>
        </w:rPr>
        <w:footnoteReference w:id="24"/>
      </w:r>
      <w:r w:rsidR="00813991">
        <w:t xml:space="preserve">. </w:t>
      </w:r>
      <w:r w:rsidR="00C8630C">
        <w:t xml:space="preserve">Referring to the wall painting of the </w:t>
      </w:r>
      <w:r w:rsidR="00C8630C">
        <w:rPr>
          <w:i/>
          <w:iCs/>
        </w:rPr>
        <w:t>casa di Giuseppe</w:t>
      </w:r>
      <w:r w:rsidR="00C8630C">
        <w:t>, one could be forgiven for interpreting a greater emphasis on the wine – the drinking vessel in the hand of the reclining woman more centrally visible than what appears to be a tray of food in the hand of one of the standing men at the foot of the couch, but Dunbabin refutes this</w:t>
      </w:r>
      <w:r w:rsidR="00C8630C">
        <w:rPr>
          <w:rStyle w:val="FootnoteReference"/>
        </w:rPr>
        <w:footnoteReference w:id="25"/>
      </w:r>
      <w:r w:rsidR="006A7F4A">
        <w:t>.</w:t>
      </w:r>
      <w:r>
        <w:t xml:space="preserve"> Additionally, the Romans mixed their wine with water as the Greeks did – however, while the Greek practice consisted of communal mixing in a large bowl for the entirety of the participants of the </w:t>
      </w:r>
      <w:r>
        <w:rPr>
          <w:i/>
          <w:iCs/>
        </w:rPr>
        <w:t>symposium</w:t>
      </w:r>
      <w:r>
        <w:t xml:space="preserve">, </w:t>
      </w:r>
      <w:r w:rsidR="004564FA">
        <w:t>the Romans mixed their water and wine individually before drinking.</w:t>
      </w:r>
      <w:r w:rsidR="006A7F4A">
        <w:t xml:space="preserve"> Uniquely Roman was the </w:t>
      </w:r>
      <w:r w:rsidR="006A7F4A">
        <w:rPr>
          <w:i/>
          <w:iCs/>
        </w:rPr>
        <w:t>authepsa</w:t>
      </w:r>
      <w:r w:rsidR="006A7F4A">
        <w:t>, a small boiler used for heating the water to be mixed with wine: otherwise, cold water and in rare cases ice or snow would be used.</w:t>
      </w:r>
      <w:r w:rsidR="006A7F4A">
        <w:rPr>
          <w:rStyle w:val="FootnoteReference"/>
        </w:rPr>
        <w:footnoteReference w:id="26"/>
      </w:r>
      <w:r w:rsidR="006A7F4A">
        <w:t xml:space="preserve"> </w:t>
      </w:r>
      <w:r w:rsidR="00A1024C">
        <w:t xml:space="preserve"> </w:t>
      </w:r>
      <w:r w:rsidR="00326FB0">
        <w:t>Romans were also expected to know their wine: we can again look to Trimalchio and his Opimian wine and see that some knowledge of vintage was expected of Petronius’s audience</w:t>
      </w:r>
      <w:r w:rsidR="00326FB0">
        <w:rPr>
          <w:rStyle w:val="FootnoteReference"/>
        </w:rPr>
        <w:footnoteReference w:id="27"/>
      </w:r>
      <w:r w:rsidR="00326FB0">
        <w:t>.</w:t>
      </w:r>
      <w:r w:rsidR="00A1024C">
        <w:t xml:space="preserve"> </w:t>
      </w:r>
    </w:p>
    <w:p w14:paraId="66587C3A" w14:textId="4C0E5153" w:rsidR="00FA1BD4" w:rsidRDefault="00925C61">
      <w:r>
        <w:lastRenderedPageBreak/>
        <w:t>The nature of the sources as they are, describing the live and culture of the elite or the wealthy is one that is as problematic as it is for any subject</w:t>
      </w:r>
      <w:r w:rsidR="00997094">
        <w:t>. Gowers tells us that “The literary sources represent a tiny fraction of the elite, which ought to make us suspicious of their historical value.”</w:t>
      </w:r>
      <w:r w:rsidR="00997094">
        <w:rPr>
          <w:rStyle w:val="FootnoteReference"/>
        </w:rPr>
        <w:footnoteReference w:id="28"/>
      </w:r>
      <w:r w:rsidR="00997094">
        <w:t xml:space="preserve">. This trend of elucidation of the experience of the elite classes only is not unique to dining, but we can use other sources within the sphere of dining to work towards </w:t>
      </w:r>
      <w:r w:rsidR="00287472">
        <w:t>supporting the same cultural concepts in lower classes, even if still quite well off</w:t>
      </w:r>
      <w:r w:rsidR="00997094">
        <w:t>. Roller points us towards</w:t>
      </w:r>
      <w:r w:rsidR="00890705">
        <w:t xml:space="preserve"> examples of </w:t>
      </w:r>
      <w:r w:rsidR="009E1D39">
        <w:t>sub elite</w:t>
      </w:r>
      <w:r w:rsidR="00890705">
        <w:t xml:space="preserve"> funerary monuments</w:t>
      </w:r>
      <w:r w:rsidR="00890705">
        <w:rPr>
          <w:rStyle w:val="FootnoteReference"/>
        </w:rPr>
        <w:footnoteReference w:id="29"/>
      </w:r>
      <w:r w:rsidR="00287472">
        <w:t xml:space="preserve"> which emulate the scenes displayed in the monuments of the elite, and the previously discussed examples of houses of varying sizes, the </w:t>
      </w:r>
      <w:r w:rsidR="00287472">
        <w:rPr>
          <w:i/>
          <w:iCs/>
        </w:rPr>
        <w:t xml:space="preserve">casa di Giuseppe </w:t>
      </w:r>
      <w:r w:rsidR="00287472">
        <w:t xml:space="preserve">and </w:t>
      </w:r>
      <w:r w:rsidR="00287472">
        <w:rPr>
          <w:i/>
          <w:iCs/>
        </w:rPr>
        <w:t>casa del Fabbro,</w:t>
      </w:r>
      <w:r w:rsidR="00287472">
        <w:t xml:space="preserve"> show a level of culture crossing class boundaries.</w:t>
      </w:r>
      <w:r w:rsidR="00486132">
        <w:t xml:space="preserve"> We should not take them at face value – “any approach to the visual material that looks on it primarily as a source of information about actual practice in real life is both limited and potentially misleading. The images are in no way intended to act as mirrors of reality.”</w:t>
      </w:r>
      <w:r w:rsidR="00486132">
        <w:rPr>
          <w:rStyle w:val="FootnoteReference"/>
        </w:rPr>
        <w:footnoteReference w:id="30"/>
      </w:r>
      <w:r w:rsidR="00486132">
        <w:t xml:space="preserve"> – but we can use them to inform us of certain important aspects -  “Like all artificial constructs, their form and content are the products of a combination of social and cultural factors.”</w:t>
      </w:r>
      <w:r w:rsidR="00486132">
        <w:rPr>
          <w:rStyle w:val="FootnoteReference"/>
        </w:rPr>
        <w:footnoteReference w:id="31"/>
      </w:r>
      <w:r w:rsidR="00486132">
        <w:t>.</w:t>
      </w:r>
    </w:p>
    <w:p w14:paraId="55642EA6" w14:textId="61C08684" w:rsidR="00287472" w:rsidRDefault="00486132">
      <w:r>
        <w:t xml:space="preserve">What we see then in Roman banqueting traditions is more than simply dining – we do not see representations of enjoying a piece of bread and water under a tree, but of complicated cultural ideas, standards and rules of an idealised functional event. Dunbabin refers specifically to the organisation of the </w:t>
      </w:r>
      <w:r>
        <w:rPr>
          <w:i/>
          <w:iCs/>
        </w:rPr>
        <w:t>triclinium</w:t>
      </w:r>
      <w:r>
        <w:t xml:space="preserve"> couches, with the </w:t>
      </w:r>
      <w:r>
        <w:rPr>
          <w:i/>
          <w:iCs/>
        </w:rPr>
        <w:t>locus consularis</w:t>
      </w:r>
      <w:r>
        <w:t xml:space="preserve"> or position of the consul </w:t>
      </w:r>
      <w:r w:rsidR="00282C2D">
        <w:t>on the central couch with the host next to them, and the reclination of the group encourages close interactions – “What the arrangement really encourages is networking, the complex exchange of favours and obligations that is so basic to the Roman social structure.”</w:t>
      </w:r>
      <w:r w:rsidR="00282C2D">
        <w:rPr>
          <w:rStyle w:val="FootnoteReference"/>
        </w:rPr>
        <w:footnoteReference w:id="32"/>
      </w:r>
      <w:r w:rsidR="00011B29">
        <w:t>. The banqueting experience is not one of the senses alone, but one of reinforcing social order and cultural norms regarding interpersonal power structures.</w:t>
      </w:r>
      <w:r>
        <w:t xml:space="preserve"> </w:t>
      </w:r>
      <w:r w:rsidR="00B2648A">
        <w:t xml:space="preserve">An example of this is seen in Livy, in which salves enrolled in the army after the battle of Cannae are promised freedom </w:t>
      </w:r>
      <w:r w:rsidR="00C43941">
        <w:t xml:space="preserve">by Tiberius Sempronius Gracchus </w:t>
      </w:r>
      <w:r w:rsidR="00B2648A">
        <w:t xml:space="preserve">in exchange for victory in an upcoming battle. </w:t>
      </w:r>
      <w:r w:rsidR="00C43941">
        <w:t>While the slaves are indeed victorious, some of the slaves fought poorly while others fought with valour. They are freed as promised, but Sempronius relegates those who fought poorly to dining standing for the rest of their military careers while serving those who fought more bravely</w:t>
      </w:r>
      <w:r w:rsidR="00C43941">
        <w:rPr>
          <w:rStyle w:val="FootnoteReference"/>
        </w:rPr>
        <w:footnoteReference w:id="33"/>
      </w:r>
      <w:r w:rsidR="00C43941">
        <w:t xml:space="preserve">. </w:t>
      </w:r>
      <w:r w:rsidR="00997F69">
        <w:t xml:space="preserve">In another example, </w:t>
      </w:r>
      <w:r w:rsidR="00C43941">
        <w:t xml:space="preserve">Suetonius describes how Caligula would punish senators </w:t>
      </w:r>
      <w:r w:rsidR="00997F69">
        <w:t>by having them attend to him while he dined</w:t>
      </w:r>
      <w:r w:rsidR="00997F69">
        <w:rPr>
          <w:rStyle w:val="FootnoteReference"/>
        </w:rPr>
        <w:footnoteReference w:id="34"/>
      </w:r>
      <w:r w:rsidR="00997F69">
        <w:t xml:space="preserve">. We see here just how powerful these aspects of power are – “When free adult males sit [as opposed to reclining] or stand at convivia, it is often implied that they have suffered a status reduction, rendering them inferior to others who recline. </w:t>
      </w:r>
      <w:r w:rsidR="00997F69">
        <w:lastRenderedPageBreak/>
        <w:t>Standing signals the sharpest status reduction, since this is stereotypically the posture of slaves…”</w:t>
      </w:r>
      <w:r w:rsidR="00997F69">
        <w:rPr>
          <w:rStyle w:val="FootnoteReference"/>
        </w:rPr>
        <w:footnoteReference w:id="35"/>
      </w:r>
      <w:r w:rsidR="0078342D">
        <w:t xml:space="preserve">. The understanding that the social aspects of the banquet can be more important than the physicality or sensuality of the banquet are clearly shown here. </w:t>
      </w:r>
    </w:p>
    <w:p w14:paraId="106105C4" w14:textId="1AD8BF30" w:rsidR="00DB6E42" w:rsidRDefault="00011B29">
      <w:r>
        <w:t>We have seen changes in the culture of dining as a distinct cultural unit between the Greeks and the Romans</w:t>
      </w:r>
      <w:r w:rsidR="00B2648A">
        <w:t>, and this structuralist understanding can be further defined by Etruscan practices. Dunbabin explains that “it was once generally accepted that the Etruscans adopted the reclining banquet as a direct borrowing from the Greeks, but more recently some scholars have suggested that the part played by Near Eastern people, especially the Phoenicians, should not be ignored.”</w:t>
      </w:r>
      <w:r w:rsidR="00B2648A">
        <w:rPr>
          <w:rStyle w:val="FootnoteReference"/>
        </w:rPr>
        <w:footnoteReference w:id="36"/>
      </w:r>
      <w:r w:rsidR="00300C61">
        <w:t>. It can however be difficult to pinpoint changes within Roman culture itself. We must reason that ginger was known for some time before Dioscorides wrote about its medicinal properties</w:t>
      </w:r>
      <w:r w:rsidR="00300C61">
        <w:rPr>
          <w:rStyle w:val="FootnoteReference"/>
        </w:rPr>
        <w:footnoteReference w:id="37"/>
      </w:r>
      <w:r w:rsidR="00300C61">
        <w:t xml:space="preserve"> in around 50CE</w:t>
      </w:r>
      <w:r w:rsidR="00A737BD">
        <w:t xml:space="preserve">, and before appearing in the cookbook of Apicius, for example.  However, what we can do is link the </w:t>
      </w:r>
      <w:r w:rsidR="00A737BD">
        <w:rPr>
          <w:i/>
          <w:iCs/>
        </w:rPr>
        <w:t>convivium</w:t>
      </w:r>
      <w:r w:rsidR="00A737BD">
        <w:t xml:space="preserve"> to other aspects that the Romans considered a decline in morality. Roman moralists placed a great deal of focus upon the increasing prosperity and extravagance of the Roman empire. </w:t>
      </w:r>
      <w:r w:rsidR="00A361ED">
        <w:t>For example, Sallust discusses the decline of Rome after the sacking of Carthage</w:t>
      </w:r>
      <w:r w:rsidR="00A361ED">
        <w:rPr>
          <w:rStyle w:val="FootnoteReference"/>
        </w:rPr>
        <w:footnoteReference w:id="38"/>
      </w:r>
      <w:r w:rsidR="00306F49">
        <w:t>. Livy decries Manlius Vulso for his looting of Asia Minor</w:t>
      </w:r>
      <w:r w:rsidR="00306F49">
        <w:rPr>
          <w:rStyle w:val="FootnoteReference"/>
        </w:rPr>
        <w:footnoteReference w:id="39"/>
      </w:r>
      <w:r w:rsidR="00BD0124">
        <w:t xml:space="preserve">. In </w:t>
      </w:r>
      <w:r w:rsidR="009E1D39">
        <w:t>both</w:t>
      </w:r>
      <w:r w:rsidR="00BD0124">
        <w:t xml:space="preserve"> examples, we see the concept of Roman morality being eroded by the material wealth of conquest. It does not take much imagination to see the link between material wealth and the banqueting culture of Rome. Consider Trimalchio and the extravagance of his meal thought by some to be an inditement of Nero, or the discussion of the vast expenditures on banqueting of Elagabalus in the </w:t>
      </w:r>
      <w:r w:rsidR="00BD0124">
        <w:rPr>
          <w:i/>
          <w:iCs/>
        </w:rPr>
        <w:t>Historia Augusta</w:t>
      </w:r>
      <w:r w:rsidR="00BD0124">
        <w:rPr>
          <w:rStyle w:val="FootnoteReference"/>
          <w:i/>
          <w:iCs/>
        </w:rPr>
        <w:footnoteReference w:id="40"/>
      </w:r>
      <w:r w:rsidR="00DB6E42">
        <w:rPr>
          <w:i/>
          <w:iCs/>
        </w:rPr>
        <w:t xml:space="preserve"> </w:t>
      </w:r>
      <w:r w:rsidR="00DB6E42">
        <w:t xml:space="preserve">- clearly there is some emphasis on the moral degradation of these extravagant feasts. </w:t>
      </w:r>
    </w:p>
    <w:p w14:paraId="2AF8700D" w14:textId="0A0FE98D" w:rsidR="00011B29" w:rsidRDefault="00DB6E42">
      <w:r>
        <w:t xml:space="preserve">One must also consider the myriad </w:t>
      </w:r>
      <w:r>
        <w:rPr>
          <w:i/>
          <w:iCs/>
        </w:rPr>
        <w:t>sumtuariae leges</w:t>
      </w:r>
      <w:r>
        <w:t xml:space="preserve"> or sumptuary laws, passed by multiple different people across three hundred or so years of late republic and early imperial Rome which sought to limit the expense of banqueting amongst other things. </w:t>
      </w:r>
      <w:r w:rsidR="00464D9F">
        <w:t>Orchia in 181BCE limited the number of guests</w:t>
      </w:r>
      <w:r w:rsidR="00464D9F">
        <w:rPr>
          <w:rStyle w:val="FootnoteReference"/>
        </w:rPr>
        <w:footnoteReference w:id="41"/>
      </w:r>
      <w:r w:rsidR="00464D9F">
        <w:t xml:space="preserve">, and was followed by the Fannia in 161BCE which limited spending </w:t>
      </w:r>
      <w:r w:rsidR="009E1D39">
        <w:t>and</w:t>
      </w:r>
      <w:r w:rsidR="00464D9F">
        <w:t xml:space="preserve"> tried to control the </w:t>
      </w:r>
      <w:r w:rsidR="00464D9F">
        <w:lastRenderedPageBreak/>
        <w:t>food presented</w:t>
      </w:r>
      <w:r w:rsidR="00464D9F">
        <w:rPr>
          <w:rStyle w:val="FootnoteReference"/>
        </w:rPr>
        <w:footnoteReference w:id="42"/>
      </w:r>
      <w:r w:rsidR="00E23A61">
        <w:t>. The Didia of 143 BCE extended punishments to guests</w:t>
      </w:r>
      <w:r w:rsidR="00E23A61">
        <w:rPr>
          <w:rStyle w:val="FootnoteReference"/>
        </w:rPr>
        <w:footnoteReference w:id="43"/>
      </w:r>
      <w:r w:rsidR="00E23A61">
        <w:t xml:space="preserve"> and the Licina expanded restrictions on food (probably 103 BCE, the praetorship of P. Licinius Crassus)</w:t>
      </w:r>
      <w:r w:rsidR="00E23A61">
        <w:rPr>
          <w:rStyle w:val="FootnoteReference"/>
        </w:rPr>
        <w:footnoteReference w:id="44"/>
      </w:r>
      <w:r w:rsidR="00E23A61">
        <w:t xml:space="preserve">. It is evident that morality of banqueting was a concern, </w:t>
      </w:r>
      <w:r w:rsidR="009E1D39">
        <w:t>and</w:t>
      </w:r>
      <w:r w:rsidR="00E23A61">
        <w:t xml:space="preserve"> that these sumptuary laws did not work for very long if they did at all – it would be strange to continue to introduce new legislation if the old legislation was functioning. We do know that Julius Caesar was particularly interested in enforcing his laws</w:t>
      </w:r>
      <w:r w:rsidR="00E23A61">
        <w:rPr>
          <w:rStyle w:val="FootnoteReference"/>
        </w:rPr>
        <w:footnoteReference w:id="45"/>
      </w:r>
      <w:r w:rsidR="0087350C">
        <w:t>, but it seems to have done little for the future – one again needs only refer to the feasts of Nero or Elagabalus to see how extravagant they could still be.</w:t>
      </w:r>
    </w:p>
    <w:p w14:paraId="738B41EF" w14:textId="7B7A7685" w:rsidR="0087350C" w:rsidRDefault="0087350C" w:rsidP="00A10326">
      <w:r>
        <w:t xml:space="preserve">The </w:t>
      </w:r>
      <w:r>
        <w:rPr>
          <w:i/>
          <w:iCs/>
        </w:rPr>
        <w:t>convivium</w:t>
      </w:r>
      <w:r>
        <w:t xml:space="preserve"> obviously held a position of great importance in Roman culture. We can see from literary and archaeological evidence that great efforts were expended on the ideal form of convivial dining, from decoration and architecture to decadent foodstuffs expertly prepared and respected wines sourced from </w:t>
      </w:r>
      <w:r w:rsidR="009E1D39">
        <w:t>well-known</w:t>
      </w:r>
      <w:r>
        <w:t xml:space="preserve"> vintages and cooled with ice stored at difficulty or heated with specialised equipment. We can also see a greatly complex social aspect, containing both representations of </w:t>
      </w:r>
      <w:r>
        <w:rPr>
          <w:i/>
          <w:iCs/>
        </w:rPr>
        <w:t>otium</w:t>
      </w:r>
      <w:r>
        <w:t xml:space="preserve"> juxtaposed with </w:t>
      </w:r>
      <w:r>
        <w:rPr>
          <w:i/>
          <w:iCs/>
        </w:rPr>
        <w:t>negotia</w:t>
      </w:r>
      <w:r>
        <w:t xml:space="preserve"> as integral to Roman identity</w:t>
      </w:r>
      <w:r w:rsidR="00A10326">
        <w:t xml:space="preserve"> and a process of display of social hierarchy in which posture or position at the table can denote the difference between slave and senator. Finally, the study of the </w:t>
      </w:r>
      <w:r w:rsidR="00A10326">
        <w:rPr>
          <w:i/>
          <w:iCs/>
        </w:rPr>
        <w:t xml:space="preserve">convivium </w:t>
      </w:r>
      <w:r w:rsidR="00A10326">
        <w:t>reveals a story of change – change not only of the shared cultural unit of the banquet that crosses borders from Phoenicia, Greece and Etruria to Rome, but changes to the standards of the specifically Roman banquet often through the wealth of conquest which, if not immediately obvious to the modern viewer, were certainly perceived by contemporary commenters and which multiple pieces of moral legislation failed to control.</w:t>
      </w:r>
    </w:p>
    <w:p w14:paraId="2D1A2007" w14:textId="5E4B784B" w:rsidR="00A10326" w:rsidRDefault="00A10326" w:rsidP="00A10326"/>
    <w:p w14:paraId="1052C797" w14:textId="52BFA660" w:rsidR="00A10326" w:rsidRDefault="00A10326" w:rsidP="00A10326"/>
    <w:p w14:paraId="1D5E8566" w14:textId="4E304955" w:rsidR="00A10326" w:rsidRDefault="00A10326" w:rsidP="00A10326"/>
    <w:p w14:paraId="2D7A3352" w14:textId="440FAAC7" w:rsidR="00A10326" w:rsidRDefault="00A10326" w:rsidP="00A10326"/>
    <w:p w14:paraId="281773E7" w14:textId="26C63611" w:rsidR="00A10326" w:rsidRDefault="00A10326" w:rsidP="00A10326"/>
    <w:p w14:paraId="1D14F927" w14:textId="48A711E1" w:rsidR="00A10326" w:rsidRDefault="00A10326" w:rsidP="00A10326"/>
    <w:p w14:paraId="4C65ADDE" w14:textId="73CC0246" w:rsidR="00A10326" w:rsidRDefault="00A10326" w:rsidP="00A10326"/>
    <w:p w14:paraId="74803575" w14:textId="758FB76C" w:rsidR="00A10326" w:rsidRDefault="00A10326" w:rsidP="00A10326"/>
    <w:p w14:paraId="257C960F" w14:textId="37957F9D" w:rsidR="00A10326" w:rsidRDefault="00A10326" w:rsidP="00A10326"/>
    <w:p w14:paraId="463380E0" w14:textId="03BD02D4" w:rsidR="00A10326" w:rsidRPr="009E1D39" w:rsidRDefault="00A10326" w:rsidP="00A10326">
      <w:pPr>
        <w:rPr>
          <w:sz w:val="32"/>
          <w:szCs w:val="32"/>
          <w:u w:val="single"/>
        </w:rPr>
      </w:pPr>
      <w:r w:rsidRPr="009E1D39">
        <w:rPr>
          <w:sz w:val="32"/>
          <w:szCs w:val="32"/>
          <w:u w:val="single"/>
        </w:rPr>
        <w:lastRenderedPageBreak/>
        <w:t>Bibliography</w:t>
      </w:r>
    </w:p>
    <w:p w14:paraId="05222D7A" w14:textId="62380C33" w:rsidR="009E1D39" w:rsidRPr="009E1D39" w:rsidRDefault="009E1D39" w:rsidP="00A10326">
      <w:pPr>
        <w:rPr>
          <w:sz w:val="28"/>
          <w:szCs w:val="28"/>
          <w:u w:val="single"/>
        </w:rPr>
      </w:pPr>
      <w:r w:rsidRPr="009E1D39">
        <w:rPr>
          <w:sz w:val="28"/>
          <w:szCs w:val="28"/>
          <w:u w:val="single"/>
        </w:rPr>
        <w:t>Modern</w:t>
      </w:r>
    </w:p>
    <w:p w14:paraId="40E3F495" w14:textId="77777777" w:rsidR="00A10326" w:rsidRDefault="00A10326" w:rsidP="00A10326">
      <w:r>
        <w:t xml:space="preserve">Baldwin, B. (1967) ‘Opimian Wine’, </w:t>
      </w:r>
      <w:r w:rsidRPr="00C74427">
        <w:rPr>
          <w:i/>
          <w:iCs/>
        </w:rPr>
        <w:t>The American Journal of Philology</w:t>
      </w:r>
      <w:r>
        <w:t>. 88(2), pp.173-175</w:t>
      </w:r>
    </w:p>
    <w:p w14:paraId="042ABE7E" w14:textId="77777777" w:rsidR="00A10326" w:rsidRDefault="00A10326" w:rsidP="00A10326">
      <w:r>
        <w:t xml:space="preserve">Dalby, A. (2000) </w:t>
      </w:r>
      <w:r w:rsidRPr="00C74427">
        <w:rPr>
          <w:i/>
          <w:iCs/>
        </w:rPr>
        <w:t>Dangerous Tastes: The Story of Spices.</w:t>
      </w:r>
      <w:r>
        <w:t xml:space="preserve"> The British Museum Press: London.</w:t>
      </w:r>
    </w:p>
    <w:p w14:paraId="76DA8A63" w14:textId="77777777" w:rsidR="00A10326" w:rsidRDefault="00A10326" w:rsidP="00A10326">
      <w:r>
        <w:t xml:space="preserve">Department of Greek and Roman Art. (2002) “The Symposium in Ancient Greece.” </w:t>
      </w:r>
      <w:r w:rsidRPr="00C74427">
        <w:rPr>
          <w:i/>
          <w:iCs/>
        </w:rPr>
        <w:t xml:space="preserve">In </w:t>
      </w:r>
      <w:proofErr w:type="spellStart"/>
      <w:r w:rsidRPr="00C74427">
        <w:rPr>
          <w:i/>
          <w:iCs/>
        </w:rPr>
        <w:t>Heilbrunn</w:t>
      </w:r>
      <w:proofErr w:type="spellEnd"/>
      <w:r w:rsidRPr="00C74427">
        <w:rPr>
          <w:i/>
          <w:iCs/>
        </w:rPr>
        <w:t xml:space="preserve"> Timeline of Art History</w:t>
      </w:r>
      <w:r>
        <w:t>. New York: The Metropolitan Museum of Art. Available at: https://www.metmuseum.org/toah/hd/symp/hd_symp.htm (Accessed 04/05/2020)</w:t>
      </w:r>
    </w:p>
    <w:p w14:paraId="38FBF505" w14:textId="77777777" w:rsidR="00A10326" w:rsidRDefault="00A10326" w:rsidP="00A10326">
      <w:r>
        <w:t xml:space="preserve">Dunbabin, K. (2003) </w:t>
      </w:r>
      <w:r w:rsidRPr="00C74427">
        <w:rPr>
          <w:i/>
          <w:iCs/>
        </w:rPr>
        <w:t>The Roman Banquet: Images of Conviviality</w:t>
      </w:r>
      <w:r>
        <w:t>. Cambridge University Press.</w:t>
      </w:r>
    </w:p>
    <w:p w14:paraId="34F3A0CD" w14:textId="77777777" w:rsidR="00A10326" w:rsidRDefault="00A10326" w:rsidP="00A10326">
      <w:proofErr w:type="spellStart"/>
      <w:r>
        <w:t>Gantz</w:t>
      </w:r>
      <w:proofErr w:type="spellEnd"/>
      <w:r>
        <w:t xml:space="preserve">, C. (2015) </w:t>
      </w:r>
      <w:r w:rsidRPr="00C74427">
        <w:rPr>
          <w:i/>
          <w:iCs/>
        </w:rPr>
        <w:t>Refrigeration: A History.</w:t>
      </w:r>
      <w:r>
        <w:t xml:space="preserve"> McFarland &amp; Company, Inc., Publishers: North Carolina, USA</w:t>
      </w:r>
    </w:p>
    <w:p w14:paraId="016CA61A" w14:textId="77777777" w:rsidR="00A10326" w:rsidRDefault="00A10326" w:rsidP="00A10326">
      <w:r>
        <w:t xml:space="preserve">Grainger, J.D. (1995) ‘The Campaign of Cn. Manlius Vulso in Asia Minor’, </w:t>
      </w:r>
      <w:r w:rsidRPr="00C74427">
        <w:rPr>
          <w:i/>
          <w:iCs/>
        </w:rPr>
        <w:t>Anatolian Studies</w:t>
      </w:r>
      <w:r>
        <w:t>. 45, pp.23-42</w:t>
      </w:r>
    </w:p>
    <w:p w14:paraId="402CEDD1" w14:textId="77777777" w:rsidR="00A10326" w:rsidRDefault="00A10326" w:rsidP="00A10326">
      <w:r>
        <w:t xml:space="preserve">Gowers, E. (1993) </w:t>
      </w:r>
      <w:r w:rsidRPr="00C74427">
        <w:rPr>
          <w:i/>
          <w:iCs/>
        </w:rPr>
        <w:t>The Loaded Table: Representations of Food in Roman Literature.</w:t>
      </w:r>
      <w:r>
        <w:t xml:space="preserve"> Oxford University Press: Oxford.</w:t>
      </w:r>
    </w:p>
    <w:p w14:paraId="16AC3183" w14:textId="77777777" w:rsidR="00A10326" w:rsidRDefault="00A10326" w:rsidP="00A10326">
      <w:r>
        <w:t xml:space="preserve">Raff, K. (2011) “The Roman Banquet”. In </w:t>
      </w:r>
      <w:proofErr w:type="spellStart"/>
      <w:r w:rsidRPr="00C74427">
        <w:rPr>
          <w:i/>
          <w:iCs/>
        </w:rPr>
        <w:t>Heilbrunn</w:t>
      </w:r>
      <w:proofErr w:type="spellEnd"/>
      <w:r w:rsidRPr="00C74427">
        <w:rPr>
          <w:i/>
          <w:iCs/>
        </w:rPr>
        <w:t xml:space="preserve"> Timeline of Art History.</w:t>
      </w:r>
      <w:r>
        <w:t xml:space="preserve"> New York: The Metropolitan Museum of Art. Available at: https://www.metmuseum.org/toah/hd/banq/hd_banq.htm (Accessed 04/05/2020)</w:t>
      </w:r>
    </w:p>
    <w:p w14:paraId="66F43193" w14:textId="77777777" w:rsidR="00A10326" w:rsidRDefault="00A10326" w:rsidP="00A10326">
      <w:proofErr w:type="spellStart"/>
      <w:r>
        <w:t>Radin</w:t>
      </w:r>
      <w:proofErr w:type="spellEnd"/>
      <w:r>
        <w:t xml:space="preserve">, A.P. (2003) Fictitious Facts: The Case of the Vomitorium. [online]. </w:t>
      </w:r>
      <w:r w:rsidRPr="00C74427">
        <w:rPr>
          <w:i/>
          <w:iCs/>
        </w:rPr>
        <w:t>APAClassics.org.</w:t>
      </w:r>
      <w:r>
        <w:t xml:space="preserve"> Available from: https://web.archive.org/web/20030320192257/http://www.apaclassics.org/AnnualMeeting/03mtg/abstracts/radin.html. (Accessed 01/05/2020).</w:t>
      </w:r>
    </w:p>
    <w:p w14:paraId="411EBD14" w14:textId="77777777" w:rsidR="00A10326" w:rsidRDefault="00A10326" w:rsidP="00A10326">
      <w:r>
        <w:t xml:space="preserve">Roller, M.B. (2006) </w:t>
      </w:r>
      <w:bookmarkStart w:id="0" w:name="_GoBack"/>
      <w:r w:rsidRPr="00C74427">
        <w:rPr>
          <w:i/>
          <w:iCs/>
        </w:rPr>
        <w:t>Dining Posture in Ancient Rome: Bodies, Values and Status.</w:t>
      </w:r>
      <w:r>
        <w:t xml:space="preserve"> </w:t>
      </w:r>
      <w:bookmarkEnd w:id="0"/>
      <w:r>
        <w:t>Princeton University Press: Woodstock.</w:t>
      </w:r>
    </w:p>
    <w:p w14:paraId="53487897" w14:textId="77777777" w:rsidR="00A10326" w:rsidRDefault="00A10326" w:rsidP="00A10326"/>
    <w:p w14:paraId="1E4707E8" w14:textId="77777777" w:rsidR="00A10326" w:rsidRPr="009E1D39" w:rsidRDefault="00A10326" w:rsidP="00A10326">
      <w:pPr>
        <w:rPr>
          <w:sz w:val="28"/>
          <w:szCs w:val="28"/>
          <w:u w:val="single"/>
        </w:rPr>
      </w:pPr>
      <w:r w:rsidRPr="009E1D39">
        <w:rPr>
          <w:sz w:val="28"/>
          <w:szCs w:val="28"/>
          <w:u w:val="single"/>
        </w:rPr>
        <w:t>Ancient</w:t>
      </w:r>
    </w:p>
    <w:p w14:paraId="26071AF6" w14:textId="77777777" w:rsidR="00A10326" w:rsidRDefault="00A10326" w:rsidP="00A10326">
      <w:r>
        <w:t xml:space="preserve">Apicius. </w:t>
      </w:r>
      <w:r w:rsidRPr="00361240">
        <w:rPr>
          <w:i/>
          <w:iCs/>
        </w:rPr>
        <w:t>Cooking and Dining in Imperial Rome.</w:t>
      </w:r>
      <w:r>
        <w:t xml:space="preserve"> Translated by Joseph </w:t>
      </w:r>
      <w:proofErr w:type="spellStart"/>
      <w:r>
        <w:t>Dommers</w:t>
      </w:r>
      <w:proofErr w:type="spellEnd"/>
      <w:r>
        <w:t xml:space="preserve"> </w:t>
      </w:r>
      <w:proofErr w:type="spellStart"/>
      <w:r>
        <w:t>Vehling</w:t>
      </w:r>
      <w:proofErr w:type="spellEnd"/>
      <w:r>
        <w:t xml:space="preserve">. Project </w:t>
      </w:r>
      <w:proofErr w:type="spellStart"/>
      <w:r>
        <w:t>Gutenburg</w:t>
      </w:r>
      <w:proofErr w:type="spellEnd"/>
      <w:r>
        <w:t xml:space="preserve">. 2009. Available from: https://www.gutenberg.org/files/29728/29728-h/29728-h.htm#bkvii_chxiii [Accessed 05/05/2020] </w:t>
      </w:r>
    </w:p>
    <w:p w14:paraId="79A2145F" w14:textId="77777777" w:rsidR="00A10326" w:rsidRDefault="00A10326" w:rsidP="00A10326">
      <w:r w:rsidRPr="00361240">
        <w:rPr>
          <w:i/>
          <w:iCs/>
        </w:rPr>
        <w:t>Historia Augusta</w:t>
      </w:r>
      <w:r>
        <w:t xml:space="preserve">. Translated by David </w:t>
      </w:r>
      <w:proofErr w:type="spellStart"/>
      <w:r>
        <w:t>Magie</w:t>
      </w:r>
      <w:proofErr w:type="spellEnd"/>
      <w:r>
        <w:t xml:space="preserve">. Loeb Classical Library. 1932. Available from: http://penelope.uchicago.edu/Thayer/E/Roman/Texts/Historia_Augusta/Elagabalus/2*.html [Accessed 10/05/2020] </w:t>
      </w:r>
    </w:p>
    <w:p w14:paraId="59F48BE1" w14:textId="77777777" w:rsidR="00A10326" w:rsidRDefault="00A10326" w:rsidP="00A10326">
      <w:r>
        <w:t xml:space="preserve">Livy. </w:t>
      </w:r>
      <w:r w:rsidRPr="00361240">
        <w:rPr>
          <w:i/>
          <w:iCs/>
        </w:rPr>
        <w:t>History of Rome</w:t>
      </w:r>
      <w:r>
        <w:t xml:space="preserve">. Translated by D. </w:t>
      </w:r>
      <w:proofErr w:type="spellStart"/>
      <w:r>
        <w:t>Spillan</w:t>
      </w:r>
      <w:proofErr w:type="spellEnd"/>
      <w:r>
        <w:t xml:space="preserve"> and Cyrus Edmonds. York Street, Covent Garden, London. Henry G. Bohn. John Child and son, printers. 1849. Available from: http://www.perseus.tufts.edu/hopper/text?doc=Liv.+24+16&amp;fromdoc=Perseus%3Atext%3A1999.02.0158 [Accessed 09/05/2020]</w:t>
      </w:r>
    </w:p>
    <w:p w14:paraId="15A70AE3" w14:textId="77777777" w:rsidR="00A10326" w:rsidRDefault="00A10326" w:rsidP="00A10326">
      <w:r>
        <w:t xml:space="preserve">Petronius. The Satyricon. Translated by W.C. Firebaugh. Project </w:t>
      </w:r>
      <w:proofErr w:type="spellStart"/>
      <w:r>
        <w:t>Gutenburg</w:t>
      </w:r>
      <w:proofErr w:type="spellEnd"/>
      <w:r>
        <w:t>. 2004. Available from: https://www.gutenberg.org/files/5219/5219-h/5219-h.htm#p070 [Accessed 06/05/2020]</w:t>
      </w:r>
    </w:p>
    <w:p w14:paraId="44595944" w14:textId="77777777" w:rsidR="00A10326" w:rsidRDefault="00A10326" w:rsidP="00A10326">
      <w:r>
        <w:lastRenderedPageBreak/>
        <w:t xml:space="preserve">Plautus. </w:t>
      </w:r>
      <w:r w:rsidRPr="00361240">
        <w:rPr>
          <w:i/>
          <w:iCs/>
        </w:rPr>
        <w:t>Amphitryon</w:t>
      </w:r>
      <w:r>
        <w:t>. Translated by Henry Thomas Riley. London. G. Bell and Sons. 1912. Available from: http://www.perseus.tufts.edu/hopper/text?doc=Perseus%3Atext%3A1999.02.0092%3Aact%3D2%3Ascene%3D2 [Accessed 05/05/2020]</w:t>
      </w:r>
    </w:p>
    <w:p w14:paraId="32C26563" w14:textId="77777777" w:rsidR="00A10326" w:rsidRDefault="00A10326" w:rsidP="00A10326">
      <w:r>
        <w:t>Macrobius</w:t>
      </w:r>
      <w:r w:rsidRPr="00361240">
        <w:rPr>
          <w:i/>
          <w:iCs/>
        </w:rPr>
        <w:t>. Saturnalia</w:t>
      </w:r>
      <w:r>
        <w:t xml:space="preserve">, Volume II: Books 3-5. Edited and translated by Robert A. </w:t>
      </w:r>
      <w:proofErr w:type="spellStart"/>
      <w:r>
        <w:t>Kaster</w:t>
      </w:r>
      <w:proofErr w:type="spellEnd"/>
      <w:r>
        <w:t>. Loeb Classical Library 511. Cambridge, MA: Harvard University Press, 2011.</w:t>
      </w:r>
    </w:p>
    <w:p w14:paraId="66B85F14" w14:textId="77777777" w:rsidR="00A10326" w:rsidRDefault="00A10326" w:rsidP="00A10326">
      <w:r>
        <w:t xml:space="preserve">Sallust. </w:t>
      </w:r>
      <w:r w:rsidRPr="00361240">
        <w:rPr>
          <w:i/>
          <w:iCs/>
        </w:rPr>
        <w:t xml:space="preserve">The War </w:t>
      </w:r>
      <w:proofErr w:type="gramStart"/>
      <w:r w:rsidRPr="00361240">
        <w:rPr>
          <w:i/>
          <w:iCs/>
        </w:rPr>
        <w:t>With</w:t>
      </w:r>
      <w:proofErr w:type="gramEnd"/>
      <w:r w:rsidRPr="00361240">
        <w:rPr>
          <w:i/>
          <w:iCs/>
        </w:rPr>
        <w:t xml:space="preserve"> Jugurtha</w:t>
      </w:r>
      <w:r>
        <w:t>. Loeb Classical Library. 1931. Available from: https://penelope.uchicago.edu/Thayer/E/Roman/Texts/Sallust/Bellum_Jugurthinum/2*.html [Accessed 10/05/2020]</w:t>
      </w:r>
    </w:p>
    <w:p w14:paraId="6216000B" w14:textId="4A24737B" w:rsidR="00A10326" w:rsidRPr="00A10326" w:rsidRDefault="00A10326" w:rsidP="00A10326">
      <w:r>
        <w:t>Suetonius</w:t>
      </w:r>
      <w:r w:rsidRPr="00361240">
        <w:rPr>
          <w:i/>
          <w:iCs/>
        </w:rPr>
        <w:t>. Caligula.</w:t>
      </w:r>
      <w:r>
        <w:t xml:space="preserve"> Philadelphia. </w:t>
      </w:r>
      <w:proofErr w:type="spellStart"/>
      <w:r>
        <w:t>Gebbie</w:t>
      </w:r>
      <w:proofErr w:type="spellEnd"/>
      <w:r>
        <w:t xml:space="preserve"> &amp; Co. 1889. Available from: http://www.perseus.tufts.edu/hopper/text?doc=Suet.+Cal.+26&amp;fromdoc=Perseus%3Atext%3A1999.02.0132 [Accessed 09/05/2020]</w:t>
      </w:r>
    </w:p>
    <w:sectPr w:rsidR="00A10326" w:rsidRPr="00A103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2CEA22" w14:textId="77777777" w:rsidR="004F6137" w:rsidRDefault="004F6137" w:rsidP="00997094">
      <w:pPr>
        <w:spacing w:after="0" w:line="240" w:lineRule="auto"/>
      </w:pPr>
      <w:r>
        <w:separator/>
      </w:r>
    </w:p>
  </w:endnote>
  <w:endnote w:type="continuationSeparator" w:id="0">
    <w:p w14:paraId="3D9A31E3" w14:textId="77777777" w:rsidR="004F6137" w:rsidRDefault="004F6137" w:rsidP="009970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42A4B2" w14:textId="77777777" w:rsidR="004F6137" w:rsidRDefault="004F6137" w:rsidP="00997094">
      <w:pPr>
        <w:spacing w:after="0" w:line="240" w:lineRule="auto"/>
      </w:pPr>
      <w:r>
        <w:separator/>
      </w:r>
    </w:p>
  </w:footnote>
  <w:footnote w:type="continuationSeparator" w:id="0">
    <w:p w14:paraId="36004176" w14:textId="77777777" w:rsidR="004F6137" w:rsidRDefault="004F6137" w:rsidP="00997094">
      <w:pPr>
        <w:spacing w:after="0" w:line="240" w:lineRule="auto"/>
      </w:pPr>
      <w:r>
        <w:continuationSeparator/>
      </w:r>
    </w:p>
  </w:footnote>
  <w:footnote w:id="1">
    <w:p w14:paraId="793C94D8" w14:textId="71F90206" w:rsidR="00122F63" w:rsidRPr="00122F63" w:rsidRDefault="00122F63">
      <w:pPr>
        <w:pStyle w:val="FootnoteText"/>
      </w:pPr>
      <w:r>
        <w:rPr>
          <w:rStyle w:val="FootnoteReference"/>
        </w:rPr>
        <w:footnoteRef/>
      </w:r>
      <w:r>
        <w:t xml:space="preserve"> </w:t>
      </w:r>
      <w:proofErr w:type="spellStart"/>
      <w:r>
        <w:t>Macrob</w:t>
      </w:r>
      <w:proofErr w:type="spellEnd"/>
      <w:r>
        <w:t xml:space="preserve">. </w:t>
      </w:r>
      <w:r>
        <w:rPr>
          <w:i/>
          <w:iCs/>
        </w:rPr>
        <w:t>Sat.</w:t>
      </w:r>
      <w:r>
        <w:t xml:space="preserve"> 6.4</w:t>
      </w:r>
    </w:p>
  </w:footnote>
  <w:footnote w:id="2">
    <w:p w14:paraId="7470A3D6" w14:textId="68D8B962" w:rsidR="00122F63" w:rsidRDefault="00122F63">
      <w:pPr>
        <w:pStyle w:val="FootnoteText"/>
      </w:pPr>
      <w:r>
        <w:rPr>
          <w:rStyle w:val="FootnoteReference"/>
        </w:rPr>
        <w:footnoteRef/>
      </w:r>
      <w:r>
        <w:t xml:space="preserve"> </w:t>
      </w:r>
      <w:proofErr w:type="spellStart"/>
      <w:r>
        <w:t>Radin</w:t>
      </w:r>
      <w:proofErr w:type="spellEnd"/>
      <w:r>
        <w:t xml:space="preserve"> (2003) </w:t>
      </w:r>
      <w:r w:rsidR="0024415D">
        <w:t>suggests a “</w:t>
      </w:r>
      <w:r w:rsidR="0024415D" w:rsidRPr="0024415D">
        <w:t xml:space="preserve">rationalization of a misunderstood pseudo-Latin colloquialism that arose in what folklorists </w:t>
      </w:r>
      <w:proofErr w:type="spellStart"/>
      <w:r w:rsidR="0024415D" w:rsidRPr="0024415D">
        <w:t>call"unofficial</w:t>
      </w:r>
      <w:proofErr w:type="spellEnd"/>
      <w:r w:rsidR="0024415D" w:rsidRPr="0024415D">
        <w:t xml:space="preserve"> culture," probably British schoolboy </w:t>
      </w:r>
      <w:proofErr w:type="spellStart"/>
      <w:r w:rsidR="0024415D" w:rsidRPr="0024415D">
        <w:t>humor</w:t>
      </w:r>
      <w:proofErr w:type="spellEnd"/>
      <w:r w:rsidR="0024415D" w:rsidRPr="0024415D">
        <w:t>.</w:t>
      </w:r>
      <w:r w:rsidR="0024415D">
        <w:t>”, and points towards Lewis Mumford (1961) as a vector for misinformation in this aspect.</w:t>
      </w:r>
    </w:p>
  </w:footnote>
  <w:footnote w:id="3">
    <w:p w14:paraId="71982014" w14:textId="1E8716F6" w:rsidR="00CD2E31" w:rsidRPr="00CD2E31" w:rsidRDefault="00CD2E31">
      <w:pPr>
        <w:pStyle w:val="FootnoteText"/>
        <w:rPr>
          <w:i/>
          <w:iCs/>
        </w:rPr>
      </w:pPr>
      <w:r>
        <w:rPr>
          <w:rStyle w:val="FootnoteReference"/>
        </w:rPr>
        <w:footnoteRef/>
      </w:r>
      <w:r>
        <w:t xml:space="preserve"> Roller, 2006, pp.16-17</w:t>
      </w:r>
    </w:p>
  </w:footnote>
  <w:footnote w:id="4">
    <w:p w14:paraId="00249CD8" w14:textId="5E193BAA" w:rsidR="00F93A9D" w:rsidRDefault="00F93A9D">
      <w:pPr>
        <w:pStyle w:val="FootnoteText"/>
      </w:pPr>
      <w:r>
        <w:rPr>
          <w:rStyle w:val="FootnoteReference"/>
        </w:rPr>
        <w:footnoteRef/>
      </w:r>
      <w:r>
        <w:t xml:space="preserve"> Roller, 2006, pp. 17</w:t>
      </w:r>
    </w:p>
  </w:footnote>
  <w:footnote w:id="5">
    <w:p w14:paraId="2E770BDC" w14:textId="70276AAF" w:rsidR="00F93A9D" w:rsidRPr="00F93A9D" w:rsidRDefault="00F93A9D">
      <w:pPr>
        <w:pStyle w:val="FootnoteText"/>
      </w:pPr>
      <w:r>
        <w:rPr>
          <w:rStyle w:val="FootnoteReference"/>
        </w:rPr>
        <w:footnoteRef/>
      </w:r>
      <w:r>
        <w:t xml:space="preserve"> Even if this is only </w:t>
      </w:r>
      <w:r>
        <w:rPr>
          <w:i/>
          <w:iCs/>
        </w:rPr>
        <w:t>negotia</w:t>
      </w:r>
      <w:r>
        <w:t xml:space="preserve"> in the metaphorical sense.</w:t>
      </w:r>
    </w:p>
  </w:footnote>
  <w:footnote w:id="6">
    <w:p w14:paraId="487BB05E" w14:textId="0C775442" w:rsidR="00E52EFB" w:rsidRDefault="00E52EFB">
      <w:pPr>
        <w:pStyle w:val="FootnoteText"/>
      </w:pPr>
      <w:r>
        <w:rPr>
          <w:rStyle w:val="FootnoteReference"/>
        </w:rPr>
        <w:footnoteRef/>
      </w:r>
      <w:r>
        <w:t xml:space="preserve"> Roller, 2006, pp.7</w:t>
      </w:r>
    </w:p>
  </w:footnote>
  <w:footnote w:id="7">
    <w:p w14:paraId="77CA7B38" w14:textId="75166DB2" w:rsidR="00E52EFB" w:rsidRDefault="00E52EFB">
      <w:pPr>
        <w:pStyle w:val="FootnoteText"/>
      </w:pPr>
      <w:r>
        <w:rPr>
          <w:rStyle w:val="FootnoteReference"/>
        </w:rPr>
        <w:footnoteRef/>
      </w:r>
      <w:r>
        <w:t xml:space="preserve"> Raff, 2011</w:t>
      </w:r>
    </w:p>
  </w:footnote>
  <w:footnote w:id="8">
    <w:p w14:paraId="15CD6502" w14:textId="2F816D1B" w:rsidR="00326FB0" w:rsidRDefault="00326FB0">
      <w:pPr>
        <w:pStyle w:val="FootnoteText"/>
      </w:pPr>
      <w:r>
        <w:rPr>
          <w:rStyle w:val="FootnoteReference"/>
        </w:rPr>
        <w:footnoteRef/>
      </w:r>
      <w:r>
        <w:t xml:space="preserve"> Dunbabin, 2003, pp.36</w:t>
      </w:r>
    </w:p>
  </w:footnote>
  <w:footnote w:id="9">
    <w:p w14:paraId="580DE99F" w14:textId="4E45B174" w:rsidR="000B4AC3" w:rsidRDefault="000B4AC3">
      <w:pPr>
        <w:pStyle w:val="FootnoteText"/>
      </w:pPr>
      <w:r>
        <w:rPr>
          <w:rStyle w:val="FootnoteReference"/>
        </w:rPr>
        <w:footnoteRef/>
      </w:r>
      <w:r>
        <w:t xml:space="preserve"> Department of Greek and Roman Art, 2002.</w:t>
      </w:r>
    </w:p>
  </w:footnote>
  <w:footnote w:id="10">
    <w:p w14:paraId="1B28A280" w14:textId="72778626" w:rsidR="005B198C" w:rsidRPr="005B198C" w:rsidRDefault="005B198C">
      <w:pPr>
        <w:pStyle w:val="FootnoteText"/>
      </w:pPr>
      <w:r>
        <w:rPr>
          <w:rStyle w:val="FootnoteReference"/>
        </w:rPr>
        <w:footnoteRef/>
      </w:r>
      <w:r>
        <w:t xml:space="preserve"> “[on the </w:t>
      </w:r>
      <w:proofErr w:type="gramStart"/>
      <w:r>
        <w:rPr>
          <w:i/>
          <w:iCs/>
        </w:rPr>
        <w:t>andron</w:t>
      </w:r>
      <w:r>
        <w:t>]…</w:t>
      </w:r>
      <w:proofErr w:type="gramEnd"/>
      <w:r>
        <w:t>it is [frequently] placed at the outside corner of the house, to provide easy access for the guests from the courtyard without disturbing the rest of the househ</w:t>
      </w:r>
      <w:r w:rsidR="00063187">
        <w:t xml:space="preserve">old” Dunbabin, 2003, pp. 37. On the </w:t>
      </w:r>
      <w:r w:rsidR="00063187">
        <w:rPr>
          <w:i/>
          <w:iCs/>
        </w:rPr>
        <w:t>triclinium</w:t>
      </w:r>
      <w:r w:rsidR="00063187">
        <w:t xml:space="preserve">, Dunbabin places them as either connected to grander primary reception spaces or as opening up onto the courtyard or gardens – the implication being that these spaces give the </w:t>
      </w:r>
      <w:r w:rsidR="00063187">
        <w:rPr>
          <w:i/>
          <w:iCs/>
        </w:rPr>
        <w:t>triclinium</w:t>
      </w:r>
      <w:r w:rsidR="00063187">
        <w:t xml:space="preserve"> greater visibility or spectacle, and perhaps that unlike in the </w:t>
      </w:r>
      <w:r w:rsidR="00063187">
        <w:rPr>
          <w:i/>
          <w:iCs/>
        </w:rPr>
        <w:t>andron</w:t>
      </w:r>
      <w:r w:rsidR="00063187">
        <w:t xml:space="preserve"> the diners are expected to disturb.</w:t>
      </w:r>
      <w:r>
        <w:t xml:space="preserve"> </w:t>
      </w:r>
    </w:p>
  </w:footnote>
  <w:footnote w:id="11">
    <w:p w14:paraId="1C6EB883" w14:textId="71AF75E6" w:rsidR="000B4AC3" w:rsidRDefault="000B4AC3">
      <w:pPr>
        <w:pStyle w:val="FootnoteText"/>
      </w:pPr>
      <w:r>
        <w:rPr>
          <w:rStyle w:val="FootnoteReference"/>
        </w:rPr>
        <w:footnoteRef/>
      </w:r>
      <w:r>
        <w:t xml:space="preserve"> Roller, 2006, pp.49-61</w:t>
      </w:r>
    </w:p>
  </w:footnote>
  <w:footnote w:id="12">
    <w:p w14:paraId="7F0966CA" w14:textId="2D4E8B87" w:rsidR="004D3E6A" w:rsidRDefault="004D3E6A">
      <w:pPr>
        <w:pStyle w:val="FootnoteText"/>
      </w:pPr>
      <w:r>
        <w:rPr>
          <w:rStyle w:val="FootnoteReference"/>
        </w:rPr>
        <w:footnoteRef/>
      </w:r>
      <w:r>
        <w:t xml:space="preserve"> Though it’s worth considering this could be a strictly Pompeian affair.</w:t>
      </w:r>
    </w:p>
  </w:footnote>
  <w:footnote w:id="13">
    <w:p w14:paraId="672B7D8C" w14:textId="3447E59A" w:rsidR="00AC2472" w:rsidRPr="00AC2472" w:rsidRDefault="00AC2472">
      <w:pPr>
        <w:pStyle w:val="FootnoteText"/>
      </w:pPr>
      <w:r>
        <w:rPr>
          <w:rStyle w:val="FootnoteReference"/>
        </w:rPr>
        <w:footnoteRef/>
      </w:r>
      <w:r>
        <w:t xml:space="preserve"> “Dinner was brought out; you dined with me; I reclined together with you” </w:t>
      </w:r>
      <w:proofErr w:type="spellStart"/>
      <w:r>
        <w:t>Plaut</w:t>
      </w:r>
      <w:proofErr w:type="spellEnd"/>
      <w:r>
        <w:t xml:space="preserve">. </w:t>
      </w:r>
      <w:proofErr w:type="spellStart"/>
      <w:r>
        <w:rPr>
          <w:i/>
          <w:iCs/>
        </w:rPr>
        <w:t>Amph</w:t>
      </w:r>
      <w:proofErr w:type="spellEnd"/>
      <w:r>
        <w:rPr>
          <w:i/>
          <w:iCs/>
        </w:rPr>
        <w:t>.</w:t>
      </w:r>
      <w:r>
        <w:t xml:space="preserve"> 2.2 – Roller says “at every opportunity in this scene, one or another character underscores the erotic implications of the progression from kissing to reclining for dinner together to retiring to bed” – Roller, 2006, pp.101</w:t>
      </w:r>
    </w:p>
  </w:footnote>
  <w:footnote w:id="14">
    <w:p w14:paraId="1CB38046" w14:textId="0E4A9090" w:rsidR="000E73DB" w:rsidRDefault="000E73DB">
      <w:pPr>
        <w:pStyle w:val="FootnoteText"/>
      </w:pPr>
      <w:r>
        <w:rPr>
          <w:rStyle w:val="FootnoteReference"/>
        </w:rPr>
        <w:footnoteRef/>
      </w:r>
      <w:r>
        <w:t xml:space="preserve"> Department of Greek and Roman Art, 2002</w:t>
      </w:r>
    </w:p>
  </w:footnote>
  <w:footnote w:id="15">
    <w:p w14:paraId="2BA8A6BE" w14:textId="4BCE3C9C" w:rsidR="008976D2" w:rsidRDefault="008976D2">
      <w:pPr>
        <w:pStyle w:val="FootnoteText"/>
      </w:pPr>
      <w:r>
        <w:rPr>
          <w:rStyle w:val="FootnoteReference"/>
        </w:rPr>
        <w:footnoteRef/>
      </w:r>
      <w:r>
        <w:t xml:space="preserve"> Raff, 2011</w:t>
      </w:r>
    </w:p>
  </w:footnote>
  <w:footnote w:id="16">
    <w:p w14:paraId="41A0DEFD" w14:textId="1835F8E2" w:rsidR="00A737BD" w:rsidRDefault="00E05E56">
      <w:pPr>
        <w:pStyle w:val="FootnoteText"/>
      </w:pPr>
      <w:r>
        <w:rPr>
          <w:rStyle w:val="FootnoteReference"/>
        </w:rPr>
        <w:footnoteRef/>
      </w:r>
      <w:r>
        <w:t xml:space="preserve"> “…black pepper, more than any other spice, was what the Romans wanted from India. The Caesars treated pepper as a currency, storing vast quantities of it, unused, in the Roman treasury” Dalby, 2000, pp.91</w:t>
      </w:r>
      <w:r w:rsidR="00A737BD">
        <w:t xml:space="preserve">. We also have evidence of Greek influence – black pepper being known to the Greeks by the fourth century BCE. Dalby further expands on the trade routes- “At </w:t>
      </w:r>
      <w:proofErr w:type="spellStart"/>
      <w:r w:rsidR="00A737BD">
        <w:t>Nelkynda</w:t>
      </w:r>
      <w:proofErr w:type="spellEnd"/>
      <w:r w:rsidR="00A737BD">
        <w:t xml:space="preserve"> ‘they export pepper, grown for the most part in only one place connected with these ports of trade, called </w:t>
      </w:r>
      <w:proofErr w:type="spellStart"/>
      <w:r w:rsidR="00A737BD">
        <w:t>Cottonarice</w:t>
      </w:r>
      <w:proofErr w:type="spellEnd"/>
      <w:r w:rsidR="00A737BD">
        <w:t xml:space="preserve">. For those sailing here from Egypt, the right time to set out is around the month of July, that is, </w:t>
      </w:r>
      <w:proofErr w:type="spellStart"/>
      <w:r w:rsidR="00A737BD">
        <w:t>Epheiph</w:t>
      </w:r>
      <w:proofErr w:type="spellEnd"/>
      <w:r w:rsidR="00A737BD">
        <w:t>.’, states the early Roman sailing guide”.</w:t>
      </w:r>
    </w:p>
  </w:footnote>
  <w:footnote w:id="17">
    <w:p w14:paraId="6A36A85F" w14:textId="530395DB" w:rsidR="00AE67DA" w:rsidRDefault="00AE67DA">
      <w:pPr>
        <w:pStyle w:val="FootnoteText"/>
      </w:pPr>
      <w:r>
        <w:rPr>
          <w:rStyle w:val="FootnoteReference"/>
        </w:rPr>
        <w:footnoteRef/>
      </w:r>
      <w:r>
        <w:t xml:space="preserve"> Dalby, 2000, pp.</w:t>
      </w:r>
      <w:r w:rsidR="00300C61">
        <w:t>22</w:t>
      </w:r>
    </w:p>
  </w:footnote>
  <w:footnote w:id="18">
    <w:p w14:paraId="20D1B1E6" w14:textId="2A6D8327" w:rsidR="00CB6AB7" w:rsidRPr="00CB6AB7" w:rsidRDefault="00CB6AB7">
      <w:pPr>
        <w:pStyle w:val="FootnoteText"/>
      </w:pPr>
      <w:r>
        <w:rPr>
          <w:rStyle w:val="FootnoteReference"/>
        </w:rPr>
        <w:footnoteRef/>
      </w:r>
      <w:r>
        <w:t xml:space="preserve"> Petron. </w:t>
      </w:r>
      <w:r>
        <w:rPr>
          <w:i/>
          <w:iCs/>
        </w:rPr>
        <w:t>Sat.</w:t>
      </w:r>
      <w:r>
        <w:t xml:space="preserve"> 33</w:t>
      </w:r>
    </w:p>
  </w:footnote>
  <w:footnote w:id="19">
    <w:p w14:paraId="2D9ADC19" w14:textId="14A60245" w:rsidR="00CB6AB7" w:rsidRPr="00CB6AB7" w:rsidRDefault="00CB6AB7">
      <w:pPr>
        <w:pStyle w:val="FootnoteText"/>
      </w:pPr>
      <w:r>
        <w:rPr>
          <w:rStyle w:val="FootnoteReference"/>
        </w:rPr>
        <w:footnoteRef/>
      </w:r>
      <w:r>
        <w:t xml:space="preserve"> Petron. </w:t>
      </w:r>
      <w:r>
        <w:rPr>
          <w:i/>
          <w:iCs/>
        </w:rPr>
        <w:t>Sat.</w:t>
      </w:r>
      <w:r>
        <w:t xml:space="preserve"> 40</w:t>
      </w:r>
    </w:p>
  </w:footnote>
  <w:footnote w:id="20">
    <w:p w14:paraId="6549231C" w14:textId="3B546213" w:rsidR="00CB6AB7" w:rsidRPr="00CB6AB7" w:rsidRDefault="00CB6AB7">
      <w:pPr>
        <w:pStyle w:val="FootnoteText"/>
      </w:pPr>
      <w:r>
        <w:rPr>
          <w:rStyle w:val="FootnoteReference"/>
        </w:rPr>
        <w:footnoteRef/>
      </w:r>
      <w:r>
        <w:t xml:space="preserve"> Petron. </w:t>
      </w:r>
      <w:r>
        <w:rPr>
          <w:i/>
          <w:iCs/>
        </w:rPr>
        <w:t xml:space="preserve">Sat. </w:t>
      </w:r>
      <w:r>
        <w:t>31</w:t>
      </w:r>
    </w:p>
  </w:footnote>
  <w:footnote w:id="21">
    <w:p w14:paraId="546ED93B" w14:textId="3408B16B" w:rsidR="00B60D6C" w:rsidRDefault="00B60D6C">
      <w:pPr>
        <w:pStyle w:val="FootnoteText"/>
      </w:pPr>
      <w:r>
        <w:rPr>
          <w:rStyle w:val="FootnoteReference"/>
        </w:rPr>
        <w:footnoteRef/>
      </w:r>
      <w:r>
        <w:t xml:space="preserve"> Dunbabin, 2003, pp.21</w:t>
      </w:r>
    </w:p>
  </w:footnote>
  <w:footnote w:id="22">
    <w:p w14:paraId="470AC5DE" w14:textId="2E2DFA3F" w:rsidR="00925C61" w:rsidRDefault="00925C61">
      <w:pPr>
        <w:pStyle w:val="FootnoteText"/>
      </w:pPr>
      <w:r>
        <w:rPr>
          <w:rStyle w:val="FootnoteReference"/>
        </w:rPr>
        <w:footnoteRef/>
      </w:r>
      <w:r>
        <w:t xml:space="preserve"> Raff, 2011</w:t>
      </w:r>
    </w:p>
  </w:footnote>
  <w:footnote w:id="23">
    <w:p w14:paraId="23D954FE" w14:textId="4E6724F8" w:rsidR="00813991" w:rsidRDefault="00813991">
      <w:pPr>
        <w:pStyle w:val="FootnoteText"/>
      </w:pPr>
      <w:r>
        <w:rPr>
          <w:rStyle w:val="FootnoteReference"/>
        </w:rPr>
        <w:footnoteRef/>
      </w:r>
      <w:r>
        <w:t xml:space="preserve"> Associated primarily with drunkards (or those accused of being drunkards) such as Mark Antony) Dunbabin, 2003, pp. 21</w:t>
      </w:r>
    </w:p>
  </w:footnote>
  <w:footnote w:id="24">
    <w:p w14:paraId="49EB3636" w14:textId="4FBB6AB1" w:rsidR="00813991" w:rsidRDefault="00813991">
      <w:pPr>
        <w:pStyle w:val="FootnoteText"/>
      </w:pPr>
      <w:r>
        <w:rPr>
          <w:rStyle w:val="FootnoteReference"/>
        </w:rPr>
        <w:footnoteRef/>
      </w:r>
      <w:r>
        <w:t xml:space="preserve"> Dunbabin, 2003, pp.21</w:t>
      </w:r>
    </w:p>
  </w:footnote>
  <w:footnote w:id="25">
    <w:p w14:paraId="0248D1F8" w14:textId="6D696440" w:rsidR="00C8630C" w:rsidRPr="00C8630C" w:rsidRDefault="00C8630C">
      <w:pPr>
        <w:pStyle w:val="FootnoteText"/>
      </w:pPr>
      <w:r>
        <w:rPr>
          <w:rStyle w:val="FootnoteReference"/>
        </w:rPr>
        <w:footnoteRef/>
      </w:r>
      <w:r>
        <w:t xml:space="preserve"> “Although [drinking] played  a much smaller role in the Roman world than the </w:t>
      </w:r>
      <w:r>
        <w:rPr>
          <w:i/>
          <w:iCs/>
        </w:rPr>
        <w:t>symposium</w:t>
      </w:r>
      <w:r>
        <w:t xml:space="preserve"> had in the Greek, the Greek tradition nevertheless had a profound impact upon the iconography of Roman art, and many…monuments represented drinking rather than eating” Dunbabin, 2003, pp.5</w:t>
      </w:r>
    </w:p>
  </w:footnote>
  <w:footnote w:id="26">
    <w:p w14:paraId="0C212580" w14:textId="6397BCCC" w:rsidR="006A7F4A" w:rsidRDefault="006A7F4A">
      <w:pPr>
        <w:pStyle w:val="FootnoteText"/>
      </w:pPr>
      <w:r>
        <w:rPr>
          <w:rStyle w:val="FootnoteReference"/>
        </w:rPr>
        <w:footnoteRef/>
      </w:r>
      <w:r w:rsidR="00997F69" w:rsidRPr="00997F69">
        <w:t>Raff, 2011</w:t>
      </w:r>
      <w:r w:rsidR="00997F69">
        <w:t xml:space="preserve">. </w:t>
      </w:r>
      <w:r>
        <w:t xml:space="preserve"> </w:t>
      </w:r>
      <w:proofErr w:type="spellStart"/>
      <w:r>
        <w:t>Gantz</w:t>
      </w:r>
      <w:proofErr w:type="spellEnd"/>
      <w:r>
        <w:t xml:space="preserve"> mentions Nero and his use of snow/ice – “Emperor Nero himself combined the snow with fruit toppings, but also de</w:t>
      </w:r>
      <w:r w:rsidR="00011B29">
        <w:t>v</w:t>
      </w:r>
      <w:r>
        <w:t xml:space="preserve">eloped a more sanitary method for ice water by </w:t>
      </w:r>
      <w:r w:rsidR="00C635C5">
        <w:t>immersing</w:t>
      </w:r>
      <w:r>
        <w:t xml:space="preserve"> glass containers filled with boiled water directly into the snow. Pliny noted that Nero’s </w:t>
      </w:r>
      <w:r w:rsidR="00C635C5">
        <w:t xml:space="preserve">method ensured “all of the enjoyment of a cold beverage without any of the inconveniences resulting from the use of snow”. </w:t>
      </w:r>
      <w:proofErr w:type="gramStart"/>
      <w:r w:rsidR="00C635C5">
        <w:t>“ –</w:t>
      </w:r>
      <w:proofErr w:type="gramEnd"/>
      <w:r w:rsidR="00C635C5">
        <w:t xml:space="preserve"> </w:t>
      </w:r>
      <w:proofErr w:type="spellStart"/>
      <w:r w:rsidR="00C635C5">
        <w:t>Gantz</w:t>
      </w:r>
      <w:proofErr w:type="spellEnd"/>
      <w:r w:rsidR="00C635C5">
        <w:t>, 2015, pp.13</w:t>
      </w:r>
    </w:p>
  </w:footnote>
  <w:footnote w:id="27">
    <w:p w14:paraId="6ED39B30" w14:textId="03E62F4D" w:rsidR="00326FB0" w:rsidRDefault="00326FB0">
      <w:pPr>
        <w:pStyle w:val="FootnoteText"/>
      </w:pPr>
      <w:r>
        <w:rPr>
          <w:rStyle w:val="FootnoteReference"/>
        </w:rPr>
        <w:footnoteRef/>
      </w:r>
      <w:r>
        <w:t xml:space="preserve"> Baldwin, 1967</w:t>
      </w:r>
    </w:p>
  </w:footnote>
  <w:footnote w:id="28">
    <w:p w14:paraId="0D0122C0" w14:textId="0912C97E" w:rsidR="00997094" w:rsidRDefault="00997094">
      <w:pPr>
        <w:pStyle w:val="FootnoteText"/>
      </w:pPr>
      <w:r>
        <w:rPr>
          <w:rStyle w:val="FootnoteReference"/>
        </w:rPr>
        <w:footnoteRef/>
      </w:r>
      <w:r>
        <w:t xml:space="preserve"> Gowers, 1993, pp.</w:t>
      </w:r>
      <w:r w:rsidR="00F93A9D">
        <w:t xml:space="preserve"> </w:t>
      </w:r>
      <w:r>
        <w:t>2</w:t>
      </w:r>
    </w:p>
  </w:footnote>
  <w:footnote w:id="29">
    <w:p w14:paraId="646538D8" w14:textId="30C8AD5B" w:rsidR="00890705" w:rsidRDefault="00890705">
      <w:pPr>
        <w:pStyle w:val="FootnoteText"/>
      </w:pPr>
      <w:r>
        <w:rPr>
          <w:rStyle w:val="FootnoteReference"/>
        </w:rPr>
        <w:footnoteRef/>
      </w:r>
      <w:r>
        <w:t xml:space="preserve"> Roller, 2006, pp.</w:t>
      </w:r>
      <w:r w:rsidR="00F93A9D">
        <w:t xml:space="preserve"> </w:t>
      </w:r>
      <w:r>
        <w:t>22-45</w:t>
      </w:r>
    </w:p>
  </w:footnote>
  <w:footnote w:id="30">
    <w:p w14:paraId="23032695" w14:textId="78D98C3F" w:rsidR="00486132" w:rsidRDefault="00486132">
      <w:pPr>
        <w:pStyle w:val="FootnoteText"/>
      </w:pPr>
      <w:r>
        <w:rPr>
          <w:rStyle w:val="FootnoteReference"/>
        </w:rPr>
        <w:footnoteRef/>
      </w:r>
      <w:r>
        <w:t xml:space="preserve"> Dunbabin, 2003, pp.7</w:t>
      </w:r>
    </w:p>
  </w:footnote>
  <w:footnote w:id="31">
    <w:p w14:paraId="14E50594" w14:textId="0D087A10" w:rsidR="00486132" w:rsidRDefault="00486132">
      <w:pPr>
        <w:pStyle w:val="FootnoteText"/>
      </w:pPr>
      <w:r>
        <w:rPr>
          <w:rStyle w:val="FootnoteReference"/>
        </w:rPr>
        <w:footnoteRef/>
      </w:r>
      <w:r>
        <w:t xml:space="preserve"> Dunbabin, 2003, pp.7 continued from above.</w:t>
      </w:r>
    </w:p>
  </w:footnote>
  <w:footnote w:id="32">
    <w:p w14:paraId="38359E95" w14:textId="3B2AB58C" w:rsidR="00282C2D" w:rsidRDefault="00282C2D">
      <w:pPr>
        <w:pStyle w:val="FootnoteText"/>
      </w:pPr>
      <w:r>
        <w:rPr>
          <w:rStyle w:val="FootnoteReference"/>
        </w:rPr>
        <w:footnoteRef/>
      </w:r>
      <w:r>
        <w:t xml:space="preserve"> Dunbabin, 2003, pp.40</w:t>
      </w:r>
    </w:p>
  </w:footnote>
  <w:footnote w:id="33">
    <w:p w14:paraId="71D6F62E" w14:textId="3D9E2581" w:rsidR="00C43941" w:rsidRDefault="00C43941">
      <w:pPr>
        <w:pStyle w:val="FootnoteText"/>
      </w:pPr>
      <w:r>
        <w:rPr>
          <w:rStyle w:val="FootnoteReference"/>
        </w:rPr>
        <w:footnoteRef/>
      </w:r>
      <w:r>
        <w:t xml:space="preserve"> </w:t>
      </w:r>
      <w:r w:rsidRPr="00C43941">
        <w:t xml:space="preserve"> “Before I had placed you all on an equal footing with respect to the enjoyment of liberty, I was unwilling to affix any marks by which the brave and dastardly soldier might be distinguished. But now the pledge given by the state being redeemed, lest all distinction between courage and cowardice should disappear, I shall order that the names of those persons be laid before me, who, conscious of their dastardly conduct in the battle, have lately seceded.  I shall have them cited before me, when I shall bind them by an oath, that none of them, except such as shall have the plea of sickness, will, so long as they serve, take either meat or drink in any other posture than standing. This penalty you will bear with patience when you reflect that it is impossible your cowardice could be marked with a slighter stigma.”</w:t>
      </w:r>
      <w:r>
        <w:t xml:space="preserve"> Liv. 24.16.11-</w:t>
      </w:r>
      <w:proofErr w:type="gramStart"/>
      <w:r>
        <w:t>13 ,</w:t>
      </w:r>
      <w:proofErr w:type="gramEnd"/>
      <w:r>
        <w:t xml:space="preserve"> and “</w:t>
      </w:r>
      <w:r w:rsidRPr="00C43941">
        <w:t xml:space="preserve">The volunteers feasted with caps of liberty on their heads, or </w:t>
      </w:r>
      <w:proofErr w:type="spellStart"/>
      <w:r w:rsidRPr="00C43941">
        <w:t>filletted</w:t>
      </w:r>
      <w:proofErr w:type="spellEnd"/>
      <w:r w:rsidRPr="00C43941">
        <w:t xml:space="preserve"> with white wool; some reclining at the tables, others standing, who at once partook of the repast, and waited upon the rest.</w:t>
      </w:r>
      <w:r>
        <w:t>” Liv 24.16.18</w:t>
      </w:r>
    </w:p>
  </w:footnote>
  <w:footnote w:id="34">
    <w:p w14:paraId="127BD5F4" w14:textId="4281BC94" w:rsidR="00997F69" w:rsidRPr="00997F69" w:rsidRDefault="00997F69">
      <w:pPr>
        <w:pStyle w:val="FootnoteText"/>
      </w:pPr>
      <w:r>
        <w:rPr>
          <w:rStyle w:val="FootnoteReference"/>
        </w:rPr>
        <w:footnoteRef/>
      </w:r>
      <w:r>
        <w:t xml:space="preserve"> “</w:t>
      </w:r>
      <w:r w:rsidRPr="00997F69">
        <w:t>Nor was he more mild or respectful in his behaviour towards the senate. Some who had borne the highest offices in the government, he suffered to run by his litter in their togas for several miles together, and to attend him at supper, sometimes at the head of his couch, sometimes at his feet, with napkins.</w:t>
      </w:r>
      <w:r>
        <w:t xml:space="preserve">” Suet. </w:t>
      </w:r>
      <w:r>
        <w:rPr>
          <w:i/>
          <w:iCs/>
        </w:rPr>
        <w:t>Cal.</w:t>
      </w:r>
      <w:r>
        <w:t xml:space="preserve"> 26</w:t>
      </w:r>
    </w:p>
  </w:footnote>
  <w:footnote w:id="35">
    <w:p w14:paraId="2D6C015E" w14:textId="3060BFF4" w:rsidR="00997F69" w:rsidRDefault="00997F69">
      <w:pPr>
        <w:pStyle w:val="FootnoteText"/>
      </w:pPr>
      <w:r>
        <w:rPr>
          <w:rStyle w:val="FootnoteReference"/>
        </w:rPr>
        <w:footnoteRef/>
      </w:r>
      <w:r>
        <w:t xml:space="preserve"> Roller, 2006, pp.85</w:t>
      </w:r>
    </w:p>
  </w:footnote>
  <w:footnote w:id="36">
    <w:p w14:paraId="52547FEF" w14:textId="341DBFB8" w:rsidR="00B2648A" w:rsidRDefault="00B2648A">
      <w:pPr>
        <w:pStyle w:val="FootnoteText"/>
      </w:pPr>
      <w:r>
        <w:rPr>
          <w:rStyle w:val="FootnoteReference"/>
        </w:rPr>
        <w:footnoteRef/>
      </w:r>
      <w:r>
        <w:t xml:space="preserve"> Dunbabin, 2003, pp.24</w:t>
      </w:r>
    </w:p>
  </w:footnote>
  <w:footnote w:id="37">
    <w:p w14:paraId="2F530547" w14:textId="5FE72E41" w:rsidR="00300C61" w:rsidRDefault="00300C61">
      <w:pPr>
        <w:pStyle w:val="FootnoteText"/>
      </w:pPr>
      <w:r>
        <w:rPr>
          <w:rStyle w:val="FootnoteReference"/>
        </w:rPr>
        <w:footnoteRef/>
      </w:r>
      <w:r>
        <w:t xml:space="preserve"> </w:t>
      </w:r>
      <w:proofErr w:type="spellStart"/>
      <w:r>
        <w:t>Dalbly</w:t>
      </w:r>
      <w:proofErr w:type="spellEnd"/>
      <w:r>
        <w:t>, 2000, pp.22</w:t>
      </w:r>
    </w:p>
  </w:footnote>
  <w:footnote w:id="38">
    <w:p w14:paraId="33DBE1BE" w14:textId="36091635" w:rsidR="00A361ED" w:rsidRPr="00A361ED" w:rsidRDefault="00A361ED" w:rsidP="00A361ED">
      <w:pPr>
        <w:pStyle w:val="FootnoteText"/>
      </w:pPr>
      <w:r>
        <w:rPr>
          <w:rStyle w:val="FootnoteReference"/>
        </w:rPr>
        <w:footnoteRef/>
      </w:r>
      <w:r>
        <w:t xml:space="preserve"> “</w:t>
      </w:r>
      <w:r w:rsidRPr="00A361ED">
        <w:t xml:space="preserve">For before the destruction of Carthage the people and senate of Rome together governed the republic peacefully and with moderation. There was no strife among the citizens either for glory or for power; fear of the enemy preserved the good morals of the state.  But when the minds of the people were relieved of that dread, wantonness and arrogance naturally arose, vices which are fostered by prosperity.  </w:t>
      </w:r>
      <w:proofErr w:type="gramStart"/>
      <w:r w:rsidRPr="00A361ED">
        <w:t>Thus</w:t>
      </w:r>
      <w:proofErr w:type="gramEnd"/>
      <w:r w:rsidRPr="00A361ED">
        <w:t xml:space="preserve"> the peace for which they had </w:t>
      </w:r>
      <w:proofErr w:type="spellStart"/>
      <w:r w:rsidRPr="00A361ED">
        <w:t>longed</w:t>
      </w:r>
      <w:proofErr w:type="spellEnd"/>
      <w:r w:rsidRPr="00A361ED">
        <w:t xml:space="preserve"> in time of adversity, after they had gained it proved to be more cruel and bitter than adversity itself.</w:t>
      </w:r>
      <w:r>
        <w:t xml:space="preserve"> </w:t>
      </w:r>
      <w:r>
        <w:t xml:space="preserve">or the nobles began to abuse their position and the people their liberty, and every man for himself robbed, pillaged, and plundered. </w:t>
      </w:r>
      <w:proofErr w:type="gramStart"/>
      <w:r>
        <w:t>Thus</w:t>
      </w:r>
      <w:proofErr w:type="gramEnd"/>
      <w:r>
        <w:t xml:space="preserve"> the community was split into two parties, and between these the state was torn to pieces. But the nobles had the more powerful organization, while the strength of the commons was less effective because it was incompact and divided among many.  Affairs at home and in the field were managed according to the will of a few men, in whose hands were the treasury, the provinces, public offices, glory and triumphs. The people were burdened with military service and poverty. The generals divided the spoils of war with a few friends.  Meanwhile the parents or little children of the soldiers, if they had a powerful neighbour, were driven from their homes. 9Thus, by the side of power, greed arose, unlimited and unrestrained, violated and devastated everything, respected nothing, and held nothing sacred, until it finally brought about its own downfall</w:t>
      </w:r>
      <w:r>
        <w:t xml:space="preserve">” </w:t>
      </w:r>
      <w:proofErr w:type="spellStart"/>
      <w:r>
        <w:t>Sall</w:t>
      </w:r>
      <w:proofErr w:type="spellEnd"/>
      <w:r>
        <w:t xml:space="preserve">. </w:t>
      </w:r>
      <w:proofErr w:type="spellStart"/>
      <w:r>
        <w:rPr>
          <w:i/>
          <w:iCs/>
        </w:rPr>
        <w:t>Iug</w:t>
      </w:r>
      <w:proofErr w:type="spellEnd"/>
      <w:r>
        <w:rPr>
          <w:i/>
          <w:iCs/>
        </w:rPr>
        <w:t>.</w:t>
      </w:r>
      <w:r>
        <w:t xml:space="preserve"> 41.2-9</w:t>
      </w:r>
    </w:p>
  </w:footnote>
  <w:footnote w:id="39">
    <w:p w14:paraId="007362DC" w14:textId="0F90B514" w:rsidR="00306F49" w:rsidRDefault="00306F49">
      <w:pPr>
        <w:pStyle w:val="FootnoteText"/>
      </w:pPr>
      <w:r>
        <w:rPr>
          <w:rStyle w:val="FootnoteReference"/>
        </w:rPr>
        <w:footnoteRef/>
      </w:r>
      <w:r>
        <w:t xml:space="preserve"> Grainger (1995) discusses how Manlius </w:t>
      </w:r>
      <w:proofErr w:type="spellStart"/>
      <w:r>
        <w:t>Vulso’s</w:t>
      </w:r>
      <w:proofErr w:type="spellEnd"/>
      <w:r>
        <w:t xml:space="preserve"> triumph is not greatly different to other eastern triumphs of the same era, and that in fact if anyone were to have looted Asia it was Scipio.</w:t>
      </w:r>
    </w:p>
  </w:footnote>
  <w:footnote w:id="40">
    <w:p w14:paraId="0B0EF6AA" w14:textId="668D612A" w:rsidR="00BD0124" w:rsidRPr="00BD0124" w:rsidRDefault="00BD0124">
      <w:pPr>
        <w:pStyle w:val="FootnoteText"/>
      </w:pPr>
      <w:r>
        <w:rPr>
          <w:rStyle w:val="FootnoteReference"/>
        </w:rPr>
        <w:footnoteRef/>
      </w:r>
      <w:r>
        <w:t xml:space="preserve"> “</w:t>
      </w:r>
      <w:r w:rsidRPr="00BD0124">
        <w:t>He never spent less on a banquet than one hundred thousand sesterces, that is, thirty pounds of silver; and sometimes he even spent as much as three million when all the cost was computed. In fact, he even outdid the banquets of Vitellius and Apicius.</w:t>
      </w:r>
      <w:r>
        <w:t xml:space="preserve">” </w:t>
      </w:r>
      <w:r>
        <w:rPr>
          <w:i/>
          <w:iCs/>
        </w:rPr>
        <w:t xml:space="preserve">Hist. Aug. </w:t>
      </w:r>
      <w:r>
        <w:t>24.3</w:t>
      </w:r>
    </w:p>
  </w:footnote>
  <w:footnote w:id="41">
    <w:p w14:paraId="4E388AA3" w14:textId="1F6ECDC0" w:rsidR="00464D9F" w:rsidRPr="00464D9F" w:rsidRDefault="00464D9F">
      <w:pPr>
        <w:pStyle w:val="FootnoteText"/>
      </w:pPr>
      <w:r>
        <w:rPr>
          <w:rStyle w:val="FootnoteReference"/>
        </w:rPr>
        <w:footnoteRef/>
      </w:r>
      <w:r>
        <w:t xml:space="preserve"> “</w:t>
      </w:r>
      <w:r w:rsidRPr="00464D9F">
        <w:t xml:space="preserve">This is the law of </w:t>
      </w:r>
      <w:proofErr w:type="spellStart"/>
      <w:r w:rsidRPr="00464D9F">
        <w:t>Orchius</w:t>
      </w:r>
      <w:proofErr w:type="spellEnd"/>
      <w:r w:rsidRPr="00464D9F">
        <w:t xml:space="preserve"> about which Cato was soon thundering in his speeches, because people were inviting more guests than the law prescribed</w:t>
      </w:r>
      <w:r>
        <w:t xml:space="preserve">” – </w:t>
      </w:r>
      <w:proofErr w:type="spellStart"/>
      <w:r>
        <w:t>Macrob</w:t>
      </w:r>
      <w:proofErr w:type="spellEnd"/>
      <w:r>
        <w:t xml:space="preserve">. </w:t>
      </w:r>
      <w:r>
        <w:rPr>
          <w:i/>
          <w:iCs/>
        </w:rPr>
        <w:t>Sat.</w:t>
      </w:r>
      <w:r>
        <w:t xml:space="preserve"> 3.17.3</w:t>
      </w:r>
    </w:p>
  </w:footnote>
  <w:footnote w:id="42">
    <w:p w14:paraId="4FCFD7FE" w14:textId="235D1091" w:rsidR="00464D9F" w:rsidRPr="00E23A61" w:rsidRDefault="00464D9F">
      <w:pPr>
        <w:pStyle w:val="FootnoteText"/>
      </w:pPr>
      <w:r>
        <w:rPr>
          <w:rStyle w:val="FootnoteReference"/>
        </w:rPr>
        <w:footnoteRef/>
      </w:r>
      <w:r>
        <w:t xml:space="preserve"> “</w:t>
      </w:r>
      <w:r w:rsidRPr="00464D9F">
        <w:t xml:space="preserve">When increased luxury showed there was a crying need for another round of strong legislation, the law of </w:t>
      </w:r>
      <w:proofErr w:type="spellStart"/>
      <w:r w:rsidRPr="00464D9F">
        <w:t>Fannius</w:t>
      </w:r>
      <w:proofErr w:type="spellEnd"/>
      <w:r w:rsidRPr="00464D9F">
        <w:t xml:space="preserve"> was passed twenty-two years after the law of </w:t>
      </w:r>
      <w:proofErr w:type="spellStart"/>
      <w:r w:rsidRPr="00464D9F">
        <w:t>Orchius</w:t>
      </w:r>
      <w:proofErr w:type="spellEnd"/>
      <w:r w:rsidR="000D3AEA">
        <w:t>…</w:t>
      </w:r>
      <w:r w:rsidR="000D3AEA" w:rsidRPr="000D3AEA">
        <w:t xml:space="preserve"> extravagant banqueting was inflicting incredible damage on the commonwealth and matters had reached the point that very many freeborn boys, caught in luxury’s snare, were peddling their chastity and freedom and many of the plebs were coming to the </w:t>
      </w:r>
      <w:proofErr w:type="spellStart"/>
      <w:r w:rsidR="000D3AEA" w:rsidRPr="000D3AEA">
        <w:t>comitium</w:t>
      </w:r>
      <w:proofErr w:type="spellEnd"/>
      <w:r w:rsidR="000D3AEA" w:rsidRPr="000D3AEA">
        <w:t xml:space="preserve"> completely soused and reaching decisions touching the commonwealth’s safety while drunk</w:t>
      </w:r>
      <w:r w:rsidR="00E23A61">
        <w:t>…</w:t>
      </w:r>
      <w:r w:rsidR="00E23A61" w:rsidRPr="00E23A61">
        <w:t xml:space="preserve"> </w:t>
      </w:r>
      <w:proofErr w:type="spellStart"/>
      <w:r w:rsidR="00E23A61" w:rsidRPr="00E23A61">
        <w:t>Fannius</w:t>
      </w:r>
      <w:proofErr w:type="spellEnd"/>
      <w:r w:rsidR="00E23A61" w:rsidRPr="00E23A61">
        <w:t>’ law also limited expenditures to 100 asses,</w:t>
      </w:r>
      <w:r w:rsidR="00E23A61">
        <w:t xml:space="preserve">” – </w:t>
      </w:r>
      <w:proofErr w:type="spellStart"/>
      <w:r w:rsidR="00E23A61">
        <w:t>Macrob</w:t>
      </w:r>
      <w:proofErr w:type="spellEnd"/>
      <w:r w:rsidR="00E23A61">
        <w:t xml:space="preserve">. </w:t>
      </w:r>
      <w:r w:rsidR="00E23A61">
        <w:rPr>
          <w:i/>
          <w:iCs/>
        </w:rPr>
        <w:t xml:space="preserve">Sat. </w:t>
      </w:r>
      <w:r w:rsidR="00E23A61">
        <w:t>3.17.3-5</w:t>
      </w:r>
    </w:p>
  </w:footnote>
  <w:footnote w:id="43">
    <w:p w14:paraId="01240CA8" w14:textId="3EED41E8" w:rsidR="00E23A61" w:rsidRPr="00E23A61" w:rsidRDefault="00E23A61">
      <w:pPr>
        <w:pStyle w:val="FootnoteText"/>
      </w:pPr>
      <w:r>
        <w:rPr>
          <w:rStyle w:val="FootnoteReference"/>
        </w:rPr>
        <w:footnoteRef/>
      </w:r>
      <w:r>
        <w:t xml:space="preserve"> “</w:t>
      </w:r>
      <w:r w:rsidRPr="00E23A61">
        <w:t>the law’s penalties would affect not only those who gave overly expensive luncheons or dinners but also those who had been invited to them and were present in any capacity.</w:t>
      </w:r>
      <w:r>
        <w:t xml:space="preserve">” </w:t>
      </w:r>
      <w:proofErr w:type="spellStart"/>
      <w:r>
        <w:t>Macrob</w:t>
      </w:r>
      <w:proofErr w:type="spellEnd"/>
      <w:r>
        <w:t xml:space="preserve">. </w:t>
      </w:r>
      <w:r>
        <w:rPr>
          <w:i/>
          <w:iCs/>
        </w:rPr>
        <w:t xml:space="preserve">Sat. </w:t>
      </w:r>
      <w:r>
        <w:t>3.17.6</w:t>
      </w:r>
    </w:p>
  </w:footnote>
  <w:footnote w:id="44">
    <w:p w14:paraId="790B2699" w14:textId="698E7763" w:rsidR="00E23A61" w:rsidRPr="00E23A61" w:rsidRDefault="00E23A61">
      <w:pPr>
        <w:pStyle w:val="FootnoteText"/>
      </w:pPr>
      <w:r>
        <w:rPr>
          <w:rStyle w:val="FootnoteReference"/>
        </w:rPr>
        <w:footnoteRef/>
      </w:r>
      <w:r>
        <w:t xml:space="preserve"> “</w:t>
      </w:r>
      <w:r w:rsidRPr="00E23A61">
        <w:t>they were permitted to serve no more than three pounds of dried meat and a pound of salted fish plus whatever grew from earth, vine, or tree.</w:t>
      </w:r>
      <w:r>
        <w:t xml:space="preserve">” </w:t>
      </w:r>
      <w:proofErr w:type="spellStart"/>
      <w:r>
        <w:t>Macrob</w:t>
      </w:r>
      <w:proofErr w:type="spellEnd"/>
      <w:r>
        <w:t xml:space="preserve">. </w:t>
      </w:r>
      <w:r>
        <w:rPr>
          <w:i/>
          <w:iCs/>
        </w:rPr>
        <w:t>Sat.</w:t>
      </w:r>
      <w:r>
        <w:t xml:space="preserve"> 3.17.9</w:t>
      </w:r>
    </w:p>
  </w:footnote>
  <w:footnote w:id="45">
    <w:p w14:paraId="1EB7DEEB" w14:textId="09343911" w:rsidR="00E23A61" w:rsidRPr="00E23A61" w:rsidRDefault="00E23A61">
      <w:pPr>
        <w:pStyle w:val="FootnoteText"/>
      </w:pPr>
      <w:r>
        <w:rPr>
          <w:rStyle w:val="FootnoteReference"/>
        </w:rPr>
        <w:footnoteRef/>
      </w:r>
      <w:r>
        <w:t xml:space="preserve"> “</w:t>
      </w:r>
      <w:r w:rsidRPr="00E23A61">
        <w:t>In particular he enforced the laws against extravagance, setting watchmen in various parts of the market, to seize and bring to him dainties which were exposed for sale in violation of the law; and sometimes he sent his lictors and soldiers to take from a dining-room any articles which had escaped the vigilance of his watchmen, even after they had been served.</w:t>
      </w:r>
      <w:r>
        <w:t xml:space="preserve">” Suet. </w:t>
      </w:r>
      <w:r>
        <w:rPr>
          <w:i/>
          <w:iCs/>
        </w:rPr>
        <w:t>Jul.</w:t>
      </w:r>
      <w:r>
        <w:t xml:space="preserve"> 43.2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094"/>
    <w:rsid w:val="00011B29"/>
    <w:rsid w:val="00063187"/>
    <w:rsid w:val="000B4AC3"/>
    <w:rsid w:val="000D3AEA"/>
    <w:rsid w:val="000E73DB"/>
    <w:rsid w:val="00122F63"/>
    <w:rsid w:val="0024415D"/>
    <w:rsid w:val="00282C2D"/>
    <w:rsid w:val="00287472"/>
    <w:rsid w:val="002B42DF"/>
    <w:rsid w:val="00300C61"/>
    <w:rsid w:val="00306F49"/>
    <w:rsid w:val="00326FB0"/>
    <w:rsid w:val="00361240"/>
    <w:rsid w:val="00364BFC"/>
    <w:rsid w:val="00370095"/>
    <w:rsid w:val="00403FCE"/>
    <w:rsid w:val="004564FA"/>
    <w:rsid w:val="00464D9F"/>
    <w:rsid w:val="00486132"/>
    <w:rsid w:val="00486A4D"/>
    <w:rsid w:val="004D3E6A"/>
    <w:rsid w:val="004F6137"/>
    <w:rsid w:val="005B198C"/>
    <w:rsid w:val="005B6AB2"/>
    <w:rsid w:val="006A7F4A"/>
    <w:rsid w:val="006D0BAB"/>
    <w:rsid w:val="0078342D"/>
    <w:rsid w:val="007E4851"/>
    <w:rsid w:val="00813991"/>
    <w:rsid w:val="00840018"/>
    <w:rsid w:val="008532B5"/>
    <w:rsid w:val="0087350C"/>
    <w:rsid w:val="00890705"/>
    <w:rsid w:val="008976D2"/>
    <w:rsid w:val="00925C61"/>
    <w:rsid w:val="00997094"/>
    <w:rsid w:val="00997F69"/>
    <w:rsid w:val="009E1D39"/>
    <w:rsid w:val="009E3634"/>
    <w:rsid w:val="00A1024C"/>
    <w:rsid w:val="00A10326"/>
    <w:rsid w:val="00A361ED"/>
    <w:rsid w:val="00A737BD"/>
    <w:rsid w:val="00AC2472"/>
    <w:rsid w:val="00AE67DA"/>
    <w:rsid w:val="00B22F88"/>
    <w:rsid w:val="00B2648A"/>
    <w:rsid w:val="00B60D6C"/>
    <w:rsid w:val="00BD0124"/>
    <w:rsid w:val="00C43941"/>
    <w:rsid w:val="00C635C5"/>
    <w:rsid w:val="00C74427"/>
    <w:rsid w:val="00C8244B"/>
    <w:rsid w:val="00C8630C"/>
    <w:rsid w:val="00CB6AB7"/>
    <w:rsid w:val="00CD2E31"/>
    <w:rsid w:val="00D1386B"/>
    <w:rsid w:val="00DA2CB2"/>
    <w:rsid w:val="00DB6E42"/>
    <w:rsid w:val="00E05E56"/>
    <w:rsid w:val="00E23A61"/>
    <w:rsid w:val="00E52EFB"/>
    <w:rsid w:val="00F93A9D"/>
    <w:rsid w:val="00FA1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2A412"/>
  <w15:chartTrackingRefBased/>
  <w15:docId w15:val="{19AE8CC1-69C0-4E16-81B8-75CFEF895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9709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97094"/>
    <w:rPr>
      <w:sz w:val="20"/>
      <w:szCs w:val="20"/>
    </w:rPr>
  </w:style>
  <w:style w:type="character" w:styleId="FootnoteReference">
    <w:name w:val="footnote reference"/>
    <w:basedOn w:val="DefaultParagraphFont"/>
    <w:uiPriority w:val="99"/>
    <w:semiHidden/>
    <w:unhideWhenUsed/>
    <w:rsid w:val="0099709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0633259">
      <w:bodyDiv w:val="1"/>
      <w:marLeft w:val="0"/>
      <w:marRight w:val="0"/>
      <w:marTop w:val="0"/>
      <w:marBottom w:val="0"/>
      <w:divBdr>
        <w:top w:val="none" w:sz="0" w:space="0" w:color="auto"/>
        <w:left w:val="none" w:sz="0" w:space="0" w:color="auto"/>
        <w:bottom w:val="none" w:sz="0" w:space="0" w:color="auto"/>
        <w:right w:val="none" w:sz="0" w:space="0" w:color="auto"/>
      </w:divBdr>
    </w:div>
    <w:div w:id="1266381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026272-C74D-46A6-9DD6-06440A619F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2129</TotalTime>
  <Pages>8</Pages>
  <Words>2777</Words>
  <Characters>15830</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Manton (1801747)</dc:creator>
  <cp:keywords/>
  <dc:description/>
  <cp:lastModifiedBy>Paul Manton (1801747)</cp:lastModifiedBy>
  <cp:revision>11</cp:revision>
  <dcterms:created xsi:type="dcterms:W3CDTF">2020-05-01T10:43:00Z</dcterms:created>
  <dcterms:modified xsi:type="dcterms:W3CDTF">2020-05-10T18:22:00Z</dcterms:modified>
</cp:coreProperties>
</file>