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3DD16" w14:textId="7489D828" w:rsidR="00D2477A" w:rsidRDefault="00B11277" w:rsidP="001826CA">
      <w:pPr>
        <w:spacing w:before="240" w:after="0" w:line="360" w:lineRule="auto"/>
        <w:jc w:val="both"/>
        <w:rPr>
          <w:rFonts w:ascii="Arial" w:hAnsi="Arial" w:cs="Arial"/>
          <w:sz w:val="22"/>
          <w:szCs w:val="22"/>
        </w:rPr>
      </w:pPr>
      <w:r>
        <w:rPr>
          <w:rFonts w:ascii="Arial" w:hAnsi="Arial" w:cs="Arial"/>
          <w:sz w:val="22"/>
          <w:szCs w:val="22"/>
        </w:rPr>
        <w:t>Student Name: patience Solomon</w:t>
      </w:r>
    </w:p>
    <w:p w14:paraId="2364DF42" w14:textId="09A7BF88" w:rsidR="00B11277" w:rsidRDefault="00B11277" w:rsidP="001826CA">
      <w:pPr>
        <w:spacing w:before="240" w:after="0" w:line="360" w:lineRule="auto"/>
        <w:jc w:val="both"/>
        <w:rPr>
          <w:rFonts w:ascii="Arial" w:hAnsi="Arial" w:cs="Arial"/>
          <w:sz w:val="22"/>
          <w:szCs w:val="22"/>
        </w:rPr>
      </w:pPr>
      <w:r>
        <w:rPr>
          <w:rFonts w:ascii="Arial" w:hAnsi="Arial" w:cs="Arial"/>
          <w:sz w:val="22"/>
          <w:szCs w:val="22"/>
        </w:rPr>
        <w:t>Student Number: 2233993</w:t>
      </w:r>
    </w:p>
    <w:p w14:paraId="4BA0F942" w14:textId="2C418774" w:rsidR="00B11277" w:rsidRDefault="00B11277" w:rsidP="001826CA">
      <w:pPr>
        <w:spacing w:before="240" w:after="0" w:line="360" w:lineRule="auto"/>
        <w:jc w:val="both"/>
        <w:rPr>
          <w:rFonts w:ascii="Arial" w:hAnsi="Arial" w:cs="Arial"/>
          <w:sz w:val="22"/>
          <w:szCs w:val="22"/>
        </w:rPr>
      </w:pPr>
      <w:r>
        <w:rPr>
          <w:rFonts w:ascii="Arial" w:hAnsi="Arial" w:cs="Arial"/>
          <w:sz w:val="22"/>
          <w:szCs w:val="22"/>
        </w:rPr>
        <w:t>Lecturer Name: Shepherd Ziko</w:t>
      </w:r>
    </w:p>
    <w:p w14:paraId="46090DAB" w14:textId="0545850C" w:rsidR="00B11277" w:rsidRDefault="00B11277" w:rsidP="001826CA">
      <w:pPr>
        <w:spacing w:before="240" w:after="0" w:line="360" w:lineRule="auto"/>
        <w:jc w:val="both"/>
        <w:rPr>
          <w:rFonts w:ascii="Arial" w:hAnsi="Arial" w:cs="Arial"/>
          <w:sz w:val="22"/>
          <w:szCs w:val="22"/>
        </w:rPr>
      </w:pPr>
      <w:r>
        <w:rPr>
          <w:rFonts w:ascii="Arial" w:hAnsi="Arial" w:cs="Arial"/>
          <w:sz w:val="22"/>
          <w:szCs w:val="22"/>
        </w:rPr>
        <w:t>Module Title: Health, wellbeing and sustainable Development</w:t>
      </w:r>
    </w:p>
    <w:p w14:paraId="395C449C" w14:textId="3D47E024" w:rsidR="00B11277" w:rsidRDefault="00B11277" w:rsidP="001826CA">
      <w:pPr>
        <w:spacing w:before="240" w:after="0" w:line="360" w:lineRule="auto"/>
        <w:jc w:val="both"/>
        <w:rPr>
          <w:rFonts w:ascii="Arial" w:hAnsi="Arial" w:cs="Arial"/>
          <w:sz w:val="22"/>
          <w:szCs w:val="22"/>
        </w:rPr>
      </w:pPr>
      <w:r>
        <w:rPr>
          <w:rFonts w:ascii="Arial" w:hAnsi="Arial" w:cs="Arial"/>
          <w:sz w:val="22"/>
          <w:szCs w:val="22"/>
        </w:rPr>
        <w:t>Module code: BMHP6030</w:t>
      </w:r>
    </w:p>
    <w:p w14:paraId="01E508FA" w14:textId="77777777" w:rsidR="00B11277" w:rsidRDefault="00B11277" w:rsidP="001826CA">
      <w:pPr>
        <w:spacing w:before="240" w:after="0" w:line="360" w:lineRule="auto"/>
        <w:jc w:val="both"/>
        <w:rPr>
          <w:rFonts w:ascii="Arial" w:hAnsi="Arial" w:cs="Arial"/>
          <w:sz w:val="22"/>
          <w:szCs w:val="22"/>
        </w:rPr>
      </w:pPr>
    </w:p>
    <w:p w14:paraId="2EBA63F5" w14:textId="77777777" w:rsidR="00645199" w:rsidRDefault="00645199" w:rsidP="001826CA">
      <w:pPr>
        <w:spacing w:before="240" w:after="0" w:line="360" w:lineRule="auto"/>
        <w:jc w:val="both"/>
        <w:rPr>
          <w:rFonts w:ascii="Arial" w:hAnsi="Arial" w:cs="Arial"/>
          <w:sz w:val="22"/>
          <w:szCs w:val="22"/>
        </w:rPr>
      </w:pPr>
    </w:p>
    <w:p w14:paraId="7DA75609" w14:textId="77777777" w:rsidR="00645199" w:rsidRDefault="00645199" w:rsidP="001826CA">
      <w:pPr>
        <w:spacing w:before="240" w:after="0" w:line="360" w:lineRule="auto"/>
        <w:jc w:val="both"/>
        <w:rPr>
          <w:rFonts w:ascii="Arial" w:hAnsi="Arial" w:cs="Arial"/>
          <w:sz w:val="22"/>
          <w:szCs w:val="22"/>
        </w:rPr>
      </w:pPr>
    </w:p>
    <w:p w14:paraId="6F5478B7" w14:textId="77777777" w:rsidR="00645199" w:rsidRDefault="00645199" w:rsidP="001826CA">
      <w:pPr>
        <w:spacing w:before="240" w:after="0" w:line="360" w:lineRule="auto"/>
        <w:jc w:val="both"/>
        <w:rPr>
          <w:rFonts w:ascii="Arial" w:hAnsi="Arial" w:cs="Arial"/>
          <w:sz w:val="22"/>
          <w:szCs w:val="22"/>
        </w:rPr>
      </w:pPr>
    </w:p>
    <w:p w14:paraId="46416553" w14:textId="77777777" w:rsidR="00645199" w:rsidRDefault="00645199" w:rsidP="001826CA">
      <w:pPr>
        <w:spacing w:before="240" w:after="0" w:line="360" w:lineRule="auto"/>
        <w:jc w:val="both"/>
        <w:rPr>
          <w:rFonts w:ascii="Arial" w:hAnsi="Arial" w:cs="Arial"/>
          <w:sz w:val="22"/>
          <w:szCs w:val="22"/>
        </w:rPr>
      </w:pPr>
    </w:p>
    <w:p w14:paraId="0058517E" w14:textId="77777777" w:rsidR="00645199" w:rsidRDefault="00645199" w:rsidP="001826CA">
      <w:pPr>
        <w:spacing w:before="240" w:after="0" w:line="360" w:lineRule="auto"/>
        <w:jc w:val="both"/>
        <w:rPr>
          <w:rFonts w:ascii="Arial" w:hAnsi="Arial" w:cs="Arial"/>
          <w:sz w:val="22"/>
          <w:szCs w:val="22"/>
        </w:rPr>
      </w:pPr>
    </w:p>
    <w:p w14:paraId="0D84866B" w14:textId="77777777" w:rsidR="00645199" w:rsidRDefault="00645199" w:rsidP="001826CA">
      <w:pPr>
        <w:spacing w:before="240" w:after="0" w:line="360" w:lineRule="auto"/>
        <w:jc w:val="both"/>
        <w:rPr>
          <w:rFonts w:ascii="Arial" w:hAnsi="Arial" w:cs="Arial"/>
          <w:sz w:val="22"/>
          <w:szCs w:val="22"/>
        </w:rPr>
      </w:pPr>
    </w:p>
    <w:p w14:paraId="27F1B88C" w14:textId="77777777" w:rsidR="00645199" w:rsidRDefault="00645199" w:rsidP="001826CA">
      <w:pPr>
        <w:spacing w:before="240" w:after="0" w:line="360" w:lineRule="auto"/>
        <w:jc w:val="both"/>
        <w:rPr>
          <w:rFonts w:ascii="Arial" w:hAnsi="Arial" w:cs="Arial"/>
          <w:sz w:val="22"/>
          <w:szCs w:val="22"/>
        </w:rPr>
      </w:pPr>
    </w:p>
    <w:p w14:paraId="129722B7" w14:textId="77777777" w:rsidR="00645199" w:rsidRDefault="00645199" w:rsidP="001826CA">
      <w:pPr>
        <w:spacing w:before="240" w:after="0" w:line="360" w:lineRule="auto"/>
        <w:jc w:val="both"/>
        <w:rPr>
          <w:rFonts w:ascii="Arial" w:hAnsi="Arial" w:cs="Arial"/>
          <w:sz w:val="22"/>
          <w:szCs w:val="22"/>
        </w:rPr>
      </w:pPr>
    </w:p>
    <w:p w14:paraId="7986EDA3" w14:textId="77777777" w:rsidR="00645199" w:rsidRDefault="00645199" w:rsidP="001826CA">
      <w:pPr>
        <w:spacing w:before="240" w:after="0" w:line="360" w:lineRule="auto"/>
        <w:jc w:val="both"/>
        <w:rPr>
          <w:rFonts w:ascii="Arial" w:hAnsi="Arial" w:cs="Arial"/>
          <w:sz w:val="22"/>
          <w:szCs w:val="22"/>
        </w:rPr>
      </w:pPr>
    </w:p>
    <w:p w14:paraId="5EE3DE9A" w14:textId="77777777" w:rsidR="00645199" w:rsidRDefault="00645199" w:rsidP="001826CA">
      <w:pPr>
        <w:spacing w:before="240" w:after="0" w:line="360" w:lineRule="auto"/>
        <w:jc w:val="both"/>
        <w:rPr>
          <w:rFonts w:ascii="Arial" w:hAnsi="Arial" w:cs="Arial"/>
          <w:sz w:val="22"/>
          <w:szCs w:val="22"/>
        </w:rPr>
      </w:pPr>
    </w:p>
    <w:p w14:paraId="2CB09B1D" w14:textId="77777777" w:rsidR="00645199" w:rsidRDefault="00645199" w:rsidP="001826CA">
      <w:pPr>
        <w:spacing w:before="240" w:after="0" w:line="360" w:lineRule="auto"/>
        <w:jc w:val="both"/>
        <w:rPr>
          <w:rFonts w:ascii="Arial" w:hAnsi="Arial" w:cs="Arial"/>
          <w:sz w:val="22"/>
          <w:szCs w:val="22"/>
        </w:rPr>
      </w:pPr>
    </w:p>
    <w:p w14:paraId="31588A1D" w14:textId="77777777" w:rsidR="001826CA" w:rsidRDefault="001826CA" w:rsidP="001826CA">
      <w:pPr>
        <w:spacing w:before="240" w:after="0" w:line="360" w:lineRule="auto"/>
        <w:jc w:val="both"/>
        <w:rPr>
          <w:rFonts w:ascii="Arial" w:hAnsi="Arial" w:cs="Arial"/>
          <w:sz w:val="22"/>
          <w:szCs w:val="22"/>
        </w:rPr>
      </w:pPr>
    </w:p>
    <w:p w14:paraId="7AD65F96" w14:textId="77777777" w:rsidR="009D1942" w:rsidRPr="001826CA" w:rsidRDefault="009D1942" w:rsidP="001826CA">
      <w:pPr>
        <w:spacing w:before="240" w:after="0" w:line="360" w:lineRule="auto"/>
        <w:jc w:val="both"/>
        <w:rPr>
          <w:rFonts w:ascii="Arial" w:hAnsi="Arial" w:cs="Arial"/>
          <w:b/>
          <w:bCs/>
          <w:sz w:val="22"/>
          <w:szCs w:val="22"/>
        </w:rPr>
      </w:pPr>
      <w:r w:rsidRPr="001826CA">
        <w:rPr>
          <w:rFonts w:ascii="Arial" w:hAnsi="Arial" w:cs="Arial"/>
          <w:b/>
          <w:bCs/>
          <w:sz w:val="22"/>
          <w:szCs w:val="22"/>
        </w:rPr>
        <w:t>Introduction</w:t>
      </w:r>
    </w:p>
    <w:p w14:paraId="6406E5BD" w14:textId="6301E66B"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The UN 2030 Agenda describes sustainable development as the balance of social, economic, and environmental goals, equity, and the well</w:t>
      </w:r>
      <w:r>
        <w:rPr>
          <w:rFonts w:ascii="Arial" w:hAnsi="Arial" w:cs="Arial"/>
          <w:sz w:val="22"/>
          <w:szCs w:val="22"/>
        </w:rPr>
        <w:t>-</w:t>
      </w:r>
      <w:r w:rsidRPr="001826CA">
        <w:rPr>
          <w:rFonts w:ascii="Arial" w:hAnsi="Arial" w:cs="Arial"/>
          <w:sz w:val="22"/>
          <w:szCs w:val="22"/>
        </w:rPr>
        <w:t xml:space="preserve">being of present and future generations. In this </w:t>
      </w:r>
      <w:r w:rsidRPr="001826CA">
        <w:rPr>
          <w:rFonts w:ascii="Arial" w:hAnsi="Arial" w:cs="Arial"/>
          <w:sz w:val="22"/>
          <w:szCs w:val="22"/>
        </w:rPr>
        <w:lastRenderedPageBreak/>
        <w:t>regard, SDG 3 and SDG 13 are closely related to social well</w:t>
      </w:r>
      <w:r>
        <w:rPr>
          <w:rFonts w:ascii="Arial" w:hAnsi="Arial" w:cs="Arial"/>
          <w:sz w:val="22"/>
          <w:szCs w:val="22"/>
        </w:rPr>
        <w:t>-</w:t>
      </w:r>
      <w:r w:rsidRPr="001826CA">
        <w:rPr>
          <w:rFonts w:ascii="Arial" w:hAnsi="Arial" w:cs="Arial"/>
          <w:sz w:val="22"/>
          <w:szCs w:val="22"/>
        </w:rPr>
        <w:t>being and environmental well</w:t>
      </w:r>
      <w:r>
        <w:rPr>
          <w:rFonts w:ascii="Arial" w:hAnsi="Arial" w:cs="Arial"/>
          <w:sz w:val="22"/>
          <w:szCs w:val="22"/>
        </w:rPr>
        <w:t>-</w:t>
      </w:r>
      <w:r w:rsidRPr="001826CA">
        <w:rPr>
          <w:rFonts w:ascii="Arial" w:hAnsi="Arial" w:cs="Arial"/>
          <w:sz w:val="22"/>
          <w:szCs w:val="22"/>
        </w:rPr>
        <w:t>being, respectively. SDG 3 aims to ensure good health and well</w:t>
      </w:r>
      <w:r>
        <w:rPr>
          <w:rFonts w:ascii="Arial" w:hAnsi="Arial" w:cs="Arial"/>
          <w:sz w:val="22"/>
          <w:szCs w:val="22"/>
        </w:rPr>
        <w:t>-</w:t>
      </w:r>
      <w:r w:rsidRPr="001826CA">
        <w:rPr>
          <w:rFonts w:ascii="Arial" w:hAnsi="Arial" w:cs="Arial"/>
          <w:sz w:val="22"/>
          <w:szCs w:val="22"/>
        </w:rPr>
        <w:t>being for all, while SDG 13 promotes action to tackle climate change. Environmental and climate change affect the health of the population with multiple, overlapping impacts, such as exacerbating respiratory illnesses, causing food insecurity, and increasing the burden of mental distress (Duarte-Davidson et al., 20</w:t>
      </w:r>
      <w:r w:rsidR="00EC1524">
        <w:rPr>
          <w:rFonts w:ascii="Arial" w:hAnsi="Arial" w:cs="Arial"/>
          <w:sz w:val="22"/>
          <w:szCs w:val="22"/>
        </w:rPr>
        <w:t>24</w:t>
      </w:r>
      <w:r w:rsidRPr="001826CA">
        <w:rPr>
          <w:rFonts w:ascii="Arial" w:hAnsi="Arial" w:cs="Arial"/>
          <w:sz w:val="22"/>
          <w:szCs w:val="22"/>
        </w:rPr>
        <w:t xml:space="preserve">; Paavola, 2017). This report examines, in a critical manner, how the United Kingdom is pursuing SDG 3 and SDG 13 through national and local frameworks with regard to the provision of health services, and the related policies, achievements, and challenges. </w:t>
      </w:r>
    </w:p>
    <w:p w14:paraId="1187E422" w14:textId="10DC10A9" w:rsidR="001826CA" w:rsidRPr="001826CA" w:rsidRDefault="001826CA" w:rsidP="001826CA">
      <w:pPr>
        <w:spacing w:before="240" w:after="0" w:line="360" w:lineRule="auto"/>
        <w:jc w:val="both"/>
        <w:rPr>
          <w:rFonts w:ascii="Arial" w:hAnsi="Arial" w:cs="Arial"/>
          <w:b/>
          <w:bCs/>
          <w:sz w:val="22"/>
          <w:szCs w:val="22"/>
        </w:rPr>
      </w:pPr>
      <w:r w:rsidRPr="001826CA">
        <w:rPr>
          <w:rFonts w:ascii="Arial" w:hAnsi="Arial" w:cs="Arial"/>
          <w:b/>
          <w:bCs/>
          <w:sz w:val="22"/>
          <w:szCs w:val="22"/>
        </w:rPr>
        <w:t>Overview of Sustainable Development Goals</w:t>
      </w:r>
    </w:p>
    <w:p w14:paraId="46A626E1" w14:textId="6577E794"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The United Nations Member States have adopted a universal framework to confront the challenges of poverty, inequality, health, and environmental degradation. The Sustainable Development Goals (SDGs) consist of 17 interrelated goals and 169 targets. The SDGs strive to attune economic development, social cohesion, and the safeguarding of nature to the needs of the present and the future. One of the most important constituents of the SDGs is the understanding that progress in one area–whether health services or climate–is contingent upon advances in others and that comprehensive, multi-sectoral engagement will be required (UN, 2023). SDGs aim to achieve development that meets the needs of the present without compromising the ability of future generations to meet their own needs.</w:t>
      </w:r>
    </w:p>
    <w:p w14:paraId="102E4EC8" w14:textId="381AC006" w:rsidR="00891434" w:rsidRPr="00891434" w:rsidRDefault="001826CA" w:rsidP="00891434">
      <w:pPr>
        <w:spacing w:before="240" w:after="0" w:line="360" w:lineRule="auto"/>
        <w:jc w:val="both"/>
        <w:rPr>
          <w:rFonts w:ascii="Arial" w:hAnsi="Arial" w:cs="Arial"/>
          <w:sz w:val="22"/>
          <w:szCs w:val="22"/>
        </w:rPr>
      </w:pPr>
      <w:r w:rsidRPr="001826CA">
        <w:rPr>
          <w:rFonts w:ascii="Arial" w:hAnsi="Arial" w:cs="Arial"/>
          <w:sz w:val="22"/>
          <w:szCs w:val="22"/>
        </w:rPr>
        <w:t xml:space="preserve">Among the seventeen SDGs, SDG 3, </w:t>
      </w:r>
      <w:r>
        <w:rPr>
          <w:rFonts w:ascii="Arial" w:hAnsi="Arial" w:cs="Arial"/>
          <w:sz w:val="22"/>
          <w:szCs w:val="22"/>
        </w:rPr>
        <w:t>"</w:t>
      </w:r>
      <w:r w:rsidRPr="001826CA">
        <w:rPr>
          <w:rFonts w:ascii="Arial" w:hAnsi="Arial" w:cs="Arial"/>
          <w:sz w:val="22"/>
          <w:szCs w:val="22"/>
        </w:rPr>
        <w:t>Good Health and Well</w:t>
      </w:r>
      <w:r>
        <w:rPr>
          <w:rFonts w:ascii="Arial" w:hAnsi="Arial" w:cs="Arial"/>
          <w:sz w:val="22"/>
          <w:szCs w:val="22"/>
        </w:rPr>
        <w:t>-</w:t>
      </w:r>
      <w:r w:rsidRPr="001826CA">
        <w:rPr>
          <w:rFonts w:ascii="Arial" w:hAnsi="Arial" w:cs="Arial"/>
          <w:sz w:val="22"/>
          <w:szCs w:val="22"/>
        </w:rPr>
        <w:t>being,</w:t>
      </w:r>
      <w:r>
        <w:rPr>
          <w:rFonts w:ascii="Arial" w:hAnsi="Arial" w:cs="Arial"/>
          <w:sz w:val="22"/>
          <w:szCs w:val="22"/>
        </w:rPr>
        <w:t>"</w:t>
      </w:r>
      <w:r w:rsidRPr="001826CA">
        <w:rPr>
          <w:rFonts w:ascii="Arial" w:hAnsi="Arial" w:cs="Arial"/>
          <w:sz w:val="22"/>
          <w:szCs w:val="22"/>
        </w:rPr>
        <w:t xml:space="preserve"> and SDG 13, </w:t>
      </w:r>
      <w:r>
        <w:rPr>
          <w:rFonts w:ascii="Arial" w:hAnsi="Arial" w:cs="Arial"/>
          <w:sz w:val="22"/>
          <w:szCs w:val="22"/>
        </w:rPr>
        <w:t>"</w:t>
      </w:r>
      <w:r w:rsidRPr="001826CA">
        <w:rPr>
          <w:rFonts w:ascii="Arial" w:hAnsi="Arial" w:cs="Arial"/>
          <w:sz w:val="22"/>
          <w:szCs w:val="22"/>
        </w:rPr>
        <w:t>Climate Action,</w:t>
      </w:r>
      <w:r>
        <w:rPr>
          <w:rFonts w:ascii="Arial" w:hAnsi="Arial" w:cs="Arial"/>
          <w:sz w:val="22"/>
          <w:szCs w:val="22"/>
        </w:rPr>
        <w:t>"</w:t>
      </w:r>
      <w:r w:rsidRPr="001826CA">
        <w:rPr>
          <w:rFonts w:ascii="Arial" w:hAnsi="Arial" w:cs="Arial"/>
          <w:sz w:val="22"/>
          <w:szCs w:val="22"/>
        </w:rPr>
        <w:t xml:space="preserve"> are especially important because they affect the health of the population and the stability of the planet. </w:t>
      </w:r>
      <w:r w:rsidR="00D26233">
        <w:rPr>
          <w:rFonts w:ascii="Arial" w:hAnsi="Arial" w:cs="Arial"/>
          <w:sz w:val="22"/>
          <w:szCs w:val="22"/>
        </w:rPr>
        <w:t>SDG 3 strives to ensure healthy lives</w:t>
      </w:r>
      <w:r w:rsidR="00891434" w:rsidRPr="00891434">
        <w:rPr>
          <w:rFonts w:ascii="Arial" w:hAnsi="Arial" w:cs="Arial"/>
          <w:sz w:val="22"/>
          <w:szCs w:val="22"/>
        </w:rPr>
        <w:t xml:space="preserve"> and well-being for all the ages, curbing maternal and child mortality, controlling communicable and non-communicable diseases, and improving health systems. </w:t>
      </w:r>
      <w:r w:rsidR="00D26233">
        <w:rPr>
          <w:rFonts w:ascii="Arial" w:hAnsi="Arial" w:cs="Arial"/>
          <w:sz w:val="22"/>
          <w:szCs w:val="22"/>
        </w:rPr>
        <w:t>While SDG 13 calls for i</w:t>
      </w:r>
      <w:r w:rsidR="00891434" w:rsidRPr="00891434">
        <w:rPr>
          <w:rFonts w:ascii="Arial" w:hAnsi="Arial" w:cs="Arial"/>
          <w:sz w:val="22"/>
          <w:szCs w:val="22"/>
        </w:rPr>
        <w:t xml:space="preserve">mmediate and coordinated effort </w:t>
      </w:r>
      <w:r w:rsidR="00D26233">
        <w:rPr>
          <w:rFonts w:ascii="Arial" w:hAnsi="Arial" w:cs="Arial"/>
          <w:sz w:val="22"/>
          <w:szCs w:val="22"/>
        </w:rPr>
        <w:t>to address the</w:t>
      </w:r>
      <w:r w:rsidR="00891434" w:rsidRPr="00891434">
        <w:rPr>
          <w:rFonts w:ascii="Arial" w:hAnsi="Arial" w:cs="Arial"/>
          <w:sz w:val="22"/>
          <w:szCs w:val="22"/>
        </w:rPr>
        <w:t xml:space="preserve"> threat</w:t>
      </w:r>
      <w:r w:rsidR="00D26233">
        <w:rPr>
          <w:rFonts w:ascii="Arial" w:hAnsi="Arial" w:cs="Arial"/>
          <w:sz w:val="22"/>
          <w:szCs w:val="22"/>
        </w:rPr>
        <w:t xml:space="preserve">s of </w:t>
      </w:r>
      <w:r w:rsidR="00891434" w:rsidRPr="00891434">
        <w:rPr>
          <w:rFonts w:ascii="Arial" w:hAnsi="Arial" w:cs="Arial"/>
          <w:sz w:val="22"/>
          <w:szCs w:val="22"/>
        </w:rPr>
        <w:t xml:space="preserve">Climate Change </w:t>
      </w:r>
      <w:r w:rsidR="00D26233">
        <w:rPr>
          <w:rFonts w:ascii="Arial" w:hAnsi="Arial" w:cs="Arial"/>
          <w:sz w:val="22"/>
          <w:szCs w:val="22"/>
        </w:rPr>
        <w:t xml:space="preserve">to </w:t>
      </w:r>
      <w:r w:rsidR="00891434" w:rsidRPr="00891434">
        <w:rPr>
          <w:rFonts w:ascii="Arial" w:hAnsi="Arial" w:cs="Arial"/>
          <w:sz w:val="22"/>
          <w:szCs w:val="22"/>
        </w:rPr>
        <w:t xml:space="preserve">health, livelihoods, and social equity. These two SDGs recognize the role of health and climate </w:t>
      </w:r>
      <w:r w:rsidR="00D26233">
        <w:rPr>
          <w:rFonts w:ascii="Arial" w:hAnsi="Arial" w:cs="Arial"/>
          <w:sz w:val="22"/>
          <w:szCs w:val="22"/>
        </w:rPr>
        <w:t>in achieving sustainable outcomes</w:t>
      </w:r>
      <w:r w:rsidR="00891434" w:rsidRPr="00891434">
        <w:rPr>
          <w:rFonts w:ascii="Arial" w:hAnsi="Arial" w:cs="Arial"/>
          <w:sz w:val="22"/>
          <w:szCs w:val="22"/>
        </w:rPr>
        <w:t xml:space="preserve"> (Duarte-Davidson et. al., 2024</w:t>
      </w:r>
      <w:r w:rsidR="00645199">
        <w:rPr>
          <w:rFonts w:ascii="Arial" w:hAnsi="Arial" w:cs="Arial"/>
          <w:sz w:val="22"/>
          <w:szCs w:val="22"/>
        </w:rPr>
        <w:t>;</w:t>
      </w:r>
      <w:r w:rsidR="00891434" w:rsidRPr="00891434">
        <w:rPr>
          <w:rFonts w:ascii="Arial" w:hAnsi="Arial" w:cs="Arial"/>
          <w:sz w:val="22"/>
          <w:szCs w:val="22"/>
        </w:rPr>
        <w:t xml:space="preserve"> Muhia et al., 2024).</w:t>
      </w:r>
    </w:p>
    <w:p w14:paraId="49EA8750" w14:textId="7F7C7B8B" w:rsidR="00055C0A" w:rsidRPr="001826CA" w:rsidRDefault="00BC624C" w:rsidP="001826CA">
      <w:pPr>
        <w:spacing w:before="240" w:after="0" w:line="360" w:lineRule="auto"/>
        <w:jc w:val="both"/>
        <w:rPr>
          <w:rFonts w:ascii="Arial" w:hAnsi="Arial" w:cs="Arial"/>
          <w:b/>
          <w:bCs/>
          <w:sz w:val="22"/>
          <w:szCs w:val="22"/>
        </w:rPr>
      </w:pPr>
      <w:r w:rsidRPr="001826CA">
        <w:rPr>
          <w:rFonts w:ascii="Arial" w:hAnsi="Arial" w:cs="Arial"/>
          <w:b/>
          <w:bCs/>
          <w:sz w:val="22"/>
          <w:szCs w:val="22"/>
        </w:rPr>
        <w:t>Impact of SDGs on Health and Well-being</w:t>
      </w:r>
    </w:p>
    <w:p w14:paraId="025A538E" w14:textId="056FBB73"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 xml:space="preserve">The noticeable impact of </w:t>
      </w:r>
      <w:r w:rsidR="00C608AD">
        <w:rPr>
          <w:rFonts w:ascii="Arial" w:hAnsi="Arial" w:cs="Arial"/>
          <w:sz w:val="22"/>
          <w:szCs w:val="22"/>
        </w:rPr>
        <w:t>SDGs</w:t>
      </w:r>
      <w:r w:rsidRPr="001826CA">
        <w:rPr>
          <w:rFonts w:ascii="Arial" w:hAnsi="Arial" w:cs="Arial"/>
          <w:sz w:val="22"/>
          <w:szCs w:val="22"/>
        </w:rPr>
        <w:t xml:space="preserve"> 3 and 13 on the policy landscape of the United Kingdom posits the interrelation between a healthier population and a healthier environment. The health and sustainability focus of </w:t>
      </w:r>
      <w:r w:rsidR="00645199">
        <w:rPr>
          <w:rFonts w:ascii="Arial" w:hAnsi="Arial" w:cs="Arial"/>
          <w:sz w:val="22"/>
          <w:szCs w:val="22"/>
        </w:rPr>
        <w:t>G</w:t>
      </w:r>
      <w:r w:rsidRPr="001826CA">
        <w:rPr>
          <w:rFonts w:ascii="Arial" w:hAnsi="Arial" w:cs="Arial"/>
          <w:sz w:val="22"/>
          <w:szCs w:val="22"/>
        </w:rPr>
        <w:t>oal 13 has triggered the UK</w:t>
      </w:r>
      <w:r>
        <w:rPr>
          <w:rFonts w:ascii="Arial" w:hAnsi="Arial" w:cs="Arial"/>
          <w:sz w:val="22"/>
          <w:szCs w:val="22"/>
        </w:rPr>
        <w:t>'</w:t>
      </w:r>
      <w:r w:rsidRPr="001826CA">
        <w:rPr>
          <w:rFonts w:ascii="Arial" w:hAnsi="Arial" w:cs="Arial"/>
          <w:sz w:val="22"/>
          <w:szCs w:val="22"/>
        </w:rPr>
        <w:t>s legislative and strategic frameworks. National Health Service (NHS) England is the UK</w:t>
      </w:r>
      <w:r>
        <w:rPr>
          <w:rFonts w:ascii="Arial" w:hAnsi="Arial" w:cs="Arial"/>
          <w:sz w:val="22"/>
          <w:szCs w:val="22"/>
        </w:rPr>
        <w:t>'</w:t>
      </w:r>
      <w:r w:rsidRPr="001826CA">
        <w:rPr>
          <w:rFonts w:ascii="Arial" w:hAnsi="Arial" w:cs="Arial"/>
          <w:sz w:val="22"/>
          <w:szCs w:val="22"/>
        </w:rPr>
        <w:t xml:space="preserve">s public health approach </w:t>
      </w:r>
      <w:proofErr w:type="spellStart"/>
      <w:r w:rsidR="00645199">
        <w:rPr>
          <w:rFonts w:ascii="Arial" w:hAnsi="Arial" w:cs="Arial"/>
          <w:sz w:val="22"/>
          <w:szCs w:val="22"/>
        </w:rPr>
        <w:t>operationalising</w:t>
      </w:r>
      <w:proofErr w:type="spellEnd"/>
      <w:r w:rsidRPr="001826CA">
        <w:rPr>
          <w:rFonts w:ascii="Arial" w:hAnsi="Arial" w:cs="Arial"/>
          <w:sz w:val="22"/>
          <w:szCs w:val="22"/>
        </w:rPr>
        <w:t xml:space="preserve"> of </w:t>
      </w:r>
      <w:r w:rsidR="00C608AD">
        <w:rPr>
          <w:rFonts w:ascii="Arial" w:hAnsi="Arial" w:cs="Arial"/>
          <w:sz w:val="22"/>
          <w:szCs w:val="22"/>
        </w:rPr>
        <w:lastRenderedPageBreak/>
        <w:t>SDG</w:t>
      </w:r>
      <w:r w:rsidRPr="001826CA">
        <w:rPr>
          <w:rFonts w:ascii="Arial" w:hAnsi="Arial" w:cs="Arial"/>
          <w:sz w:val="22"/>
          <w:szCs w:val="22"/>
        </w:rPr>
        <w:t xml:space="preserve"> 3 with an emphasis on the maintenance of preventative strategies, early interventions, and reduction of health inequalities as the pillars of primary public health approaches</w:t>
      </w:r>
      <w:r w:rsidR="00C608AD">
        <w:rPr>
          <w:rFonts w:ascii="Arial" w:hAnsi="Arial" w:cs="Arial"/>
          <w:sz w:val="22"/>
          <w:szCs w:val="22"/>
        </w:rPr>
        <w:t xml:space="preserve"> (NHS England, 2020)</w:t>
      </w:r>
      <w:r w:rsidRPr="001826CA">
        <w:rPr>
          <w:rFonts w:ascii="Arial" w:hAnsi="Arial" w:cs="Arial"/>
          <w:sz w:val="22"/>
          <w:szCs w:val="22"/>
        </w:rPr>
        <w:t>. The primary health care expansion, improvements in access to mental health care, and national interventions focused on smoking, obesity, and vaccination, strengthening the policy frameworks aimed at the promotion of health and well</w:t>
      </w:r>
      <w:r>
        <w:rPr>
          <w:rFonts w:ascii="Arial" w:hAnsi="Arial" w:cs="Arial"/>
          <w:sz w:val="22"/>
          <w:szCs w:val="22"/>
        </w:rPr>
        <w:t>-</w:t>
      </w:r>
      <w:r w:rsidRPr="001826CA">
        <w:rPr>
          <w:rFonts w:ascii="Arial" w:hAnsi="Arial" w:cs="Arial"/>
          <w:sz w:val="22"/>
          <w:szCs w:val="22"/>
        </w:rPr>
        <w:t>being (NHS England, 2020; Bennett et al., 2024). While the policy frameworks make sense in theory, they fail to translate consistently into equitable health outcomes as a result of the existing gaps in the delivery of the policies relative to their ambition, which reveals the shortcomings of the policy capacity</w:t>
      </w:r>
      <w:r w:rsidR="00C608AD">
        <w:rPr>
          <w:rFonts w:ascii="Arial" w:hAnsi="Arial" w:cs="Arial"/>
          <w:sz w:val="22"/>
          <w:szCs w:val="22"/>
        </w:rPr>
        <w:t xml:space="preserve"> (</w:t>
      </w:r>
      <w:r w:rsidR="009D7BE4">
        <w:rPr>
          <w:rFonts w:ascii="Arial" w:hAnsi="Arial" w:cs="Arial"/>
          <w:sz w:val="22"/>
          <w:szCs w:val="22"/>
        </w:rPr>
        <w:t>McHugh et al.</w:t>
      </w:r>
      <w:r w:rsidR="00C608AD">
        <w:rPr>
          <w:rFonts w:ascii="Arial" w:hAnsi="Arial" w:cs="Arial"/>
          <w:sz w:val="22"/>
          <w:szCs w:val="22"/>
        </w:rPr>
        <w:t>, 2024)</w:t>
      </w:r>
      <w:r w:rsidRPr="001826CA">
        <w:rPr>
          <w:rFonts w:ascii="Arial" w:hAnsi="Arial" w:cs="Arial"/>
          <w:sz w:val="22"/>
          <w:szCs w:val="22"/>
        </w:rPr>
        <w:t>.</w:t>
      </w:r>
    </w:p>
    <w:p w14:paraId="166DA354" w14:textId="77485B7E" w:rsidR="00D26233" w:rsidRPr="00D26233" w:rsidRDefault="001826CA" w:rsidP="00D26233">
      <w:pPr>
        <w:spacing w:before="240" w:line="360" w:lineRule="auto"/>
        <w:jc w:val="both"/>
        <w:rPr>
          <w:rFonts w:ascii="Arial" w:hAnsi="Arial" w:cs="Arial"/>
          <w:sz w:val="22"/>
          <w:szCs w:val="22"/>
        </w:rPr>
      </w:pPr>
      <w:r w:rsidRPr="001826CA">
        <w:rPr>
          <w:rFonts w:ascii="Arial" w:hAnsi="Arial" w:cs="Arial"/>
          <w:sz w:val="22"/>
          <w:szCs w:val="22"/>
        </w:rPr>
        <w:t xml:space="preserve">Local authorities and Integrated Care Systems (ICSs) have been instrumental in adapting the implementation of SDG 3 through community-specific interventions. </w:t>
      </w:r>
      <w:r w:rsidR="00D26233" w:rsidRPr="00D26233">
        <w:rPr>
          <w:rFonts w:ascii="Arial" w:hAnsi="Arial" w:cs="Arial"/>
          <w:sz w:val="22"/>
          <w:szCs w:val="22"/>
        </w:rPr>
        <w:t xml:space="preserve">The services mentioned include smoking cessation, social prescribing, mental health hubs, and obesity </w:t>
      </w:r>
      <w:r w:rsidR="00D26233">
        <w:rPr>
          <w:rFonts w:ascii="Arial" w:hAnsi="Arial" w:cs="Arial"/>
          <w:sz w:val="22"/>
          <w:szCs w:val="22"/>
        </w:rPr>
        <w:t xml:space="preserve">prevention </w:t>
      </w:r>
      <w:r w:rsidR="00D26233" w:rsidRPr="00D26233">
        <w:rPr>
          <w:rFonts w:ascii="Arial" w:hAnsi="Arial" w:cs="Arial"/>
          <w:sz w:val="22"/>
          <w:szCs w:val="22"/>
        </w:rPr>
        <w:t xml:space="preserve">services as responsive to population health needs (Parbery-Clark et al, 2024). Such programs have successfully enhanced community resilience and </w:t>
      </w:r>
      <w:proofErr w:type="gramStart"/>
      <w:r w:rsidR="00D26233" w:rsidRPr="00D26233">
        <w:rPr>
          <w:rFonts w:ascii="Arial" w:hAnsi="Arial" w:cs="Arial"/>
          <w:sz w:val="22"/>
          <w:szCs w:val="22"/>
        </w:rPr>
        <w:t>engagement</w:t>
      </w:r>
      <w:r w:rsidR="00645199">
        <w:rPr>
          <w:rFonts w:ascii="Arial" w:hAnsi="Arial" w:cs="Arial"/>
          <w:sz w:val="22"/>
          <w:szCs w:val="22"/>
        </w:rPr>
        <w:t>,</w:t>
      </w:r>
      <w:r w:rsidR="00D26233" w:rsidRPr="00D26233">
        <w:rPr>
          <w:rFonts w:ascii="Arial" w:hAnsi="Arial" w:cs="Arial"/>
          <w:sz w:val="22"/>
          <w:szCs w:val="22"/>
        </w:rPr>
        <w:t xml:space="preserve"> but</w:t>
      </w:r>
      <w:proofErr w:type="gramEnd"/>
      <w:r w:rsidR="00D26233" w:rsidRPr="00D26233">
        <w:rPr>
          <w:rFonts w:ascii="Arial" w:hAnsi="Arial" w:cs="Arial"/>
          <w:sz w:val="22"/>
          <w:szCs w:val="22"/>
        </w:rPr>
        <w:t xml:space="preserve"> are often limited in their impact due to poorly targeted and unsustained resource allocation</w:t>
      </w:r>
      <w:r w:rsidR="00D26233">
        <w:rPr>
          <w:rFonts w:ascii="Arial" w:hAnsi="Arial" w:cs="Arial"/>
          <w:sz w:val="22"/>
          <w:szCs w:val="22"/>
        </w:rPr>
        <w:t xml:space="preserve"> (Martins et al., 2024)</w:t>
      </w:r>
      <w:r w:rsidR="00D26233" w:rsidRPr="00D26233">
        <w:rPr>
          <w:rFonts w:ascii="Arial" w:hAnsi="Arial" w:cs="Arial"/>
          <w:sz w:val="22"/>
          <w:szCs w:val="22"/>
        </w:rPr>
        <w:t xml:space="preserve">. More deprived localities tend to have fewer financial and infrastructural resources, which limits the scope and scale of preventive intervention, thereby contributing to the widening of geographical inequalities in health outcomes (Boyd et al, 2022). This </w:t>
      </w:r>
      <w:r w:rsidR="00D26233">
        <w:rPr>
          <w:rFonts w:ascii="Arial" w:hAnsi="Arial" w:cs="Arial"/>
          <w:sz w:val="22"/>
          <w:szCs w:val="22"/>
        </w:rPr>
        <w:t>disparity</w:t>
      </w:r>
      <w:r w:rsidR="00D26233" w:rsidRPr="00D26233">
        <w:rPr>
          <w:rFonts w:ascii="Arial" w:hAnsi="Arial" w:cs="Arial"/>
          <w:sz w:val="22"/>
          <w:szCs w:val="22"/>
        </w:rPr>
        <w:t xml:space="preserve"> demonstrates that while localism may foster responsiveness, it may also encourage fragmentation in the absence of adequate national infrastructure.</w:t>
      </w:r>
    </w:p>
    <w:p w14:paraId="02EE3B65" w14:textId="47508698"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There have been notable improvements in the UK in reference to the advanc</w:t>
      </w:r>
      <w:r w:rsidR="00645199">
        <w:rPr>
          <w:rFonts w:ascii="Arial" w:hAnsi="Arial" w:cs="Arial"/>
          <w:sz w:val="22"/>
          <w:szCs w:val="22"/>
        </w:rPr>
        <w:t>ement</w:t>
      </w:r>
      <w:r w:rsidRPr="001826CA">
        <w:rPr>
          <w:rFonts w:ascii="Arial" w:hAnsi="Arial" w:cs="Arial"/>
          <w:sz w:val="22"/>
          <w:szCs w:val="22"/>
        </w:rPr>
        <w:t xml:space="preserve"> of SDG 3 goals, particularly in relation to smoking cessation, high vaccination coverage, and the decrease in the rate of child mortality (Bennett et al., 2024). However, the gaps in health inequalities, especially in life expectancy, continue to show the impacts of what are often termed the </w:t>
      </w:r>
      <w:r>
        <w:rPr>
          <w:rFonts w:ascii="Arial" w:hAnsi="Arial" w:cs="Arial"/>
          <w:sz w:val="22"/>
          <w:szCs w:val="22"/>
        </w:rPr>
        <w:t>'</w:t>
      </w:r>
      <w:r w:rsidRPr="001826CA">
        <w:rPr>
          <w:rFonts w:ascii="Arial" w:hAnsi="Arial" w:cs="Arial"/>
          <w:sz w:val="22"/>
          <w:szCs w:val="22"/>
        </w:rPr>
        <w:t>social determinants of health</w:t>
      </w:r>
      <w:r>
        <w:rPr>
          <w:rFonts w:ascii="Arial" w:hAnsi="Arial" w:cs="Arial"/>
          <w:sz w:val="22"/>
          <w:szCs w:val="22"/>
        </w:rPr>
        <w:t>'</w:t>
      </w:r>
      <w:r w:rsidRPr="001826CA">
        <w:rPr>
          <w:rFonts w:ascii="Arial" w:hAnsi="Arial" w:cs="Arial"/>
          <w:sz w:val="22"/>
          <w:szCs w:val="22"/>
        </w:rPr>
        <w:t xml:space="preserve"> (</w:t>
      </w:r>
      <w:r w:rsidR="009D7BE4">
        <w:rPr>
          <w:rFonts w:ascii="Arial" w:hAnsi="Arial" w:cs="Arial"/>
          <w:sz w:val="22"/>
          <w:szCs w:val="22"/>
        </w:rPr>
        <w:t>McHugh et al.</w:t>
      </w:r>
      <w:r w:rsidRPr="001826CA">
        <w:rPr>
          <w:rFonts w:ascii="Arial" w:hAnsi="Arial" w:cs="Arial"/>
          <w:sz w:val="22"/>
          <w:szCs w:val="22"/>
        </w:rPr>
        <w:t>, 2024</w:t>
      </w:r>
      <w:r w:rsidR="00891434">
        <w:rPr>
          <w:rFonts w:ascii="Arial" w:hAnsi="Arial" w:cs="Arial"/>
          <w:sz w:val="22"/>
          <w:szCs w:val="22"/>
        </w:rPr>
        <w:t>; Martins et al., 2024</w:t>
      </w:r>
      <w:r w:rsidRPr="001826CA">
        <w:rPr>
          <w:rFonts w:ascii="Arial" w:hAnsi="Arial" w:cs="Arial"/>
          <w:sz w:val="22"/>
          <w:szCs w:val="22"/>
        </w:rPr>
        <w:t xml:space="preserve">). Mental health inequities in relation to the demand for services and the available workforce to provide adequate services is a clear demonstrator of the lack of </w:t>
      </w:r>
      <w:r>
        <w:rPr>
          <w:rFonts w:ascii="Arial" w:hAnsi="Arial" w:cs="Arial"/>
          <w:sz w:val="22"/>
          <w:szCs w:val="22"/>
        </w:rPr>
        <w:t>'</w:t>
      </w:r>
      <w:r w:rsidRPr="001826CA">
        <w:rPr>
          <w:rFonts w:ascii="Arial" w:hAnsi="Arial" w:cs="Arial"/>
          <w:sz w:val="22"/>
          <w:szCs w:val="22"/>
        </w:rPr>
        <w:t>equitable well</w:t>
      </w:r>
      <w:r>
        <w:rPr>
          <w:rFonts w:ascii="Arial" w:hAnsi="Arial" w:cs="Arial"/>
          <w:sz w:val="22"/>
          <w:szCs w:val="22"/>
        </w:rPr>
        <w:t>-</w:t>
      </w:r>
      <w:r w:rsidRPr="001826CA">
        <w:rPr>
          <w:rFonts w:ascii="Arial" w:hAnsi="Arial" w:cs="Arial"/>
          <w:sz w:val="22"/>
          <w:szCs w:val="22"/>
        </w:rPr>
        <w:t>being</w:t>
      </w:r>
      <w:r>
        <w:rPr>
          <w:rFonts w:ascii="Arial" w:hAnsi="Arial" w:cs="Arial"/>
          <w:sz w:val="22"/>
          <w:szCs w:val="22"/>
        </w:rPr>
        <w:t>'</w:t>
      </w:r>
      <w:r w:rsidRPr="001826CA">
        <w:rPr>
          <w:rFonts w:ascii="Arial" w:hAnsi="Arial" w:cs="Arial"/>
          <w:sz w:val="22"/>
          <w:szCs w:val="22"/>
        </w:rPr>
        <w:t xml:space="preserve"> (</w:t>
      </w:r>
      <w:r w:rsidR="009D7BE4">
        <w:rPr>
          <w:rFonts w:ascii="Arial" w:hAnsi="Arial" w:cs="Arial"/>
          <w:sz w:val="22"/>
          <w:szCs w:val="22"/>
        </w:rPr>
        <w:t>McHugh et al.</w:t>
      </w:r>
      <w:r w:rsidRPr="001826CA">
        <w:rPr>
          <w:rFonts w:ascii="Arial" w:hAnsi="Arial" w:cs="Arial"/>
          <w:sz w:val="22"/>
          <w:szCs w:val="22"/>
        </w:rPr>
        <w:t>, 2024). The divergence of universal policy objectives and the localised health determinants is a clear call for sectoral diversification in these targeted approaches. From the point of view of the NHS, the challenges and constraints of an ageing population, along with financial constraints, provide the most considerable challenges to the delivery of preventive health strategies</w:t>
      </w:r>
      <w:r w:rsidR="00C608AD">
        <w:rPr>
          <w:rFonts w:ascii="Arial" w:hAnsi="Arial" w:cs="Arial"/>
          <w:sz w:val="22"/>
          <w:szCs w:val="22"/>
        </w:rPr>
        <w:t xml:space="preserve"> (NHS England, 2015; Jones and Dolsten, 2024)</w:t>
      </w:r>
      <w:r w:rsidRPr="001826CA">
        <w:rPr>
          <w:rFonts w:ascii="Arial" w:hAnsi="Arial" w:cs="Arial"/>
          <w:sz w:val="22"/>
          <w:szCs w:val="22"/>
        </w:rPr>
        <w:t>. However, from an economic perspective, these strategies are the most rational in terms of long-term cost benefits.</w:t>
      </w:r>
    </w:p>
    <w:p w14:paraId="48DA3C71" w14:textId="53D70F50"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lastRenderedPageBreak/>
        <w:t>In correlation with SDG 13, the UK identifies defining climate change as a public health problem as a legacy of SDG 3. For the UK, a robust legislative approach toward emission reductions and building environmental resilience was established with the Climate Change Act 2008 and the Net Zero Strategy</w:t>
      </w:r>
      <w:r w:rsidR="00891434">
        <w:rPr>
          <w:rFonts w:ascii="Arial" w:hAnsi="Arial" w:cs="Arial"/>
          <w:sz w:val="22"/>
          <w:szCs w:val="22"/>
        </w:rPr>
        <w:t xml:space="preserve">, </w:t>
      </w:r>
      <w:r w:rsidRPr="001826CA">
        <w:rPr>
          <w:rFonts w:ascii="Arial" w:hAnsi="Arial" w:cs="Arial"/>
          <w:sz w:val="22"/>
          <w:szCs w:val="22"/>
        </w:rPr>
        <w:t>Build Back Greener (HM Government, 2021). Within health care, the Greener NHS program signifies a world-leading commitment toward net-zero emission's direct operations by 2040 and a 2045 net-zero emission</w:t>
      </w:r>
      <w:r w:rsidR="00645199">
        <w:rPr>
          <w:rFonts w:ascii="Arial" w:hAnsi="Arial" w:cs="Arial"/>
          <w:sz w:val="22"/>
          <w:szCs w:val="22"/>
        </w:rPr>
        <w:t>s</w:t>
      </w:r>
      <w:r w:rsidRPr="001826CA">
        <w:rPr>
          <w:rFonts w:ascii="Arial" w:hAnsi="Arial" w:cs="Arial"/>
          <w:sz w:val="22"/>
          <w:szCs w:val="22"/>
        </w:rPr>
        <w:t xml:space="preserve"> supply chain (NHS England, 2020). Aimed within these strategies is the </w:t>
      </w:r>
      <w:r w:rsidR="00645199" w:rsidRPr="001826CA">
        <w:rPr>
          <w:rFonts w:ascii="Arial" w:hAnsi="Arial" w:cs="Arial"/>
          <w:sz w:val="22"/>
          <w:szCs w:val="22"/>
        </w:rPr>
        <w:t>decarbonization</w:t>
      </w:r>
      <w:r w:rsidRPr="001826CA">
        <w:rPr>
          <w:rFonts w:ascii="Arial" w:hAnsi="Arial" w:cs="Arial"/>
          <w:sz w:val="22"/>
          <w:szCs w:val="22"/>
        </w:rPr>
        <w:t xml:space="preserve"> of NHS estates, the use of renewables, and the establishment of sustainability within procurement and clinical practice. Despite the strong policies, the Climate Change Committee (2023) and numerous critics, such as Boyd et al. (2022), argue that the lack and uneven distribution of resources</w:t>
      </w:r>
      <w:r w:rsidR="00645199">
        <w:rPr>
          <w:rFonts w:ascii="Arial" w:hAnsi="Arial" w:cs="Arial"/>
          <w:sz w:val="22"/>
          <w:szCs w:val="22"/>
        </w:rPr>
        <w:t>,</w:t>
      </w:r>
      <w:r w:rsidRPr="001826CA">
        <w:rPr>
          <w:rFonts w:ascii="Arial" w:hAnsi="Arial" w:cs="Arial"/>
          <w:sz w:val="22"/>
          <w:szCs w:val="22"/>
        </w:rPr>
        <w:t xml:space="preserve"> fusion with regional disparities</w:t>
      </w:r>
      <w:r w:rsidR="00645199">
        <w:rPr>
          <w:rFonts w:ascii="Arial" w:hAnsi="Arial" w:cs="Arial"/>
          <w:sz w:val="22"/>
          <w:szCs w:val="22"/>
        </w:rPr>
        <w:t>,</w:t>
      </w:r>
      <w:r w:rsidRPr="001826CA">
        <w:rPr>
          <w:rFonts w:ascii="Arial" w:hAnsi="Arial" w:cs="Arial"/>
          <w:sz w:val="22"/>
          <w:szCs w:val="22"/>
        </w:rPr>
        <w:t xml:space="preserve"> cause slow </w:t>
      </w:r>
      <w:r w:rsidR="00645199" w:rsidRPr="001826CA">
        <w:rPr>
          <w:rFonts w:ascii="Arial" w:hAnsi="Arial" w:cs="Arial"/>
          <w:sz w:val="22"/>
          <w:szCs w:val="22"/>
        </w:rPr>
        <w:t>decarbonization</w:t>
      </w:r>
      <w:r w:rsidRPr="001826CA">
        <w:rPr>
          <w:rFonts w:ascii="Arial" w:hAnsi="Arial" w:cs="Arial"/>
          <w:sz w:val="22"/>
          <w:szCs w:val="22"/>
        </w:rPr>
        <w:t xml:space="preserve">, making the policy ambition insufficient </w:t>
      </w:r>
      <w:proofErr w:type="gramStart"/>
      <w:r w:rsidRPr="001826CA">
        <w:rPr>
          <w:rFonts w:ascii="Arial" w:hAnsi="Arial" w:cs="Arial"/>
          <w:sz w:val="22"/>
          <w:szCs w:val="22"/>
        </w:rPr>
        <w:t>with regard to</w:t>
      </w:r>
      <w:proofErr w:type="gramEnd"/>
      <w:r w:rsidRPr="001826CA">
        <w:rPr>
          <w:rFonts w:ascii="Arial" w:hAnsi="Arial" w:cs="Arial"/>
          <w:sz w:val="22"/>
          <w:szCs w:val="22"/>
        </w:rPr>
        <w:t xml:space="preserve"> meeting interim targets set within policy.</w:t>
      </w:r>
    </w:p>
    <w:p w14:paraId="50FE5265" w14:textId="19D54601" w:rsidR="00D26233" w:rsidRPr="00D26233" w:rsidRDefault="00D26233" w:rsidP="00D26233">
      <w:pPr>
        <w:spacing w:before="240" w:after="0" w:line="360" w:lineRule="auto"/>
        <w:jc w:val="both"/>
        <w:rPr>
          <w:rFonts w:ascii="Arial" w:hAnsi="Arial" w:cs="Arial"/>
          <w:sz w:val="22"/>
          <w:szCs w:val="22"/>
        </w:rPr>
      </w:pPr>
      <w:r w:rsidRPr="00D26233">
        <w:rPr>
          <w:rFonts w:ascii="Arial" w:hAnsi="Arial" w:cs="Arial"/>
          <w:sz w:val="22"/>
          <w:szCs w:val="22"/>
        </w:rPr>
        <w:t xml:space="preserve">More than 300 UK local authorities have declared a climate emergency and implemented custom climate action plans (Local Government Association, 2023). Action plans include retrofitting public buildings, extending active travel networks, and creating clean-air zones. The health sector has sustained momentum with low-carbon hospital projects and public health transport initiatives as well (Health Care Without Harm, 2022). While action on this scale improves air quality, reduces emissions, and spurs beneficial </w:t>
      </w:r>
      <w:r w:rsidR="00645199" w:rsidRPr="00D26233">
        <w:rPr>
          <w:rFonts w:ascii="Arial" w:hAnsi="Arial" w:cs="Arial"/>
          <w:sz w:val="22"/>
          <w:szCs w:val="22"/>
        </w:rPr>
        <w:t>behavior</w:t>
      </w:r>
      <w:r w:rsidRPr="00D26233">
        <w:rPr>
          <w:rFonts w:ascii="Arial" w:hAnsi="Arial" w:cs="Arial"/>
          <w:sz w:val="22"/>
          <w:szCs w:val="22"/>
        </w:rPr>
        <w:t xml:space="preserve"> changes, the benefits are not equally shared. Wealthy councils can move far more quickly due to having greater financial and technical resources. Deprived areas, by contrast, have more readily available barriers, entrenching inequitable conditions of burden and health (HM Government, 2021).  </w:t>
      </w:r>
    </w:p>
    <w:p w14:paraId="47ABD238" w14:textId="77777777" w:rsidR="00D26233" w:rsidRPr="00D26233" w:rsidRDefault="00D26233" w:rsidP="00D26233">
      <w:pPr>
        <w:spacing w:before="240" w:after="0" w:line="360" w:lineRule="auto"/>
        <w:jc w:val="both"/>
        <w:rPr>
          <w:rFonts w:ascii="Arial" w:hAnsi="Arial" w:cs="Arial"/>
          <w:sz w:val="22"/>
          <w:szCs w:val="22"/>
        </w:rPr>
      </w:pPr>
    </w:p>
    <w:p w14:paraId="0D6C574D" w14:textId="785C9E85" w:rsidR="001826CA" w:rsidRPr="001826CA" w:rsidRDefault="00D26233" w:rsidP="001826CA">
      <w:pPr>
        <w:spacing w:before="240" w:after="0" w:line="360" w:lineRule="auto"/>
        <w:jc w:val="both"/>
        <w:rPr>
          <w:rFonts w:ascii="Arial" w:hAnsi="Arial" w:cs="Arial"/>
          <w:sz w:val="22"/>
          <w:szCs w:val="22"/>
        </w:rPr>
      </w:pPr>
      <w:r w:rsidRPr="00D26233">
        <w:rPr>
          <w:rFonts w:ascii="Arial" w:hAnsi="Arial" w:cs="Arial"/>
          <w:sz w:val="22"/>
          <w:szCs w:val="22"/>
        </w:rPr>
        <w:t xml:space="preserve">The overlap between SDG 3 and SDG 13 </w:t>
      </w:r>
      <w:r w:rsidR="00645199">
        <w:rPr>
          <w:rFonts w:ascii="Arial" w:hAnsi="Arial" w:cs="Arial"/>
          <w:sz w:val="22"/>
          <w:szCs w:val="22"/>
        </w:rPr>
        <w:t>highlights the</w:t>
      </w:r>
      <w:r w:rsidRPr="00D26233">
        <w:rPr>
          <w:rFonts w:ascii="Arial" w:hAnsi="Arial" w:cs="Arial"/>
          <w:sz w:val="22"/>
          <w:szCs w:val="22"/>
        </w:rPr>
        <w:t xml:space="preserve"> </w:t>
      </w:r>
      <w:r w:rsidR="00645199">
        <w:rPr>
          <w:rFonts w:ascii="Arial" w:hAnsi="Arial" w:cs="Arial"/>
          <w:sz w:val="22"/>
          <w:szCs w:val="22"/>
        </w:rPr>
        <w:t>need to pursue</w:t>
      </w:r>
      <w:r w:rsidRPr="00D26233">
        <w:rPr>
          <w:rFonts w:ascii="Arial" w:hAnsi="Arial" w:cs="Arial"/>
          <w:sz w:val="22"/>
          <w:szCs w:val="22"/>
        </w:rPr>
        <w:t xml:space="preserve"> health and climate goals concurrently. The health impacts of climate change</w:t>
      </w:r>
      <w:r w:rsidR="00645199">
        <w:rPr>
          <w:rFonts w:ascii="Arial" w:hAnsi="Arial" w:cs="Arial"/>
          <w:sz w:val="22"/>
          <w:szCs w:val="22"/>
        </w:rPr>
        <w:t>,</w:t>
      </w:r>
      <w:r w:rsidR="00991519">
        <w:rPr>
          <w:rFonts w:ascii="Arial" w:hAnsi="Arial" w:cs="Arial"/>
          <w:sz w:val="22"/>
          <w:szCs w:val="22"/>
        </w:rPr>
        <w:t xml:space="preserve"> such as </w:t>
      </w:r>
      <w:r w:rsidRPr="00D26233">
        <w:rPr>
          <w:rFonts w:ascii="Arial" w:hAnsi="Arial" w:cs="Arial"/>
          <w:sz w:val="22"/>
          <w:szCs w:val="22"/>
        </w:rPr>
        <w:t>heat-related illnesses, air pollution, vector-borne illnesses, food insecurity, and other issues</w:t>
      </w:r>
      <w:r w:rsidR="00991519">
        <w:rPr>
          <w:rFonts w:ascii="Arial" w:hAnsi="Arial" w:cs="Arial"/>
          <w:sz w:val="22"/>
          <w:szCs w:val="22"/>
        </w:rPr>
        <w:t xml:space="preserve">, </w:t>
      </w:r>
      <w:r w:rsidRPr="00D26233">
        <w:rPr>
          <w:rFonts w:ascii="Arial" w:hAnsi="Arial" w:cs="Arial"/>
          <w:sz w:val="22"/>
          <w:szCs w:val="22"/>
        </w:rPr>
        <w:t xml:space="preserve">are significant and are described as a threat multiplier (World Health </w:t>
      </w:r>
      <w:r w:rsidR="00645199" w:rsidRPr="00D26233">
        <w:rPr>
          <w:rFonts w:ascii="Arial" w:hAnsi="Arial" w:cs="Arial"/>
          <w:sz w:val="22"/>
          <w:szCs w:val="22"/>
        </w:rPr>
        <w:t>Organi</w:t>
      </w:r>
      <w:r w:rsidR="00645199">
        <w:rPr>
          <w:rFonts w:ascii="Arial" w:hAnsi="Arial" w:cs="Arial"/>
          <w:sz w:val="22"/>
          <w:szCs w:val="22"/>
        </w:rPr>
        <w:t>s</w:t>
      </w:r>
      <w:r w:rsidR="00645199" w:rsidRPr="00D26233">
        <w:rPr>
          <w:rFonts w:ascii="Arial" w:hAnsi="Arial" w:cs="Arial"/>
          <w:sz w:val="22"/>
          <w:szCs w:val="22"/>
        </w:rPr>
        <w:t>ation</w:t>
      </w:r>
      <w:r w:rsidRPr="00D26233">
        <w:rPr>
          <w:rFonts w:ascii="Arial" w:hAnsi="Arial" w:cs="Arial"/>
          <w:sz w:val="22"/>
          <w:szCs w:val="22"/>
        </w:rPr>
        <w:t>, 2022).</w:t>
      </w:r>
      <w:r>
        <w:rPr>
          <w:rFonts w:ascii="Arial" w:hAnsi="Arial" w:cs="Arial"/>
          <w:sz w:val="22"/>
          <w:szCs w:val="22"/>
        </w:rPr>
        <w:t xml:space="preserve"> </w:t>
      </w:r>
      <w:r w:rsidR="001826CA" w:rsidRPr="001826CA">
        <w:rPr>
          <w:rFonts w:ascii="Arial" w:hAnsi="Arial" w:cs="Arial"/>
          <w:sz w:val="22"/>
          <w:szCs w:val="22"/>
        </w:rPr>
        <w:t>The 2022 heatwave in the UK exemplifies climate events</w:t>
      </w:r>
      <w:r w:rsidR="001826CA">
        <w:rPr>
          <w:rFonts w:ascii="Arial" w:hAnsi="Arial" w:cs="Arial"/>
          <w:sz w:val="22"/>
          <w:szCs w:val="22"/>
        </w:rPr>
        <w:t>'</w:t>
      </w:r>
      <w:r w:rsidR="001826CA" w:rsidRPr="001826CA">
        <w:rPr>
          <w:rFonts w:ascii="Arial" w:hAnsi="Arial" w:cs="Arial"/>
          <w:sz w:val="22"/>
          <w:szCs w:val="22"/>
        </w:rPr>
        <w:t xml:space="preserve"> direct impacts on health; it is estimated to have caused over 3,000 excess deaths (Met Office, 2023). Climate change also contributes indirectly to psychological distress via climate anxiety and environmental displacement, the </w:t>
      </w:r>
      <w:r w:rsidR="001826CA">
        <w:rPr>
          <w:rFonts w:ascii="Arial" w:hAnsi="Arial" w:cs="Arial"/>
          <w:sz w:val="22"/>
          <w:szCs w:val="22"/>
        </w:rPr>
        <w:t>'</w:t>
      </w:r>
      <w:r w:rsidR="001826CA" w:rsidRPr="001826CA">
        <w:rPr>
          <w:rFonts w:ascii="Arial" w:hAnsi="Arial" w:cs="Arial"/>
          <w:sz w:val="22"/>
          <w:szCs w:val="22"/>
        </w:rPr>
        <w:t>silent</w:t>
      </w:r>
      <w:r w:rsidR="001826CA">
        <w:rPr>
          <w:rFonts w:ascii="Arial" w:hAnsi="Arial" w:cs="Arial"/>
          <w:sz w:val="22"/>
          <w:szCs w:val="22"/>
        </w:rPr>
        <w:t>'</w:t>
      </w:r>
      <w:r w:rsidR="001826CA" w:rsidRPr="001826CA">
        <w:rPr>
          <w:rFonts w:ascii="Arial" w:hAnsi="Arial" w:cs="Arial"/>
          <w:sz w:val="22"/>
          <w:szCs w:val="22"/>
        </w:rPr>
        <w:t xml:space="preserve"> impacts on mental health remaining largely </w:t>
      </w:r>
      <w:r w:rsidR="00645199" w:rsidRPr="001826CA">
        <w:rPr>
          <w:rFonts w:ascii="Arial" w:hAnsi="Arial" w:cs="Arial"/>
          <w:sz w:val="22"/>
          <w:szCs w:val="22"/>
        </w:rPr>
        <w:t>unrecogni</w:t>
      </w:r>
      <w:r w:rsidR="00645199">
        <w:rPr>
          <w:rFonts w:ascii="Arial" w:hAnsi="Arial" w:cs="Arial"/>
          <w:sz w:val="22"/>
          <w:szCs w:val="22"/>
        </w:rPr>
        <w:t>s</w:t>
      </w:r>
      <w:r w:rsidR="00645199" w:rsidRPr="001826CA">
        <w:rPr>
          <w:rFonts w:ascii="Arial" w:hAnsi="Arial" w:cs="Arial"/>
          <w:sz w:val="22"/>
          <w:szCs w:val="22"/>
        </w:rPr>
        <w:t>ed</w:t>
      </w:r>
      <w:r w:rsidR="001826CA" w:rsidRPr="001826CA">
        <w:rPr>
          <w:rFonts w:ascii="Arial" w:hAnsi="Arial" w:cs="Arial"/>
          <w:sz w:val="22"/>
          <w:szCs w:val="22"/>
        </w:rPr>
        <w:t xml:space="preserve"> (Berry et al., 2021</w:t>
      </w:r>
      <w:r w:rsidR="00891434">
        <w:rPr>
          <w:rFonts w:ascii="Arial" w:hAnsi="Arial" w:cs="Arial"/>
          <w:sz w:val="22"/>
          <w:szCs w:val="22"/>
        </w:rPr>
        <w:t>; Ansah et al., 2024</w:t>
      </w:r>
      <w:r w:rsidR="001826CA" w:rsidRPr="001826CA">
        <w:rPr>
          <w:rFonts w:ascii="Arial" w:hAnsi="Arial" w:cs="Arial"/>
          <w:sz w:val="22"/>
          <w:szCs w:val="22"/>
        </w:rPr>
        <w:t xml:space="preserve">). NHS and local authorities have adopted a </w:t>
      </w:r>
      <w:r w:rsidR="001826CA">
        <w:rPr>
          <w:rFonts w:ascii="Arial" w:hAnsi="Arial" w:cs="Arial"/>
          <w:sz w:val="22"/>
          <w:szCs w:val="22"/>
        </w:rPr>
        <w:t>'</w:t>
      </w:r>
      <w:r w:rsidR="001826CA" w:rsidRPr="001826CA">
        <w:rPr>
          <w:rFonts w:ascii="Arial" w:hAnsi="Arial" w:cs="Arial"/>
          <w:sz w:val="22"/>
          <w:szCs w:val="22"/>
        </w:rPr>
        <w:t>co-benefits</w:t>
      </w:r>
      <w:r w:rsidR="001826CA">
        <w:rPr>
          <w:rFonts w:ascii="Arial" w:hAnsi="Arial" w:cs="Arial"/>
          <w:sz w:val="22"/>
          <w:szCs w:val="22"/>
        </w:rPr>
        <w:t>'</w:t>
      </w:r>
      <w:r w:rsidR="001826CA" w:rsidRPr="001826CA">
        <w:rPr>
          <w:rFonts w:ascii="Arial" w:hAnsi="Arial" w:cs="Arial"/>
          <w:sz w:val="22"/>
          <w:szCs w:val="22"/>
        </w:rPr>
        <w:t xml:space="preserve"> approach to address these challenges, where the promotion of health</w:t>
      </w:r>
      <w:r w:rsidR="001826CA">
        <w:rPr>
          <w:rFonts w:ascii="Arial" w:hAnsi="Arial" w:cs="Arial"/>
          <w:sz w:val="22"/>
          <w:szCs w:val="22"/>
        </w:rPr>
        <w:t>-</w:t>
      </w:r>
      <w:r w:rsidR="001826CA" w:rsidRPr="001826CA">
        <w:rPr>
          <w:rFonts w:ascii="Arial" w:hAnsi="Arial" w:cs="Arial"/>
          <w:sz w:val="22"/>
          <w:szCs w:val="22"/>
        </w:rPr>
        <w:t xml:space="preserve">sustaining policies such as active travel, urban green spaces, and plant-based diets </w:t>
      </w:r>
      <w:r w:rsidR="001826CA">
        <w:rPr>
          <w:rFonts w:ascii="Arial" w:hAnsi="Arial" w:cs="Arial"/>
          <w:sz w:val="22"/>
          <w:szCs w:val="22"/>
        </w:rPr>
        <w:t>is</w:t>
      </w:r>
      <w:r w:rsidR="001826CA" w:rsidRPr="001826CA">
        <w:rPr>
          <w:rFonts w:ascii="Arial" w:hAnsi="Arial" w:cs="Arial"/>
          <w:sz w:val="22"/>
          <w:szCs w:val="22"/>
        </w:rPr>
        <w:t xml:space="preserve"> integrated with health policy (NHS England, 2023). The ULEZ in London is a case in point, where a decrease in nitrogen </w:t>
      </w:r>
      <w:r w:rsidR="001826CA" w:rsidRPr="001826CA">
        <w:rPr>
          <w:rFonts w:ascii="Arial" w:hAnsi="Arial" w:cs="Arial"/>
          <w:sz w:val="22"/>
          <w:szCs w:val="22"/>
        </w:rPr>
        <w:lastRenderedPageBreak/>
        <w:t>dioxide pollution (Mayor of London, 202</w:t>
      </w:r>
      <w:r w:rsidR="00764831">
        <w:rPr>
          <w:rFonts w:ascii="Arial" w:hAnsi="Arial" w:cs="Arial"/>
          <w:sz w:val="22"/>
          <w:szCs w:val="22"/>
        </w:rPr>
        <w:t>4; Broster and Terzano, 2025</w:t>
      </w:r>
      <w:r w:rsidR="001826CA" w:rsidRPr="001826CA">
        <w:rPr>
          <w:rFonts w:ascii="Arial" w:hAnsi="Arial" w:cs="Arial"/>
          <w:sz w:val="22"/>
          <w:szCs w:val="22"/>
        </w:rPr>
        <w:t>) translation to improved respiratory health outcomes. Greater Manchester</w:t>
      </w:r>
      <w:r w:rsidR="001826CA">
        <w:rPr>
          <w:rFonts w:ascii="Arial" w:hAnsi="Arial" w:cs="Arial"/>
          <w:sz w:val="22"/>
          <w:szCs w:val="22"/>
        </w:rPr>
        <w:t>'</w:t>
      </w:r>
      <w:r w:rsidR="001826CA" w:rsidRPr="001826CA">
        <w:rPr>
          <w:rFonts w:ascii="Arial" w:hAnsi="Arial" w:cs="Arial"/>
          <w:sz w:val="22"/>
          <w:szCs w:val="22"/>
        </w:rPr>
        <w:t xml:space="preserve">s Clean Air Plan also shows how the </w:t>
      </w:r>
      <w:r w:rsidR="00645199" w:rsidRPr="001826CA">
        <w:rPr>
          <w:rFonts w:ascii="Arial" w:hAnsi="Arial" w:cs="Arial"/>
          <w:sz w:val="22"/>
          <w:szCs w:val="22"/>
        </w:rPr>
        <w:t>decarbonization</w:t>
      </w:r>
      <w:r w:rsidR="001826CA" w:rsidRPr="001826CA">
        <w:rPr>
          <w:rFonts w:ascii="Arial" w:hAnsi="Arial" w:cs="Arial"/>
          <w:sz w:val="22"/>
          <w:szCs w:val="22"/>
        </w:rPr>
        <w:t xml:space="preserve"> of transport can provide additional health benefits and address unregulated pollutants such as particulate matter</w:t>
      </w:r>
      <w:r w:rsidR="001826CA">
        <w:rPr>
          <w:rFonts w:ascii="Arial" w:hAnsi="Arial" w:cs="Arial"/>
          <w:sz w:val="22"/>
          <w:szCs w:val="22"/>
        </w:rPr>
        <w:t>,</w:t>
      </w:r>
      <w:r w:rsidR="001826CA" w:rsidRPr="001826CA">
        <w:rPr>
          <w:rFonts w:ascii="Arial" w:hAnsi="Arial" w:cs="Arial"/>
          <w:sz w:val="22"/>
          <w:szCs w:val="22"/>
        </w:rPr>
        <w:t xml:space="preserve"> posited to contribute to respiratory and cardiovascular illnesses (GMCA, 2022).</w:t>
      </w:r>
    </w:p>
    <w:p w14:paraId="50BFBF58" w14:textId="4D88FEFE" w:rsidR="00055C0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 xml:space="preserve">Initiating </w:t>
      </w:r>
      <w:r w:rsidR="00645199" w:rsidRPr="001826CA">
        <w:rPr>
          <w:rFonts w:ascii="Arial" w:hAnsi="Arial" w:cs="Arial"/>
          <w:sz w:val="22"/>
          <w:szCs w:val="22"/>
        </w:rPr>
        <w:t>decarbonization</w:t>
      </w:r>
      <w:r w:rsidRPr="001826CA">
        <w:rPr>
          <w:rFonts w:ascii="Arial" w:hAnsi="Arial" w:cs="Arial"/>
          <w:sz w:val="22"/>
          <w:szCs w:val="22"/>
        </w:rPr>
        <w:t xml:space="preserve"> on a large scale will take a significant amount of capital that will, for a short time, be taken away from frontline spending, while retrofitting health infrastructures can interrupt the provision of care. </w:t>
      </w:r>
      <w:r w:rsidR="00645199" w:rsidRPr="001826CA">
        <w:rPr>
          <w:rFonts w:ascii="Arial" w:hAnsi="Arial" w:cs="Arial"/>
          <w:sz w:val="22"/>
          <w:szCs w:val="22"/>
        </w:rPr>
        <w:t>Behavioral</w:t>
      </w:r>
      <w:r w:rsidRPr="001826CA">
        <w:rPr>
          <w:rFonts w:ascii="Arial" w:hAnsi="Arial" w:cs="Arial"/>
          <w:sz w:val="22"/>
          <w:szCs w:val="22"/>
        </w:rPr>
        <w:t xml:space="preserve"> adaptations, mainly reduction of car dependency and shift in diets, will be met with social and cultural resistance, and therefore the necessity for enduring campaigning (HM Government 2021). Regulation of the environment, through clean-air zones</w:t>
      </w:r>
      <w:r>
        <w:rPr>
          <w:rFonts w:ascii="Arial" w:hAnsi="Arial" w:cs="Arial"/>
          <w:sz w:val="22"/>
          <w:szCs w:val="22"/>
        </w:rPr>
        <w:t>,</w:t>
      </w:r>
      <w:r w:rsidRPr="001826CA">
        <w:rPr>
          <w:rFonts w:ascii="Arial" w:hAnsi="Arial" w:cs="Arial"/>
          <w:sz w:val="22"/>
          <w:szCs w:val="22"/>
        </w:rPr>
        <w:t xml:space="preserve"> for example, can yield </w:t>
      </w:r>
      <w:r>
        <w:rPr>
          <w:rFonts w:ascii="Arial" w:hAnsi="Arial" w:cs="Arial"/>
          <w:sz w:val="22"/>
          <w:szCs w:val="22"/>
        </w:rPr>
        <w:t>significant</w:t>
      </w:r>
      <w:r w:rsidRPr="001826CA">
        <w:rPr>
          <w:rFonts w:ascii="Arial" w:hAnsi="Arial" w:cs="Arial"/>
          <w:sz w:val="22"/>
          <w:szCs w:val="22"/>
        </w:rPr>
        <w:t xml:space="preserve"> long-term benefits, and while those benefits will be inequitable, due to a lack or slack supportive policy, they will be inequitable in the short-term to those benefits (</w:t>
      </w:r>
      <w:r w:rsidR="00755449">
        <w:rPr>
          <w:rFonts w:ascii="Arial" w:hAnsi="Arial" w:cs="Arial"/>
          <w:sz w:val="22"/>
          <w:szCs w:val="22"/>
        </w:rPr>
        <w:t>HM Government,</w:t>
      </w:r>
      <w:r w:rsidRPr="001826CA">
        <w:rPr>
          <w:rFonts w:ascii="Arial" w:hAnsi="Arial" w:cs="Arial"/>
          <w:sz w:val="22"/>
          <w:szCs w:val="22"/>
        </w:rPr>
        <w:t xml:space="preserve"> 2021). Hence, the</w:t>
      </w:r>
      <w:r>
        <w:rPr>
          <w:rFonts w:ascii="Arial" w:hAnsi="Arial" w:cs="Arial"/>
          <w:sz w:val="22"/>
          <w:szCs w:val="22"/>
        </w:rPr>
        <w:t xml:space="preserve"> </w:t>
      </w:r>
      <w:r w:rsidRPr="001826CA">
        <w:rPr>
          <w:rFonts w:ascii="Arial" w:hAnsi="Arial" w:cs="Arial"/>
          <w:sz w:val="22"/>
          <w:szCs w:val="22"/>
        </w:rPr>
        <w:t>need to balance a large environmental ambition with social inequity and economic feasibility.</w:t>
      </w:r>
    </w:p>
    <w:p w14:paraId="3AA2494B" w14:textId="2DE7B870" w:rsidR="00055C0A" w:rsidRPr="001826CA" w:rsidRDefault="00BC624C" w:rsidP="001826CA">
      <w:pPr>
        <w:spacing w:before="240" w:after="0" w:line="360" w:lineRule="auto"/>
        <w:jc w:val="both"/>
        <w:rPr>
          <w:rFonts w:ascii="Arial" w:hAnsi="Arial" w:cs="Arial"/>
          <w:b/>
          <w:bCs/>
          <w:sz w:val="22"/>
          <w:szCs w:val="22"/>
        </w:rPr>
      </w:pPr>
      <w:r w:rsidRPr="001826CA">
        <w:rPr>
          <w:rFonts w:ascii="Arial" w:hAnsi="Arial" w:cs="Arial"/>
          <w:b/>
          <w:bCs/>
          <w:sz w:val="22"/>
          <w:szCs w:val="22"/>
        </w:rPr>
        <w:t>Evaluation of National and Local Health and Sustainability Initiatives</w:t>
      </w:r>
    </w:p>
    <w:p w14:paraId="276EF2CF" w14:textId="32F92C45"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The UK has made significant advancements in the integration of health and local sustainability initiatives per SDG 3 and SDG 13. Incorporating sustainability into health care and environmental policy has been institutionalized through the NHS Long Term Plan (NHS England, 2023) and the Net Zero Strategy (HM Government, 2021). Life expectancy remains high at 81 years, vaccination coverage is over 90 percent, and greenhouse gas emissions have decreased by nearly 46 percent since 1990 (Climate Change Committee, 2023). The alignment of policy advocacy in health and climate is likely to yield positive results, as seen within the UK. However, such initiatives are bogged down by the health and environmental exposure inequities and deficits. The air quality of most major cities continues to violate the WHO</w:t>
      </w:r>
      <w:r>
        <w:rPr>
          <w:rFonts w:ascii="Arial" w:hAnsi="Arial" w:cs="Arial"/>
          <w:sz w:val="22"/>
          <w:szCs w:val="22"/>
        </w:rPr>
        <w:t>'</w:t>
      </w:r>
      <w:r w:rsidRPr="001826CA">
        <w:rPr>
          <w:rFonts w:ascii="Arial" w:hAnsi="Arial" w:cs="Arial"/>
          <w:sz w:val="22"/>
          <w:szCs w:val="22"/>
        </w:rPr>
        <w:t>s air quality standards. Deprived popula</w:t>
      </w:r>
      <w:r>
        <w:rPr>
          <w:rFonts w:ascii="Arial" w:hAnsi="Arial" w:cs="Arial"/>
          <w:sz w:val="22"/>
          <w:szCs w:val="22"/>
        </w:rPr>
        <w:t>tion</w:t>
      </w:r>
      <w:r w:rsidRPr="001826CA">
        <w:rPr>
          <w:rFonts w:ascii="Arial" w:hAnsi="Arial" w:cs="Arial"/>
          <w:sz w:val="22"/>
          <w:szCs w:val="22"/>
        </w:rPr>
        <w:t>s—especially in northern England—suffer from a strikingly lower life expectancy in the face of higher rates of chronic illness (Marmot et al., 2020</w:t>
      </w:r>
      <w:r w:rsidR="00891434">
        <w:rPr>
          <w:rFonts w:ascii="Arial" w:hAnsi="Arial" w:cs="Arial"/>
          <w:sz w:val="22"/>
          <w:szCs w:val="22"/>
        </w:rPr>
        <w:t>; Carlson et al., 2025</w:t>
      </w:r>
      <w:r w:rsidRPr="001826CA">
        <w:rPr>
          <w:rFonts w:ascii="Arial" w:hAnsi="Arial" w:cs="Arial"/>
          <w:sz w:val="22"/>
          <w:szCs w:val="22"/>
        </w:rPr>
        <w:t>).</w:t>
      </w:r>
    </w:p>
    <w:p w14:paraId="651B8D23" w14:textId="31E3CC8C"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Locally, Greater Manchester's Clean Air Plan and London's Ultra-Low Emission Zone show how targeted initiatives can simultaneously achieve environmental and health objectives. However, local authority implementation capacity varies significantly. Differences in funding, the stability of governance, and workforce competenc</w:t>
      </w:r>
      <w:r>
        <w:rPr>
          <w:rFonts w:ascii="Arial" w:hAnsi="Arial" w:cs="Arial"/>
          <w:sz w:val="22"/>
          <w:szCs w:val="22"/>
        </w:rPr>
        <w:t>i</w:t>
      </w:r>
      <w:r w:rsidRPr="001826CA">
        <w:rPr>
          <w:rFonts w:ascii="Arial" w:hAnsi="Arial" w:cs="Arial"/>
          <w:sz w:val="22"/>
          <w:szCs w:val="22"/>
        </w:rPr>
        <w:t xml:space="preserve">es underscore the startling inequities (OECD, 2022). Furthermore, community-level impacts are limited by the incoherent and largely passive </w:t>
      </w:r>
      <w:r w:rsidRPr="001826CA">
        <w:rPr>
          <w:rFonts w:ascii="Arial" w:hAnsi="Arial" w:cs="Arial"/>
          <w:sz w:val="22"/>
          <w:szCs w:val="22"/>
        </w:rPr>
        <w:lastRenderedPageBreak/>
        <w:t>behaviours of individuals and organisations within the community towards sustainability efforts (</w:t>
      </w:r>
      <w:r w:rsidR="00755449">
        <w:rPr>
          <w:rFonts w:ascii="Arial" w:hAnsi="Arial" w:cs="Arial"/>
          <w:sz w:val="22"/>
          <w:szCs w:val="22"/>
        </w:rPr>
        <w:t>HM Government, 2021</w:t>
      </w:r>
      <w:r w:rsidRPr="001826CA">
        <w:rPr>
          <w:rFonts w:ascii="Arial" w:hAnsi="Arial" w:cs="Arial"/>
          <w:sz w:val="22"/>
          <w:szCs w:val="22"/>
        </w:rPr>
        <w:t>).</w:t>
      </w:r>
      <w:r>
        <w:rPr>
          <w:rFonts w:ascii="Arial" w:hAnsi="Arial" w:cs="Arial"/>
          <w:sz w:val="22"/>
          <w:szCs w:val="22"/>
        </w:rPr>
        <w:t xml:space="preserve"> </w:t>
      </w:r>
    </w:p>
    <w:p w14:paraId="101322D3" w14:textId="50B30BF7"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Nonetheless, policy cohesion, investment in green healthcare facilities, and the integration of climate and health issues into public service training are balanced by pliable approaches to public policy in the UK. For instance, the more local and national systems work together on data, the more accountability and streamlined geographical approaches to intervention are possible. In light of the policy position, the UK government is seen to be moving in the right direction. However, moving forward will require comprehensive, equitable, and enduring approaches to sustainable health and environmental policy.</w:t>
      </w:r>
    </w:p>
    <w:p w14:paraId="2EA79AEF" w14:textId="08FF5453" w:rsidR="001826CA" w:rsidRPr="001826CA" w:rsidRDefault="001826CA" w:rsidP="001826CA">
      <w:pPr>
        <w:spacing w:before="240" w:after="0" w:line="360" w:lineRule="auto"/>
        <w:jc w:val="both"/>
        <w:rPr>
          <w:rFonts w:ascii="Arial" w:hAnsi="Arial" w:cs="Arial"/>
          <w:b/>
          <w:bCs/>
          <w:sz w:val="22"/>
          <w:szCs w:val="22"/>
        </w:rPr>
      </w:pPr>
      <w:r w:rsidRPr="001826CA">
        <w:rPr>
          <w:rFonts w:ascii="Arial" w:hAnsi="Arial" w:cs="Arial"/>
          <w:b/>
          <w:bCs/>
          <w:sz w:val="22"/>
          <w:szCs w:val="22"/>
        </w:rPr>
        <w:t>Recommendation</w:t>
      </w:r>
    </w:p>
    <w:p w14:paraId="765D59D4" w14:textId="44CAB099" w:rsidR="001826CA" w:rsidRPr="001826CA" w:rsidRDefault="001826CA" w:rsidP="001826CA">
      <w:pPr>
        <w:spacing w:before="240" w:after="0" w:line="360" w:lineRule="auto"/>
        <w:jc w:val="both"/>
        <w:rPr>
          <w:rFonts w:ascii="Arial" w:hAnsi="Arial" w:cs="Arial"/>
          <w:sz w:val="22"/>
          <w:szCs w:val="22"/>
        </w:rPr>
      </w:pPr>
      <w:r w:rsidRPr="001826CA">
        <w:rPr>
          <w:rFonts w:ascii="Arial" w:hAnsi="Arial" w:cs="Arial"/>
          <w:sz w:val="22"/>
          <w:szCs w:val="22"/>
        </w:rPr>
        <w:t>In order to enhance the integration and equity of initiatives pertaining to the health and well</w:t>
      </w:r>
      <w:r>
        <w:rPr>
          <w:rFonts w:ascii="Arial" w:hAnsi="Arial" w:cs="Arial"/>
          <w:sz w:val="22"/>
          <w:szCs w:val="22"/>
        </w:rPr>
        <w:t>-</w:t>
      </w:r>
      <w:r w:rsidRPr="001826CA">
        <w:rPr>
          <w:rFonts w:ascii="Arial" w:hAnsi="Arial" w:cs="Arial"/>
          <w:sz w:val="22"/>
          <w:szCs w:val="22"/>
        </w:rPr>
        <w:t>being of the population, as well as initiatives related to sustainable development, more can be done. Nationally, the UK ought to promote greater coherence by ensuring that health, climate, housing, and transport policies are unified and aligned. The unifying integration should be under a prevention-resilience-social justice sustainability framework. More sustainable healthcare facilities and infrastructure</w:t>
      </w:r>
      <w:r>
        <w:rPr>
          <w:rFonts w:ascii="Arial" w:hAnsi="Arial" w:cs="Arial"/>
          <w:sz w:val="22"/>
          <w:szCs w:val="22"/>
        </w:rPr>
        <w:t>,</w:t>
      </w:r>
      <w:r w:rsidRPr="001826CA">
        <w:rPr>
          <w:rFonts w:ascii="Arial" w:hAnsi="Arial" w:cs="Arial"/>
          <w:sz w:val="22"/>
          <w:szCs w:val="22"/>
        </w:rPr>
        <w:t xml:space="preserve"> such as the construction of energy-efficient hospitals, the implementation of green procurement systems, and the establishment of more digital health solutions</w:t>
      </w:r>
      <w:r>
        <w:rPr>
          <w:rFonts w:ascii="Arial" w:hAnsi="Arial" w:cs="Arial"/>
          <w:sz w:val="22"/>
          <w:szCs w:val="22"/>
        </w:rPr>
        <w:t>,</w:t>
      </w:r>
      <w:r w:rsidRPr="001826CA">
        <w:rPr>
          <w:rFonts w:ascii="Arial" w:hAnsi="Arial" w:cs="Arial"/>
          <w:sz w:val="22"/>
          <w:szCs w:val="22"/>
        </w:rPr>
        <w:t xml:space="preserve"> would be emissions</w:t>
      </w:r>
      <w:r>
        <w:rPr>
          <w:rFonts w:ascii="Arial" w:hAnsi="Arial" w:cs="Arial"/>
          <w:sz w:val="22"/>
          <w:szCs w:val="22"/>
        </w:rPr>
        <w:t>-</w:t>
      </w:r>
      <w:r w:rsidRPr="001826CA">
        <w:rPr>
          <w:rFonts w:ascii="Arial" w:hAnsi="Arial" w:cs="Arial"/>
          <w:sz w:val="22"/>
          <w:szCs w:val="22"/>
        </w:rPr>
        <w:t>reducing and service</w:t>
      </w:r>
      <w:r>
        <w:rPr>
          <w:rFonts w:ascii="Arial" w:hAnsi="Arial" w:cs="Arial"/>
          <w:sz w:val="22"/>
          <w:szCs w:val="22"/>
        </w:rPr>
        <w:t>-</w:t>
      </w:r>
      <w:r w:rsidRPr="001826CA">
        <w:rPr>
          <w:rFonts w:ascii="Arial" w:hAnsi="Arial" w:cs="Arial"/>
          <w:sz w:val="22"/>
          <w:szCs w:val="22"/>
        </w:rPr>
        <w:t>improving</w:t>
      </w:r>
      <w:r w:rsidR="00891434">
        <w:rPr>
          <w:rFonts w:ascii="Arial" w:hAnsi="Arial" w:cs="Arial"/>
          <w:sz w:val="22"/>
          <w:szCs w:val="22"/>
        </w:rPr>
        <w:t xml:space="preserve"> (Dodd et al., 2024; McHugh et al., 2024)</w:t>
      </w:r>
      <w:r w:rsidRPr="001826CA">
        <w:rPr>
          <w:rFonts w:ascii="Arial" w:hAnsi="Arial" w:cs="Arial"/>
          <w:sz w:val="22"/>
          <w:szCs w:val="22"/>
        </w:rPr>
        <w:t xml:space="preserve">. At the local level, dwindling local initiatives should promote community empowerment by participatory community decision-making, community co-production of health initiatives, and the activation of community climate-health projects. There would be more integrated practice if </w:t>
      </w:r>
      <w:r>
        <w:rPr>
          <w:rFonts w:ascii="Arial" w:hAnsi="Arial" w:cs="Arial"/>
          <w:sz w:val="22"/>
          <w:szCs w:val="22"/>
        </w:rPr>
        <w:t xml:space="preserve">the </w:t>
      </w:r>
      <w:r w:rsidRPr="001826CA">
        <w:rPr>
          <w:rFonts w:ascii="Arial" w:hAnsi="Arial" w:cs="Arial"/>
          <w:sz w:val="22"/>
          <w:szCs w:val="22"/>
        </w:rPr>
        <w:t xml:space="preserve">workforce and education systems </w:t>
      </w:r>
      <w:r>
        <w:rPr>
          <w:rFonts w:ascii="Arial" w:hAnsi="Arial" w:cs="Arial"/>
          <w:sz w:val="22"/>
          <w:szCs w:val="22"/>
        </w:rPr>
        <w:t>we</w:t>
      </w:r>
      <w:r w:rsidRPr="001826CA">
        <w:rPr>
          <w:rFonts w:ascii="Arial" w:hAnsi="Arial" w:cs="Arial"/>
          <w:sz w:val="22"/>
          <w:szCs w:val="22"/>
        </w:rPr>
        <w:t>re strengthened with skills and practices around civilization, climate change, and the equity of health. The alignment of frivolous health and earth indicators to assess results would increase accountability. These initiatives would bring coherence and cohesive inclusivity to the UK</w:t>
      </w:r>
      <w:r>
        <w:rPr>
          <w:rFonts w:ascii="Arial" w:hAnsi="Arial" w:cs="Arial"/>
          <w:sz w:val="22"/>
          <w:szCs w:val="22"/>
        </w:rPr>
        <w:t>'</w:t>
      </w:r>
      <w:r w:rsidRPr="001826CA">
        <w:rPr>
          <w:rFonts w:ascii="Arial" w:hAnsi="Arial" w:cs="Arial"/>
          <w:sz w:val="22"/>
          <w:szCs w:val="22"/>
        </w:rPr>
        <w:t>s actions regarding health, well</w:t>
      </w:r>
      <w:r>
        <w:rPr>
          <w:rFonts w:ascii="Arial" w:hAnsi="Arial" w:cs="Arial"/>
          <w:sz w:val="22"/>
          <w:szCs w:val="22"/>
        </w:rPr>
        <w:t>-</w:t>
      </w:r>
      <w:r w:rsidRPr="001826CA">
        <w:rPr>
          <w:rFonts w:ascii="Arial" w:hAnsi="Arial" w:cs="Arial"/>
          <w:sz w:val="22"/>
          <w:szCs w:val="22"/>
        </w:rPr>
        <w:t>being, and its development.</w:t>
      </w:r>
    </w:p>
    <w:p w14:paraId="5E12C50F" w14:textId="6AA82C29" w:rsidR="001826CA" w:rsidRPr="001826CA" w:rsidRDefault="001826CA" w:rsidP="001826CA">
      <w:pPr>
        <w:spacing w:before="240" w:after="0" w:line="360" w:lineRule="auto"/>
        <w:jc w:val="both"/>
        <w:rPr>
          <w:rFonts w:ascii="Arial" w:hAnsi="Arial" w:cs="Arial"/>
          <w:b/>
          <w:bCs/>
          <w:sz w:val="22"/>
          <w:szCs w:val="22"/>
        </w:rPr>
      </w:pPr>
      <w:r w:rsidRPr="001826CA">
        <w:rPr>
          <w:rFonts w:ascii="Arial" w:hAnsi="Arial" w:cs="Arial"/>
          <w:b/>
          <w:bCs/>
          <w:sz w:val="22"/>
          <w:szCs w:val="22"/>
        </w:rPr>
        <w:t>Conclusion</w:t>
      </w:r>
    </w:p>
    <w:p w14:paraId="111EB348" w14:textId="26084998" w:rsidR="001826CA" w:rsidRPr="001826CA" w:rsidRDefault="001826CA" w:rsidP="001826CA">
      <w:pPr>
        <w:spacing w:before="240" w:after="0" w:line="360" w:lineRule="auto"/>
        <w:jc w:val="both"/>
        <w:rPr>
          <w:rFonts w:ascii="Arial" w:hAnsi="Arial" w:cs="Arial"/>
          <w:sz w:val="22"/>
          <w:szCs w:val="22"/>
        </w:rPr>
      </w:pPr>
      <w:r>
        <w:rPr>
          <w:rFonts w:ascii="Arial" w:hAnsi="Arial" w:cs="Arial"/>
          <w:sz w:val="22"/>
          <w:szCs w:val="22"/>
        </w:rPr>
        <w:t>In conclusion,</w:t>
      </w:r>
      <w:r w:rsidRPr="001826CA">
        <w:rPr>
          <w:rFonts w:ascii="Arial" w:hAnsi="Arial" w:cs="Arial"/>
          <w:sz w:val="22"/>
          <w:szCs w:val="22"/>
        </w:rPr>
        <w:t xml:space="preserve"> it is </w:t>
      </w:r>
      <w:r>
        <w:rPr>
          <w:rFonts w:ascii="Arial" w:hAnsi="Arial" w:cs="Arial"/>
          <w:sz w:val="22"/>
          <w:szCs w:val="22"/>
        </w:rPr>
        <w:t>essential</w:t>
      </w:r>
      <w:r w:rsidRPr="001826CA">
        <w:rPr>
          <w:rFonts w:ascii="Arial" w:hAnsi="Arial" w:cs="Arial"/>
          <w:sz w:val="22"/>
          <w:szCs w:val="22"/>
        </w:rPr>
        <w:t xml:space="preserve"> to note that Goals 3 and 13 are linked because the health of the population is greatly influenced by the health of the environment. The UK has made considerable advancements to the Net Zero Strategy and the Greener NHS Plan; however, developing both goals </w:t>
      </w:r>
      <w:r>
        <w:rPr>
          <w:rFonts w:ascii="Arial" w:hAnsi="Arial" w:cs="Arial"/>
          <w:sz w:val="22"/>
          <w:szCs w:val="22"/>
        </w:rPr>
        <w:t>entire</w:t>
      </w:r>
      <w:r w:rsidRPr="001826CA">
        <w:rPr>
          <w:rFonts w:ascii="Arial" w:hAnsi="Arial" w:cs="Arial"/>
          <w:sz w:val="22"/>
          <w:szCs w:val="22"/>
        </w:rPr>
        <w:t xml:space="preserve">ly </w:t>
      </w:r>
      <w:r>
        <w:rPr>
          <w:rFonts w:ascii="Arial" w:hAnsi="Arial" w:cs="Arial"/>
          <w:sz w:val="22"/>
          <w:szCs w:val="22"/>
        </w:rPr>
        <w:t>ha</w:t>
      </w:r>
      <w:r w:rsidRPr="001826CA">
        <w:rPr>
          <w:rFonts w:ascii="Arial" w:hAnsi="Arial" w:cs="Arial"/>
          <w:sz w:val="22"/>
          <w:szCs w:val="22"/>
        </w:rPr>
        <w:t xml:space="preserve">s stagnated due to unequal resources and the </w:t>
      </w:r>
      <w:r>
        <w:rPr>
          <w:rFonts w:ascii="Arial" w:hAnsi="Arial" w:cs="Arial"/>
          <w:sz w:val="22"/>
          <w:szCs w:val="22"/>
        </w:rPr>
        <w:t>un</w:t>
      </w:r>
      <w:r w:rsidRPr="001826CA">
        <w:rPr>
          <w:rFonts w:ascii="Arial" w:hAnsi="Arial" w:cs="Arial"/>
          <w:sz w:val="22"/>
          <w:szCs w:val="22"/>
        </w:rPr>
        <w:t xml:space="preserve">availability of funds. Although there has been progress in the integration of policies, improved collaboration, particularly at the </w:t>
      </w:r>
      <w:r w:rsidRPr="001826CA">
        <w:rPr>
          <w:rFonts w:ascii="Arial" w:hAnsi="Arial" w:cs="Arial"/>
          <w:sz w:val="22"/>
          <w:szCs w:val="22"/>
        </w:rPr>
        <w:lastRenderedPageBreak/>
        <w:t>grassroots level, is necessary, as is the integration of resources and direct collaboration with the communities. Meeting Goals 3 and 13 will, ultimately, guarantee the well</w:t>
      </w:r>
      <w:r>
        <w:rPr>
          <w:rFonts w:ascii="Arial" w:hAnsi="Arial" w:cs="Arial"/>
          <w:sz w:val="22"/>
          <w:szCs w:val="22"/>
        </w:rPr>
        <w:t>-</w:t>
      </w:r>
      <w:r w:rsidRPr="001826CA">
        <w:rPr>
          <w:rFonts w:ascii="Arial" w:hAnsi="Arial" w:cs="Arial"/>
          <w:sz w:val="22"/>
          <w:szCs w:val="22"/>
        </w:rPr>
        <w:t>being of the people and create a viable future that is equitable to all.</w:t>
      </w:r>
    </w:p>
    <w:p w14:paraId="3506D3E7" w14:textId="77777777" w:rsidR="00BB21AE" w:rsidRDefault="00BB21AE" w:rsidP="001826CA">
      <w:pPr>
        <w:spacing w:before="240" w:after="0" w:line="360" w:lineRule="auto"/>
        <w:jc w:val="both"/>
        <w:rPr>
          <w:rFonts w:ascii="Arial" w:hAnsi="Arial" w:cs="Arial"/>
          <w:sz w:val="22"/>
          <w:szCs w:val="22"/>
        </w:rPr>
      </w:pPr>
    </w:p>
    <w:p w14:paraId="0FD88145" w14:textId="77777777" w:rsidR="00175651" w:rsidRDefault="00175651" w:rsidP="001826CA">
      <w:pPr>
        <w:spacing w:before="240" w:after="0" w:line="360" w:lineRule="auto"/>
        <w:jc w:val="both"/>
        <w:rPr>
          <w:rFonts w:ascii="Arial" w:hAnsi="Arial" w:cs="Arial"/>
          <w:sz w:val="22"/>
          <w:szCs w:val="22"/>
        </w:rPr>
      </w:pPr>
    </w:p>
    <w:p w14:paraId="573B176E" w14:textId="77777777" w:rsidR="00731C1F" w:rsidRDefault="00731C1F" w:rsidP="001826CA">
      <w:pPr>
        <w:spacing w:before="240" w:after="0" w:line="360" w:lineRule="auto"/>
        <w:jc w:val="both"/>
        <w:rPr>
          <w:rFonts w:ascii="Arial" w:hAnsi="Arial" w:cs="Arial"/>
          <w:sz w:val="22"/>
          <w:szCs w:val="22"/>
        </w:rPr>
      </w:pPr>
    </w:p>
    <w:p w14:paraId="15EA0DB4" w14:textId="77777777" w:rsidR="00731C1F" w:rsidRDefault="00731C1F" w:rsidP="001826CA">
      <w:pPr>
        <w:spacing w:before="240" w:after="0" w:line="360" w:lineRule="auto"/>
        <w:jc w:val="both"/>
        <w:rPr>
          <w:rFonts w:ascii="Arial" w:hAnsi="Arial" w:cs="Arial"/>
          <w:sz w:val="22"/>
          <w:szCs w:val="22"/>
        </w:rPr>
      </w:pPr>
    </w:p>
    <w:p w14:paraId="134E1B5A" w14:textId="77777777" w:rsidR="00731C1F" w:rsidRDefault="00731C1F" w:rsidP="001826CA">
      <w:pPr>
        <w:spacing w:before="240" w:after="0" w:line="360" w:lineRule="auto"/>
        <w:jc w:val="both"/>
        <w:rPr>
          <w:rFonts w:ascii="Arial" w:hAnsi="Arial" w:cs="Arial"/>
          <w:sz w:val="22"/>
          <w:szCs w:val="22"/>
        </w:rPr>
      </w:pPr>
    </w:p>
    <w:p w14:paraId="50A52DE0" w14:textId="77777777" w:rsidR="00731C1F" w:rsidRDefault="00731C1F" w:rsidP="001826CA">
      <w:pPr>
        <w:spacing w:before="240" w:after="0" w:line="360" w:lineRule="auto"/>
        <w:jc w:val="both"/>
        <w:rPr>
          <w:rFonts w:ascii="Arial" w:hAnsi="Arial" w:cs="Arial"/>
          <w:sz w:val="22"/>
          <w:szCs w:val="22"/>
        </w:rPr>
      </w:pPr>
    </w:p>
    <w:p w14:paraId="382A27B8" w14:textId="77777777" w:rsidR="00731C1F" w:rsidRDefault="00731C1F" w:rsidP="001826CA">
      <w:pPr>
        <w:spacing w:before="240" w:after="0" w:line="360" w:lineRule="auto"/>
        <w:jc w:val="both"/>
        <w:rPr>
          <w:rFonts w:ascii="Arial" w:hAnsi="Arial" w:cs="Arial"/>
          <w:sz w:val="22"/>
          <w:szCs w:val="22"/>
        </w:rPr>
      </w:pPr>
    </w:p>
    <w:p w14:paraId="488B7437" w14:textId="77777777" w:rsidR="00731C1F" w:rsidRDefault="00731C1F" w:rsidP="001826CA">
      <w:pPr>
        <w:spacing w:before="240" w:after="0" w:line="360" w:lineRule="auto"/>
        <w:jc w:val="both"/>
        <w:rPr>
          <w:rFonts w:ascii="Arial" w:hAnsi="Arial" w:cs="Arial"/>
          <w:sz w:val="22"/>
          <w:szCs w:val="22"/>
        </w:rPr>
      </w:pPr>
    </w:p>
    <w:p w14:paraId="07061420" w14:textId="77777777" w:rsidR="00731C1F" w:rsidRDefault="00731C1F" w:rsidP="001826CA">
      <w:pPr>
        <w:spacing w:before="240" w:after="0" w:line="360" w:lineRule="auto"/>
        <w:jc w:val="both"/>
        <w:rPr>
          <w:rFonts w:ascii="Arial" w:hAnsi="Arial" w:cs="Arial"/>
          <w:sz w:val="22"/>
          <w:szCs w:val="22"/>
        </w:rPr>
      </w:pPr>
    </w:p>
    <w:p w14:paraId="7334AC1E" w14:textId="77777777" w:rsidR="00731C1F" w:rsidRDefault="00731C1F" w:rsidP="001826CA">
      <w:pPr>
        <w:spacing w:before="240" w:after="0" w:line="360" w:lineRule="auto"/>
        <w:jc w:val="both"/>
        <w:rPr>
          <w:rFonts w:ascii="Arial" w:hAnsi="Arial" w:cs="Arial"/>
          <w:sz w:val="22"/>
          <w:szCs w:val="22"/>
        </w:rPr>
      </w:pPr>
    </w:p>
    <w:p w14:paraId="2FB755C0" w14:textId="77777777" w:rsidR="00731C1F" w:rsidRDefault="00731C1F" w:rsidP="001826CA">
      <w:pPr>
        <w:spacing w:before="240" w:after="0" w:line="360" w:lineRule="auto"/>
        <w:jc w:val="both"/>
        <w:rPr>
          <w:rFonts w:ascii="Arial" w:hAnsi="Arial" w:cs="Arial"/>
          <w:sz w:val="22"/>
          <w:szCs w:val="22"/>
        </w:rPr>
      </w:pPr>
    </w:p>
    <w:p w14:paraId="5F1C7A3B" w14:textId="77777777" w:rsidR="00731C1F" w:rsidRDefault="00731C1F" w:rsidP="001826CA">
      <w:pPr>
        <w:spacing w:before="240" w:after="0" w:line="360" w:lineRule="auto"/>
        <w:jc w:val="both"/>
        <w:rPr>
          <w:rFonts w:ascii="Arial" w:hAnsi="Arial" w:cs="Arial"/>
          <w:sz w:val="22"/>
          <w:szCs w:val="22"/>
        </w:rPr>
      </w:pPr>
    </w:p>
    <w:p w14:paraId="30F89B67" w14:textId="477561E4" w:rsidR="00731C1F" w:rsidRPr="00731C1F" w:rsidRDefault="00731C1F" w:rsidP="00731C1F">
      <w:pPr>
        <w:spacing w:before="240" w:after="0" w:line="360" w:lineRule="auto"/>
        <w:jc w:val="both"/>
        <w:rPr>
          <w:rFonts w:ascii="Arial" w:hAnsi="Arial" w:cs="Arial"/>
          <w:b/>
          <w:bCs/>
          <w:sz w:val="22"/>
          <w:szCs w:val="22"/>
        </w:rPr>
      </w:pPr>
      <w:r w:rsidRPr="00731C1F">
        <w:rPr>
          <w:rFonts w:ascii="Arial" w:hAnsi="Arial" w:cs="Arial"/>
          <w:b/>
          <w:bCs/>
          <w:sz w:val="22"/>
          <w:szCs w:val="22"/>
        </w:rPr>
        <w:t>References</w:t>
      </w:r>
    </w:p>
    <w:p w14:paraId="4C6E9B7A"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Ansah, E.W., </w:t>
      </w:r>
      <w:proofErr w:type="spellStart"/>
      <w:r w:rsidRPr="00731C1F">
        <w:rPr>
          <w:rFonts w:ascii="Arial" w:hAnsi="Arial" w:cs="Arial"/>
          <w:sz w:val="22"/>
          <w:szCs w:val="22"/>
        </w:rPr>
        <w:t>Amoadu</w:t>
      </w:r>
      <w:proofErr w:type="spellEnd"/>
      <w:r w:rsidRPr="00731C1F">
        <w:rPr>
          <w:rFonts w:ascii="Arial" w:hAnsi="Arial" w:cs="Arial"/>
          <w:sz w:val="22"/>
          <w:szCs w:val="22"/>
        </w:rPr>
        <w:t xml:space="preserve">, M., Obeng, P. and Sarfo, J. O. (2024) ‘Health systems response to climate change adaptation: a scoping review of global evidence’, </w:t>
      </w:r>
      <w:r w:rsidRPr="00731C1F">
        <w:rPr>
          <w:rStyle w:val="Emphasis"/>
          <w:rFonts w:ascii="Arial" w:eastAsiaTheme="majorEastAsia" w:hAnsi="Arial" w:cs="Arial"/>
          <w:sz w:val="22"/>
          <w:szCs w:val="22"/>
        </w:rPr>
        <w:t xml:space="preserve">BMC Public Health, </w:t>
      </w:r>
      <w:r w:rsidRPr="00731C1F">
        <w:rPr>
          <w:rStyle w:val="Emphasis"/>
          <w:rFonts w:ascii="Arial" w:eastAsiaTheme="majorEastAsia" w:hAnsi="Arial" w:cs="Arial"/>
          <w:i w:val="0"/>
          <w:iCs w:val="0"/>
          <w:sz w:val="22"/>
          <w:szCs w:val="22"/>
        </w:rPr>
        <w:t>24(2015)</w:t>
      </w:r>
      <w:r w:rsidRPr="00731C1F">
        <w:rPr>
          <w:rFonts w:ascii="Arial" w:hAnsi="Arial" w:cs="Arial"/>
          <w:sz w:val="22"/>
          <w:szCs w:val="22"/>
        </w:rPr>
        <w:t xml:space="preserve">. Available at: </w:t>
      </w:r>
      <w:hyperlink r:id="rId4" w:history="1">
        <w:r w:rsidRPr="00731C1F">
          <w:rPr>
            <w:rStyle w:val="Hyperlink"/>
          </w:rPr>
          <w:t>https://doi.org/10.1186/s12889-024-19459-w</w:t>
        </w:r>
      </w:hyperlink>
      <w:r w:rsidRPr="00731C1F">
        <w:t xml:space="preserve"> </w:t>
      </w:r>
    </w:p>
    <w:p w14:paraId="4A4F8816"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Bennett, N.C., Norman, P., Albani, V., Kingston, A. and Bambra, C. (2024) ‘Impact of the English national health inequalities strategy on inequalities in mortality at age 65: a time-trend analysis’, </w:t>
      </w:r>
      <w:r w:rsidRPr="00731C1F">
        <w:rPr>
          <w:rStyle w:val="Emphasis"/>
          <w:rFonts w:ascii="Arial" w:eastAsiaTheme="majorEastAsia" w:hAnsi="Arial" w:cs="Arial"/>
          <w:sz w:val="22"/>
          <w:szCs w:val="22"/>
        </w:rPr>
        <w:t xml:space="preserve">European Journal of Public Health, </w:t>
      </w:r>
      <w:r w:rsidRPr="00731C1F">
        <w:rPr>
          <w:rStyle w:val="Emphasis"/>
          <w:rFonts w:ascii="Arial" w:eastAsiaTheme="majorEastAsia" w:hAnsi="Arial" w:cs="Arial"/>
          <w:i w:val="0"/>
          <w:iCs w:val="0"/>
          <w:sz w:val="22"/>
          <w:szCs w:val="22"/>
        </w:rPr>
        <w:t>34(4), pp. 660-665</w:t>
      </w:r>
      <w:r w:rsidRPr="00731C1F">
        <w:rPr>
          <w:rFonts w:ascii="Arial" w:hAnsi="Arial" w:cs="Arial"/>
          <w:sz w:val="22"/>
          <w:szCs w:val="22"/>
        </w:rPr>
        <w:t xml:space="preserve">. Available at: </w:t>
      </w:r>
      <w:hyperlink r:id="rId5" w:history="1">
        <w:r w:rsidRPr="00731C1F">
          <w:rPr>
            <w:rStyle w:val="Hyperlink"/>
          </w:rPr>
          <w:t>https://doi.org/10.1093/eurpub/ckae081</w:t>
        </w:r>
      </w:hyperlink>
      <w:r w:rsidRPr="00731C1F">
        <w:t xml:space="preserve"> </w:t>
      </w:r>
    </w:p>
    <w:p w14:paraId="68249BFE" w14:textId="77777777" w:rsidR="00731C1F" w:rsidRPr="00731C1F" w:rsidRDefault="00731C1F" w:rsidP="00731C1F">
      <w:pPr>
        <w:spacing w:before="240" w:after="0" w:line="360" w:lineRule="auto"/>
        <w:jc w:val="both"/>
        <w:rPr>
          <w:rFonts w:ascii="Arial" w:hAnsi="Arial" w:cs="Arial"/>
          <w:sz w:val="22"/>
          <w:szCs w:val="22"/>
        </w:rPr>
      </w:pPr>
      <w:r w:rsidRPr="00731C1F">
        <w:rPr>
          <w:rFonts w:ascii="Arial" w:hAnsi="Arial" w:cs="Arial"/>
          <w:sz w:val="22"/>
          <w:szCs w:val="22"/>
        </w:rPr>
        <w:lastRenderedPageBreak/>
        <w:t xml:space="preserve">Broster, S. and Terzano, K. (2025) ‘A systematic review of the pollution and health impacts of low emission zones’, </w:t>
      </w:r>
      <w:r w:rsidRPr="00731C1F">
        <w:rPr>
          <w:rFonts w:ascii="Arial" w:hAnsi="Arial" w:cs="Arial"/>
          <w:i/>
          <w:iCs/>
          <w:sz w:val="22"/>
          <w:szCs w:val="22"/>
        </w:rPr>
        <w:t xml:space="preserve">Case Studies on Transport Policy, </w:t>
      </w:r>
      <w:r w:rsidRPr="00731C1F">
        <w:rPr>
          <w:rFonts w:ascii="Arial" w:hAnsi="Arial" w:cs="Arial"/>
          <w:sz w:val="22"/>
          <w:szCs w:val="22"/>
        </w:rPr>
        <w:t xml:space="preserve">19 (March) article 101340. Available at: </w:t>
      </w:r>
      <w:hyperlink r:id="rId6" w:history="1">
        <w:r w:rsidRPr="00731C1F">
          <w:rPr>
            <w:rStyle w:val="Hyperlink"/>
            <w:rFonts w:ascii="Arial" w:hAnsi="Arial" w:cs="Arial"/>
            <w:sz w:val="22"/>
            <w:szCs w:val="22"/>
          </w:rPr>
          <w:t>https://doi.org/10.1016/j.cstp.2024.101340</w:t>
        </w:r>
      </w:hyperlink>
    </w:p>
    <w:p w14:paraId="5F813D9B"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Carlson, C.J., Mitchell, D., Gibb, R., Stuart-Smith, R. F., Carleton, T., Lavelle, T. E., Lippi, C. A., Lukas-Sithole, M., North, M. A., Ryan, S. J., Shumba, D. S., </w:t>
      </w:r>
      <w:proofErr w:type="spellStart"/>
      <w:r w:rsidRPr="00731C1F">
        <w:rPr>
          <w:rFonts w:ascii="Arial" w:hAnsi="Arial" w:cs="Arial"/>
          <w:sz w:val="22"/>
          <w:szCs w:val="22"/>
        </w:rPr>
        <w:t>Chersich</w:t>
      </w:r>
      <w:proofErr w:type="spellEnd"/>
      <w:r w:rsidRPr="00731C1F">
        <w:rPr>
          <w:rFonts w:ascii="Arial" w:hAnsi="Arial" w:cs="Arial"/>
          <w:sz w:val="22"/>
          <w:szCs w:val="22"/>
        </w:rPr>
        <w:t xml:space="preserve">, M., New, M. and </w:t>
      </w:r>
      <w:proofErr w:type="spellStart"/>
      <w:r w:rsidRPr="00731C1F">
        <w:rPr>
          <w:rFonts w:ascii="Arial" w:hAnsi="Arial" w:cs="Arial"/>
          <w:sz w:val="22"/>
          <w:szCs w:val="22"/>
        </w:rPr>
        <w:t>Trisos</w:t>
      </w:r>
      <w:proofErr w:type="spellEnd"/>
      <w:r w:rsidRPr="00731C1F">
        <w:rPr>
          <w:rFonts w:ascii="Arial" w:hAnsi="Arial" w:cs="Arial"/>
          <w:sz w:val="22"/>
          <w:szCs w:val="22"/>
        </w:rPr>
        <w:t xml:space="preserve">, C. H. (2025) ‘Health losses attributed to anthropogenic climate change’, </w:t>
      </w:r>
      <w:r w:rsidRPr="00731C1F">
        <w:rPr>
          <w:rStyle w:val="Emphasis"/>
          <w:rFonts w:ascii="Arial" w:eastAsiaTheme="majorEastAsia" w:hAnsi="Arial" w:cs="Arial"/>
          <w:sz w:val="22"/>
          <w:szCs w:val="22"/>
        </w:rPr>
        <w:t xml:space="preserve">Nature Climate Change, </w:t>
      </w:r>
      <w:r w:rsidRPr="00731C1F">
        <w:rPr>
          <w:rStyle w:val="Emphasis"/>
          <w:rFonts w:ascii="Arial" w:eastAsiaTheme="majorEastAsia" w:hAnsi="Arial" w:cs="Arial"/>
          <w:i w:val="0"/>
          <w:iCs w:val="0"/>
          <w:sz w:val="22"/>
          <w:szCs w:val="22"/>
        </w:rPr>
        <w:t>15, pp.1052-1055</w:t>
      </w:r>
      <w:r w:rsidRPr="00731C1F">
        <w:rPr>
          <w:rFonts w:ascii="Arial" w:hAnsi="Arial" w:cs="Arial"/>
          <w:sz w:val="22"/>
          <w:szCs w:val="22"/>
        </w:rPr>
        <w:t xml:space="preserve">. Available at: </w:t>
      </w:r>
      <w:hyperlink r:id="rId7" w:history="1">
        <w:r w:rsidRPr="00731C1F">
          <w:rPr>
            <w:rStyle w:val="Hyperlink"/>
          </w:rPr>
          <w:t>https://doi.org/10.1038/s41558-025-02399-7</w:t>
        </w:r>
      </w:hyperlink>
      <w:r w:rsidRPr="00731C1F">
        <w:t xml:space="preserve"> </w:t>
      </w:r>
    </w:p>
    <w:p w14:paraId="7C255772"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Climate Change Committee (2023) </w:t>
      </w:r>
      <w:r w:rsidRPr="00731C1F">
        <w:rPr>
          <w:rStyle w:val="Emphasis"/>
          <w:rFonts w:ascii="Arial" w:eastAsiaTheme="majorEastAsia" w:hAnsi="Arial" w:cs="Arial"/>
          <w:sz w:val="22"/>
          <w:szCs w:val="22"/>
        </w:rPr>
        <w:t>Progress in Reducing UK Emissions: 2023 Report to Parliament</w:t>
      </w:r>
      <w:r w:rsidRPr="00731C1F">
        <w:rPr>
          <w:rFonts w:ascii="Arial" w:hAnsi="Arial" w:cs="Arial"/>
          <w:sz w:val="22"/>
          <w:szCs w:val="22"/>
        </w:rPr>
        <w:t xml:space="preserve">. Available at: </w:t>
      </w:r>
      <w:hyperlink r:id="rId8" w:history="1">
        <w:r w:rsidRPr="00731C1F">
          <w:rPr>
            <w:rStyle w:val="Hyperlink"/>
            <w:rFonts w:ascii="Arial" w:hAnsi="Arial" w:cs="Arial"/>
            <w:sz w:val="22"/>
            <w:szCs w:val="22"/>
          </w:rPr>
          <w:t>https://www.theccc.org.uk/wp-content/uploads/2023/06/Progress-in-reducing-UK-emissions-2023-Report-to-Parliament-1.pdf</w:t>
        </w:r>
      </w:hyperlink>
      <w:r w:rsidRPr="00731C1F">
        <w:rPr>
          <w:rFonts w:ascii="Arial" w:hAnsi="Arial" w:cs="Arial"/>
          <w:sz w:val="22"/>
          <w:szCs w:val="22"/>
        </w:rPr>
        <w:t xml:space="preserve"> (Accessed 26th October 2025).</w:t>
      </w:r>
    </w:p>
    <w:p w14:paraId="3F989F15"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Cooke, E., </w:t>
      </w:r>
      <w:proofErr w:type="spellStart"/>
      <w:r w:rsidRPr="00731C1F">
        <w:rPr>
          <w:rFonts w:ascii="Arial" w:hAnsi="Arial" w:cs="Arial"/>
          <w:sz w:val="22"/>
          <w:szCs w:val="22"/>
        </w:rPr>
        <w:t>Cussans</w:t>
      </w:r>
      <w:proofErr w:type="spellEnd"/>
      <w:r w:rsidRPr="00731C1F">
        <w:rPr>
          <w:rFonts w:ascii="Arial" w:hAnsi="Arial" w:cs="Arial"/>
          <w:sz w:val="22"/>
          <w:szCs w:val="22"/>
        </w:rPr>
        <w:t xml:space="preserve">, A., Clack, A. and Cornford, C. (2022) ‘Climate change and health scorecard: What </w:t>
      </w:r>
      <w:proofErr w:type="gramStart"/>
      <w:r w:rsidRPr="00731C1F">
        <w:rPr>
          <w:rFonts w:ascii="Arial" w:hAnsi="Arial" w:cs="Arial"/>
          <w:sz w:val="22"/>
          <w:szCs w:val="22"/>
        </w:rPr>
        <w:t>are</w:t>
      </w:r>
      <w:proofErr w:type="gramEnd"/>
      <w:r w:rsidRPr="00731C1F">
        <w:rPr>
          <w:rFonts w:ascii="Arial" w:hAnsi="Arial" w:cs="Arial"/>
          <w:sz w:val="22"/>
          <w:szCs w:val="22"/>
        </w:rPr>
        <w:t xml:space="preserve"> UK professional and regulatory health organizations doing to tackle the climate and ecological emergency?’, </w:t>
      </w:r>
      <w:r w:rsidRPr="00731C1F">
        <w:rPr>
          <w:rStyle w:val="Emphasis"/>
          <w:rFonts w:ascii="Arial" w:eastAsiaTheme="majorEastAsia" w:hAnsi="Arial" w:cs="Arial"/>
          <w:sz w:val="22"/>
          <w:szCs w:val="22"/>
        </w:rPr>
        <w:t xml:space="preserve">The Journal of Climate Change and Health, </w:t>
      </w:r>
      <w:r w:rsidRPr="00731C1F">
        <w:rPr>
          <w:rStyle w:val="Emphasis"/>
          <w:rFonts w:ascii="Arial" w:eastAsiaTheme="majorEastAsia" w:hAnsi="Arial" w:cs="Arial"/>
          <w:i w:val="0"/>
          <w:iCs w:val="0"/>
          <w:sz w:val="22"/>
          <w:szCs w:val="22"/>
        </w:rPr>
        <w:t>8 (October) article 100164</w:t>
      </w:r>
      <w:r w:rsidRPr="00731C1F">
        <w:rPr>
          <w:rFonts w:ascii="Arial" w:hAnsi="Arial" w:cs="Arial"/>
          <w:sz w:val="22"/>
          <w:szCs w:val="22"/>
        </w:rPr>
        <w:t>. Available at:</w:t>
      </w:r>
      <w:r w:rsidRPr="00731C1F">
        <w:t xml:space="preserve"> </w:t>
      </w:r>
      <w:hyperlink r:id="rId9" w:history="1">
        <w:r w:rsidRPr="00731C1F">
          <w:rPr>
            <w:rStyle w:val="Hyperlink"/>
          </w:rPr>
          <w:t>https://doi.org/10.1016/j.joclim.2022.100164</w:t>
        </w:r>
      </w:hyperlink>
      <w:r w:rsidRPr="00731C1F">
        <w:t xml:space="preserve"> </w:t>
      </w:r>
    </w:p>
    <w:p w14:paraId="5D1BCD68"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Dodd, S., Kragh-Furbo, M., Davies, J., Butterfield, S., Morris, A. and Brown, H. (2024) ‘Health impacts of climate change in the UK: A qualitative synthesis detailing the conjuncture of social structure, extreme weather and mental health’, </w:t>
      </w:r>
      <w:r w:rsidRPr="00731C1F">
        <w:rPr>
          <w:rStyle w:val="Emphasis"/>
          <w:rFonts w:ascii="Arial" w:eastAsiaTheme="majorEastAsia" w:hAnsi="Arial" w:cs="Arial"/>
          <w:sz w:val="22"/>
          <w:szCs w:val="22"/>
        </w:rPr>
        <w:t xml:space="preserve">SSM – Qualitative Research in Health, </w:t>
      </w:r>
      <w:r w:rsidRPr="00731C1F">
        <w:rPr>
          <w:rStyle w:val="Emphasis"/>
          <w:rFonts w:ascii="Arial" w:eastAsiaTheme="majorEastAsia" w:hAnsi="Arial" w:cs="Arial"/>
          <w:i w:val="0"/>
          <w:iCs w:val="0"/>
          <w:sz w:val="22"/>
          <w:szCs w:val="22"/>
        </w:rPr>
        <w:t xml:space="preserve">6 (December) </w:t>
      </w:r>
      <w:proofErr w:type="gramStart"/>
      <w:r w:rsidRPr="00731C1F">
        <w:rPr>
          <w:rStyle w:val="Emphasis"/>
          <w:rFonts w:ascii="Arial" w:eastAsiaTheme="majorEastAsia" w:hAnsi="Arial" w:cs="Arial"/>
          <w:i w:val="0"/>
          <w:iCs w:val="0"/>
          <w:sz w:val="22"/>
          <w:szCs w:val="22"/>
        </w:rPr>
        <w:t>article</w:t>
      </w:r>
      <w:proofErr w:type="gramEnd"/>
      <w:r w:rsidRPr="00731C1F">
        <w:rPr>
          <w:rStyle w:val="Emphasis"/>
          <w:rFonts w:ascii="Arial" w:eastAsiaTheme="majorEastAsia" w:hAnsi="Arial" w:cs="Arial"/>
          <w:i w:val="0"/>
          <w:iCs w:val="0"/>
          <w:sz w:val="22"/>
          <w:szCs w:val="22"/>
        </w:rPr>
        <w:t>, 100475</w:t>
      </w:r>
      <w:r w:rsidRPr="00731C1F">
        <w:rPr>
          <w:rFonts w:ascii="Arial" w:hAnsi="Arial" w:cs="Arial"/>
          <w:sz w:val="22"/>
          <w:szCs w:val="22"/>
        </w:rPr>
        <w:t xml:space="preserve">. Available at: </w:t>
      </w:r>
      <w:hyperlink r:id="rId10" w:history="1">
        <w:r w:rsidRPr="00731C1F">
          <w:rPr>
            <w:rStyle w:val="Hyperlink"/>
          </w:rPr>
          <w:t>https://doi.org/10.1016/j.ssmqr.2024.100475</w:t>
        </w:r>
      </w:hyperlink>
      <w:r w:rsidRPr="00731C1F">
        <w:t xml:space="preserve"> </w:t>
      </w:r>
    </w:p>
    <w:p w14:paraId="0EA3F463"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Duarte-Davidson, R., Gillingham, E. L., </w:t>
      </w:r>
      <w:proofErr w:type="spellStart"/>
      <w:r w:rsidRPr="00731C1F">
        <w:rPr>
          <w:rFonts w:ascii="Arial" w:hAnsi="Arial" w:cs="Arial"/>
          <w:sz w:val="22"/>
          <w:szCs w:val="22"/>
        </w:rPr>
        <w:t>Phalkey</w:t>
      </w:r>
      <w:proofErr w:type="spellEnd"/>
      <w:r w:rsidRPr="00731C1F">
        <w:rPr>
          <w:rFonts w:ascii="Arial" w:hAnsi="Arial" w:cs="Arial"/>
          <w:sz w:val="22"/>
          <w:szCs w:val="22"/>
        </w:rPr>
        <w:t xml:space="preserve">, R. and </w:t>
      </w:r>
      <w:proofErr w:type="spellStart"/>
      <w:r w:rsidRPr="00731C1F">
        <w:rPr>
          <w:rFonts w:ascii="Arial" w:hAnsi="Arial" w:cs="Arial"/>
          <w:sz w:val="22"/>
          <w:szCs w:val="22"/>
        </w:rPr>
        <w:t>Berrang</w:t>
      </w:r>
      <w:proofErr w:type="spellEnd"/>
      <w:r w:rsidRPr="00731C1F">
        <w:rPr>
          <w:rFonts w:ascii="Arial" w:hAnsi="Arial" w:cs="Arial"/>
          <w:sz w:val="22"/>
          <w:szCs w:val="22"/>
        </w:rPr>
        <w:t xml:space="preserve">-Ford, L. (2024) ‘Health Effects of Climate Change in the UK report 2023’, </w:t>
      </w:r>
      <w:r w:rsidRPr="00731C1F">
        <w:rPr>
          <w:rStyle w:val="Emphasis"/>
          <w:rFonts w:ascii="Arial" w:eastAsiaTheme="majorEastAsia" w:hAnsi="Arial" w:cs="Arial"/>
          <w:sz w:val="22"/>
          <w:szCs w:val="22"/>
        </w:rPr>
        <w:t>European Journal of Public Health</w:t>
      </w:r>
      <w:r w:rsidRPr="00731C1F">
        <w:rPr>
          <w:rFonts w:ascii="Arial" w:hAnsi="Arial" w:cs="Arial"/>
          <w:sz w:val="22"/>
          <w:szCs w:val="22"/>
        </w:rPr>
        <w:t xml:space="preserve">, 34(Suppl 3). Available at: </w:t>
      </w:r>
      <w:hyperlink r:id="rId11" w:history="1">
        <w:r w:rsidRPr="00731C1F">
          <w:rPr>
            <w:rStyle w:val="Hyperlink"/>
          </w:rPr>
          <w:t>https://doi.org/10.1093/eurpub/ckae144.358</w:t>
        </w:r>
      </w:hyperlink>
      <w:r w:rsidRPr="00731C1F">
        <w:t xml:space="preserve"> </w:t>
      </w:r>
    </w:p>
    <w:p w14:paraId="42E33921"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Ford, J., Sowden, S., Olivera, J., Bambra, C., Gimson, A., Aldridge, R. and </w:t>
      </w:r>
      <w:proofErr w:type="spellStart"/>
      <w:r w:rsidRPr="00731C1F">
        <w:rPr>
          <w:rFonts w:ascii="Arial" w:hAnsi="Arial" w:cs="Arial"/>
          <w:sz w:val="22"/>
          <w:szCs w:val="22"/>
        </w:rPr>
        <w:t>Brayne</w:t>
      </w:r>
      <w:proofErr w:type="spellEnd"/>
      <w:r w:rsidRPr="00731C1F">
        <w:rPr>
          <w:rFonts w:ascii="Arial" w:hAnsi="Arial" w:cs="Arial"/>
          <w:sz w:val="22"/>
          <w:szCs w:val="22"/>
        </w:rPr>
        <w:t xml:space="preserve">, C. (2021) ‘Transforming health systems to reduce health inequalities’, </w:t>
      </w:r>
      <w:r w:rsidRPr="00731C1F">
        <w:rPr>
          <w:rStyle w:val="Emphasis"/>
          <w:rFonts w:ascii="Arial" w:eastAsiaTheme="majorEastAsia" w:hAnsi="Arial" w:cs="Arial"/>
          <w:sz w:val="22"/>
          <w:szCs w:val="22"/>
        </w:rPr>
        <w:t xml:space="preserve">Future Healthcare Journal, </w:t>
      </w:r>
      <w:r w:rsidRPr="00731C1F">
        <w:rPr>
          <w:rStyle w:val="Emphasis"/>
          <w:rFonts w:ascii="Arial" w:eastAsiaTheme="majorEastAsia" w:hAnsi="Arial" w:cs="Arial"/>
          <w:i w:val="0"/>
          <w:iCs w:val="0"/>
          <w:sz w:val="22"/>
          <w:szCs w:val="22"/>
        </w:rPr>
        <w:t>8(2), pp. e204-e209</w:t>
      </w:r>
      <w:r w:rsidRPr="00731C1F">
        <w:rPr>
          <w:rFonts w:ascii="Arial" w:hAnsi="Arial" w:cs="Arial"/>
          <w:sz w:val="22"/>
          <w:szCs w:val="22"/>
        </w:rPr>
        <w:t xml:space="preserve">. Available at: </w:t>
      </w:r>
      <w:hyperlink r:id="rId12" w:history="1">
        <w:r w:rsidRPr="00731C1F">
          <w:rPr>
            <w:rStyle w:val="Hyperlink"/>
          </w:rPr>
          <w:t>https://doi.org/10.7861/fhj.2021-0018</w:t>
        </w:r>
      </w:hyperlink>
      <w:r w:rsidRPr="00731C1F">
        <w:t xml:space="preserve"> </w:t>
      </w:r>
    </w:p>
    <w:p w14:paraId="2213858D" w14:textId="77777777" w:rsidR="00731C1F" w:rsidRPr="00731C1F" w:rsidRDefault="00731C1F" w:rsidP="00731C1F">
      <w:pPr>
        <w:pStyle w:val="NormalWeb"/>
        <w:spacing w:line="360" w:lineRule="auto"/>
        <w:jc w:val="both"/>
        <w:rPr>
          <w:rFonts w:ascii="Arial" w:hAnsi="Arial" w:cs="Arial"/>
          <w:sz w:val="22"/>
          <w:szCs w:val="22"/>
        </w:rPr>
      </w:pPr>
      <w:proofErr w:type="spellStart"/>
      <w:r w:rsidRPr="00731C1F">
        <w:rPr>
          <w:rFonts w:ascii="Arial" w:hAnsi="Arial" w:cs="Arial"/>
          <w:sz w:val="22"/>
          <w:szCs w:val="22"/>
        </w:rPr>
        <w:t>Gkiouleka</w:t>
      </w:r>
      <w:proofErr w:type="spellEnd"/>
      <w:r w:rsidRPr="00731C1F">
        <w:rPr>
          <w:rFonts w:ascii="Arial" w:hAnsi="Arial" w:cs="Arial"/>
          <w:sz w:val="22"/>
          <w:szCs w:val="22"/>
        </w:rPr>
        <w:t xml:space="preserve">, A., Wong, G., Sowden, S., Bambra, C., </w:t>
      </w:r>
      <w:proofErr w:type="spellStart"/>
      <w:r w:rsidRPr="00731C1F">
        <w:rPr>
          <w:rFonts w:ascii="Arial" w:hAnsi="Arial" w:cs="Arial"/>
          <w:sz w:val="22"/>
          <w:szCs w:val="22"/>
        </w:rPr>
        <w:t>Siersbaek</w:t>
      </w:r>
      <w:proofErr w:type="spellEnd"/>
      <w:r w:rsidRPr="00731C1F">
        <w:rPr>
          <w:rFonts w:ascii="Arial" w:hAnsi="Arial" w:cs="Arial"/>
          <w:sz w:val="22"/>
          <w:szCs w:val="22"/>
        </w:rPr>
        <w:t xml:space="preserve">, R., Manji, S., Moseley, A., Harmston, R., Kuhn, I. and Ford, J. (2023) ‘Reducing health inequalities through general practice’, </w:t>
      </w:r>
      <w:r w:rsidRPr="00731C1F">
        <w:rPr>
          <w:rStyle w:val="Emphasis"/>
          <w:rFonts w:ascii="Arial" w:eastAsiaTheme="majorEastAsia" w:hAnsi="Arial" w:cs="Arial"/>
          <w:sz w:val="22"/>
          <w:szCs w:val="22"/>
        </w:rPr>
        <w:t xml:space="preserve">The Lancet Public Health, </w:t>
      </w:r>
      <w:r w:rsidRPr="00731C1F">
        <w:rPr>
          <w:rStyle w:val="Emphasis"/>
          <w:rFonts w:ascii="Arial" w:eastAsiaTheme="majorEastAsia" w:hAnsi="Arial" w:cs="Arial"/>
          <w:i w:val="0"/>
          <w:iCs w:val="0"/>
          <w:sz w:val="22"/>
          <w:szCs w:val="22"/>
        </w:rPr>
        <w:t>8(6), pp. E463-E472</w:t>
      </w:r>
      <w:r w:rsidRPr="00731C1F">
        <w:rPr>
          <w:rFonts w:ascii="Arial" w:hAnsi="Arial" w:cs="Arial"/>
          <w:sz w:val="22"/>
          <w:szCs w:val="22"/>
        </w:rPr>
        <w:t xml:space="preserve">. Available at: </w:t>
      </w:r>
      <w:hyperlink r:id="rId13" w:history="1">
        <w:r w:rsidRPr="00731C1F">
          <w:rPr>
            <w:rStyle w:val="Hyperlink"/>
            <w:rFonts w:ascii="Arial" w:eastAsiaTheme="majorEastAsia" w:hAnsi="Arial" w:cs="Arial"/>
            <w:sz w:val="22"/>
            <w:szCs w:val="22"/>
          </w:rPr>
          <w:t>https://doi.org/10.1016/S2468-2667(23)00093-2</w:t>
        </w:r>
      </w:hyperlink>
      <w:r w:rsidRPr="00731C1F">
        <w:t xml:space="preserve"> </w:t>
      </w:r>
    </w:p>
    <w:p w14:paraId="61F72E8A" w14:textId="77777777" w:rsidR="00731C1F" w:rsidRPr="00731C1F" w:rsidRDefault="00731C1F" w:rsidP="00731C1F">
      <w:pPr>
        <w:pStyle w:val="NormalWeb"/>
        <w:spacing w:line="360" w:lineRule="auto"/>
        <w:jc w:val="both"/>
        <w:rPr>
          <w:rFonts w:ascii="Arial" w:hAnsi="Arial" w:cs="Arial"/>
          <w:sz w:val="22"/>
          <w:szCs w:val="22"/>
        </w:rPr>
      </w:pPr>
      <w:proofErr w:type="spellStart"/>
      <w:r w:rsidRPr="00731C1F">
        <w:rPr>
          <w:rFonts w:ascii="Arial" w:hAnsi="Arial" w:cs="Arial"/>
          <w:sz w:val="22"/>
          <w:szCs w:val="22"/>
        </w:rPr>
        <w:lastRenderedPageBreak/>
        <w:t>Gkouliaveras</w:t>
      </w:r>
      <w:proofErr w:type="spellEnd"/>
      <w:r w:rsidRPr="00731C1F">
        <w:rPr>
          <w:rFonts w:ascii="Arial" w:hAnsi="Arial" w:cs="Arial"/>
          <w:sz w:val="22"/>
          <w:szCs w:val="22"/>
        </w:rPr>
        <w:t xml:space="preserve">, V., Kalogiannidis, S., Kalfas, D. and </w:t>
      </w:r>
      <w:proofErr w:type="spellStart"/>
      <w:r w:rsidRPr="00731C1F">
        <w:rPr>
          <w:rFonts w:ascii="Arial" w:hAnsi="Arial" w:cs="Arial"/>
          <w:sz w:val="22"/>
          <w:szCs w:val="22"/>
        </w:rPr>
        <w:t>Kontsas</w:t>
      </w:r>
      <w:proofErr w:type="spellEnd"/>
      <w:r w:rsidRPr="00731C1F">
        <w:rPr>
          <w:rFonts w:ascii="Arial" w:hAnsi="Arial" w:cs="Arial"/>
          <w:sz w:val="22"/>
          <w:szCs w:val="22"/>
        </w:rPr>
        <w:t xml:space="preserve">, S. (2025) ‘Effects of Climate Change on Health and Health Systems: a systematic review of preparedness, resilience, and challenges’, </w:t>
      </w:r>
      <w:r w:rsidRPr="00731C1F">
        <w:rPr>
          <w:rStyle w:val="Emphasis"/>
          <w:rFonts w:ascii="Arial" w:eastAsiaTheme="majorEastAsia" w:hAnsi="Arial" w:cs="Arial"/>
          <w:sz w:val="22"/>
          <w:szCs w:val="22"/>
        </w:rPr>
        <w:t>International Journal of Environmental Research and Public Health</w:t>
      </w:r>
      <w:r w:rsidRPr="00731C1F">
        <w:rPr>
          <w:rFonts w:ascii="Arial" w:hAnsi="Arial" w:cs="Arial"/>
          <w:sz w:val="22"/>
          <w:szCs w:val="22"/>
        </w:rPr>
        <w:t xml:space="preserve">, 22(2), pp. 232. Available at: </w:t>
      </w:r>
      <w:hyperlink r:id="rId14" w:history="1">
        <w:r w:rsidRPr="00731C1F">
          <w:rPr>
            <w:rStyle w:val="Hyperlink"/>
          </w:rPr>
          <w:t>https://doi.org/10.3390/ijerph22020232</w:t>
        </w:r>
      </w:hyperlink>
      <w:r w:rsidRPr="00731C1F">
        <w:t xml:space="preserve"> </w:t>
      </w:r>
    </w:p>
    <w:p w14:paraId="62C14670"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GMCA (Greater Manchester Combined Authority) (2022) </w:t>
      </w:r>
      <w:r w:rsidRPr="00731C1F">
        <w:rPr>
          <w:rStyle w:val="Emphasis"/>
          <w:rFonts w:ascii="Arial" w:eastAsiaTheme="majorEastAsia" w:hAnsi="Arial" w:cs="Arial"/>
          <w:sz w:val="22"/>
          <w:szCs w:val="22"/>
        </w:rPr>
        <w:t>Greater Manchester Clean Air Plan: Implementation Update</w:t>
      </w:r>
      <w:r w:rsidRPr="00731C1F">
        <w:rPr>
          <w:rFonts w:ascii="Arial" w:hAnsi="Arial" w:cs="Arial"/>
          <w:sz w:val="22"/>
          <w:szCs w:val="22"/>
        </w:rPr>
        <w:t>. Manchester: GMCA. Available at: https://www.greatermanchester-ca.gov.uk/what-we-do/environment/clean-air/ (Accessed 26th October 2025).</w:t>
      </w:r>
    </w:p>
    <w:p w14:paraId="2BB81C84"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Health and Care Act (2022) </w:t>
      </w:r>
      <w:r w:rsidRPr="00731C1F">
        <w:rPr>
          <w:rStyle w:val="Emphasis"/>
          <w:rFonts w:ascii="Arial" w:eastAsiaTheme="majorEastAsia" w:hAnsi="Arial" w:cs="Arial"/>
          <w:sz w:val="22"/>
          <w:szCs w:val="22"/>
        </w:rPr>
        <w:t>Health and Care Act 2022</w:t>
      </w:r>
      <w:r w:rsidRPr="00731C1F">
        <w:rPr>
          <w:rFonts w:ascii="Arial" w:hAnsi="Arial" w:cs="Arial"/>
          <w:sz w:val="22"/>
          <w:szCs w:val="22"/>
        </w:rPr>
        <w:t xml:space="preserve">. Available at: </w:t>
      </w:r>
      <w:hyperlink r:id="rId15" w:history="1">
        <w:r w:rsidRPr="00731C1F">
          <w:rPr>
            <w:rStyle w:val="Hyperlink"/>
          </w:rPr>
          <w:t>https://www.legislation.gov.uk/ukpga/2022/31/contents</w:t>
        </w:r>
      </w:hyperlink>
      <w:r w:rsidRPr="00731C1F">
        <w:t xml:space="preserve"> (Accessed 27th October 2025).</w:t>
      </w:r>
    </w:p>
    <w:p w14:paraId="512AC806"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Health Care Without Harm (2022) </w:t>
      </w:r>
      <w:r w:rsidRPr="00731C1F">
        <w:rPr>
          <w:rStyle w:val="Emphasis"/>
          <w:rFonts w:ascii="Arial" w:eastAsiaTheme="majorEastAsia" w:hAnsi="Arial" w:cs="Arial"/>
          <w:sz w:val="22"/>
          <w:szCs w:val="22"/>
        </w:rPr>
        <w:t xml:space="preserve">Global Road Map for Health Care Decarbonization. </w:t>
      </w:r>
      <w:r w:rsidRPr="00731C1F">
        <w:rPr>
          <w:rFonts w:ascii="Arial" w:hAnsi="Arial" w:cs="Arial"/>
          <w:sz w:val="22"/>
          <w:szCs w:val="22"/>
        </w:rPr>
        <w:t xml:space="preserve">Available at: </w:t>
      </w:r>
      <w:hyperlink r:id="rId16" w:history="1">
        <w:r w:rsidRPr="00731C1F">
          <w:rPr>
            <w:rStyle w:val="Hyperlink"/>
            <w:rFonts w:ascii="Arial" w:hAnsi="Arial" w:cs="Arial"/>
            <w:sz w:val="22"/>
            <w:szCs w:val="22"/>
          </w:rPr>
          <w:t>https://healthcareclimateaction.org/sites/default/files/2021-06/Health%20Care%20Without%20Harm_Health%20Care%20Decarbonization_Road%20Map.pdf</w:t>
        </w:r>
      </w:hyperlink>
      <w:r w:rsidRPr="00731C1F">
        <w:rPr>
          <w:rFonts w:ascii="Arial" w:hAnsi="Arial" w:cs="Arial"/>
          <w:sz w:val="22"/>
          <w:szCs w:val="22"/>
        </w:rPr>
        <w:t xml:space="preserve"> (Accessed 26th October 2025).</w:t>
      </w:r>
    </w:p>
    <w:p w14:paraId="71486060"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HM Government (2021)</w:t>
      </w:r>
      <w:r w:rsidRPr="00731C1F">
        <w:rPr>
          <w:rStyle w:val="Emphasis"/>
          <w:rFonts w:ascii="Arial" w:eastAsiaTheme="majorEastAsia" w:hAnsi="Arial" w:cs="Arial"/>
          <w:sz w:val="22"/>
          <w:szCs w:val="22"/>
        </w:rPr>
        <w:t xml:space="preserve"> Net Zero Strategy: Build Back Greener</w:t>
      </w:r>
      <w:r w:rsidRPr="00731C1F">
        <w:rPr>
          <w:rFonts w:ascii="Arial" w:hAnsi="Arial" w:cs="Arial"/>
          <w:sz w:val="22"/>
          <w:szCs w:val="22"/>
        </w:rPr>
        <w:t xml:space="preserve">. London: HM Government. Available at: </w:t>
      </w:r>
      <w:hyperlink r:id="rId17" w:history="1">
        <w:r w:rsidRPr="00731C1F">
          <w:rPr>
            <w:rStyle w:val="Hyperlink"/>
            <w:rFonts w:ascii="Arial" w:hAnsi="Arial" w:cs="Arial"/>
            <w:sz w:val="22"/>
            <w:szCs w:val="22"/>
          </w:rPr>
          <w:t>https://assets.publishing.service.gov.uk/media/6194dfa4d3bf7f0555071b1b/net-zero-strategy-beis.pdf</w:t>
        </w:r>
      </w:hyperlink>
      <w:r w:rsidRPr="00731C1F">
        <w:rPr>
          <w:rFonts w:ascii="Arial" w:hAnsi="Arial" w:cs="Arial"/>
          <w:sz w:val="22"/>
          <w:szCs w:val="22"/>
        </w:rPr>
        <w:t xml:space="preserve"> (Accessed 26th October 2025).</w:t>
      </w:r>
    </w:p>
    <w:p w14:paraId="00A626AF"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Independent Healthcare Provider Network (IHPN) (2025) </w:t>
      </w:r>
      <w:r w:rsidRPr="00731C1F">
        <w:rPr>
          <w:rStyle w:val="Emphasis"/>
          <w:rFonts w:ascii="Arial" w:eastAsiaTheme="majorEastAsia" w:hAnsi="Arial" w:cs="Arial"/>
          <w:sz w:val="22"/>
          <w:szCs w:val="22"/>
        </w:rPr>
        <w:t>Net Zero Resource Pack</w:t>
      </w:r>
      <w:r w:rsidRPr="00731C1F">
        <w:rPr>
          <w:rFonts w:ascii="Arial" w:hAnsi="Arial" w:cs="Arial"/>
          <w:sz w:val="22"/>
          <w:szCs w:val="22"/>
        </w:rPr>
        <w:t xml:space="preserve">. Available at: </w:t>
      </w:r>
      <w:hyperlink r:id="rId18" w:tgtFrame="_new" w:history="1">
        <w:r w:rsidRPr="00731C1F">
          <w:rPr>
            <w:rStyle w:val="Hyperlink"/>
            <w:rFonts w:ascii="Arial" w:eastAsiaTheme="majorEastAsia" w:hAnsi="Arial" w:cs="Arial"/>
            <w:sz w:val="22"/>
            <w:szCs w:val="22"/>
          </w:rPr>
          <w:t>https://www.ihpn.org.uk/net-zero-resources</w:t>
        </w:r>
      </w:hyperlink>
      <w:r w:rsidRPr="00731C1F">
        <w:t xml:space="preserve"> (Accessed 27th October 2025).</w:t>
      </w:r>
    </w:p>
    <w:p w14:paraId="0126B8F5" w14:textId="77777777" w:rsidR="00731C1F" w:rsidRPr="00731C1F" w:rsidRDefault="00731C1F" w:rsidP="00731C1F">
      <w:pPr>
        <w:spacing w:line="360" w:lineRule="auto"/>
        <w:jc w:val="both"/>
        <w:rPr>
          <w:rFonts w:ascii="Arial" w:hAnsi="Arial" w:cs="Arial"/>
          <w:sz w:val="22"/>
          <w:szCs w:val="22"/>
        </w:rPr>
      </w:pPr>
      <w:r w:rsidRPr="00731C1F">
        <w:rPr>
          <w:rFonts w:ascii="Arial" w:hAnsi="Arial" w:cs="Arial"/>
          <w:sz w:val="22"/>
          <w:szCs w:val="22"/>
        </w:rPr>
        <w:t xml:space="preserve">Jones, C. H. and Dolsten, M. (2024) ‘Healthcare on the brink: navigating the challenges of an aging society in the United States’, </w:t>
      </w:r>
      <w:r w:rsidRPr="00731C1F">
        <w:rPr>
          <w:rFonts w:ascii="Arial" w:hAnsi="Arial" w:cs="Arial"/>
          <w:i/>
          <w:iCs/>
          <w:sz w:val="22"/>
          <w:szCs w:val="22"/>
        </w:rPr>
        <w:t xml:space="preserve">NPJ Aging, </w:t>
      </w:r>
      <w:r w:rsidRPr="00731C1F">
        <w:rPr>
          <w:rFonts w:ascii="Arial" w:hAnsi="Arial" w:cs="Arial"/>
          <w:sz w:val="22"/>
          <w:szCs w:val="22"/>
        </w:rPr>
        <w:t xml:space="preserve">10(1), pp. 22. Available at: </w:t>
      </w:r>
      <w:hyperlink r:id="rId19" w:history="1">
        <w:r w:rsidRPr="00731C1F">
          <w:rPr>
            <w:rStyle w:val="Hyperlink"/>
            <w:rFonts w:ascii="Arial" w:hAnsi="Arial" w:cs="Arial"/>
            <w:sz w:val="22"/>
            <w:szCs w:val="22"/>
          </w:rPr>
          <w:t>https://doi.org/10.1038/s41514-024-00148-2</w:t>
        </w:r>
      </w:hyperlink>
      <w:r w:rsidRPr="00731C1F">
        <w:rPr>
          <w:rFonts w:ascii="Arial" w:hAnsi="Arial" w:cs="Arial"/>
          <w:sz w:val="22"/>
          <w:szCs w:val="22"/>
        </w:rPr>
        <w:t xml:space="preserve"> </w:t>
      </w:r>
    </w:p>
    <w:p w14:paraId="45923704"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Kelly-Irving, M., Ball, W. P., Bambra, C., Dellpierre, C., Dundas, R., Lynch, J., McCartney, G. and Smith, K (2023) ‘Falling down the rabbit hole? Methodological, conceptual and policy issues in current health inequalities research’, </w:t>
      </w:r>
      <w:r w:rsidRPr="00731C1F">
        <w:rPr>
          <w:rStyle w:val="Emphasis"/>
          <w:rFonts w:ascii="Arial" w:eastAsiaTheme="majorEastAsia" w:hAnsi="Arial" w:cs="Arial"/>
          <w:sz w:val="22"/>
          <w:szCs w:val="22"/>
        </w:rPr>
        <w:t xml:space="preserve">Critical Public Health, </w:t>
      </w:r>
      <w:r w:rsidRPr="00731C1F">
        <w:rPr>
          <w:rStyle w:val="Emphasis"/>
          <w:rFonts w:ascii="Arial" w:eastAsiaTheme="majorEastAsia" w:hAnsi="Arial" w:cs="Arial"/>
          <w:i w:val="0"/>
          <w:iCs w:val="0"/>
          <w:sz w:val="22"/>
          <w:szCs w:val="22"/>
        </w:rPr>
        <w:t>33(1), pp. 37-47</w:t>
      </w:r>
      <w:r w:rsidRPr="00731C1F">
        <w:rPr>
          <w:rFonts w:ascii="Arial" w:hAnsi="Arial" w:cs="Arial"/>
          <w:sz w:val="22"/>
          <w:szCs w:val="22"/>
        </w:rPr>
        <w:t xml:space="preserve">. Available at: </w:t>
      </w:r>
      <w:r w:rsidRPr="00731C1F">
        <w:t>https://doi.org/10.1080/09581596.2022.2036701</w:t>
      </w:r>
    </w:p>
    <w:p w14:paraId="155579A5" w14:textId="77777777" w:rsidR="00731C1F" w:rsidRPr="00731C1F" w:rsidRDefault="00731C1F" w:rsidP="00731C1F">
      <w:pPr>
        <w:spacing w:line="360" w:lineRule="auto"/>
        <w:jc w:val="both"/>
        <w:rPr>
          <w:rFonts w:ascii="Arial" w:hAnsi="Arial" w:cs="Arial"/>
          <w:sz w:val="22"/>
          <w:szCs w:val="22"/>
        </w:rPr>
      </w:pPr>
      <w:r w:rsidRPr="00731C1F">
        <w:rPr>
          <w:rFonts w:ascii="Arial" w:hAnsi="Arial" w:cs="Arial"/>
          <w:sz w:val="22"/>
          <w:szCs w:val="22"/>
        </w:rPr>
        <w:t xml:space="preserve">Khan, Z. (2023) ‘The emerging challenges and strengths of the national health services: a physician perspective’, </w:t>
      </w:r>
      <w:proofErr w:type="spellStart"/>
      <w:r w:rsidRPr="00731C1F">
        <w:rPr>
          <w:rFonts w:ascii="Arial" w:hAnsi="Arial" w:cs="Arial"/>
          <w:i/>
          <w:iCs/>
          <w:sz w:val="22"/>
          <w:szCs w:val="22"/>
        </w:rPr>
        <w:t>Cureus</w:t>
      </w:r>
      <w:proofErr w:type="spellEnd"/>
      <w:r w:rsidRPr="00731C1F">
        <w:rPr>
          <w:rFonts w:ascii="Arial" w:hAnsi="Arial" w:cs="Arial"/>
          <w:i/>
          <w:iCs/>
          <w:sz w:val="22"/>
          <w:szCs w:val="22"/>
        </w:rPr>
        <w:t xml:space="preserve">, </w:t>
      </w:r>
      <w:r w:rsidRPr="00731C1F">
        <w:rPr>
          <w:rFonts w:ascii="Arial" w:hAnsi="Arial" w:cs="Arial"/>
          <w:sz w:val="22"/>
          <w:szCs w:val="22"/>
        </w:rPr>
        <w:t xml:space="preserve">15(5), e38617. Available at: </w:t>
      </w:r>
      <w:hyperlink r:id="rId20" w:history="1">
        <w:r w:rsidRPr="00731C1F">
          <w:rPr>
            <w:rStyle w:val="Hyperlink"/>
            <w:rFonts w:ascii="Arial" w:hAnsi="Arial" w:cs="Arial"/>
            <w:sz w:val="22"/>
            <w:szCs w:val="22"/>
          </w:rPr>
          <w:t>https://doi.org/10.7759/cureus.38617</w:t>
        </w:r>
      </w:hyperlink>
      <w:r w:rsidRPr="00731C1F">
        <w:rPr>
          <w:rFonts w:ascii="Arial" w:hAnsi="Arial" w:cs="Arial"/>
          <w:sz w:val="22"/>
          <w:szCs w:val="22"/>
        </w:rPr>
        <w:t xml:space="preserve"> </w:t>
      </w:r>
    </w:p>
    <w:p w14:paraId="0B286A5D"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lastRenderedPageBreak/>
        <w:t xml:space="preserve">Local Government Association (LGA) (2023) </w:t>
      </w:r>
      <w:r w:rsidRPr="00731C1F">
        <w:rPr>
          <w:rStyle w:val="Emphasis"/>
          <w:rFonts w:ascii="Arial" w:eastAsiaTheme="majorEastAsia" w:hAnsi="Arial" w:cs="Arial"/>
          <w:sz w:val="22"/>
          <w:szCs w:val="22"/>
        </w:rPr>
        <w:t>Climate Action in Local Government: Progress and Challenges</w:t>
      </w:r>
      <w:r w:rsidRPr="00731C1F">
        <w:rPr>
          <w:rFonts w:ascii="Arial" w:hAnsi="Arial" w:cs="Arial"/>
          <w:sz w:val="22"/>
          <w:szCs w:val="22"/>
        </w:rPr>
        <w:t>. London: LGA. Available at: https://www.local.gov.uk/topics/environment-and-climate-change/climate-action (Accessed 26th October 2025).</w:t>
      </w:r>
    </w:p>
    <w:p w14:paraId="288526D6"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Martins, F.P., </w:t>
      </w:r>
      <w:proofErr w:type="spellStart"/>
      <w:r w:rsidRPr="00731C1F">
        <w:rPr>
          <w:rFonts w:ascii="Arial" w:hAnsi="Arial" w:cs="Arial"/>
          <w:sz w:val="22"/>
          <w:szCs w:val="22"/>
        </w:rPr>
        <w:t>Paschoalotto</w:t>
      </w:r>
      <w:proofErr w:type="spellEnd"/>
      <w:r w:rsidRPr="00731C1F">
        <w:rPr>
          <w:rFonts w:ascii="Arial" w:hAnsi="Arial" w:cs="Arial"/>
          <w:sz w:val="22"/>
          <w:szCs w:val="22"/>
        </w:rPr>
        <w:t xml:space="preserve">, M. A. C., Closs, J., Bukowski, M. and Veras, M. M. (2024) ‘The double burden: climate change challenges for health systems’, </w:t>
      </w:r>
      <w:r w:rsidRPr="00731C1F">
        <w:rPr>
          <w:rStyle w:val="Emphasis"/>
          <w:rFonts w:ascii="Arial" w:eastAsiaTheme="majorEastAsia" w:hAnsi="Arial" w:cs="Arial"/>
          <w:sz w:val="22"/>
          <w:szCs w:val="22"/>
        </w:rPr>
        <w:t xml:space="preserve">Environmental Health Insights, </w:t>
      </w:r>
      <w:r w:rsidRPr="00731C1F">
        <w:rPr>
          <w:rStyle w:val="Emphasis"/>
          <w:rFonts w:ascii="Arial" w:eastAsiaTheme="majorEastAsia" w:hAnsi="Arial" w:cs="Arial"/>
          <w:i w:val="0"/>
          <w:iCs w:val="0"/>
          <w:sz w:val="22"/>
          <w:szCs w:val="22"/>
        </w:rPr>
        <w:t>18</w:t>
      </w:r>
      <w:r w:rsidRPr="00731C1F">
        <w:rPr>
          <w:rFonts w:ascii="Arial" w:hAnsi="Arial" w:cs="Arial"/>
          <w:sz w:val="22"/>
          <w:szCs w:val="22"/>
        </w:rPr>
        <w:t xml:space="preserve">. Available at: </w:t>
      </w:r>
      <w:hyperlink r:id="rId21" w:history="1">
        <w:r w:rsidRPr="00731C1F">
          <w:rPr>
            <w:rStyle w:val="Hyperlink"/>
          </w:rPr>
          <w:t>https://doi.org/10.1177/11786302241298789</w:t>
        </w:r>
      </w:hyperlink>
      <w:r w:rsidRPr="00731C1F">
        <w:t xml:space="preserve"> </w:t>
      </w:r>
    </w:p>
    <w:p w14:paraId="172FAA4C"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Mayor of London (2024) </w:t>
      </w:r>
      <w:r w:rsidRPr="00731C1F">
        <w:rPr>
          <w:rStyle w:val="Emphasis"/>
          <w:rFonts w:ascii="Arial" w:eastAsiaTheme="majorEastAsia" w:hAnsi="Arial" w:cs="Arial"/>
          <w:sz w:val="22"/>
          <w:szCs w:val="22"/>
        </w:rPr>
        <w:t>New data shows Mayor’s ULEZ expansion is working better than expected, bringing cleaner air to five million more Londoners.</w:t>
      </w:r>
      <w:r w:rsidRPr="00731C1F">
        <w:rPr>
          <w:rFonts w:ascii="Arial" w:hAnsi="Arial" w:cs="Arial"/>
          <w:sz w:val="22"/>
          <w:szCs w:val="22"/>
        </w:rPr>
        <w:t xml:space="preserve"> Available at: </w:t>
      </w:r>
      <w:hyperlink r:id="rId22" w:history="1">
        <w:r w:rsidRPr="00731C1F">
          <w:rPr>
            <w:rStyle w:val="Hyperlink"/>
            <w:rFonts w:ascii="Arial" w:hAnsi="Arial" w:cs="Arial"/>
            <w:sz w:val="22"/>
            <w:szCs w:val="22"/>
          </w:rPr>
          <w:t>https://www.london.gov.uk/media-centre/mayors-press-releases/new-data-shows-mayors-ulez-expansion-working-better-expected-bringing-cleaner-air-five-million-more</w:t>
        </w:r>
      </w:hyperlink>
      <w:r w:rsidRPr="00731C1F">
        <w:rPr>
          <w:rFonts w:ascii="Arial" w:hAnsi="Arial" w:cs="Arial"/>
          <w:sz w:val="22"/>
          <w:szCs w:val="22"/>
        </w:rPr>
        <w:t xml:space="preserve"> (Accessed 27th October 2025).</w:t>
      </w:r>
    </w:p>
    <w:p w14:paraId="1AA4F530"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McHugh, N., Baker, R., Donaldson, C., Bala, A., </w:t>
      </w:r>
      <w:proofErr w:type="spellStart"/>
      <w:r w:rsidRPr="00731C1F">
        <w:rPr>
          <w:rFonts w:ascii="Arial" w:hAnsi="Arial" w:cs="Arial"/>
          <w:sz w:val="22"/>
          <w:szCs w:val="22"/>
        </w:rPr>
        <w:t>Mojarrieta</w:t>
      </w:r>
      <w:proofErr w:type="spellEnd"/>
      <w:r w:rsidRPr="00731C1F">
        <w:rPr>
          <w:rFonts w:ascii="Arial" w:hAnsi="Arial" w:cs="Arial"/>
          <w:sz w:val="22"/>
          <w:szCs w:val="22"/>
        </w:rPr>
        <w:t xml:space="preserve">, M., White, G. and </w:t>
      </w:r>
      <w:proofErr w:type="spellStart"/>
      <w:r w:rsidRPr="00731C1F">
        <w:rPr>
          <w:rFonts w:ascii="Arial" w:hAnsi="Arial" w:cs="Arial"/>
          <w:sz w:val="22"/>
          <w:szCs w:val="22"/>
        </w:rPr>
        <w:t>Biosca</w:t>
      </w:r>
      <w:proofErr w:type="spellEnd"/>
      <w:r w:rsidRPr="00731C1F">
        <w:rPr>
          <w:rFonts w:ascii="Arial" w:hAnsi="Arial" w:cs="Arial"/>
          <w:sz w:val="22"/>
          <w:szCs w:val="22"/>
        </w:rPr>
        <w:t xml:space="preserve">, O. (2024) ‘Causes, Solutions and Health Inequalities: Comparing perspectives of professional stakeholders and community participants experiencing low income and poor health in London’, </w:t>
      </w:r>
      <w:r w:rsidRPr="00731C1F">
        <w:rPr>
          <w:rStyle w:val="Emphasis"/>
          <w:rFonts w:ascii="Arial" w:eastAsiaTheme="majorEastAsia" w:hAnsi="Arial" w:cs="Arial"/>
          <w:sz w:val="22"/>
          <w:szCs w:val="22"/>
        </w:rPr>
        <w:t xml:space="preserve">Health Expectations, </w:t>
      </w:r>
      <w:r w:rsidRPr="00731C1F">
        <w:rPr>
          <w:rStyle w:val="Emphasis"/>
          <w:rFonts w:ascii="Arial" w:eastAsiaTheme="majorEastAsia" w:hAnsi="Arial" w:cs="Arial"/>
          <w:i w:val="0"/>
          <w:iCs w:val="0"/>
          <w:sz w:val="22"/>
          <w:szCs w:val="22"/>
        </w:rPr>
        <w:t>27(6), e70128</w:t>
      </w:r>
      <w:r w:rsidRPr="00731C1F">
        <w:rPr>
          <w:rFonts w:ascii="Arial" w:hAnsi="Arial" w:cs="Arial"/>
          <w:sz w:val="22"/>
          <w:szCs w:val="22"/>
        </w:rPr>
        <w:t xml:space="preserve">. Available at: </w:t>
      </w:r>
      <w:hyperlink r:id="rId23" w:history="1">
        <w:r w:rsidRPr="00731C1F">
          <w:rPr>
            <w:rStyle w:val="Hyperlink"/>
          </w:rPr>
          <w:t>https://doi.org/10.1111/hex.70128</w:t>
        </w:r>
      </w:hyperlink>
      <w:r w:rsidRPr="00731C1F">
        <w:t xml:space="preserve"> </w:t>
      </w:r>
    </w:p>
    <w:p w14:paraId="455EE22B"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Met Office (2023) </w:t>
      </w:r>
      <w:r w:rsidRPr="00731C1F">
        <w:rPr>
          <w:rStyle w:val="Emphasis"/>
          <w:rFonts w:ascii="Arial" w:eastAsiaTheme="majorEastAsia" w:hAnsi="Arial" w:cs="Arial"/>
          <w:sz w:val="22"/>
          <w:szCs w:val="22"/>
        </w:rPr>
        <w:t>UK and global extreme events - heatwaves</w:t>
      </w:r>
      <w:r w:rsidRPr="00731C1F">
        <w:rPr>
          <w:rFonts w:ascii="Arial" w:hAnsi="Arial" w:cs="Arial"/>
          <w:sz w:val="22"/>
          <w:szCs w:val="22"/>
        </w:rPr>
        <w:t xml:space="preserve">. Available at: </w:t>
      </w:r>
      <w:hyperlink r:id="rId24" w:history="1">
        <w:r w:rsidRPr="00731C1F">
          <w:rPr>
            <w:rStyle w:val="Hyperlink"/>
            <w:rFonts w:ascii="Arial" w:hAnsi="Arial" w:cs="Arial"/>
            <w:sz w:val="22"/>
            <w:szCs w:val="22"/>
          </w:rPr>
          <w:t>https://www.metoffice.gov.uk/research/climate/understanding-climate/uk-and-global-extreme-events-heatwaves</w:t>
        </w:r>
      </w:hyperlink>
      <w:r w:rsidRPr="00731C1F">
        <w:rPr>
          <w:rFonts w:ascii="Arial" w:hAnsi="Arial" w:cs="Arial"/>
          <w:sz w:val="22"/>
          <w:szCs w:val="22"/>
        </w:rPr>
        <w:t xml:space="preserve"> (Accessed 26th October 2025).</w:t>
      </w:r>
    </w:p>
    <w:p w14:paraId="64175A25"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Muhia, J., </w:t>
      </w:r>
      <w:proofErr w:type="spellStart"/>
      <w:r w:rsidRPr="00731C1F">
        <w:rPr>
          <w:rFonts w:ascii="Arial" w:hAnsi="Arial" w:cs="Arial"/>
          <w:sz w:val="22"/>
          <w:szCs w:val="22"/>
        </w:rPr>
        <w:t>Rethlefsen</w:t>
      </w:r>
      <w:proofErr w:type="spellEnd"/>
      <w:r w:rsidRPr="00731C1F">
        <w:rPr>
          <w:rFonts w:ascii="Arial" w:hAnsi="Arial" w:cs="Arial"/>
          <w:sz w:val="22"/>
          <w:szCs w:val="22"/>
        </w:rPr>
        <w:t xml:space="preserve">, M., Rossington, B., Wedmore, F., </w:t>
      </w:r>
      <w:proofErr w:type="spellStart"/>
      <w:r w:rsidRPr="00731C1F">
        <w:rPr>
          <w:rFonts w:ascii="Arial" w:hAnsi="Arial" w:cs="Arial"/>
          <w:sz w:val="22"/>
          <w:szCs w:val="22"/>
        </w:rPr>
        <w:t>Pattnaik</w:t>
      </w:r>
      <w:proofErr w:type="spellEnd"/>
      <w:r w:rsidRPr="00731C1F">
        <w:rPr>
          <w:rFonts w:ascii="Arial" w:hAnsi="Arial" w:cs="Arial"/>
          <w:sz w:val="22"/>
          <w:szCs w:val="22"/>
        </w:rPr>
        <w:t xml:space="preserve">, A., Smith, R. and Schroter, S. (2024) ‘Health journal coverage of climate change and health: a bibliometric study’, </w:t>
      </w:r>
      <w:r w:rsidRPr="00731C1F">
        <w:rPr>
          <w:rStyle w:val="Emphasis"/>
          <w:rFonts w:ascii="Arial" w:eastAsiaTheme="majorEastAsia" w:hAnsi="Arial" w:cs="Arial"/>
          <w:sz w:val="22"/>
          <w:szCs w:val="22"/>
        </w:rPr>
        <w:t xml:space="preserve">BMJ Global Health, </w:t>
      </w:r>
      <w:r w:rsidRPr="00731C1F">
        <w:rPr>
          <w:rStyle w:val="Emphasis"/>
          <w:rFonts w:ascii="Arial" w:eastAsiaTheme="majorEastAsia" w:hAnsi="Arial" w:cs="Arial"/>
          <w:i w:val="0"/>
          <w:iCs w:val="0"/>
          <w:sz w:val="22"/>
          <w:szCs w:val="22"/>
        </w:rPr>
        <w:t>9(2), e0144908</w:t>
      </w:r>
      <w:r w:rsidRPr="00731C1F">
        <w:rPr>
          <w:rFonts w:ascii="Arial" w:hAnsi="Arial" w:cs="Arial"/>
          <w:sz w:val="22"/>
          <w:szCs w:val="22"/>
        </w:rPr>
        <w:t xml:space="preserve">. Available at: </w:t>
      </w:r>
      <w:hyperlink r:id="rId25" w:history="1">
        <w:r w:rsidRPr="00731C1F">
          <w:rPr>
            <w:rStyle w:val="Hyperlink"/>
          </w:rPr>
          <w:t>https://doi.org/10.1136/bmjgh-2023-014498</w:t>
        </w:r>
      </w:hyperlink>
      <w:r w:rsidRPr="00731C1F">
        <w:t xml:space="preserve"> </w:t>
      </w:r>
    </w:p>
    <w:p w14:paraId="6EEA2511" w14:textId="77777777" w:rsidR="00731C1F" w:rsidRPr="00731C1F" w:rsidRDefault="00731C1F" w:rsidP="00731C1F">
      <w:pPr>
        <w:spacing w:line="360" w:lineRule="auto"/>
        <w:jc w:val="both"/>
        <w:rPr>
          <w:rFonts w:ascii="Arial" w:hAnsi="Arial" w:cs="Arial"/>
          <w:sz w:val="22"/>
          <w:szCs w:val="22"/>
        </w:rPr>
      </w:pPr>
      <w:r w:rsidRPr="00731C1F">
        <w:rPr>
          <w:rFonts w:ascii="Arial" w:hAnsi="Arial" w:cs="Arial"/>
          <w:sz w:val="22"/>
          <w:szCs w:val="22"/>
        </w:rPr>
        <w:t xml:space="preserve">NHS England (2015) Meeting the challenges of an ageing population. Available at: </w:t>
      </w:r>
      <w:hyperlink r:id="rId26" w:history="1">
        <w:r w:rsidRPr="00731C1F">
          <w:rPr>
            <w:rStyle w:val="Hyperlink"/>
            <w:rFonts w:ascii="Arial" w:hAnsi="Arial" w:cs="Arial"/>
            <w:sz w:val="22"/>
            <w:szCs w:val="22"/>
          </w:rPr>
          <w:t>https://www.england.nhs.uk/blog/catherine-thompson/</w:t>
        </w:r>
      </w:hyperlink>
      <w:r w:rsidRPr="00731C1F">
        <w:rPr>
          <w:rFonts w:ascii="Arial" w:hAnsi="Arial" w:cs="Arial"/>
          <w:sz w:val="22"/>
          <w:szCs w:val="22"/>
        </w:rPr>
        <w:t xml:space="preserve"> (Accessed 27</w:t>
      </w:r>
      <w:r w:rsidRPr="00731C1F">
        <w:rPr>
          <w:rFonts w:ascii="Arial" w:hAnsi="Arial" w:cs="Arial"/>
          <w:sz w:val="22"/>
          <w:szCs w:val="22"/>
          <w:vertAlign w:val="superscript"/>
        </w:rPr>
        <w:t>th</w:t>
      </w:r>
      <w:r w:rsidRPr="00731C1F">
        <w:rPr>
          <w:rFonts w:ascii="Arial" w:hAnsi="Arial" w:cs="Arial"/>
          <w:sz w:val="22"/>
          <w:szCs w:val="22"/>
        </w:rPr>
        <w:t xml:space="preserve"> October 2025).</w:t>
      </w:r>
    </w:p>
    <w:p w14:paraId="279CDF09"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NHS England (2019) </w:t>
      </w:r>
      <w:r w:rsidRPr="00731C1F">
        <w:rPr>
          <w:rStyle w:val="Emphasis"/>
          <w:rFonts w:ascii="Arial" w:eastAsiaTheme="majorEastAsia" w:hAnsi="Arial" w:cs="Arial"/>
          <w:sz w:val="22"/>
          <w:szCs w:val="22"/>
        </w:rPr>
        <w:t>The NHS Long Term Plan</w:t>
      </w:r>
      <w:r w:rsidRPr="00731C1F">
        <w:rPr>
          <w:rFonts w:ascii="Arial" w:hAnsi="Arial" w:cs="Arial"/>
          <w:sz w:val="22"/>
          <w:szCs w:val="22"/>
        </w:rPr>
        <w:t>. London: NHS England. Available at: https://www.longtermplan.nhs.uk/ (Accessed 26th October 2025).</w:t>
      </w:r>
    </w:p>
    <w:p w14:paraId="48251870"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NHS England (2020) </w:t>
      </w:r>
      <w:r w:rsidRPr="00731C1F">
        <w:rPr>
          <w:rStyle w:val="Emphasis"/>
          <w:rFonts w:ascii="Arial" w:eastAsiaTheme="majorEastAsia" w:hAnsi="Arial" w:cs="Arial"/>
          <w:sz w:val="22"/>
          <w:szCs w:val="22"/>
        </w:rPr>
        <w:t>Delivering a ‘Net Zero’ National Health Service</w:t>
      </w:r>
      <w:r w:rsidRPr="00731C1F">
        <w:rPr>
          <w:rFonts w:ascii="Arial" w:hAnsi="Arial" w:cs="Arial"/>
          <w:sz w:val="22"/>
          <w:szCs w:val="22"/>
        </w:rPr>
        <w:t xml:space="preserve">. Available at: </w:t>
      </w:r>
      <w:hyperlink r:id="rId27" w:history="1">
        <w:r w:rsidRPr="00731C1F">
          <w:rPr>
            <w:rStyle w:val="Hyperlink"/>
          </w:rPr>
          <w:t>https://www.england.nhs.uk/greenernhs/wp-content/uploads/sites/51/2020/10/delivering-a-net-zero-national-health-service.pdf</w:t>
        </w:r>
      </w:hyperlink>
      <w:r w:rsidRPr="00731C1F">
        <w:t xml:space="preserve"> (Accessed 28th October 2025).</w:t>
      </w:r>
    </w:p>
    <w:p w14:paraId="5227550E"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lastRenderedPageBreak/>
        <w:t xml:space="preserve">NHS England (2023) </w:t>
      </w:r>
      <w:r w:rsidRPr="00731C1F">
        <w:rPr>
          <w:rStyle w:val="Emphasis"/>
          <w:rFonts w:ascii="Arial" w:eastAsiaTheme="majorEastAsia" w:hAnsi="Arial" w:cs="Arial"/>
          <w:sz w:val="22"/>
          <w:szCs w:val="22"/>
        </w:rPr>
        <w:t>Greener NHS Annual Progress Report 2023</w:t>
      </w:r>
      <w:r w:rsidRPr="00731C1F">
        <w:rPr>
          <w:rFonts w:ascii="Arial" w:hAnsi="Arial" w:cs="Arial"/>
          <w:sz w:val="22"/>
          <w:szCs w:val="22"/>
        </w:rPr>
        <w:t>. London: NHS England. Available at: https://www.england.nhs.uk/greenernhs/publication/greener-nhs-annual-progress-report-2023/ (Accessed 26th October 2025).</w:t>
      </w:r>
    </w:p>
    <w:p w14:paraId="49F6E828"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NHS England (2025) </w:t>
      </w:r>
      <w:r w:rsidRPr="00731C1F">
        <w:rPr>
          <w:rStyle w:val="Emphasis"/>
          <w:rFonts w:ascii="Arial" w:eastAsiaTheme="majorEastAsia" w:hAnsi="Arial" w:cs="Arial"/>
          <w:sz w:val="22"/>
          <w:szCs w:val="22"/>
        </w:rPr>
        <w:t>Green Plan Guidance</w:t>
      </w:r>
      <w:r w:rsidRPr="00731C1F">
        <w:rPr>
          <w:rFonts w:ascii="Arial" w:hAnsi="Arial" w:cs="Arial"/>
          <w:sz w:val="22"/>
          <w:szCs w:val="22"/>
        </w:rPr>
        <w:t xml:space="preserve">. Available at: </w:t>
      </w:r>
      <w:hyperlink r:id="rId28" w:tgtFrame="_new" w:history="1">
        <w:r w:rsidRPr="00731C1F">
          <w:rPr>
            <w:rStyle w:val="Hyperlink"/>
            <w:rFonts w:ascii="Arial" w:eastAsiaTheme="majorEastAsia" w:hAnsi="Arial" w:cs="Arial"/>
            <w:sz w:val="22"/>
            <w:szCs w:val="22"/>
          </w:rPr>
          <w:t>https://www.england.nhs.uk/long-read/green-plan-guidance</w:t>
        </w:r>
      </w:hyperlink>
      <w:r w:rsidRPr="00731C1F">
        <w:t xml:space="preserve"> (Accessed 28th October 2025).</w:t>
      </w:r>
    </w:p>
    <w:p w14:paraId="203519DB" w14:textId="77777777" w:rsidR="00731C1F" w:rsidRPr="00731C1F" w:rsidRDefault="00731C1F" w:rsidP="00731C1F">
      <w:pPr>
        <w:pStyle w:val="NormalWeb"/>
        <w:spacing w:line="360" w:lineRule="auto"/>
        <w:jc w:val="both"/>
      </w:pPr>
      <w:r w:rsidRPr="00731C1F">
        <w:rPr>
          <w:rFonts w:ascii="Arial" w:hAnsi="Arial" w:cs="Arial"/>
          <w:sz w:val="22"/>
          <w:szCs w:val="22"/>
        </w:rPr>
        <w:t xml:space="preserve">NHS England (2025) </w:t>
      </w:r>
      <w:r w:rsidRPr="00731C1F">
        <w:rPr>
          <w:rStyle w:val="Emphasis"/>
          <w:rFonts w:ascii="Arial" w:eastAsiaTheme="majorEastAsia" w:hAnsi="Arial" w:cs="Arial"/>
          <w:sz w:val="22"/>
          <w:szCs w:val="22"/>
        </w:rPr>
        <w:t>Greener NHS</w:t>
      </w:r>
      <w:r w:rsidRPr="00731C1F">
        <w:rPr>
          <w:rFonts w:ascii="Arial" w:hAnsi="Arial" w:cs="Arial"/>
          <w:sz w:val="22"/>
          <w:szCs w:val="22"/>
        </w:rPr>
        <w:t xml:space="preserve">. Available at: </w:t>
      </w:r>
      <w:hyperlink r:id="rId29" w:history="1">
        <w:r w:rsidRPr="00731C1F">
          <w:rPr>
            <w:rStyle w:val="Hyperlink"/>
            <w:rFonts w:ascii="Arial" w:eastAsiaTheme="majorEastAsia" w:hAnsi="Arial" w:cs="Arial"/>
            <w:sz w:val="22"/>
            <w:szCs w:val="22"/>
          </w:rPr>
          <w:t>https://www.england.nhs.uk/greenernhs</w:t>
        </w:r>
        <w:r w:rsidRPr="00731C1F">
          <w:rPr>
            <w:rStyle w:val="Hyperlink"/>
          </w:rPr>
          <w:t>/</w:t>
        </w:r>
      </w:hyperlink>
      <w:r w:rsidRPr="00731C1F">
        <w:t xml:space="preserve"> (Accessed 28</w:t>
      </w:r>
      <w:r w:rsidRPr="00731C1F">
        <w:rPr>
          <w:vertAlign w:val="superscript"/>
        </w:rPr>
        <w:t>th</w:t>
      </w:r>
      <w:r w:rsidRPr="00731C1F">
        <w:t xml:space="preserve"> October 2025).</w:t>
      </w:r>
    </w:p>
    <w:p w14:paraId="302D9970"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OECD (2022) </w:t>
      </w:r>
      <w:r w:rsidRPr="00731C1F">
        <w:rPr>
          <w:rStyle w:val="Emphasis"/>
          <w:rFonts w:ascii="Arial" w:eastAsiaTheme="majorEastAsia" w:hAnsi="Arial" w:cs="Arial"/>
          <w:sz w:val="22"/>
          <w:szCs w:val="22"/>
        </w:rPr>
        <w:t>Driving Policy Coherence for Sustainable Development: Accelerating Progress on the SDGs</w:t>
      </w:r>
      <w:r w:rsidRPr="00731C1F">
        <w:rPr>
          <w:rFonts w:ascii="Arial" w:hAnsi="Arial" w:cs="Arial"/>
          <w:sz w:val="22"/>
          <w:szCs w:val="22"/>
        </w:rPr>
        <w:t xml:space="preserve">. Available at: </w:t>
      </w:r>
      <w:hyperlink r:id="rId30" w:history="1">
        <w:r w:rsidRPr="00731C1F">
          <w:rPr>
            <w:rStyle w:val="Hyperlink"/>
            <w:rFonts w:ascii="Arial" w:hAnsi="Arial" w:cs="Arial"/>
            <w:sz w:val="22"/>
            <w:szCs w:val="22"/>
          </w:rPr>
          <w:t>https://www.oecd.org/content/dam/oecd/en/publications/reports/2023/07/driving-policy-coherence-for-sustainable-development_6fb02953/a6cb4aa1-en.pdf</w:t>
        </w:r>
      </w:hyperlink>
      <w:r w:rsidRPr="00731C1F">
        <w:rPr>
          <w:rFonts w:ascii="Arial" w:hAnsi="Arial" w:cs="Arial"/>
          <w:sz w:val="22"/>
          <w:szCs w:val="22"/>
        </w:rPr>
        <w:t xml:space="preserve"> (Accessed 28th October 2025).</w:t>
      </w:r>
    </w:p>
    <w:p w14:paraId="60641DF9" w14:textId="77777777" w:rsidR="00731C1F" w:rsidRPr="00731C1F" w:rsidRDefault="00731C1F" w:rsidP="00731C1F">
      <w:pPr>
        <w:pStyle w:val="NormalWeb"/>
        <w:spacing w:line="360" w:lineRule="auto"/>
        <w:jc w:val="both"/>
      </w:pPr>
      <w:r w:rsidRPr="00731C1F">
        <w:rPr>
          <w:rFonts w:ascii="Arial" w:hAnsi="Arial" w:cs="Arial"/>
          <w:sz w:val="22"/>
          <w:szCs w:val="22"/>
        </w:rPr>
        <w:t xml:space="preserve">Paavola, J. (2017) ‘Health impacts of climate change and health and social inequalities in the UK’, </w:t>
      </w:r>
      <w:r w:rsidRPr="00731C1F">
        <w:rPr>
          <w:rStyle w:val="Emphasis"/>
          <w:rFonts w:ascii="Arial" w:eastAsiaTheme="majorEastAsia" w:hAnsi="Arial" w:cs="Arial"/>
          <w:sz w:val="22"/>
          <w:szCs w:val="22"/>
        </w:rPr>
        <w:t xml:space="preserve">Environmental Health, </w:t>
      </w:r>
      <w:r w:rsidRPr="00731C1F">
        <w:rPr>
          <w:rStyle w:val="Emphasis"/>
          <w:rFonts w:ascii="Arial" w:eastAsiaTheme="majorEastAsia" w:hAnsi="Arial" w:cs="Arial"/>
          <w:i w:val="0"/>
          <w:iCs w:val="0"/>
          <w:sz w:val="22"/>
          <w:szCs w:val="22"/>
        </w:rPr>
        <w:t>16(113)</w:t>
      </w:r>
      <w:r w:rsidRPr="00731C1F">
        <w:rPr>
          <w:rFonts w:ascii="Arial" w:hAnsi="Arial" w:cs="Arial"/>
          <w:sz w:val="22"/>
          <w:szCs w:val="22"/>
        </w:rPr>
        <w:t xml:space="preserve">. Available at: </w:t>
      </w:r>
      <w:hyperlink r:id="rId31" w:history="1">
        <w:r w:rsidRPr="00731C1F">
          <w:rPr>
            <w:rStyle w:val="Hyperlink"/>
          </w:rPr>
          <w:t>https://doi.org/10.1186/s12940-017-0328-z</w:t>
        </w:r>
      </w:hyperlink>
      <w:r w:rsidRPr="00731C1F">
        <w:t xml:space="preserve"> </w:t>
      </w:r>
    </w:p>
    <w:p w14:paraId="7BDED3D0" w14:textId="77777777" w:rsidR="00731C1F" w:rsidRPr="00731C1F" w:rsidRDefault="00731C1F" w:rsidP="00731C1F">
      <w:pPr>
        <w:pStyle w:val="NormalWeb"/>
        <w:spacing w:line="360" w:lineRule="auto"/>
        <w:jc w:val="both"/>
        <w:rPr>
          <w:rFonts w:ascii="Arial" w:hAnsi="Arial" w:cs="Arial"/>
          <w:sz w:val="22"/>
          <w:szCs w:val="22"/>
        </w:rPr>
      </w:pPr>
      <w:r w:rsidRPr="00731C1F">
        <w:rPr>
          <w:rFonts w:ascii="Arial" w:hAnsi="Arial" w:cs="Arial"/>
          <w:sz w:val="22"/>
          <w:szCs w:val="22"/>
        </w:rPr>
        <w:t xml:space="preserve">Parbery-Clark, C., McSweeney, L., Lally, J. and Sowden, S. (2024) ‘How can health systems approach reducing health inequalities?’, </w:t>
      </w:r>
      <w:r w:rsidRPr="00731C1F">
        <w:rPr>
          <w:rStyle w:val="Emphasis"/>
          <w:rFonts w:ascii="Arial" w:eastAsiaTheme="majorEastAsia" w:hAnsi="Arial" w:cs="Arial"/>
          <w:sz w:val="22"/>
          <w:szCs w:val="22"/>
        </w:rPr>
        <w:t xml:space="preserve">BMC Public Health, </w:t>
      </w:r>
      <w:r w:rsidRPr="00731C1F">
        <w:rPr>
          <w:rStyle w:val="Emphasis"/>
          <w:rFonts w:ascii="Arial" w:eastAsiaTheme="majorEastAsia" w:hAnsi="Arial" w:cs="Arial"/>
          <w:i w:val="0"/>
          <w:iCs w:val="0"/>
          <w:sz w:val="22"/>
          <w:szCs w:val="22"/>
        </w:rPr>
        <w:t>24(2168)</w:t>
      </w:r>
      <w:r w:rsidRPr="00731C1F">
        <w:rPr>
          <w:rFonts w:ascii="Arial" w:hAnsi="Arial" w:cs="Arial"/>
          <w:sz w:val="22"/>
          <w:szCs w:val="22"/>
        </w:rPr>
        <w:t xml:space="preserve">. Available at: </w:t>
      </w:r>
      <w:hyperlink r:id="rId32" w:history="1">
        <w:r w:rsidRPr="00731C1F">
          <w:rPr>
            <w:rStyle w:val="Hyperlink"/>
          </w:rPr>
          <w:t>https://doi.org/10.1186/s12889-024-19531-5</w:t>
        </w:r>
      </w:hyperlink>
      <w:r w:rsidRPr="00731C1F">
        <w:t xml:space="preserve"> </w:t>
      </w:r>
    </w:p>
    <w:p w14:paraId="2E70C428"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UN (2023) </w:t>
      </w:r>
      <w:r w:rsidRPr="00731C1F">
        <w:rPr>
          <w:rStyle w:val="Emphasis"/>
          <w:rFonts w:ascii="Arial" w:eastAsiaTheme="majorEastAsia" w:hAnsi="Arial" w:cs="Arial"/>
          <w:sz w:val="22"/>
          <w:szCs w:val="22"/>
        </w:rPr>
        <w:t>The Sustainable Development Goals Report 2023</w:t>
      </w:r>
      <w:r w:rsidRPr="00731C1F">
        <w:rPr>
          <w:rFonts w:ascii="Arial" w:hAnsi="Arial" w:cs="Arial"/>
          <w:sz w:val="22"/>
          <w:szCs w:val="22"/>
        </w:rPr>
        <w:t>. Available at: https://unstats.un.org/sdgs/report/2023/ (Accessed 26th October 2025).</w:t>
      </w:r>
    </w:p>
    <w:p w14:paraId="3721F418" w14:textId="77777777" w:rsidR="00731C1F" w:rsidRPr="00731C1F" w:rsidRDefault="00731C1F" w:rsidP="00731C1F">
      <w:pPr>
        <w:pStyle w:val="NormalWeb"/>
        <w:spacing w:before="240" w:beforeAutospacing="0" w:line="360" w:lineRule="auto"/>
        <w:jc w:val="both"/>
        <w:rPr>
          <w:rFonts w:ascii="Arial" w:hAnsi="Arial" w:cs="Arial"/>
          <w:sz w:val="22"/>
          <w:szCs w:val="22"/>
        </w:rPr>
      </w:pPr>
      <w:r w:rsidRPr="00731C1F">
        <w:rPr>
          <w:rFonts w:ascii="Arial" w:hAnsi="Arial" w:cs="Arial"/>
          <w:sz w:val="22"/>
          <w:szCs w:val="22"/>
        </w:rPr>
        <w:t xml:space="preserve">WHO (2022) </w:t>
      </w:r>
      <w:r w:rsidRPr="00731C1F">
        <w:rPr>
          <w:rStyle w:val="Emphasis"/>
          <w:rFonts w:ascii="Arial" w:eastAsiaTheme="majorEastAsia" w:hAnsi="Arial" w:cs="Arial"/>
          <w:sz w:val="22"/>
          <w:szCs w:val="22"/>
        </w:rPr>
        <w:t>Ambient Air Pollution: A Global Assessment of Exposure and Burden of Disease</w:t>
      </w:r>
      <w:r w:rsidRPr="00731C1F">
        <w:rPr>
          <w:rFonts w:ascii="Arial" w:hAnsi="Arial" w:cs="Arial"/>
          <w:sz w:val="22"/>
          <w:szCs w:val="22"/>
        </w:rPr>
        <w:t xml:space="preserve">. Geneva: WHO. Available at: </w:t>
      </w:r>
      <w:hyperlink r:id="rId33" w:tgtFrame="_new" w:history="1">
        <w:r w:rsidRPr="00731C1F">
          <w:rPr>
            <w:rStyle w:val="Hyperlink"/>
            <w:rFonts w:ascii="Arial" w:eastAsiaTheme="majorEastAsia" w:hAnsi="Arial" w:cs="Arial"/>
            <w:sz w:val="22"/>
            <w:szCs w:val="22"/>
          </w:rPr>
          <w:t>https://www.who.int/publications/i/item/ambient-(outdoor)-air-quality-and-health</w:t>
        </w:r>
      </w:hyperlink>
      <w:r w:rsidRPr="00731C1F">
        <w:rPr>
          <w:rFonts w:ascii="Arial" w:hAnsi="Arial" w:cs="Arial"/>
          <w:sz w:val="22"/>
          <w:szCs w:val="22"/>
        </w:rPr>
        <w:t xml:space="preserve"> (Accessed 26th October 2025).</w:t>
      </w:r>
    </w:p>
    <w:p w14:paraId="2C9E1416" w14:textId="77777777" w:rsidR="00731C1F" w:rsidRPr="00731C1F" w:rsidRDefault="00731C1F" w:rsidP="00731C1F">
      <w:pPr>
        <w:pStyle w:val="NormalWeb"/>
        <w:spacing w:line="360" w:lineRule="auto"/>
        <w:jc w:val="both"/>
      </w:pPr>
      <w:proofErr w:type="spellStart"/>
      <w:r w:rsidRPr="00731C1F">
        <w:rPr>
          <w:rFonts w:ascii="Arial" w:hAnsi="Arial" w:cs="Arial"/>
          <w:sz w:val="22"/>
          <w:szCs w:val="22"/>
        </w:rPr>
        <w:t>Zils</w:t>
      </w:r>
      <w:proofErr w:type="spellEnd"/>
      <w:r w:rsidRPr="00731C1F">
        <w:rPr>
          <w:rFonts w:ascii="Arial" w:hAnsi="Arial" w:cs="Arial"/>
          <w:sz w:val="22"/>
          <w:szCs w:val="22"/>
        </w:rPr>
        <w:t xml:space="preserve">, M., Hopkinson, P., Charnley, F., </w:t>
      </w:r>
      <w:proofErr w:type="spellStart"/>
      <w:r w:rsidRPr="00731C1F">
        <w:rPr>
          <w:rFonts w:ascii="Arial" w:hAnsi="Arial" w:cs="Arial"/>
          <w:sz w:val="22"/>
          <w:szCs w:val="22"/>
        </w:rPr>
        <w:t>Pencheon</w:t>
      </w:r>
      <w:proofErr w:type="spellEnd"/>
      <w:r w:rsidRPr="00731C1F">
        <w:rPr>
          <w:rFonts w:ascii="Arial" w:hAnsi="Arial" w:cs="Arial"/>
          <w:sz w:val="22"/>
          <w:szCs w:val="22"/>
        </w:rPr>
        <w:t xml:space="preserve">, D., Dawson, T., </w:t>
      </w:r>
      <w:proofErr w:type="spellStart"/>
      <w:r w:rsidRPr="00731C1F">
        <w:rPr>
          <w:rFonts w:ascii="Arial" w:hAnsi="Arial" w:cs="Arial"/>
          <w:sz w:val="22"/>
          <w:szCs w:val="22"/>
        </w:rPr>
        <w:t>Eatherley</w:t>
      </w:r>
      <w:proofErr w:type="spellEnd"/>
      <w:r w:rsidRPr="00731C1F">
        <w:rPr>
          <w:rFonts w:ascii="Arial" w:hAnsi="Arial" w:cs="Arial"/>
          <w:sz w:val="22"/>
          <w:szCs w:val="22"/>
        </w:rPr>
        <w:t xml:space="preserve">, D., Burton, K. and </w:t>
      </w:r>
      <w:proofErr w:type="spellStart"/>
      <w:r w:rsidRPr="00731C1F">
        <w:rPr>
          <w:rFonts w:ascii="Arial" w:hAnsi="Arial" w:cs="Arial"/>
          <w:sz w:val="22"/>
          <w:szCs w:val="22"/>
        </w:rPr>
        <w:t>Gopfert</w:t>
      </w:r>
      <w:proofErr w:type="spellEnd"/>
      <w:r w:rsidRPr="00731C1F">
        <w:rPr>
          <w:rFonts w:ascii="Arial" w:hAnsi="Arial" w:cs="Arial"/>
          <w:sz w:val="22"/>
          <w:szCs w:val="22"/>
        </w:rPr>
        <w:t xml:space="preserve">, A. (2023) </w:t>
      </w:r>
      <w:r w:rsidRPr="00731C1F">
        <w:rPr>
          <w:rStyle w:val="Emphasis"/>
          <w:rFonts w:ascii="Arial" w:eastAsiaTheme="majorEastAsia" w:hAnsi="Arial" w:cs="Arial"/>
          <w:sz w:val="22"/>
          <w:szCs w:val="22"/>
        </w:rPr>
        <w:t>Accelerating the transition towards a net zero NHS: Delivering a sustainable and resilient UK healthcare sector</w:t>
      </w:r>
      <w:r w:rsidRPr="00731C1F">
        <w:rPr>
          <w:rFonts w:ascii="Arial" w:hAnsi="Arial" w:cs="Arial"/>
          <w:sz w:val="22"/>
          <w:szCs w:val="22"/>
        </w:rPr>
        <w:t xml:space="preserve">. Available at: </w:t>
      </w:r>
      <w:hyperlink r:id="rId34" w:tgtFrame="_new" w:history="1">
        <w:r w:rsidRPr="00731C1F">
          <w:rPr>
            <w:rStyle w:val="Hyperlink"/>
            <w:rFonts w:ascii="Arial" w:eastAsiaTheme="majorEastAsia" w:hAnsi="Arial" w:cs="Arial"/>
            <w:sz w:val="22"/>
            <w:szCs w:val="22"/>
          </w:rPr>
          <w:t>https://images.philips.com/is/content/PhilipsConsumer/Campaigns/CA20220315_DA_002_DP/6543_bcd_dl_thought_leadership_report_circular_econ_final.pdf</w:t>
        </w:r>
      </w:hyperlink>
      <w:r w:rsidRPr="00731C1F">
        <w:t xml:space="preserve"> (Accessed 28th October 2025).</w:t>
      </w:r>
    </w:p>
    <w:p w14:paraId="63ACC2E2" w14:textId="77777777" w:rsidR="00175651" w:rsidRPr="00731C1F" w:rsidRDefault="00175651" w:rsidP="001826CA">
      <w:pPr>
        <w:spacing w:before="240" w:after="0" w:line="360" w:lineRule="auto"/>
        <w:jc w:val="both"/>
        <w:rPr>
          <w:rFonts w:ascii="Arial" w:hAnsi="Arial" w:cs="Arial"/>
          <w:sz w:val="22"/>
          <w:szCs w:val="22"/>
        </w:rPr>
      </w:pPr>
    </w:p>
    <w:p w14:paraId="15487FC4" w14:textId="77777777" w:rsidR="009D1942" w:rsidRPr="00731C1F" w:rsidRDefault="009D1942" w:rsidP="001826CA">
      <w:pPr>
        <w:spacing w:before="240" w:after="0" w:line="360" w:lineRule="auto"/>
        <w:jc w:val="both"/>
        <w:rPr>
          <w:rFonts w:ascii="Arial" w:hAnsi="Arial" w:cs="Arial"/>
          <w:sz w:val="22"/>
          <w:szCs w:val="22"/>
        </w:rPr>
      </w:pPr>
    </w:p>
    <w:p w14:paraId="335BA65F" w14:textId="77777777" w:rsidR="009D1942" w:rsidRPr="00731C1F" w:rsidRDefault="009D1942" w:rsidP="001826CA">
      <w:pPr>
        <w:spacing w:before="240" w:after="0" w:line="360" w:lineRule="auto"/>
        <w:jc w:val="both"/>
        <w:rPr>
          <w:rFonts w:ascii="Arial" w:hAnsi="Arial" w:cs="Arial"/>
          <w:sz w:val="22"/>
          <w:szCs w:val="22"/>
        </w:rPr>
      </w:pPr>
    </w:p>
    <w:sectPr w:rsidR="009D1942" w:rsidRPr="00731C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0MTQ1NDcxNjM2NrRQ0lEKTi0uzszPAykwrgUA25yaoSwAAAA="/>
  </w:docVars>
  <w:rsids>
    <w:rsidRoot w:val="004A36BD"/>
    <w:rsid w:val="00055C0A"/>
    <w:rsid w:val="00131523"/>
    <w:rsid w:val="00175651"/>
    <w:rsid w:val="001826CA"/>
    <w:rsid w:val="00195233"/>
    <w:rsid w:val="00335F73"/>
    <w:rsid w:val="0048408D"/>
    <w:rsid w:val="004A36BD"/>
    <w:rsid w:val="00645199"/>
    <w:rsid w:val="00731C1F"/>
    <w:rsid w:val="00755449"/>
    <w:rsid w:val="00764831"/>
    <w:rsid w:val="00767344"/>
    <w:rsid w:val="008071DA"/>
    <w:rsid w:val="00881E60"/>
    <w:rsid w:val="00891434"/>
    <w:rsid w:val="00991519"/>
    <w:rsid w:val="00992AB3"/>
    <w:rsid w:val="009D1942"/>
    <w:rsid w:val="009D7BE4"/>
    <w:rsid w:val="00AE45B8"/>
    <w:rsid w:val="00B11277"/>
    <w:rsid w:val="00B70AC9"/>
    <w:rsid w:val="00BB21AE"/>
    <w:rsid w:val="00BC624C"/>
    <w:rsid w:val="00C06D9C"/>
    <w:rsid w:val="00C4615B"/>
    <w:rsid w:val="00C608AD"/>
    <w:rsid w:val="00D2477A"/>
    <w:rsid w:val="00D26233"/>
    <w:rsid w:val="00D4453A"/>
    <w:rsid w:val="00E256E0"/>
    <w:rsid w:val="00EC1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547FD"/>
  <w15:chartTrackingRefBased/>
  <w15:docId w15:val="{3965D06D-D782-4036-A280-25D1DE93C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6B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A36B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A36B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A36B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A36B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A36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6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6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6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6B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A36B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A36B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A36B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A36B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A36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6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6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6BD"/>
    <w:rPr>
      <w:rFonts w:eastAsiaTheme="majorEastAsia" w:cstheme="majorBidi"/>
      <w:color w:val="272727" w:themeColor="text1" w:themeTint="D8"/>
    </w:rPr>
  </w:style>
  <w:style w:type="paragraph" w:styleId="Title">
    <w:name w:val="Title"/>
    <w:basedOn w:val="Normal"/>
    <w:next w:val="Normal"/>
    <w:link w:val="TitleChar"/>
    <w:uiPriority w:val="10"/>
    <w:qFormat/>
    <w:rsid w:val="004A3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6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6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6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6BD"/>
    <w:pPr>
      <w:spacing w:before="160"/>
      <w:jc w:val="center"/>
    </w:pPr>
    <w:rPr>
      <w:i/>
      <w:iCs/>
      <w:color w:val="404040" w:themeColor="text1" w:themeTint="BF"/>
    </w:rPr>
  </w:style>
  <w:style w:type="character" w:customStyle="1" w:styleId="QuoteChar">
    <w:name w:val="Quote Char"/>
    <w:basedOn w:val="DefaultParagraphFont"/>
    <w:link w:val="Quote"/>
    <w:uiPriority w:val="29"/>
    <w:rsid w:val="004A36BD"/>
    <w:rPr>
      <w:i/>
      <w:iCs/>
      <w:color w:val="404040" w:themeColor="text1" w:themeTint="BF"/>
    </w:rPr>
  </w:style>
  <w:style w:type="paragraph" w:styleId="ListParagraph">
    <w:name w:val="List Paragraph"/>
    <w:basedOn w:val="Normal"/>
    <w:uiPriority w:val="34"/>
    <w:qFormat/>
    <w:rsid w:val="004A36BD"/>
    <w:pPr>
      <w:ind w:left="720"/>
      <w:contextualSpacing/>
    </w:pPr>
  </w:style>
  <w:style w:type="character" w:styleId="IntenseEmphasis">
    <w:name w:val="Intense Emphasis"/>
    <w:basedOn w:val="DefaultParagraphFont"/>
    <w:uiPriority w:val="21"/>
    <w:qFormat/>
    <w:rsid w:val="004A36BD"/>
    <w:rPr>
      <w:i/>
      <w:iCs/>
      <w:color w:val="2E74B5" w:themeColor="accent1" w:themeShade="BF"/>
    </w:rPr>
  </w:style>
  <w:style w:type="paragraph" w:styleId="IntenseQuote">
    <w:name w:val="Intense Quote"/>
    <w:basedOn w:val="Normal"/>
    <w:next w:val="Normal"/>
    <w:link w:val="IntenseQuoteChar"/>
    <w:uiPriority w:val="30"/>
    <w:qFormat/>
    <w:rsid w:val="004A36B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A36BD"/>
    <w:rPr>
      <w:i/>
      <w:iCs/>
      <w:color w:val="2E74B5" w:themeColor="accent1" w:themeShade="BF"/>
    </w:rPr>
  </w:style>
  <w:style w:type="character" w:styleId="IntenseReference">
    <w:name w:val="Intense Reference"/>
    <w:basedOn w:val="DefaultParagraphFont"/>
    <w:uiPriority w:val="32"/>
    <w:qFormat/>
    <w:rsid w:val="004A36BD"/>
    <w:rPr>
      <w:b/>
      <w:bCs/>
      <w:smallCaps/>
      <w:color w:val="2E74B5" w:themeColor="accent1" w:themeShade="BF"/>
      <w:spacing w:val="5"/>
    </w:rPr>
  </w:style>
  <w:style w:type="paragraph" w:styleId="NormalWeb">
    <w:name w:val="Normal (Web)"/>
    <w:basedOn w:val="Normal"/>
    <w:uiPriority w:val="99"/>
    <w:semiHidden/>
    <w:unhideWhenUsed/>
    <w:rsid w:val="00731C1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31C1F"/>
    <w:rPr>
      <w:i/>
      <w:iCs/>
    </w:rPr>
  </w:style>
  <w:style w:type="character" w:styleId="Hyperlink">
    <w:name w:val="Hyperlink"/>
    <w:basedOn w:val="DefaultParagraphFont"/>
    <w:uiPriority w:val="99"/>
    <w:unhideWhenUsed/>
    <w:rsid w:val="00731C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S2468-2667(23)00093-2" TargetMode="External"/><Relationship Id="rId18" Type="http://schemas.openxmlformats.org/officeDocument/2006/relationships/hyperlink" Target="https://www.ihpn.org.uk/net-zero-resources?utm_source=chatgpt.com" TargetMode="External"/><Relationship Id="rId26" Type="http://schemas.openxmlformats.org/officeDocument/2006/relationships/hyperlink" Target="https://www.england.nhs.uk/blog/catherine-thompson/" TargetMode="External"/><Relationship Id="rId3" Type="http://schemas.openxmlformats.org/officeDocument/2006/relationships/webSettings" Target="webSettings.xml"/><Relationship Id="rId21" Type="http://schemas.openxmlformats.org/officeDocument/2006/relationships/hyperlink" Target="https://doi.org/10.1177/11786302241298789" TargetMode="External"/><Relationship Id="rId34" Type="http://schemas.openxmlformats.org/officeDocument/2006/relationships/hyperlink" Target="https://images.philips.com/is/content/PhilipsConsumer/Campaigns/CA20220315_DA_002_DP/6543_bcd_dl_thought_leadership_report_circular_econ_final.pdf?utm_source=chatgpt.com" TargetMode="External"/><Relationship Id="rId7" Type="http://schemas.openxmlformats.org/officeDocument/2006/relationships/hyperlink" Target="https://doi.org/10.1038/s41558-025-02399-7" TargetMode="External"/><Relationship Id="rId12" Type="http://schemas.openxmlformats.org/officeDocument/2006/relationships/hyperlink" Target="https://doi.org/10.7861/fhj.2021-0018" TargetMode="External"/><Relationship Id="rId17" Type="http://schemas.openxmlformats.org/officeDocument/2006/relationships/hyperlink" Target="https://assets.publishing.service.gov.uk/media/6194dfa4d3bf7f0555071b1b/net-zero-strategy-beis.pdf" TargetMode="External"/><Relationship Id="rId25" Type="http://schemas.openxmlformats.org/officeDocument/2006/relationships/hyperlink" Target="https://doi.org/10.1136/bmjgh-2023-014498" TargetMode="External"/><Relationship Id="rId33" Type="http://schemas.openxmlformats.org/officeDocument/2006/relationships/hyperlink" Target="https://www.who.int/publications/i/item/ambient-(outdoor)-air-quality-and-health" TargetMode="External"/><Relationship Id="rId2" Type="http://schemas.openxmlformats.org/officeDocument/2006/relationships/settings" Target="settings.xml"/><Relationship Id="rId16" Type="http://schemas.openxmlformats.org/officeDocument/2006/relationships/hyperlink" Target="https://healthcareclimateaction.org/sites/default/files/2021-06/Health%20Care%20Without%20Harm_Health%20Care%20Decarbonization_Road%20Map.pdf" TargetMode="External"/><Relationship Id="rId20" Type="http://schemas.openxmlformats.org/officeDocument/2006/relationships/hyperlink" Target="https://doi.org/10.7759/cureus.38617" TargetMode="External"/><Relationship Id="rId29" Type="http://schemas.openxmlformats.org/officeDocument/2006/relationships/hyperlink" Target="https://www.england.nhs.uk/greenernhs/" TargetMode="External"/><Relationship Id="rId1" Type="http://schemas.openxmlformats.org/officeDocument/2006/relationships/styles" Target="styles.xml"/><Relationship Id="rId6" Type="http://schemas.openxmlformats.org/officeDocument/2006/relationships/hyperlink" Target="https://doi.org/10.1016/j.cstp.2024.101340" TargetMode="External"/><Relationship Id="rId11" Type="http://schemas.openxmlformats.org/officeDocument/2006/relationships/hyperlink" Target="https://doi.org/10.1093/eurpub/ckae144.358" TargetMode="External"/><Relationship Id="rId24" Type="http://schemas.openxmlformats.org/officeDocument/2006/relationships/hyperlink" Target="https://www.metoffice.gov.uk/research/climate/understanding-climate/uk-and-global-extreme-events-heatwaves" TargetMode="External"/><Relationship Id="rId32" Type="http://schemas.openxmlformats.org/officeDocument/2006/relationships/hyperlink" Target="https://doi.org/10.1186/s12889-024-19531-5" TargetMode="External"/><Relationship Id="rId5" Type="http://schemas.openxmlformats.org/officeDocument/2006/relationships/hyperlink" Target="https://doi.org/10.1093/eurpub/ckae081" TargetMode="External"/><Relationship Id="rId15" Type="http://schemas.openxmlformats.org/officeDocument/2006/relationships/hyperlink" Target="https://www.legislation.gov.uk/ukpga/2022/31/contents" TargetMode="External"/><Relationship Id="rId23" Type="http://schemas.openxmlformats.org/officeDocument/2006/relationships/hyperlink" Target="https://doi.org/10.1111/hex.70128" TargetMode="External"/><Relationship Id="rId28" Type="http://schemas.openxmlformats.org/officeDocument/2006/relationships/hyperlink" Target="https://www.england.nhs.uk/long-read/green-plan-guidance?utm_source=chatgpt.com" TargetMode="External"/><Relationship Id="rId36" Type="http://schemas.openxmlformats.org/officeDocument/2006/relationships/theme" Target="theme/theme1.xml"/><Relationship Id="rId10" Type="http://schemas.openxmlformats.org/officeDocument/2006/relationships/hyperlink" Target="https://doi.org/10.1016/j.ssmqr.2024.100475" TargetMode="External"/><Relationship Id="rId19" Type="http://schemas.openxmlformats.org/officeDocument/2006/relationships/hyperlink" Target="https://doi.org/10.1038/s41514-024-00148-2" TargetMode="External"/><Relationship Id="rId31" Type="http://schemas.openxmlformats.org/officeDocument/2006/relationships/hyperlink" Target="https://doi.org/10.1186/s12940-017-0328-z" TargetMode="External"/><Relationship Id="rId4" Type="http://schemas.openxmlformats.org/officeDocument/2006/relationships/hyperlink" Target="https://doi.org/10.1186/s12889-024-19459-w" TargetMode="External"/><Relationship Id="rId9" Type="http://schemas.openxmlformats.org/officeDocument/2006/relationships/hyperlink" Target="https://doi.org/10.1016/j.joclim.2022.100164" TargetMode="External"/><Relationship Id="rId14" Type="http://schemas.openxmlformats.org/officeDocument/2006/relationships/hyperlink" Target="https://doi.org/10.3390/ijerph22020232" TargetMode="External"/><Relationship Id="rId22" Type="http://schemas.openxmlformats.org/officeDocument/2006/relationships/hyperlink" Target="https://www.london.gov.uk/media-centre/mayors-press-releases/new-data-shows-mayors-ulez-expansion-working-better-expected-bringing-cleaner-air-five-million-more" TargetMode="External"/><Relationship Id="rId27" Type="http://schemas.openxmlformats.org/officeDocument/2006/relationships/hyperlink" Target="https://www.england.nhs.uk/greenernhs/wp-content/uploads/sites/51/2020/10/delivering-a-net-zero-national-health-service.pdf" TargetMode="External"/><Relationship Id="rId30" Type="http://schemas.openxmlformats.org/officeDocument/2006/relationships/hyperlink" Target="https://www.oecd.org/content/dam/oecd/en/publications/reports/2023/07/driving-policy-coherence-for-sustainable-development_6fb02953/a6cb4aa1-en.pdf" TargetMode="External"/><Relationship Id="rId35" Type="http://schemas.openxmlformats.org/officeDocument/2006/relationships/fontTable" Target="fontTable.xml"/><Relationship Id="rId8" Type="http://schemas.openxmlformats.org/officeDocument/2006/relationships/hyperlink" Target="https://www.theccc.org.uk/wp-content/uploads/2023/06/Progress-in-reducing-UK-emissions-2023-Report-to-Parliamen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3946</Words>
  <Characters>22493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Patience Solomon (2233993)</cp:lastModifiedBy>
  <cp:revision>2</cp:revision>
  <dcterms:created xsi:type="dcterms:W3CDTF">2025-12-13T17:43:00Z</dcterms:created>
  <dcterms:modified xsi:type="dcterms:W3CDTF">2025-12-13T17:43:00Z</dcterms:modified>
</cp:coreProperties>
</file>