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9A6A4" w14:textId="77777777" w:rsidR="00551E8A" w:rsidRDefault="00551E8A" w:rsidP="00551E8A">
      <w:pPr>
        <w:pStyle w:val="Normal1"/>
        <w:spacing w:line="360" w:lineRule="auto"/>
        <w:jc w:val="center"/>
        <w:rPr>
          <w:rFonts w:ascii="Times New Roman" w:eastAsia="Times New Roman" w:hAnsi="Times New Roman" w:cs="Times New Roman"/>
          <w:b/>
          <w:sz w:val="36"/>
          <w:szCs w:val="36"/>
        </w:rPr>
      </w:pPr>
    </w:p>
    <w:p w14:paraId="098AB580" w14:textId="77777777" w:rsidR="00551E8A" w:rsidRDefault="00551E8A" w:rsidP="00551E8A">
      <w:pPr>
        <w:pStyle w:val="Normal1"/>
        <w:spacing w:line="360" w:lineRule="auto"/>
        <w:jc w:val="center"/>
        <w:rPr>
          <w:rFonts w:ascii="Times New Roman" w:eastAsia="Times New Roman" w:hAnsi="Times New Roman" w:cs="Times New Roman"/>
          <w:b/>
          <w:sz w:val="36"/>
          <w:szCs w:val="36"/>
        </w:rPr>
      </w:pPr>
    </w:p>
    <w:p w14:paraId="2961B3C3" w14:textId="48A2114A" w:rsidR="006B45BE" w:rsidRDefault="0091496D" w:rsidP="00551E8A">
      <w:pPr>
        <w:pStyle w:val="Normal1"/>
        <w:spacing w:line="360" w:lineRule="auto"/>
        <w:jc w:val="center"/>
        <w:rPr>
          <w:rFonts w:ascii="Times New Roman" w:eastAsia="Times New Roman" w:hAnsi="Times New Roman" w:cs="Times New Roman"/>
          <w:b/>
          <w:sz w:val="32"/>
          <w:szCs w:val="32"/>
        </w:rPr>
      </w:pPr>
      <w:r w:rsidRPr="00314252">
        <w:rPr>
          <w:rFonts w:ascii="Times New Roman" w:eastAsia="Times New Roman" w:hAnsi="Times New Roman" w:cs="Times New Roman"/>
          <w:b/>
          <w:sz w:val="32"/>
          <w:szCs w:val="32"/>
        </w:rPr>
        <w:t>Community Engagement</w:t>
      </w:r>
    </w:p>
    <w:p w14:paraId="0C7E2FA2" w14:textId="77777777" w:rsidR="00B621B2" w:rsidRDefault="00B621B2" w:rsidP="00551E8A">
      <w:pPr>
        <w:pStyle w:val="Normal1"/>
        <w:spacing w:line="360" w:lineRule="auto"/>
        <w:jc w:val="center"/>
        <w:rPr>
          <w:rFonts w:ascii="Times New Roman" w:eastAsia="Times New Roman" w:hAnsi="Times New Roman" w:cs="Times New Roman"/>
          <w:b/>
          <w:sz w:val="32"/>
          <w:szCs w:val="32"/>
        </w:rPr>
      </w:pPr>
    </w:p>
    <w:p w14:paraId="2539CA13" w14:textId="6721A440" w:rsidR="00B621B2" w:rsidRDefault="00B621B2" w:rsidP="00551E8A">
      <w:pPr>
        <w:pStyle w:val="Normal1"/>
        <w:spacing w:line="360" w:lineRule="auto"/>
        <w:jc w:val="center"/>
        <w:rPr>
          <w:rFonts w:ascii="Times New Roman" w:eastAsia="Times New Roman" w:hAnsi="Times New Roman" w:cs="Times New Roman"/>
          <w:bCs/>
          <w:sz w:val="32"/>
          <w:szCs w:val="32"/>
        </w:rPr>
      </w:pPr>
      <w:r>
        <w:rPr>
          <w:rFonts w:ascii="Times New Roman" w:eastAsia="Times New Roman" w:hAnsi="Times New Roman" w:cs="Times New Roman"/>
          <w:bCs/>
          <w:sz w:val="32"/>
          <w:szCs w:val="32"/>
        </w:rPr>
        <w:t>Assessment 2</w:t>
      </w:r>
    </w:p>
    <w:p w14:paraId="10A72A1B" w14:textId="78071523" w:rsidR="00B621B2" w:rsidRDefault="00B621B2" w:rsidP="00551E8A">
      <w:pPr>
        <w:pStyle w:val="Normal1"/>
        <w:spacing w:line="360" w:lineRule="auto"/>
        <w:jc w:val="center"/>
        <w:rPr>
          <w:rFonts w:ascii="Times New Roman" w:eastAsia="Times New Roman" w:hAnsi="Times New Roman" w:cs="Times New Roman"/>
          <w:bCs/>
          <w:sz w:val="32"/>
          <w:szCs w:val="32"/>
        </w:rPr>
      </w:pPr>
    </w:p>
    <w:p w14:paraId="42C2DCEC" w14:textId="77777777" w:rsidR="00B621B2" w:rsidRPr="00B621B2" w:rsidRDefault="00B621B2" w:rsidP="00551E8A">
      <w:pPr>
        <w:pStyle w:val="Normal1"/>
        <w:spacing w:line="360" w:lineRule="auto"/>
        <w:jc w:val="center"/>
        <w:rPr>
          <w:rFonts w:ascii="Times New Roman" w:eastAsia="Times New Roman" w:hAnsi="Times New Roman" w:cs="Times New Roman"/>
          <w:bCs/>
          <w:sz w:val="32"/>
          <w:szCs w:val="32"/>
        </w:rPr>
      </w:pPr>
    </w:p>
    <w:p w14:paraId="243A0586" w14:textId="4595D377" w:rsidR="00551E8A" w:rsidRPr="00314252" w:rsidRDefault="0091496D" w:rsidP="00551E8A">
      <w:pPr>
        <w:pStyle w:val="Normal1"/>
        <w:spacing w:line="360" w:lineRule="auto"/>
        <w:jc w:val="center"/>
        <w:rPr>
          <w:rFonts w:ascii="Times New Roman" w:eastAsia="Times New Roman" w:hAnsi="Times New Roman" w:cs="Times New Roman"/>
          <w:bCs/>
          <w:sz w:val="24"/>
          <w:szCs w:val="24"/>
        </w:rPr>
      </w:pPr>
      <w:r w:rsidRPr="00314252">
        <w:rPr>
          <w:rFonts w:ascii="Times New Roman" w:eastAsia="Times New Roman" w:hAnsi="Times New Roman" w:cs="Times New Roman"/>
          <w:bCs/>
          <w:sz w:val="24"/>
          <w:szCs w:val="24"/>
        </w:rPr>
        <w:t>Module Code:</w:t>
      </w:r>
      <w:r w:rsidR="00B621B2">
        <w:rPr>
          <w:rFonts w:ascii="Times New Roman" w:eastAsia="Times New Roman" w:hAnsi="Times New Roman" w:cs="Times New Roman"/>
          <w:bCs/>
          <w:sz w:val="24"/>
          <w:szCs w:val="24"/>
        </w:rPr>
        <w:t xml:space="preserve"> LCBB4002</w:t>
      </w:r>
    </w:p>
    <w:p w14:paraId="60F2BCAB" w14:textId="014377CB" w:rsidR="00551E8A" w:rsidRPr="00314252" w:rsidRDefault="0091496D" w:rsidP="00551E8A">
      <w:pPr>
        <w:pStyle w:val="Normal1"/>
        <w:spacing w:line="360" w:lineRule="auto"/>
        <w:jc w:val="center"/>
        <w:rPr>
          <w:rFonts w:ascii="Times New Roman" w:eastAsia="Times New Roman" w:hAnsi="Times New Roman" w:cs="Times New Roman"/>
          <w:bCs/>
          <w:sz w:val="24"/>
          <w:szCs w:val="24"/>
        </w:rPr>
      </w:pPr>
      <w:r w:rsidRPr="00314252">
        <w:rPr>
          <w:rFonts w:ascii="Times New Roman" w:eastAsia="Times New Roman" w:hAnsi="Times New Roman" w:cs="Times New Roman"/>
          <w:bCs/>
          <w:sz w:val="24"/>
          <w:szCs w:val="24"/>
        </w:rPr>
        <w:t>Student Name:</w:t>
      </w:r>
      <w:r w:rsidR="00B621B2">
        <w:rPr>
          <w:rFonts w:ascii="Times New Roman" w:eastAsia="Times New Roman" w:hAnsi="Times New Roman" w:cs="Times New Roman"/>
          <w:bCs/>
          <w:sz w:val="24"/>
          <w:szCs w:val="24"/>
        </w:rPr>
        <w:t xml:space="preserve"> Georgel-Laurentiu Oprea</w:t>
      </w:r>
    </w:p>
    <w:p w14:paraId="5B3CE7E7" w14:textId="6CB6A556" w:rsidR="00551E8A" w:rsidRDefault="0091496D" w:rsidP="00551E8A">
      <w:pPr>
        <w:pStyle w:val="Normal1"/>
        <w:spacing w:line="360" w:lineRule="auto"/>
        <w:jc w:val="center"/>
        <w:rPr>
          <w:rFonts w:ascii="Times New Roman" w:eastAsia="Times New Roman" w:hAnsi="Times New Roman" w:cs="Times New Roman"/>
          <w:bCs/>
          <w:sz w:val="24"/>
          <w:szCs w:val="24"/>
        </w:rPr>
      </w:pPr>
      <w:r w:rsidRPr="00314252">
        <w:rPr>
          <w:rFonts w:ascii="Times New Roman" w:eastAsia="Times New Roman" w:hAnsi="Times New Roman" w:cs="Times New Roman"/>
          <w:bCs/>
          <w:sz w:val="24"/>
          <w:szCs w:val="24"/>
        </w:rPr>
        <w:t>Student ID:</w:t>
      </w:r>
      <w:r w:rsidR="00B621B2">
        <w:rPr>
          <w:rFonts w:ascii="Times New Roman" w:eastAsia="Times New Roman" w:hAnsi="Times New Roman" w:cs="Times New Roman"/>
          <w:bCs/>
          <w:sz w:val="24"/>
          <w:szCs w:val="24"/>
        </w:rPr>
        <w:t xml:space="preserve"> 2114879</w:t>
      </w:r>
    </w:p>
    <w:p w14:paraId="35F1C5E9" w14:textId="4A1630AE" w:rsidR="00B621B2" w:rsidRDefault="00B621B2" w:rsidP="00551E8A">
      <w:pPr>
        <w:pStyle w:val="Normal1"/>
        <w:spacing w:line="360" w:lineRule="auto"/>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University Lecturer: Faizu Edu</w:t>
      </w:r>
    </w:p>
    <w:p w14:paraId="2ACA6562" w14:textId="2B70EF57" w:rsidR="00314252" w:rsidRPr="00314252" w:rsidRDefault="0091496D" w:rsidP="00551E8A">
      <w:pPr>
        <w:pStyle w:val="Normal1"/>
        <w:spacing w:line="360" w:lineRule="auto"/>
        <w:jc w:val="center"/>
        <w:rPr>
          <w:rFonts w:ascii="Times New Roman" w:eastAsia="Times New Roman" w:hAnsi="Times New Roman" w:cs="Times New Roman"/>
          <w:bCs/>
          <w:sz w:val="20"/>
          <w:szCs w:val="20"/>
        </w:rPr>
      </w:pPr>
      <w:r>
        <w:rPr>
          <w:rFonts w:ascii="Times New Roman" w:eastAsia="Times New Roman" w:hAnsi="Times New Roman" w:cs="Times New Roman"/>
          <w:bCs/>
          <w:sz w:val="24"/>
          <w:szCs w:val="24"/>
        </w:rPr>
        <w:t xml:space="preserve">Submission Date: </w:t>
      </w:r>
      <w:r w:rsidR="00B621B2">
        <w:rPr>
          <w:rFonts w:ascii="Times New Roman" w:eastAsia="Times New Roman" w:hAnsi="Times New Roman" w:cs="Times New Roman"/>
          <w:bCs/>
          <w:sz w:val="24"/>
          <w:szCs w:val="24"/>
        </w:rPr>
        <w:t xml:space="preserve"> 12/05/2022</w:t>
      </w:r>
    </w:p>
    <w:p w14:paraId="4A996574" w14:textId="77777777" w:rsidR="00551E8A" w:rsidRDefault="0091496D">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sdt>
      <w:sdtPr>
        <w:rPr>
          <w:rFonts w:ascii="Arial" w:eastAsia="Arial" w:hAnsi="Arial" w:cs="Arial"/>
          <w:b/>
          <w:bCs w:val="0"/>
          <w:color w:val="auto"/>
          <w:sz w:val="22"/>
          <w:szCs w:val="22"/>
          <w:lang w:val="en-GB" w:eastAsia="en-GB"/>
        </w:rPr>
        <w:id w:val="1137728473"/>
        <w:docPartObj>
          <w:docPartGallery w:val="Table of Contents"/>
          <w:docPartUnique/>
        </w:docPartObj>
      </w:sdtPr>
      <w:sdtEndPr>
        <w:rPr>
          <w:rFonts w:ascii="Times New Roman" w:hAnsi="Times New Roman" w:cs="Times New Roman"/>
          <w:b w:val="0"/>
          <w:sz w:val="24"/>
          <w:szCs w:val="24"/>
        </w:rPr>
      </w:sdtEndPr>
      <w:sdtContent>
        <w:p w14:paraId="79D5F97D" w14:textId="77777777" w:rsidR="00C03F0B" w:rsidRPr="00314252" w:rsidRDefault="0091496D" w:rsidP="00C03F0B">
          <w:pPr>
            <w:pStyle w:val="TOCHeading"/>
            <w:jc w:val="center"/>
            <w:rPr>
              <w:b/>
              <w:bCs w:val="0"/>
            </w:rPr>
          </w:pPr>
          <w:r w:rsidRPr="00314252">
            <w:rPr>
              <w:rFonts w:ascii="Times New Roman" w:hAnsi="Times New Roman" w:cs="Times New Roman"/>
              <w:b/>
              <w:bCs w:val="0"/>
              <w:color w:val="auto"/>
            </w:rPr>
            <w:t>Table of Contents</w:t>
          </w:r>
        </w:p>
        <w:p w14:paraId="15962203" w14:textId="07B82002" w:rsidR="00314252" w:rsidRPr="00314252" w:rsidRDefault="0091496D" w:rsidP="00314252">
          <w:pPr>
            <w:pStyle w:val="TOC1"/>
            <w:tabs>
              <w:tab w:val="right" w:leader="dot" w:pos="9019"/>
            </w:tabs>
            <w:spacing w:line="360" w:lineRule="auto"/>
            <w:jc w:val="both"/>
            <w:rPr>
              <w:rFonts w:ascii="Times New Roman" w:eastAsiaTheme="minorEastAsia" w:hAnsi="Times New Roman" w:cs="Times New Roman"/>
              <w:noProof/>
              <w:sz w:val="24"/>
              <w:szCs w:val="24"/>
            </w:rPr>
          </w:pPr>
          <w:r w:rsidRPr="00C03F0B">
            <w:rPr>
              <w:rFonts w:ascii="Times New Roman" w:hAnsi="Times New Roman" w:cs="Times New Roman"/>
              <w:sz w:val="24"/>
              <w:szCs w:val="24"/>
            </w:rPr>
            <w:fldChar w:fldCharType="begin"/>
          </w:r>
          <w:r w:rsidRPr="00C03F0B">
            <w:rPr>
              <w:rFonts w:ascii="Times New Roman" w:hAnsi="Times New Roman" w:cs="Times New Roman"/>
              <w:sz w:val="24"/>
              <w:szCs w:val="24"/>
            </w:rPr>
            <w:instrText xml:space="preserve"> TOC \o "1-3" \h \z \u </w:instrText>
          </w:r>
          <w:r w:rsidRPr="00C03F0B">
            <w:rPr>
              <w:rFonts w:ascii="Times New Roman" w:hAnsi="Times New Roman" w:cs="Times New Roman"/>
              <w:sz w:val="24"/>
              <w:szCs w:val="24"/>
            </w:rPr>
            <w:fldChar w:fldCharType="separate"/>
          </w:r>
          <w:hyperlink w:anchor="_Toc99560889" w:history="1">
            <w:r w:rsidRPr="00314252">
              <w:rPr>
                <w:rStyle w:val="Hyperlink"/>
                <w:rFonts w:ascii="Times New Roman" w:hAnsi="Times New Roman" w:cs="Times New Roman"/>
                <w:noProof/>
                <w:sz w:val="24"/>
                <w:szCs w:val="24"/>
              </w:rPr>
              <w:t>Introduction</w:t>
            </w:r>
            <w:r w:rsidRPr="00314252">
              <w:rPr>
                <w:rFonts w:ascii="Times New Roman" w:hAnsi="Times New Roman" w:cs="Times New Roman"/>
                <w:noProof/>
                <w:webHidden/>
                <w:sz w:val="24"/>
                <w:szCs w:val="24"/>
              </w:rPr>
              <w:tab/>
            </w:r>
            <w:r w:rsidRPr="00314252">
              <w:rPr>
                <w:rFonts w:ascii="Times New Roman" w:hAnsi="Times New Roman" w:cs="Times New Roman"/>
                <w:noProof/>
                <w:webHidden/>
                <w:sz w:val="24"/>
                <w:szCs w:val="24"/>
              </w:rPr>
              <w:fldChar w:fldCharType="begin"/>
            </w:r>
            <w:r w:rsidRPr="00314252">
              <w:rPr>
                <w:rFonts w:ascii="Times New Roman" w:hAnsi="Times New Roman" w:cs="Times New Roman"/>
                <w:noProof/>
                <w:webHidden/>
                <w:sz w:val="24"/>
                <w:szCs w:val="24"/>
              </w:rPr>
              <w:instrText xml:space="preserve"> PAGEREF _Toc99560889 \h </w:instrText>
            </w:r>
            <w:r w:rsidRPr="00314252">
              <w:rPr>
                <w:rFonts w:ascii="Times New Roman" w:hAnsi="Times New Roman" w:cs="Times New Roman"/>
                <w:noProof/>
                <w:webHidden/>
                <w:sz w:val="24"/>
                <w:szCs w:val="24"/>
              </w:rPr>
            </w:r>
            <w:r w:rsidRPr="00314252">
              <w:rPr>
                <w:rFonts w:ascii="Times New Roman" w:hAnsi="Times New Roman" w:cs="Times New Roman"/>
                <w:noProof/>
                <w:webHidden/>
                <w:sz w:val="24"/>
                <w:szCs w:val="24"/>
              </w:rPr>
              <w:fldChar w:fldCharType="separate"/>
            </w:r>
            <w:r w:rsidRPr="00314252">
              <w:rPr>
                <w:rFonts w:ascii="Times New Roman" w:hAnsi="Times New Roman" w:cs="Times New Roman"/>
                <w:noProof/>
                <w:webHidden/>
                <w:sz w:val="24"/>
                <w:szCs w:val="24"/>
              </w:rPr>
              <w:t>3</w:t>
            </w:r>
            <w:r w:rsidRPr="00314252">
              <w:rPr>
                <w:rFonts w:ascii="Times New Roman" w:hAnsi="Times New Roman" w:cs="Times New Roman"/>
                <w:noProof/>
                <w:webHidden/>
                <w:sz w:val="24"/>
                <w:szCs w:val="24"/>
              </w:rPr>
              <w:fldChar w:fldCharType="end"/>
            </w:r>
          </w:hyperlink>
        </w:p>
        <w:p w14:paraId="3BA38A9B" w14:textId="6E863D7D" w:rsidR="00314252" w:rsidRPr="00314252" w:rsidRDefault="0091496D" w:rsidP="003142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560890" w:history="1">
            <w:r w:rsidRPr="00314252">
              <w:rPr>
                <w:rStyle w:val="Hyperlink"/>
                <w:rFonts w:ascii="Times New Roman" w:hAnsi="Times New Roman" w:cs="Times New Roman"/>
                <w:noProof/>
                <w:sz w:val="24"/>
                <w:szCs w:val="24"/>
              </w:rPr>
              <w:t>Comparison between the two projects</w:t>
            </w:r>
            <w:r w:rsidRPr="00314252">
              <w:rPr>
                <w:rFonts w:ascii="Times New Roman" w:hAnsi="Times New Roman" w:cs="Times New Roman"/>
                <w:noProof/>
                <w:webHidden/>
                <w:sz w:val="24"/>
                <w:szCs w:val="24"/>
              </w:rPr>
              <w:tab/>
            </w:r>
            <w:r w:rsidRPr="00314252">
              <w:rPr>
                <w:rFonts w:ascii="Times New Roman" w:hAnsi="Times New Roman" w:cs="Times New Roman"/>
                <w:noProof/>
                <w:webHidden/>
                <w:sz w:val="24"/>
                <w:szCs w:val="24"/>
              </w:rPr>
              <w:fldChar w:fldCharType="begin"/>
            </w:r>
            <w:r w:rsidRPr="00314252">
              <w:rPr>
                <w:rFonts w:ascii="Times New Roman" w:hAnsi="Times New Roman" w:cs="Times New Roman"/>
                <w:noProof/>
                <w:webHidden/>
                <w:sz w:val="24"/>
                <w:szCs w:val="24"/>
              </w:rPr>
              <w:instrText xml:space="preserve"> PAGEREF _Toc99560890 \h </w:instrText>
            </w:r>
            <w:r w:rsidRPr="00314252">
              <w:rPr>
                <w:rFonts w:ascii="Times New Roman" w:hAnsi="Times New Roman" w:cs="Times New Roman"/>
                <w:noProof/>
                <w:webHidden/>
                <w:sz w:val="24"/>
                <w:szCs w:val="24"/>
              </w:rPr>
            </w:r>
            <w:r w:rsidRPr="00314252">
              <w:rPr>
                <w:rFonts w:ascii="Times New Roman" w:hAnsi="Times New Roman" w:cs="Times New Roman"/>
                <w:noProof/>
                <w:webHidden/>
                <w:sz w:val="24"/>
                <w:szCs w:val="24"/>
              </w:rPr>
              <w:fldChar w:fldCharType="separate"/>
            </w:r>
            <w:r w:rsidRPr="00314252">
              <w:rPr>
                <w:rFonts w:ascii="Times New Roman" w:hAnsi="Times New Roman" w:cs="Times New Roman"/>
                <w:noProof/>
                <w:webHidden/>
                <w:sz w:val="24"/>
                <w:szCs w:val="24"/>
              </w:rPr>
              <w:t>3</w:t>
            </w:r>
            <w:r w:rsidRPr="00314252">
              <w:rPr>
                <w:rFonts w:ascii="Times New Roman" w:hAnsi="Times New Roman" w:cs="Times New Roman"/>
                <w:noProof/>
                <w:webHidden/>
                <w:sz w:val="24"/>
                <w:szCs w:val="24"/>
              </w:rPr>
              <w:fldChar w:fldCharType="end"/>
            </w:r>
          </w:hyperlink>
        </w:p>
        <w:p w14:paraId="0C093B05" w14:textId="341C3BEA" w:rsidR="00314252" w:rsidRPr="00314252" w:rsidRDefault="0091496D" w:rsidP="003142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560891" w:history="1">
            <w:r w:rsidRPr="00314252">
              <w:rPr>
                <w:rStyle w:val="Hyperlink"/>
                <w:rFonts w:ascii="Times New Roman" w:hAnsi="Times New Roman" w:cs="Times New Roman"/>
                <w:noProof/>
                <w:sz w:val="24"/>
                <w:szCs w:val="24"/>
              </w:rPr>
              <w:t>Analysis of various parameters</w:t>
            </w:r>
            <w:r w:rsidRPr="00314252">
              <w:rPr>
                <w:rFonts w:ascii="Times New Roman" w:hAnsi="Times New Roman" w:cs="Times New Roman"/>
                <w:noProof/>
                <w:webHidden/>
                <w:sz w:val="24"/>
                <w:szCs w:val="24"/>
              </w:rPr>
              <w:tab/>
            </w:r>
            <w:r w:rsidRPr="00314252">
              <w:rPr>
                <w:rFonts w:ascii="Times New Roman" w:hAnsi="Times New Roman" w:cs="Times New Roman"/>
                <w:noProof/>
                <w:webHidden/>
                <w:sz w:val="24"/>
                <w:szCs w:val="24"/>
              </w:rPr>
              <w:fldChar w:fldCharType="begin"/>
            </w:r>
            <w:r w:rsidRPr="00314252">
              <w:rPr>
                <w:rFonts w:ascii="Times New Roman" w:hAnsi="Times New Roman" w:cs="Times New Roman"/>
                <w:noProof/>
                <w:webHidden/>
                <w:sz w:val="24"/>
                <w:szCs w:val="24"/>
              </w:rPr>
              <w:instrText xml:space="preserve"> PAGEREF _Toc99560891 \h </w:instrText>
            </w:r>
            <w:r w:rsidRPr="00314252">
              <w:rPr>
                <w:rFonts w:ascii="Times New Roman" w:hAnsi="Times New Roman" w:cs="Times New Roman"/>
                <w:noProof/>
                <w:webHidden/>
                <w:sz w:val="24"/>
                <w:szCs w:val="24"/>
              </w:rPr>
            </w:r>
            <w:r w:rsidRPr="00314252">
              <w:rPr>
                <w:rFonts w:ascii="Times New Roman" w:hAnsi="Times New Roman" w:cs="Times New Roman"/>
                <w:noProof/>
                <w:webHidden/>
                <w:sz w:val="24"/>
                <w:szCs w:val="24"/>
              </w:rPr>
              <w:fldChar w:fldCharType="separate"/>
            </w:r>
            <w:r w:rsidRPr="00314252">
              <w:rPr>
                <w:rFonts w:ascii="Times New Roman" w:hAnsi="Times New Roman" w:cs="Times New Roman"/>
                <w:noProof/>
                <w:webHidden/>
                <w:sz w:val="24"/>
                <w:szCs w:val="24"/>
              </w:rPr>
              <w:t>4</w:t>
            </w:r>
            <w:r w:rsidRPr="00314252">
              <w:rPr>
                <w:rFonts w:ascii="Times New Roman" w:hAnsi="Times New Roman" w:cs="Times New Roman"/>
                <w:noProof/>
                <w:webHidden/>
                <w:sz w:val="24"/>
                <w:szCs w:val="24"/>
              </w:rPr>
              <w:fldChar w:fldCharType="end"/>
            </w:r>
          </w:hyperlink>
        </w:p>
        <w:p w14:paraId="5929F912" w14:textId="40361486" w:rsidR="00314252" w:rsidRPr="00314252" w:rsidRDefault="0091496D" w:rsidP="003142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560892" w:history="1">
            <w:r w:rsidRPr="00314252">
              <w:rPr>
                <w:rStyle w:val="Hyperlink"/>
                <w:rFonts w:ascii="Times New Roman" w:hAnsi="Times New Roman" w:cs="Times New Roman"/>
                <w:noProof/>
                <w:sz w:val="24"/>
                <w:szCs w:val="24"/>
              </w:rPr>
              <w:t>Evaluation of the best practices</w:t>
            </w:r>
            <w:r w:rsidRPr="00314252">
              <w:rPr>
                <w:rFonts w:ascii="Times New Roman" w:hAnsi="Times New Roman" w:cs="Times New Roman"/>
                <w:noProof/>
                <w:webHidden/>
                <w:sz w:val="24"/>
                <w:szCs w:val="24"/>
              </w:rPr>
              <w:tab/>
            </w:r>
            <w:r w:rsidRPr="00314252">
              <w:rPr>
                <w:rFonts w:ascii="Times New Roman" w:hAnsi="Times New Roman" w:cs="Times New Roman"/>
                <w:noProof/>
                <w:webHidden/>
                <w:sz w:val="24"/>
                <w:szCs w:val="24"/>
              </w:rPr>
              <w:fldChar w:fldCharType="begin"/>
            </w:r>
            <w:r w:rsidRPr="00314252">
              <w:rPr>
                <w:rFonts w:ascii="Times New Roman" w:hAnsi="Times New Roman" w:cs="Times New Roman"/>
                <w:noProof/>
                <w:webHidden/>
                <w:sz w:val="24"/>
                <w:szCs w:val="24"/>
              </w:rPr>
              <w:instrText xml:space="preserve"> PAGEREF _Toc99560892 \h </w:instrText>
            </w:r>
            <w:r w:rsidRPr="00314252">
              <w:rPr>
                <w:rFonts w:ascii="Times New Roman" w:hAnsi="Times New Roman" w:cs="Times New Roman"/>
                <w:noProof/>
                <w:webHidden/>
                <w:sz w:val="24"/>
                <w:szCs w:val="24"/>
              </w:rPr>
            </w:r>
            <w:r w:rsidRPr="00314252">
              <w:rPr>
                <w:rFonts w:ascii="Times New Roman" w:hAnsi="Times New Roman" w:cs="Times New Roman"/>
                <w:noProof/>
                <w:webHidden/>
                <w:sz w:val="24"/>
                <w:szCs w:val="24"/>
              </w:rPr>
              <w:fldChar w:fldCharType="separate"/>
            </w:r>
            <w:r w:rsidRPr="00314252">
              <w:rPr>
                <w:rFonts w:ascii="Times New Roman" w:hAnsi="Times New Roman" w:cs="Times New Roman"/>
                <w:noProof/>
                <w:webHidden/>
                <w:sz w:val="24"/>
                <w:szCs w:val="24"/>
              </w:rPr>
              <w:t>6</w:t>
            </w:r>
            <w:r w:rsidRPr="00314252">
              <w:rPr>
                <w:rFonts w:ascii="Times New Roman" w:hAnsi="Times New Roman" w:cs="Times New Roman"/>
                <w:noProof/>
                <w:webHidden/>
                <w:sz w:val="24"/>
                <w:szCs w:val="24"/>
              </w:rPr>
              <w:fldChar w:fldCharType="end"/>
            </w:r>
          </w:hyperlink>
        </w:p>
        <w:p w14:paraId="3A45019B" w14:textId="6CF83025" w:rsidR="00314252" w:rsidRPr="00314252" w:rsidRDefault="0091496D" w:rsidP="003142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560893" w:history="1">
            <w:r w:rsidRPr="00314252">
              <w:rPr>
                <w:rStyle w:val="Hyperlink"/>
                <w:rFonts w:ascii="Times New Roman" w:hAnsi="Times New Roman" w:cs="Times New Roman"/>
                <w:noProof/>
                <w:sz w:val="24"/>
                <w:szCs w:val="24"/>
              </w:rPr>
              <w:t>Conclusion</w:t>
            </w:r>
            <w:r w:rsidRPr="00314252">
              <w:rPr>
                <w:rFonts w:ascii="Times New Roman" w:hAnsi="Times New Roman" w:cs="Times New Roman"/>
                <w:noProof/>
                <w:webHidden/>
                <w:sz w:val="24"/>
                <w:szCs w:val="24"/>
              </w:rPr>
              <w:tab/>
            </w:r>
            <w:r w:rsidRPr="00314252">
              <w:rPr>
                <w:rFonts w:ascii="Times New Roman" w:hAnsi="Times New Roman" w:cs="Times New Roman"/>
                <w:noProof/>
                <w:webHidden/>
                <w:sz w:val="24"/>
                <w:szCs w:val="24"/>
              </w:rPr>
              <w:fldChar w:fldCharType="begin"/>
            </w:r>
            <w:r w:rsidRPr="00314252">
              <w:rPr>
                <w:rFonts w:ascii="Times New Roman" w:hAnsi="Times New Roman" w:cs="Times New Roman"/>
                <w:noProof/>
                <w:webHidden/>
                <w:sz w:val="24"/>
                <w:szCs w:val="24"/>
              </w:rPr>
              <w:instrText xml:space="preserve"> PAGEREF _Toc99560893 \h </w:instrText>
            </w:r>
            <w:r w:rsidRPr="00314252">
              <w:rPr>
                <w:rFonts w:ascii="Times New Roman" w:hAnsi="Times New Roman" w:cs="Times New Roman"/>
                <w:noProof/>
                <w:webHidden/>
                <w:sz w:val="24"/>
                <w:szCs w:val="24"/>
              </w:rPr>
            </w:r>
            <w:r w:rsidRPr="00314252">
              <w:rPr>
                <w:rFonts w:ascii="Times New Roman" w:hAnsi="Times New Roman" w:cs="Times New Roman"/>
                <w:noProof/>
                <w:webHidden/>
                <w:sz w:val="24"/>
                <w:szCs w:val="24"/>
              </w:rPr>
              <w:fldChar w:fldCharType="separate"/>
            </w:r>
            <w:r w:rsidRPr="00314252">
              <w:rPr>
                <w:rFonts w:ascii="Times New Roman" w:hAnsi="Times New Roman" w:cs="Times New Roman"/>
                <w:noProof/>
                <w:webHidden/>
                <w:sz w:val="24"/>
                <w:szCs w:val="24"/>
              </w:rPr>
              <w:t>7</w:t>
            </w:r>
            <w:r w:rsidRPr="00314252">
              <w:rPr>
                <w:rFonts w:ascii="Times New Roman" w:hAnsi="Times New Roman" w:cs="Times New Roman"/>
                <w:noProof/>
                <w:webHidden/>
                <w:sz w:val="24"/>
                <w:szCs w:val="24"/>
              </w:rPr>
              <w:fldChar w:fldCharType="end"/>
            </w:r>
          </w:hyperlink>
        </w:p>
        <w:p w14:paraId="045B5787" w14:textId="13EC8DFB" w:rsidR="00314252" w:rsidRPr="00314252" w:rsidRDefault="0091496D" w:rsidP="00314252">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99560894" w:history="1">
            <w:r w:rsidRPr="00314252">
              <w:rPr>
                <w:rStyle w:val="Hyperlink"/>
                <w:rFonts w:ascii="Times New Roman" w:hAnsi="Times New Roman" w:cs="Times New Roman"/>
                <w:noProof/>
                <w:sz w:val="24"/>
                <w:szCs w:val="24"/>
              </w:rPr>
              <w:t>References</w:t>
            </w:r>
            <w:r w:rsidRPr="00314252">
              <w:rPr>
                <w:rFonts w:ascii="Times New Roman" w:hAnsi="Times New Roman" w:cs="Times New Roman"/>
                <w:noProof/>
                <w:webHidden/>
                <w:sz w:val="24"/>
                <w:szCs w:val="24"/>
              </w:rPr>
              <w:tab/>
            </w:r>
            <w:r w:rsidRPr="00314252">
              <w:rPr>
                <w:rFonts w:ascii="Times New Roman" w:hAnsi="Times New Roman" w:cs="Times New Roman"/>
                <w:noProof/>
                <w:webHidden/>
                <w:sz w:val="24"/>
                <w:szCs w:val="24"/>
              </w:rPr>
              <w:fldChar w:fldCharType="begin"/>
            </w:r>
            <w:r w:rsidRPr="00314252">
              <w:rPr>
                <w:rFonts w:ascii="Times New Roman" w:hAnsi="Times New Roman" w:cs="Times New Roman"/>
                <w:noProof/>
                <w:webHidden/>
                <w:sz w:val="24"/>
                <w:szCs w:val="24"/>
              </w:rPr>
              <w:instrText xml:space="preserve"> PAGEREF _Toc</w:instrText>
            </w:r>
            <w:r w:rsidRPr="00314252">
              <w:rPr>
                <w:rFonts w:ascii="Times New Roman" w:hAnsi="Times New Roman" w:cs="Times New Roman"/>
                <w:noProof/>
                <w:webHidden/>
                <w:sz w:val="24"/>
                <w:szCs w:val="24"/>
              </w:rPr>
              <w:instrText xml:space="preserve">99560894 \h </w:instrText>
            </w:r>
            <w:r w:rsidRPr="00314252">
              <w:rPr>
                <w:rFonts w:ascii="Times New Roman" w:hAnsi="Times New Roman" w:cs="Times New Roman"/>
                <w:noProof/>
                <w:webHidden/>
                <w:sz w:val="24"/>
                <w:szCs w:val="24"/>
              </w:rPr>
            </w:r>
            <w:r w:rsidRPr="00314252">
              <w:rPr>
                <w:rFonts w:ascii="Times New Roman" w:hAnsi="Times New Roman" w:cs="Times New Roman"/>
                <w:noProof/>
                <w:webHidden/>
                <w:sz w:val="24"/>
                <w:szCs w:val="24"/>
              </w:rPr>
              <w:fldChar w:fldCharType="separate"/>
            </w:r>
            <w:r w:rsidRPr="00314252">
              <w:rPr>
                <w:rFonts w:ascii="Times New Roman" w:hAnsi="Times New Roman" w:cs="Times New Roman"/>
                <w:noProof/>
                <w:webHidden/>
                <w:sz w:val="24"/>
                <w:szCs w:val="24"/>
              </w:rPr>
              <w:t>9</w:t>
            </w:r>
            <w:r w:rsidRPr="00314252">
              <w:rPr>
                <w:rFonts w:ascii="Times New Roman" w:hAnsi="Times New Roman" w:cs="Times New Roman"/>
                <w:noProof/>
                <w:webHidden/>
                <w:sz w:val="24"/>
                <w:szCs w:val="24"/>
              </w:rPr>
              <w:fldChar w:fldCharType="end"/>
            </w:r>
          </w:hyperlink>
        </w:p>
        <w:p w14:paraId="4CBE240F" w14:textId="3F397CB5" w:rsidR="00C03F0B" w:rsidRPr="00C03F0B" w:rsidRDefault="0091496D" w:rsidP="00C03F0B">
          <w:pPr>
            <w:spacing w:line="360" w:lineRule="auto"/>
            <w:jc w:val="both"/>
            <w:rPr>
              <w:rFonts w:ascii="Times New Roman" w:hAnsi="Times New Roman" w:cs="Times New Roman"/>
              <w:sz w:val="24"/>
              <w:szCs w:val="24"/>
            </w:rPr>
          </w:pPr>
          <w:r w:rsidRPr="00C03F0B">
            <w:rPr>
              <w:rFonts w:ascii="Times New Roman" w:hAnsi="Times New Roman" w:cs="Times New Roman"/>
              <w:sz w:val="24"/>
              <w:szCs w:val="24"/>
            </w:rPr>
            <w:fldChar w:fldCharType="end"/>
          </w:r>
        </w:p>
      </w:sdtContent>
    </w:sdt>
    <w:p w14:paraId="357A3EAC" w14:textId="77777777" w:rsidR="00C03F0B" w:rsidRDefault="0091496D">
      <w:pPr>
        <w:rPr>
          <w:rFonts w:ascii="Times New Roman" w:hAnsi="Times New Roman" w:cs="Times New Roman"/>
          <w:b/>
          <w:sz w:val="28"/>
          <w:szCs w:val="28"/>
        </w:rPr>
      </w:pPr>
      <w:r>
        <w:rPr>
          <w:rFonts w:ascii="Times New Roman" w:hAnsi="Times New Roman" w:cs="Times New Roman"/>
          <w:b/>
          <w:sz w:val="28"/>
          <w:szCs w:val="28"/>
        </w:rPr>
        <w:br w:type="page"/>
      </w:r>
    </w:p>
    <w:p w14:paraId="2DC3238D" w14:textId="77777777" w:rsidR="006B45BE" w:rsidRPr="00551E8A" w:rsidRDefault="0091496D" w:rsidP="00551E8A">
      <w:pPr>
        <w:pStyle w:val="Heading1"/>
        <w:rPr>
          <w:rFonts w:cs="Times New Roman"/>
          <w:b w:val="0"/>
          <w:szCs w:val="28"/>
        </w:rPr>
      </w:pPr>
      <w:bookmarkStart w:id="0" w:name="_Toc99560889"/>
      <w:r w:rsidRPr="00551E8A">
        <w:rPr>
          <w:rFonts w:cs="Times New Roman"/>
          <w:szCs w:val="28"/>
        </w:rPr>
        <w:lastRenderedPageBreak/>
        <w:t>Introduction</w:t>
      </w:r>
      <w:bookmarkEnd w:id="0"/>
      <w:r w:rsidRPr="00551E8A">
        <w:rPr>
          <w:rFonts w:cs="Times New Roman"/>
          <w:szCs w:val="28"/>
        </w:rPr>
        <w:t xml:space="preserve"> </w:t>
      </w:r>
    </w:p>
    <w:p w14:paraId="3237B49C"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management is the process where organisations build an interested audience around their products or services with the help of social </w:t>
      </w:r>
      <w:r>
        <w:rPr>
          <w:rFonts w:ascii="Times New Roman" w:eastAsia="Times New Roman" w:hAnsi="Times New Roman" w:cs="Times New Roman"/>
          <w:sz w:val="24"/>
          <w:szCs w:val="24"/>
        </w:rPr>
        <w:t>media. Active social channels are engaged continuously in monitoring the process. Not only building, maintaining relationships with the employees and society in the best possible ways are the key factors for effective community management. A smart communit</w:t>
      </w:r>
      <w:r>
        <w:rPr>
          <w:rFonts w:ascii="Times New Roman" w:eastAsia="Times New Roman" w:hAnsi="Times New Roman" w:cs="Times New Roman"/>
          <w:sz w:val="24"/>
          <w:szCs w:val="24"/>
        </w:rPr>
        <w:t>y development approach manages the community systems (</w:t>
      </w:r>
      <w:r>
        <w:rPr>
          <w:rFonts w:ascii="Times New Roman" w:eastAsia="Times New Roman" w:hAnsi="Times New Roman" w:cs="Times New Roman"/>
          <w:color w:val="222222"/>
          <w:sz w:val="24"/>
          <w:szCs w:val="24"/>
          <w:highlight w:val="white"/>
        </w:rPr>
        <w:t>Zhou et al., 2019).</w:t>
      </w:r>
      <w:r>
        <w:rPr>
          <w:color w:val="222222"/>
          <w:sz w:val="20"/>
          <w:szCs w:val="20"/>
          <w:highlight w:val="white"/>
        </w:rPr>
        <w:t xml:space="preserve"> </w:t>
      </w:r>
      <w:r>
        <w:rPr>
          <w:rFonts w:ascii="Times New Roman" w:eastAsia="Times New Roman" w:hAnsi="Times New Roman" w:cs="Times New Roman"/>
          <w:sz w:val="24"/>
          <w:szCs w:val="24"/>
        </w:rPr>
        <w:t xml:space="preserve">The community built in this management process is to create an authentic relationship among the internal and the external audiences. In this project report, the community service of </w:t>
      </w:r>
      <w:r>
        <w:rPr>
          <w:rFonts w:ascii="Times New Roman" w:eastAsia="Times New Roman" w:hAnsi="Times New Roman" w:cs="Times New Roman"/>
          <w:sz w:val="24"/>
          <w:szCs w:val="24"/>
        </w:rPr>
        <w:t>NPH UK is taken, where they are organising and conducting programmes to support local communities, especially raising children to become responsible with education and health care (</w:t>
      </w:r>
      <w:r>
        <w:rPr>
          <w:rFonts w:ascii="Times New Roman" w:eastAsia="Times New Roman" w:hAnsi="Times New Roman" w:cs="Times New Roman"/>
          <w:color w:val="222222"/>
          <w:sz w:val="24"/>
          <w:szCs w:val="24"/>
          <w:highlight w:val="white"/>
        </w:rPr>
        <w:t>George, M., 2020)</w:t>
      </w:r>
      <w:r>
        <w:rPr>
          <w:rFonts w:ascii="Times New Roman" w:eastAsia="Times New Roman" w:hAnsi="Times New Roman" w:cs="Times New Roman"/>
          <w:sz w:val="24"/>
          <w:szCs w:val="24"/>
        </w:rPr>
        <w:t>. Despite the centres' good prospects, in this report, a h</w:t>
      </w:r>
      <w:r>
        <w:rPr>
          <w:rFonts w:ascii="Times New Roman" w:eastAsia="Times New Roman" w:hAnsi="Times New Roman" w:cs="Times New Roman"/>
          <w:sz w:val="24"/>
          <w:szCs w:val="24"/>
        </w:rPr>
        <w:t>ypothetical community service project has been built for comparing its market prospects and whether the current project of NPH UK is contributing positively to the community (</w:t>
      </w:r>
      <w:r>
        <w:rPr>
          <w:rFonts w:ascii="Times New Roman" w:eastAsia="Times New Roman" w:hAnsi="Times New Roman" w:cs="Times New Roman"/>
          <w:color w:val="222222"/>
          <w:sz w:val="24"/>
          <w:szCs w:val="24"/>
          <w:highlight w:val="white"/>
        </w:rPr>
        <w:t xml:space="preserve">Scarlett et al., 2019). </w:t>
      </w:r>
      <w:r>
        <w:rPr>
          <w:rFonts w:ascii="Times New Roman" w:eastAsia="Times New Roman" w:hAnsi="Times New Roman" w:cs="Times New Roman"/>
          <w:sz w:val="24"/>
          <w:szCs w:val="24"/>
        </w:rPr>
        <w:t>Other than raising the children to become responsible, th</w:t>
      </w:r>
      <w:r>
        <w:rPr>
          <w:rFonts w:ascii="Times New Roman" w:eastAsia="Times New Roman" w:hAnsi="Times New Roman" w:cs="Times New Roman"/>
          <w:sz w:val="24"/>
          <w:szCs w:val="24"/>
        </w:rPr>
        <w:t>ey should also be making the children aware of environmental safety and protection, which in return will also raise the children to be responsible.</w:t>
      </w:r>
    </w:p>
    <w:p w14:paraId="47B2DCCE" w14:textId="4516410F" w:rsidR="006B45BE" w:rsidRPr="00314252" w:rsidRDefault="0091496D" w:rsidP="00314252">
      <w:pPr>
        <w:pStyle w:val="Heading1"/>
        <w:rPr>
          <w:rFonts w:eastAsia="Times New Roman"/>
        </w:rPr>
      </w:pPr>
      <w:bookmarkStart w:id="1" w:name="_Toc99560890"/>
      <w:r w:rsidRPr="00551E8A">
        <w:t>Compari</w:t>
      </w:r>
      <w:r w:rsidR="00551E8A" w:rsidRPr="00551E8A">
        <w:t>son between the two projects</w:t>
      </w:r>
      <w:bookmarkEnd w:id="1"/>
      <w:r w:rsidR="00551E8A" w:rsidRPr="00551E8A">
        <w:t xml:space="preserve"> </w:t>
      </w:r>
    </w:p>
    <w:p w14:paraId="33CDB84F"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two projects are compared based on different factors. Effective com</w:t>
      </w:r>
      <w:r>
        <w:rPr>
          <w:rFonts w:ascii="Times New Roman" w:eastAsia="Times New Roman" w:hAnsi="Times New Roman" w:cs="Times New Roman"/>
          <w:sz w:val="24"/>
          <w:szCs w:val="24"/>
        </w:rPr>
        <w:t>munity management enables the communities to persuade their concerns with the responses from the community. Community engagement is growing in the health perspectives of society (</w:t>
      </w:r>
      <w:r>
        <w:rPr>
          <w:rFonts w:ascii="Times New Roman" w:eastAsia="Times New Roman" w:hAnsi="Times New Roman" w:cs="Times New Roman"/>
          <w:color w:val="222222"/>
          <w:sz w:val="24"/>
          <w:szCs w:val="24"/>
          <w:highlight w:val="white"/>
        </w:rPr>
        <w:t>Pratt and de Vries, 2018). The main motto of community engagement is aligning</w:t>
      </w:r>
      <w:r>
        <w:rPr>
          <w:rFonts w:ascii="Times New Roman" w:eastAsia="Times New Roman" w:hAnsi="Times New Roman" w:cs="Times New Roman"/>
          <w:color w:val="222222"/>
          <w:sz w:val="24"/>
          <w:szCs w:val="24"/>
          <w:highlight w:val="white"/>
        </w:rPr>
        <w:t xml:space="preserve"> the interests and creating strategies for making the participants understand that they are engaged for mutual benefits. It requires the effectiveness for balancing skillfully the worker and client relationship that results in the accomplishment of the org</w:t>
      </w:r>
      <w:r>
        <w:rPr>
          <w:rFonts w:ascii="Times New Roman" w:eastAsia="Times New Roman" w:hAnsi="Times New Roman" w:cs="Times New Roman"/>
          <w:color w:val="222222"/>
          <w:sz w:val="24"/>
          <w:szCs w:val="24"/>
          <w:highlight w:val="white"/>
        </w:rPr>
        <w:t>anisational goals as well as for the overall society.</w:t>
      </w:r>
    </w:p>
    <w:p w14:paraId="762470A2"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Active consultation: </w:t>
      </w:r>
      <w:r>
        <w:rPr>
          <w:rFonts w:ascii="Times New Roman" w:eastAsia="Times New Roman" w:hAnsi="Times New Roman" w:cs="Times New Roman"/>
          <w:sz w:val="24"/>
          <w:szCs w:val="24"/>
        </w:rPr>
        <w:t xml:space="preserve"> Active consultation in any programme sets out the policies to manage the resources and also waste management techniques. NPH’s programme for raising children points out its support for the local community by providing them homes during disasters. They foc</w:t>
      </w:r>
      <w:r>
        <w:rPr>
          <w:rFonts w:ascii="Times New Roman" w:eastAsia="Times New Roman" w:hAnsi="Times New Roman" w:cs="Times New Roman"/>
          <w:sz w:val="24"/>
          <w:szCs w:val="24"/>
        </w:rPr>
        <w:t>us mostly on family and their livelihood. Community managers get involved in health-related issues and put sick people under surveillance (</w:t>
      </w:r>
      <w:r>
        <w:rPr>
          <w:rFonts w:ascii="Times New Roman" w:eastAsia="Times New Roman" w:hAnsi="Times New Roman" w:cs="Times New Roman"/>
          <w:color w:val="222222"/>
          <w:sz w:val="24"/>
          <w:szCs w:val="24"/>
          <w:highlight w:val="white"/>
        </w:rPr>
        <w:t xml:space="preserve">Barker et al., 2020). </w:t>
      </w:r>
      <w:r>
        <w:rPr>
          <w:rFonts w:ascii="Times New Roman" w:eastAsia="Times New Roman" w:hAnsi="Times New Roman" w:cs="Times New Roman"/>
          <w:sz w:val="24"/>
          <w:szCs w:val="24"/>
        </w:rPr>
        <w:t>A programme on developing the environmental factors of a community is needed to keep living sus</w:t>
      </w:r>
      <w:r>
        <w:rPr>
          <w:rFonts w:ascii="Times New Roman" w:eastAsia="Times New Roman" w:hAnsi="Times New Roman" w:cs="Times New Roman"/>
          <w:sz w:val="24"/>
          <w:szCs w:val="24"/>
        </w:rPr>
        <w:t>tainably by minimising waste and developing the resources available for r-energising the local economy.</w:t>
      </w:r>
    </w:p>
    <w:p w14:paraId="6F01F10F"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Effective Communication: </w:t>
      </w:r>
      <w:r>
        <w:rPr>
          <w:rFonts w:ascii="Times New Roman" w:eastAsia="Times New Roman" w:hAnsi="Times New Roman" w:cs="Times New Roman"/>
          <w:sz w:val="24"/>
          <w:szCs w:val="24"/>
        </w:rPr>
        <w:t xml:space="preserve"> When the people of the community are actively engaged in the development, they need to be closely involved in effective communication strategy. NPH UK has organised separate service camps, where young people can stay, taking part in activities of daily li</w:t>
      </w:r>
      <w:r>
        <w:rPr>
          <w:rFonts w:ascii="Times New Roman" w:eastAsia="Times New Roman" w:hAnsi="Times New Roman" w:cs="Times New Roman"/>
          <w:sz w:val="24"/>
          <w:szCs w:val="24"/>
        </w:rPr>
        <w:t>fe. The other programme organises door-to-door visits, meet the community leaders and performs community announcements raising environmental issues. Despite the growing participation of organisations in community management, sudden disturbances, for exampl</w:t>
      </w:r>
      <w:r>
        <w:rPr>
          <w:rFonts w:ascii="Times New Roman" w:eastAsia="Times New Roman" w:hAnsi="Times New Roman" w:cs="Times New Roman"/>
          <w:sz w:val="24"/>
          <w:szCs w:val="24"/>
        </w:rPr>
        <w:t>e, the outbreak of the COvid-19 pandemic have made communication tougher (</w:t>
      </w:r>
      <w:r>
        <w:rPr>
          <w:rFonts w:ascii="Times New Roman" w:eastAsia="Times New Roman" w:hAnsi="Times New Roman" w:cs="Times New Roman"/>
          <w:color w:val="222222"/>
          <w:sz w:val="24"/>
          <w:szCs w:val="24"/>
          <w:highlight w:val="white"/>
        </w:rPr>
        <w:t xml:space="preserve">Ashworth et al., 2021). </w:t>
      </w:r>
      <w:r>
        <w:rPr>
          <w:rFonts w:ascii="Times New Roman" w:eastAsia="Times New Roman" w:hAnsi="Times New Roman" w:cs="Times New Roman"/>
          <w:sz w:val="24"/>
          <w:szCs w:val="24"/>
        </w:rPr>
        <w:t xml:space="preserve">The other programme suggested the use of social media for creating awareness. Ensuring the literacy rate and guiding with proper readable articles, magazines </w:t>
      </w:r>
      <w:r>
        <w:rPr>
          <w:rFonts w:ascii="Times New Roman" w:eastAsia="Times New Roman" w:hAnsi="Times New Roman" w:cs="Times New Roman"/>
          <w:sz w:val="24"/>
          <w:szCs w:val="24"/>
        </w:rPr>
        <w:t xml:space="preserve">can find the issues to be addressed. </w:t>
      </w:r>
    </w:p>
    <w:p w14:paraId="3889B02E"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Stakeholder participation: </w:t>
      </w:r>
      <w:r>
        <w:rPr>
          <w:rFonts w:ascii="Times New Roman" w:eastAsia="Times New Roman" w:hAnsi="Times New Roman" w:cs="Times New Roman"/>
          <w:sz w:val="24"/>
          <w:szCs w:val="24"/>
        </w:rPr>
        <w:t xml:space="preserve"> The stakeholders that include the local authorities, government, clients and people with special interests are needed to engage in every community management project. In NHP UK, the director</w:t>
      </w:r>
      <w:r>
        <w:rPr>
          <w:rFonts w:ascii="Times New Roman" w:eastAsia="Times New Roman" w:hAnsi="Times New Roman" w:cs="Times New Roman"/>
          <w:sz w:val="24"/>
          <w:szCs w:val="24"/>
        </w:rPr>
        <w:t xml:space="preserve"> along with the trustees form the governance. The new programme has involved the local authorities in building a trustful and transparent relationship with the other stakeholders, the clients and especially young people. The stakeholders are informed of th</w:t>
      </w:r>
      <w:r>
        <w:rPr>
          <w:rFonts w:ascii="Times New Roman" w:eastAsia="Times New Roman" w:hAnsi="Times New Roman" w:cs="Times New Roman"/>
          <w:sz w:val="24"/>
          <w:szCs w:val="24"/>
        </w:rPr>
        <w:t>e project, consult with each other and then participate in the movement.</w:t>
      </w:r>
    </w:p>
    <w:p w14:paraId="1538A590"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Inclusion of a forward-looking approach: </w:t>
      </w:r>
      <w:r>
        <w:rPr>
          <w:rFonts w:ascii="Times New Roman" w:eastAsia="Times New Roman" w:hAnsi="Times New Roman" w:cs="Times New Roman"/>
          <w:sz w:val="24"/>
          <w:szCs w:val="24"/>
        </w:rPr>
        <w:t>This approach states that everyone in society has to play a part in engaging the public. NHP’s new programme builds a personal relationship wi</w:t>
      </w:r>
      <w:r>
        <w:rPr>
          <w:rFonts w:ascii="Times New Roman" w:eastAsia="Times New Roman" w:hAnsi="Times New Roman" w:cs="Times New Roman"/>
          <w:sz w:val="24"/>
          <w:szCs w:val="24"/>
        </w:rPr>
        <w:t>th the racial community. A welcoming atmosphere is created for developing alternate methods for community engagement. In the previous programme, since it involves small groups from the community, most people of different age groups were excluded. NHP’s new</w:t>
      </w:r>
      <w:r>
        <w:rPr>
          <w:rFonts w:ascii="Times New Roman" w:eastAsia="Times New Roman" w:hAnsi="Times New Roman" w:cs="Times New Roman"/>
          <w:sz w:val="24"/>
          <w:szCs w:val="24"/>
        </w:rPr>
        <w:t xml:space="preserve"> programme also generates diversification in other agencies. Inclusion and participation bridge the gap between the policies and their implementation (</w:t>
      </w:r>
      <w:r>
        <w:rPr>
          <w:rFonts w:ascii="Times New Roman" w:eastAsia="Times New Roman" w:hAnsi="Times New Roman" w:cs="Times New Roman"/>
          <w:color w:val="222222"/>
          <w:sz w:val="24"/>
          <w:szCs w:val="24"/>
          <w:highlight w:val="white"/>
        </w:rPr>
        <w:t xml:space="preserve">Díaz-Reviriego et al., 2019). </w:t>
      </w:r>
      <w:r>
        <w:rPr>
          <w:rFonts w:ascii="Times New Roman" w:eastAsia="Times New Roman" w:hAnsi="Times New Roman" w:cs="Times New Roman"/>
          <w:sz w:val="24"/>
          <w:szCs w:val="24"/>
        </w:rPr>
        <w:t>Collaboration and consultation are the two themes the new project is using.</w:t>
      </w:r>
      <w:r>
        <w:rPr>
          <w:rFonts w:ascii="Times New Roman" w:eastAsia="Times New Roman" w:hAnsi="Times New Roman" w:cs="Times New Roman"/>
          <w:sz w:val="24"/>
          <w:szCs w:val="24"/>
        </w:rPr>
        <w:t xml:space="preserve">  A sense of belongingness is developed by actively participating among the stakeholders. The previous project lacks physical contact with the </w:t>
      </w:r>
      <w:r w:rsidR="00551E8A">
        <w:rPr>
          <w:rFonts w:ascii="Times New Roman" w:eastAsia="Times New Roman" w:hAnsi="Times New Roman" w:cs="Times New Roman"/>
          <w:sz w:val="24"/>
          <w:szCs w:val="24"/>
        </w:rPr>
        <w:t>participants;</w:t>
      </w:r>
      <w:r>
        <w:rPr>
          <w:rFonts w:ascii="Times New Roman" w:eastAsia="Times New Roman" w:hAnsi="Times New Roman" w:cs="Times New Roman"/>
          <w:sz w:val="24"/>
          <w:szCs w:val="24"/>
        </w:rPr>
        <w:t xml:space="preserve"> rather rely on small teams only. </w:t>
      </w:r>
    </w:p>
    <w:p w14:paraId="23650FB4" w14:textId="62B2AF2C" w:rsidR="006B45BE" w:rsidRPr="00314252" w:rsidRDefault="0091496D" w:rsidP="00314252">
      <w:pPr>
        <w:pStyle w:val="Heading1"/>
        <w:rPr>
          <w:rFonts w:eastAsia="Times New Roman"/>
        </w:rPr>
      </w:pPr>
      <w:bookmarkStart w:id="2" w:name="_Toc99560891"/>
      <w:r w:rsidRPr="00551E8A">
        <w:t>An</w:t>
      </w:r>
      <w:r w:rsidR="00551E8A" w:rsidRPr="00551E8A">
        <w:t>alysis of various parameters</w:t>
      </w:r>
      <w:bookmarkEnd w:id="2"/>
      <w:r w:rsidR="00551E8A" w:rsidRPr="00551E8A">
        <w:t xml:space="preserve"> </w:t>
      </w:r>
    </w:p>
    <w:p w14:paraId="77183405"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community management ex</w:t>
      </w:r>
      <w:r>
        <w:rPr>
          <w:rFonts w:ascii="Times New Roman" w:eastAsia="Times New Roman" w:hAnsi="Times New Roman" w:cs="Times New Roman"/>
          <w:sz w:val="24"/>
          <w:szCs w:val="24"/>
        </w:rPr>
        <w:t>ists when there are certain measures based on which the engagement is measured. Understanding the actual presence of the community engagement helps to track its movement. It is the process where the organisations look for positive responses from the partic</w:t>
      </w:r>
      <w:r>
        <w:rPr>
          <w:rFonts w:ascii="Times New Roman" w:eastAsia="Times New Roman" w:hAnsi="Times New Roman" w:cs="Times New Roman"/>
          <w:sz w:val="24"/>
          <w:szCs w:val="24"/>
        </w:rPr>
        <w:t>ipants or make the society engaged in the community work.</w:t>
      </w:r>
    </w:p>
    <w:p w14:paraId="76909687"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Community mapping: </w:t>
      </w:r>
      <w:r>
        <w:rPr>
          <w:rFonts w:ascii="Times New Roman" w:eastAsia="Times New Roman" w:hAnsi="Times New Roman" w:cs="Times New Roman"/>
          <w:sz w:val="24"/>
          <w:szCs w:val="24"/>
        </w:rPr>
        <w:t>it is the process in a community when it gets together to map the assets, values and beliefs of the community. Various informal rules are followed by NHP to map the process. The n</w:t>
      </w:r>
      <w:r>
        <w:rPr>
          <w:rFonts w:ascii="Times New Roman" w:eastAsia="Times New Roman" w:hAnsi="Times New Roman" w:cs="Times New Roman"/>
          <w:sz w:val="24"/>
          <w:szCs w:val="24"/>
        </w:rPr>
        <w:t>ew programme encourages people to foster a sense of environmental responsibility within them. In community mapping, four steps are followed by the new method. First, the pre-mapping process allows the stakeholders to participate by collaborating productive</w:t>
      </w:r>
      <w:r>
        <w:rPr>
          <w:rFonts w:ascii="Times New Roman" w:eastAsia="Times New Roman" w:hAnsi="Times New Roman" w:cs="Times New Roman"/>
          <w:sz w:val="24"/>
          <w:szCs w:val="24"/>
        </w:rPr>
        <w:t>ly, building a clear vision and goals for the system. The second step, being, mapping helps to determine the resources needed for the mapping. Here the resources are collected and analysed with certain tools. Social values are mapped for providing guidelin</w:t>
      </w:r>
      <w:r>
        <w:rPr>
          <w:rFonts w:ascii="Times New Roman" w:eastAsia="Times New Roman" w:hAnsi="Times New Roman" w:cs="Times New Roman"/>
          <w:sz w:val="24"/>
          <w:szCs w:val="24"/>
        </w:rPr>
        <w:t>es for socially conducting values (</w:t>
      </w:r>
      <w:r>
        <w:rPr>
          <w:rFonts w:ascii="Times New Roman" w:eastAsia="Times New Roman" w:hAnsi="Times New Roman" w:cs="Times New Roman"/>
          <w:color w:val="222222"/>
          <w:sz w:val="24"/>
          <w:szCs w:val="24"/>
          <w:highlight w:val="white"/>
        </w:rPr>
        <w:t xml:space="preserve">Hatleskog and Samuel, 2021). </w:t>
      </w:r>
      <w:r>
        <w:rPr>
          <w:rFonts w:ascii="Times New Roman" w:eastAsia="Times New Roman" w:hAnsi="Times New Roman" w:cs="Times New Roman"/>
          <w:sz w:val="24"/>
          <w:szCs w:val="24"/>
        </w:rPr>
        <w:t xml:space="preserve">The different strengths and weaknesses of the project are also identified which were lacking in the previous project.  Then, in the next step, the stakeholders are invited to discuss the data </w:t>
      </w:r>
      <w:r>
        <w:rPr>
          <w:rFonts w:ascii="Times New Roman" w:eastAsia="Times New Roman" w:hAnsi="Times New Roman" w:cs="Times New Roman"/>
          <w:sz w:val="24"/>
          <w:szCs w:val="24"/>
        </w:rPr>
        <w:t>and pre-determined goals. During the implementation, two things are kept in mind, the communication should be transparent and the information should be disseminated. Finally, the new project helps in sustaining and evaluation is done on the outlined effort</w:t>
      </w:r>
      <w:r>
        <w:rPr>
          <w:rFonts w:ascii="Times New Roman" w:eastAsia="Times New Roman" w:hAnsi="Times New Roman" w:cs="Times New Roman"/>
          <w:sz w:val="24"/>
          <w:szCs w:val="24"/>
        </w:rPr>
        <w:t xml:space="preserve">s. Necessary changes are made to the plan with proper learning outcomes. </w:t>
      </w:r>
    </w:p>
    <w:p w14:paraId="23EBBCD8"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Engagement: </w:t>
      </w:r>
      <w:r>
        <w:rPr>
          <w:rFonts w:ascii="Times New Roman" w:eastAsia="Times New Roman" w:hAnsi="Times New Roman" w:cs="Times New Roman"/>
          <w:sz w:val="24"/>
          <w:szCs w:val="24"/>
        </w:rPr>
        <w:t>It focuses on the engagement of social media in community management. In other words, social engagement refers to social involvement or participation. Social capit</w:t>
      </w:r>
      <w:r>
        <w:rPr>
          <w:rFonts w:ascii="Times New Roman" w:eastAsia="Times New Roman" w:hAnsi="Times New Roman" w:cs="Times New Roman"/>
          <w:sz w:val="24"/>
          <w:szCs w:val="24"/>
        </w:rPr>
        <w:t>al and norms are often ignored in the previous project which are the main characteristics of social engagement.  Though the project focuses more on family issues, it ignores the total environment, within which the family stays. Different charitable agencie</w:t>
      </w:r>
      <w:r>
        <w:rPr>
          <w:rFonts w:ascii="Times New Roman" w:eastAsia="Times New Roman" w:hAnsi="Times New Roman" w:cs="Times New Roman"/>
          <w:sz w:val="24"/>
          <w:szCs w:val="24"/>
        </w:rPr>
        <w:t>s are also affecting the racial concern of the community (</w:t>
      </w:r>
      <w:r>
        <w:rPr>
          <w:rFonts w:ascii="Times New Roman" w:eastAsia="Times New Roman" w:hAnsi="Times New Roman" w:cs="Times New Roman"/>
          <w:color w:val="222222"/>
          <w:sz w:val="24"/>
          <w:szCs w:val="24"/>
          <w:highlight w:val="white"/>
        </w:rPr>
        <w:t xml:space="preserve">Yu, 2020). </w:t>
      </w:r>
      <w:r>
        <w:rPr>
          <w:rFonts w:ascii="Times New Roman" w:eastAsia="Times New Roman" w:hAnsi="Times New Roman" w:cs="Times New Roman"/>
          <w:sz w:val="24"/>
          <w:szCs w:val="24"/>
        </w:rPr>
        <w:t xml:space="preserve">The project must see whether and how the people are benefiting the environment with their activities. The second project focus on the engagement of participants in local community works. </w:t>
      </w:r>
    </w:p>
    <w:p w14:paraId="25B8716E"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Impact Analysis: </w:t>
      </w:r>
      <w:r>
        <w:rPr>
          <w:rFonts w:ascii="Times New Roman" w:eastAsia="Times New Roman" w:hAnsi="Times New Roman" w:cs="Times New Roman"/>
          <w:sz w:val="24"/>
          <w:szCs w:val="24"/>
        </w:rPr>
        <w:t>Through feedback, the decision-making is done by the government as well as the public. The second project focus on building a relationship that is constructive between the community and the organisation. It is important for the public and</w:t>
      </w:r>
      <w:r>
        <w:rPr>
          <w:rFonts w:ascii="Times New Roman" w:eastAsia="Times New Roman" w:hAnsi="Times New Roman" w:cs="Times New Roman"/>
          <w:sz w:val="24"/>
          <w:szCs w:val="24"/>
        </w:rPr>
        <w:t xml:space="preserve"> also for the community as a whole. The likelihood that the project is widely accepted is increasing day by day (</w:t>
      </w:r>
      <w:r>
        <w:rPr>
          <w:rFonts w:ascii="Times New Roman" w:eastAsia="Times New Roman" w:hAnsi="Times New Roman" w:cs="Times New Roman"/>
          <w:color w:val="222222"/>
          <w:sz w:val="24"/>
          <w:szCs w:val="24"/>
          <w:highlight w:val="white"/>
        </w:rPr>
        <w:t xml:space="preserve">Lockey et al., 2019). </w:t>
      </w:r>
      <w:r>
        <w:rPr>
          <w:rFonts w:ascii="Times New Roman" w:eastAsia="Times New Roman" w:hAnsi="Times New Roman" w:cs="Times New Roman"/>
          <w:sz w:val="24"/>
          <w:szCs w:val="24"/>
        </w:rPr>
        <w:t xml:space="preserve">The previous project followed the traditional approach led by the executives. In this project, sometimes the people lose </w:t>
      </w:r>
      <w:r>
        <w:rPr>
          <w:rFonts w:ascii="Times New Roman" w:eastAsia="Times New Roman" w:hAnsi="Times New Roman" w:cs="Times New Roman"/>
          <w:sz w:val="24"/>
          <w:szCs w:val="24"/>
        </w:rPr>
        <w:t>faith in the agency. A negative experience may lead to negative perceptions of the people. Whereas the new project is following a collaborative approach where the community is engaged. More effective solutions are created by the new project where people of</w:t>
      </w:r>
      <w:r>
        <w:rPr>
          <w:rFonts w:ascii="Times New Roman" w:eastAsia="Times New Roman" w:hAnsi="Times New Roman" w:cs="Times New Roman"/>
          <w:sz w:val="24"/>
          <w:szCs w:val="24"/>
        </w:rPr>
        <w:t xml:space="preserve"> different cultures and backgrounds are integrated. Local networks are created for the engagement of the community members. </w:t>
      </w:r>
    </w:p>
    <w:p w14:paraId="62038574" w14:textId="554FC2D0" w:rsidR="006B45BE" w:rsidRPr="00314252" w:rsidRDefault="0091496D" w:rsidP="00314252">
      <w:pPr>
        <w:pStyle w:val="Heading1"/>
        <w:rPr>
          <w:rFonts w:eastAsia="Times New Roman"/>
        </w:rPr>
      </w:pPr>
      <w:bookmarkStart w:id="3" w:name="_Toc99560892"/>
      <w:r w:rsidRPr="00551E8A">
        <w:lastRenderedPageBreak/>
        <w:t>Eval</w:t>
      </w:r>
      <w:r w:rsidR="00551E8A" w:rsidRPr="00551E8A">
        <w:t>uation of the best practices</w:t>
      </w:r>
      <w:bookmarkEnd w:id="3"/>
      <w:r w:rsidR="00551E8A" w:rsidRPr="00551E8A">
        <w:t xml:space="preserve"> </w:t>
      </w:r>
    </w:p>
    <w:p w14:paraId="3C23960C"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Certain steps focus on the evaluation of the best project to be followed: </w:t>
      </w:r>
    </w:p>
    <w:p w14:paraId="3C401B35"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Community monitoring: </w:t>
      </w:r>
      <w:r>
        <w:rPr>
          <w:rFonts w:ascii="Times New Roman" w:eastAsia="Times New Roman" w:hAnsi="Times New Roman" w:cs="Times New Roman"/>
          <w:sz w:val="24"/>
          <w:szCs w:val="24"/>
        </w:rPr>
        <w:t xml:space="preserve">a proper understanding of the community as to what the community need and what can be the reaction of the community over the participation is to be identified. Social listening tools should be used to track the users to eliminate the loopholes. The themes </w:t>
      </w:r>
      <w:r>
        <w:rPr>
          <w:rFonts w:ascii="Times New Roman" w:eastAsia="Times New Roman" w:hAnsi="Times New Roman" w:cs="Times New Roman"/>
          <w:sz w:val="24"/>
          <w:szCs w:val="24"/>
        </w:rPr>
        <w:t xml:space="preserve">of the industry should be mapped. The organisation should be aware of the market competitors and ensure a proper community engagement tool. </w:t>
      </w:r>
    </w:p>
    <w:p w14:paraId="026099B9"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Engagement: </w:t>
      </w:r>
      <w:r>
        <w:rPr>
          <w:rFonts w:ascii="Times New Roman" w:eastAsia="Times New Roman" w:hAnsi="Times New Roman" w:cs="Times New Roman"/>
          <w:sz w:val="24"/>
          <w:szCs w:val="24"/>
        </w:rPr>
        <w:t>a document should be framed to give an overview of the industry in social media. Content should be crea</w:t>
      </w:r>
      <w:r>
        <w:rPr>
          <w:rFonts w:ascii="Times New Roman" w:eastAsia="Times New Roman" w:hAnsi="Times New Roman" w:cs="Times New Roman"/>
          <w:sz w:val="24"/>
          <w:szCs w:val="24"/>
        </w:rPr>
        <w:t>ted depending upon the engagement. Content that involves a lot of engagement should be proposed. Different societal and learning outcomes are encouraged by different education institutions (</w:t>
      </w:r>
      <w:r>
        <w:rPr>
          <w:rFonts w:ascii="Times New Roman" w:eastAsia="Times New Roman" w:hAnsi="Times New Roman" w:cs="Times New Roman"/>
          <w:color w:val="222222"/>
          <w:sz w:val="24"/>
          <w:szCs w:val="24"/>
          <w:highlight w:val="white"/>
        </w:rPr>
        <w:t>Wallen and Docherty-Hughes, 2022).</w:t>
      </w:r>
    </w:p>
    <w:p w14:paraId="4EF5FD09"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Conversation: </w:t>
      </w:r>
      <w:r>
        <w:rPr>
          <w:rFonts w:ascii="Times New Roman" w:eastAsia="Times New Roman" w:hAnsi="Times New Roman" w:cs="Times New Roman"/>
          <w:sz w:val="24"/>
          <w:szCs w:val="24"/>
        </w:rPr>
        <w:t>community engagem</w:t>
      </w:r>
      <w:r>
        <w:rPr>
          <w:rFonts w:ascii="Times New Roman" w:eastAsia="Times New Roman" w:hAnsi="Times New Roman" w:cs="Times New Roman"/>
          <w:sz w:val="24"/>
          <w:szCs w:val="24"/>
        </w:rPr>
        <w:t>ent succeeds in pushing the participants into conversation. It does not mean only replying to the people but also making the people feel valued and important. When anyone is complaining, it is required to answer them in easy and understandable language, wi</w:t>
      </w:r>
      <w:r>
        <w:rPr>
          <w:rFonts w:ascii="Times New Roman" w:eastAsia="Times New Roman" w:hAnsi="Times New Roman" w:cs="Times New Roman"/>
          <w:sz w:val="24"/>
          <w:szCs w:val="24"/>
        </w:rPr>
        <w:t>thout trying o create a negative buzz among them. Offering useful advice is another way to get society to benefit to the maximum. Influencers in the local authorities should be contacted and a good harmonious relationship should be built with them for comm</w:t>
      </w:r>
      <w:r>
        <w:rPr>
          <w:rFonts w:ascii="Times New Roman" w:eastAsia="Times New Roman" w:hAnsi="Times New Roman" w:cs="Times New Roman"/>
          <w:sz w:val="24"/>
          <w:szCs w:val="24"/>
        </w:rPr>
        <w:t xml:space="preserve">unity engagement. </w:t>
      </w:r>
    </w:p>
    <w:p w14:paraId="4DF93044"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Measurement: </w:t>
      </w:r>
      <w:r>
        <w:rPr>
          <w:rFonts w:ascii="Times New Roman" w:eastAsia="Times New Roman" w:hAnsi="Times New Roman" w:cs="Times New Roman"/>
          <w:sz w:val="24"/>
          <w:szCs w:val="24"/>
        </w:rPr>
        <w:t>measurement of the progress should be done promptly. To justify the existence of the programmes, measurements should be done on the rate of investment. Metrics like follow the counter, website traffic should be used to measu</w:t>
      </w:r>
      <w:r>
        <w:rPr>
          <w:rFonts w:ascii="Times New Roman" w:eastAsia="Times New Roman" w:hAnsi="Times New Roman" w:cs="Times New Roman"/>
          <w:sz w:val="24"/>
          <w:szCs w:val="24"/>
        </w:rPr>
        <w:t xml:space="preserve">re the efficiency of the engagement.  </w:t>
      </w:r>
    </w:p>
    <w:p w14:paraId="6BBD840E"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various community development projects, the citizens' knowledge needs improvement about the issue for the need of engagement. The citizens should be encouraged to create and understand the knowledge f</w:t>
      </w:r>
      <w:r>
        <w:rPr>
          <w:rFonts w:ascii="Times New Roman" w:eastAsia="Times New Roman" w:hAnsi="Times New Roman" w:cs="Times New Roman"/>
          <w:sz w:val="24"/>
          <w:szCs w:val="24"/>
        </w:rPr>
        <w:t>or awareness. The benefits of different community engagement model even in education help in addressing the health issues of the children (</w:t>
      </w:r>
      <w:r>
        <w:rPr>
          <w:rFonts w:ascii="Times New Roman" w:eastAsia="Times New Roman" w:hAnsi="Times New Roman" w:cs="Times New Roman"/>
          <w:color w:val="222222"/>
          <w:sz w:val="24"/>
          <w:szCs w:val="24"/>
          <w:highlight w:val="white"/>
        </w:rPr>
        <w:t xml:space="preserve">Witton and Paisi, 2022). </w:t>
      </w:r>
      <w:r>
        <w:rPr>
          <w:rFonts w:ascii="Times New Roman" w:eastAsia="Times New Roman" w:hAnsi="Times New Roman" w:cs="Times New Roman"/>
          <w:sz w:val="24"/>
          <w:szCs w:val="24"/>
        </w:rPr>
        <w:t xml:space="preserve">They should know how to use that knowledge for community development. Further opportunities </w:t>
      </w:r>
      <w:r>
        <w:rPr>
          <w:rFonts w:ascii="Times New Roman" w:eastAsia="Times New Roman" w:hAnsi="Times New Roman" w:cs="Times New Roman"/>
          <w:sz w:val="24"/>
          <w:szCs w:val="24"/>
        </w:rPr>
        <w:t>will only be created by ensuring the effectiveness of the process. Communities are successful when the projects implemented for community engagement exist for the long run and are controlled effectively. A community engagement is successful if it ensures t</w:t>
      </w:r>
      <w:r>
        <w:rPr>
          <w:rFonts w:ascii="Times New Roman" w:eastAsia="Times New Roman" w:hAnsi="Times New Roman" w:cs="Times New Roman"/>
          <w:sz w:val="24"/>
          <w:szCs w:val="24"/>
        </w:rPr>
        <w:t>he member's capability of working together. Mutual benefits should be noticed beyond looking at self-interest. The embers engaged in the projects should volunteer and take responsibility according to the risks. Members have the roles and even in the transi</w:t>
      </w:r>
      <w:r>
        <w:rPr>
          <w:rFonts w:ascii="Times New Roman" w:eastAsia="Times New Roman" w:hAnsi="Times New Roman" w:cs="Times New Roman"/>
          <w:sz w:val="24"/>
          <w:szCs w:val="24"/>
        </w:rPr>
        <w:t xml:space="preserve">tion process, they should maintain communal harmony. Trust and sharing are the two key points </w:t>
      </w:r>
      <w:r>
        <w:rPr>
          <w:rFonts w:ascii="Times New Roman" w:eastAsia="Times New Roman" w:hAnsi="Times New Roman" w:cs="Times New Roman"/>
          <w:sz w:val="24"/>
          <w:szCs w:val="24"/>
        </w:rPr>
        <w:lastRenderedPageBreak/>
        <w:t>for evaluating community engagement. Guiding ethical principles are to be expressed in the actions taken in the community. People are the main pillar for successf</w:t>
      </w:r>
      <w:r>
        <w:rPr>
          <w:rFonts w:ascii="Times New Roman" w:eastAsia="Times New Roman" w:hAnsi="Times New Roman" w:cs="Times New Roman"/>
          <w:sz w:val="24"/>
          <w:szCs w:val="24"/>
        </w:rPr>
        <w:t>ul community engagement along with the policies taken. A level of care must be involved in the quality of the social care and provisions. Academic based community engagement should also be encouraged as courses based on community development. Creating envi</w:t>
      </w:r>
      <w:r>
        <w:rPr>
          <w:rFonts w:ascii="Times New Roman" w:eastAsia="Times New Roman" w:hAnsi="Times New Roman" w:cs="Times New Roman"/>
          <w:sz w:val="24"/>
          <w:szCs w:val="24"/>
        </w:rPr>
        <w:t xml:space="preserve">ronmental awareness and societal issues should be made compulsory in the course curriculum. </w:t>
      </w:r>
    </w:p>
    <w:p w14:paraId="2AB5EB34" w14:textId="7A37D9FE" w:rsidR="006B45BE" w:rsidRPr="00314252" w:rsidRDefault="0091496D" w:rsidP="00314252">
      <w:pPr>
        <w:pStyle w:val="Heading1"/>
        <w:rPr>
          <w:rFonts w:eastAsia="Times New Roman"/>
        </w:rPr>
      </w:pPr>
      <w:bookmarkStart w:id="4" w:name="_Toc99560893"/>
      <w:r w:rsidRPr="00551E8A">
        <w:t>Conclusion</w:t>
      </w:r>
      <w:bookmarkEnd w:id="4"/>
      <w:r w:rsidRPr="00551E8A">
        <w:t xml:space="preserve"> </w:t>
      </w:r>
    </w:p>
    <w:p w14:paraId="200CE1F0" w14:textId="77777777" w:rsidR="006B45BE" w:rsidRDefault="009149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report, it has been concluded that community engagement has been a part and parcel of societal development. Community engagement </w:t>
      </w:r>
      <w:r>
        <w:rPr>
          <w:rFonts w:ascii="Times New Roman" w:eastAsia="Times New Roman" w:hAnsi="Times New Roman" w:cs="Times New Roman"/>
          <w:sz w:val="24"/>
          <w:szCs w:val="24"/>
        </w:rPr>
        <w:t>requires the identification of the goal with the consideration of the people and the place where they live and how to involve knowledge in the development. NHP has raised the programmes for the children to become responsible in the future. In various place</w:t>
      </w:r>
      <w:r>
        <w:rPr>
          <w:rFonts w:ascii="Times New Roman" w:eastAsia="Times New Roman" w:hAnsi="Times New Roman" w:cs="Times New Roman"/>
          <w:sz w:val="24"/>
          <w:szCs w:val="24"/>
        </w:rPr>
        <w:t>s, they have well standards for maintaining health and other issues, even during natural disasters. The projects also need to be diverted towards awareness of the different environmental issues. The different factors that are lacking in the previous issues</w:t>
      </w:r>
      <w:r>
        <w:rPr>
          <w:rFonts w:ascii="Times New Roman" w:eastAsia="Times New Roman" w:hAnsi="Times New Roman" w:cs="Times New Roman"/>
          <w:sz w:val="24"/>
          <w:szCs w:val="24"/>
        </w:rPr>
        <w:t xml:space="preserve"> are identified and compared with the new project. The projects are analysed based on different parameters keeping in view the effect of both the projects on the community. By establishing effective partnerships with the government and local authorities, t</w:t>
      </w:r>
      <w:r>
        <w:rPr>
          <w:rFonts w:ascii="Times New Roman" w:eastAsia="Times New Roman" w:hAnsi="Times New Roman" w:cs="Times New Roman"/>
          <w:sz w:val="24"/>
          <w:szCs w:val="24"/>
        </w:rPr>
        <w:t>he community can succeed in improving the services for the upkeep of the people living within. The people should feel free to participate in the community well-fare acts and contribute meaningfully to society. Similar situations arising in implementing the</w:t>
      </w:r>
      <w:r>
        <w:rPr>
          <w:rFonts w:ascii="Times New Roman" w:eastAsia="Times New Roman" w:hAnsi="Times New Roman" w:cs="Times New Roman"/>
          <w:sz w:val="24"/>
          <w:szCs w:val="24"/>
        </w:rPr>
        <w:t xml:space="preserve"> projects brings changes in the environmental issues of the society. Various evaluation measures are also explained as to how community engagement can be improved to the best level, creating a win-win situation for both the charitable organisation and the </w:t>
      </w:r>
      <w:r>
        <w:rPr>
          <w:rFonts w:ascii="Times New Roman" w:eastAsia="Times New Roman" w:hAnsi="Times New Roman" w:cs="Times New Roman"/>
          <w:sz w:val="24"/>
          <w:szCs w:val="24"/>
        </w:rPr>
        <w:t xml:space="preserve">society. Community engagement is nothing but trust-building in society. NHP has already built a positive relationship with the community. The only need is the proper evaluation of the systems. Dealing with online complaints and effectively solving them is </w:t>
      </w:r>
      <w:r>
        <w:rPr>
          <w:rFonts w:ascii="Times New Roman" w:eastAsia="Times New Roman" w:hAnsi="Times New Roman" w:cs="Times New Roman"/>
          <w:sz w:val="24"/>
          <w:szCs w:val="24"/>
        </w:rPr>
        <w:t>the key point of any charitable organisation to increase the effectiveness of community engagement. A communicative manager has empathy, good communication skills and is flexible to the changes in the environment. Lastly, community engagement is the next s</w:t>
      </w:r>
      <w:r>
        <w:rPr>
          <w:rFonts w:ascii="Times New Roman" w:eastAsia="Times New Roman" w:hAnsi="Times New Roman" w:cs="Times New Roman"/>
          <w:sz w:val="24"/>
          <w:szCs w:val="24"/>
        </w:rPr>
        <w:t>tep for community management where interactions among the officials, social workers and the society are done through various means of communication.</w:t>
      </w:r>
    </w:p>
    <w:p w14:paraId="294488EF" w14:textId="77777777" w:rsidR="00551E8A" w:rsidRDefault="0091496D">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4545FD02" w14:textId="4BB2CEC6" w:rsidR="006B45BE" w:rsidRPr="00551E8A" w:rsidRDefault="0091496D" w:rsidP="00551E8A">
      <w:pPr>
        <w:pStyle w:val="Heading1"/>
        <w:rPr>
          <w:rFonts w:cs="Times New Roman"/>
          <w:b w:val="0"/>
          <w:szCs w:val="28"/>
        </w:rPr>
      </w:pPr>
      <w:bookmarkStart w:id="5" w:name="_Toc99560894"/>
      <w:r w:rsidRPr="00551E8A">
        <w:rPr>
          <w:rFonts w:cs="Times New Roman"/>
          <w:szCs w:val="28"/>
        </w:rPr>
        <w:lastRenderedPageBreak/>
        <w:t>References</w:t>
      </w:r>
      <w:bookmarkEnd w:id="5"/>
    </w:p>
    <w:p w14:paraId="29081ACE"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Ashworth, H.C., Dada, S., Buggy, C. and Lees, S., 2021. The importance of developing rigorous </w:t>
      </w:r>
      <w:r>
        <w:rPr>
          <w:rFonts w:ascii="Times New Roman" w:eastAsia="Times New Roman" w:hAnsi="Times New Roman" w:cs="Times New Roman"/>
          <w:color w:val="222222"/>
          <w:sz w:val="24"/>
          <w:szCs w:val="24"/>
          <w:highlight w:val="white"/>
        </w:rPr>
        <w:t xml:space="preserve">social science methods for community engagement and behavior change during outbreak response. </w:t>
      </w:r>
      <w:r>
        <w:rPr>
          <w:rFonts w:ascii="Times New Roman" w:eastAsia="Times New Roman" w:hAnsi="Times New Roman" w:cs="Times New Roman"/>
          <w:i/>
          <w:color w:val="222222"/>
          <w:sz w:val="24"/>
          <w:szCs w:val="24"/>
          <w:highlight w:val="white"/>
        </w:rPr>
        <w:t>Disaster medicine and public health preparedness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(6), pp.685-690. Available at: </w:t>
      </w:r>
      <w:hyperlink r:id="rId7" w:history="1">
        <w:r>
          <w:rPr>
            <w:rFonts w:ascii="Times New Roman" w:eastAsia="Times New Roman" w:hAnsi="Times New Roman" w:cs="Times New Roman"/>
            <w:color w:val="1155CC"/>
            <w:sz w:val="24"/>
            <w:szCs w:val="24"/>
            <w:highlight w:val="white"/>
            <w:u w:val="single"/>
          </w:rPr>
          <w:t>https://www.researchgate.net/profile/Sara-Dada/publication/342810644_The_Importance_of_Developing_Rigorous_Social_Science_Methods_for_Community_Engagement_and_Behavior_Change_During_Outbreak_Response/links/5f0</w:t>
        </w:r>
        <w:r>
          <w:rPr>
            <w:rFonts w:ascii="Times New Roman" w:eastAsia="Times New Roman" w:hAnsi="Times New Roman" w:cs="Times New Roman"/>
            <w:color w:val="1155CC"/>
            <w:sz w:val="24"/>
            <w:szCs w:val="24"/>
            <w:highlight w:val="white"/>
            <w:u w:val="single"/>
          </w:rPr>
          <w:t>70ddfa6fdcc4ca459b55e/The-Importance-of-Developing-Rigorous-Social-Science-Methods-for-Community-Engagement-and-Behavior-Change-During-Outbreak-Response.pdf</w:t>
        </w:r>
      </w:hyperlink>
      <w:r>
        <w:rPr>
          <w:rFonts w:ascii="Times New Roman" w:eastAsia="Times New Roman" w:hAnsi="Times New Roman" w:cs="Times New Roman"/>
          <w:color w:val="222222"/>
          <w:sz w:val="24"/>
          <w:szCs w:val="24"/>
          <w:highlight w:val="white"/>
        </w:rPr>
        <w:t xml:space="preserve"> </w:t>
      </w:r>
    </w:p>
    <w:p w14:paraId="36F92BF3"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Barker, K.M., Ling, E.J., Fallah, M., VanDeBogert, B., Kodl, Y., Macauley, R.J., Viswanath, K. and</w:t>
      </w:r>
      <w:r>
        <w:rPr>
          <w:rFonts w:ascii="Times New Roman" w:eastAsia="Times New Roman" w:hAnsi="Times New Roman" w:cs="Times New Roman"/>
          <w:color w:val="222222"/>
          <w:sz w:val="24"/>
          <w:szCs w:val="24"/>
          <w:highlight w:val="white"/>
        </w:rPr>
        <w:t xml:space="preserve"> Kruk, M.E., 2020. Community engagement for health system resilience: evidence from Liberia’s Ebola epidemic. </w:t>
      </w:r>
      <w:r>
        <w:rPr>
          <w:rFonts w:ascii="Times New Roman" w:eastAsia="Times New Roman" w:hAnsi="Times New Roman" w:cs="Times New Roman"/>
          <w:i/>
          <w:color w:val="222222"/>
          <w:sz w:val="24"/>
          <w:szCs w:val="24"/>
          <w:highlight w:val="white"/>
        </w:rPr>
        <w:t>Health policy and planning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xml:space="preserve">(4), pp.416-423. Available at: </w:t>
      </w:r>
      <w:hyperlink r:id="rId8" w:history="1">
        <w:r>
          <w:rPr>
            <w:rFonts w:ascii="Times New Roman" w:eastAsia="Times New Roman" w:hAnsi="Times New Roman" w:cs="Times New Roman"/>
            <w:color w:val="1155CC"/>
            <w:sz w:val="24"/>
            <w:szCs w:val="24"/>
            <w:highlight w:val="white"/>
            <w:u w:val="single"/>
          </w:rPr>
          <w:t>https://web.archive.org/web/202008290258</w:t>
        </w:r>
        <w:r>
          <w:rPr>
            <w:rFonts w:ascii="Times New Roman" w:eastAsia="Times New Roman" w:hAnsi="Times New Roman" w:cs="Times New Roman"/>
            <w:color w:val="1155CC"/>
            <w:sz w:val="24"/>
            <w:szCs w:val="24"/>
            <w:highlight w:val="white"/>
            <w:u w:val="single"/>
          </w:rPr>
          <w:t>07id_/https://watermark.silverchair.com/czz174.pdf?token=AQECAHi208BE49Ooan9kkhW_Ercy7Dm3ZL_9Cf3qfKAc485ysgAAAqMwggKfBgkqhkiG9w0BBwagggKQMIICjAIBADCCAoUGCSqGSIb3DQEHATAeBglghkgBZQMEAS4wEQQMjMpaot2DxKf26peHAgEQgIICVsrs2MOF6zAaiK8R9FZLm01uAvlHbAQEL_6P1UxW7N7</w:t>
        </w:r>
        <w:r>
          <w:rPr>
            <w:rFonts w:ascii="Times New Roman" w:eastAsia="Times New Roman" w:hAnsi="Times New Roman" w:cs="Times New Roman"/>
            <w:color w:val="1155CC"/>
            <w:sz w:val="24"/>
            <w:szCs w:val="24"/>
            <w:highlight w:val="white"/>
            <w:u w:val="single"/>
          </w:rPr>
          <w:t>XFzeihiT2uEduPjAj88TfDoNBgz-BBWDhboNOsQ9gpDQcGdSxr8w9G3254UfUaJznX3OZUFhBSqC9M3rmww8iZGLerLCLr2wK1I_SU2duQA8TnMQj3rBy9PkKH_JTGg2rJIkk388wSJAoFGrIg96xoBFIuNBEI2nZVJfYzWuOm12InUUsooePj6nXJKh8vfL4D2AN77H6ITqiHyJK7rQvvQLSzvzdjf4WPcYUguHsMQx-tN_maE9aRwt_QACRpTb</w:t>
        </w:r>
        <w:r>
          <w:rPr>
            <w:rFonts w:ascii="Times New Roman" w:eastAsia="Times New Roman" w:hAnsi="Times New Roman" w:cs="Times New Roman"/>
            <w:color w:val="1155CC"/>
            <w:sz w:val="24"/>
            <w:szCs w:val="24"/>
            <w:highlight w:val="white"/>
            <w:u w:val="single"/>
          </w:rPr>
          <w:t>Sa7_-33J1YrEdlY1VqvrABr6New77IsfdbxIj0bIh7KJOSnFHLmMO7nS3y0vUW3miG5X5sJ-pQW2fP83cv-xbpOUyF5urTZqy6J_CYWk26WdKykKr8N5AhSnPWX1CjVrd3QpAXtjAr8zfREbppU91hPtaFeSI6QgNPNAVU5rzGsxOAA9U0HrO-LeGDeLIgOvan0odvcKMFDaNJMlSq1pCq-uACJMoJxuCLZfUc-DpybSByWF0y3V3Ehdq4fjCkH9</w:t>
        </w:r>
        <w:r>
          <w:rPr>
            <w:rFonts w:ascii="Times New Roman" w:eastAsia="Times New Roman" w:hAnsi="Times New Roman" w:cs="Times New Roman"/>
            <w:color w:val="1155CC"/>
            <w:sz w:val="24"/>
            <w:szCs w:val="24"/>
            <w:highlight w:val="white"/>
            <w:u w:val="single"/>
          </w:rPr>
          <w:t>KBMtav34vfydE85c4TVwbiAXBBgPaTdB9gBQTbCwoGOO_NzDx3uoLXHIuBoiqdAaRLXqLw6VQ4EE1Wt1YUNN9zJYYyrKki1AKX7nt5lzlUGn5Y5mOTbJki3I9-hCbYC_qz2FsyOf2RgVPrBdTQC5G992rDq8VFJrth3cI3QrVGbQFR8cYE17mihLvEpiDXxPniPEVLUUjA3lJay7r_u2B55_gDkW1PjYOvYenD4Y3gqwyLyJv9B8</w:t>
        </w:r>
      </w:hyperlink>
      <w:r>
        <w:rPr>
          <w:rFonts w:ascii="Times New Roman" w:eastAsia="Times New Roman" w:hAnsi="Times New Roman" w:cs="Times New Roman"/>
          <w:color w:val="222222"/>
          <w:sz w:val="24"/>
          <w:szCs w:val="24"/>
          <w:highlight w:val="white"/>
        </w:rPr>
        <w:t xml:space="preserve"> </w:t>
      </w:r>
    </w:p>
    <w:p w14:paraId="1017DE53" w14:textId="77777777" w:rsidR="00551E8A" w:rsidRDefault="0091496D">
      <w:pPr>
        <w:pStyle w:val="Normal1"/>
        <w:spacing w:line="360" w:lineRule="auto"/>
        <w:jc w:val="both"/>
        <w:rPr>
          <w:color w:val="222222"/>
          <w:sz w:val="20"/>
          <w:szCs w:val="20"/>
          <w:highlight w:val="white"/>
        </w:rPr>
      </w:pPr>
      <w:r>
        <w:rPr>
          <w:rFonts w:ascii="Times New Roman" w:eastAsia="Times New Roman" w:hAnsi="Times New Roman" w:cs="Times New Roman"/>
          <w:color w:val="222222"/>
          <w:sz w:val="24"/>
          <w:szCs w:val="24"/>
          <w:highlight w:val="white"/>
        </w:rPr>
        <w:t>Díaz-</w:t>
      </w:r>
      <w:r>
        <w:rPr>
          <w:rFonts w:ascii="Times New Roman" w:eastAsia="Times New Roman" w:hAnsi="Times New Roman" w:cs="Times New Roman"/>
          <w:color w:val="222222"/>
          <w:sz w:val="24"/>
          <w:szCs w:val="24"/>
          <w:highlight w:val="white"/>
        </w:rPr>
        <w:t xml:space="preserve">Reviriego, I., Turnhout, E. and Beck, S., 2019. Participation and inclusiveness in the intergovernmental science–policy platform on biodiversity and ecosystem services. </w:t>
      </w:r>
      <w:r>
        <w:rPr>
          <w:rFonts w:ascii="Times New Roman" w:eastAsia="Times New Roman" w:hAnsi="Times New Roman" w:cs="Times New Roman"/>
          <w:i/>
          <w:color w:val="222222"/>
          <w:sz w:val="24"/>
          <w:szCs w:val="24"/>
          <w:highlight w:val="white"/>
        </w:rPr>
        <w:t xml:space="preserve">Nature </w:t>
      </w:r>
      <w:r>
        <w:rPr>
          <w:rFonts w:ascii="Times New Roman" w:eastAsia="Times New Roman" w:hAnsi="Times New Roman" w:cs="Times New Roman"/>
          <w:i/>
          <w:color w:val="222222"/>
          <w:sz w:val="24"/>
          <w:szCs w:val="24"/>
          <w:highlight w:val="white"/>
        </w:rPr>
        <w:lastRenderedPageBreak/>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(6), pp.457-464. Available at: </w:t>
      </w:r>
      <w:hyperlink r:id="rId9" w:history="1">
        <w:r>
          <w:rPr>
            <w:rFonts w:ascii="Times New Roman" w:eastAsia="Times New Roman" w:hAnsi="Times New Roman" w:cs="Times New Roman"/>
            <w:color w:val="1155CC"/>
            <w:sz w:val="24"/>
            <w:szCs w:val="24"/>
            <w:highlight w:val="white"/>
            <w:u w:val="single"/>
          </w:rPr>
          <w:t>https://www.researchgate.net/profile/Silke-Beck/publication/333223699_Participation_and_inclusiveness_in_the_Intergovernmental_Science-Policy_Platform_on_Biodiversity_and_Ecosystem_Se</w:t>
        </w:r>
        <w:r>
          <w:rPr>
            <w:rFonts w:ascii="Times New Roman" w:eastAsia="Times New Roman" w:hAnsi="Times New Roman" w:cs="Times New Roman"/>
            <w:color w:val="1155CC"/>
            <w:sz w:val="24"/>
            <w:szCs w:val="24"/>
            <w:highlight w:val="white"/>
            <w:u w:val="single"/>
          </w:rPr>
          <w:t>rvices/links/5eca4e1b458515626cc6ce9c/Participation-and-inclusiveness-in-the-Intergovernmental-Science-Policy-Platform-on-Biodiversity-and-Ecosystem-Services.pdf</w:t>
        </w:r>
      </w:hyperlink>
      <w:r>
        <w:rPr>
          <w:color w:val="222222"/>
          <w:sz w:val="20"/>
          <w:szCs w:val="20"/>
          <w:highlight w:val="white"/>
        </w:rPr>
        <w:t xml:space="preserve"> </w:t>
      </w:r>
    </w:p>
    <w:p w14:paraId="7EB8CFD8"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George, M., 2020. The Fragmentation and Weakening of Institutions of Primary Healthcare. </w:t>
      </w:r>
      <w:r>
        <w:rPr>
          <w:rFonts w:ascii="Times New Roman" w:eastAsia="Times New Roman" w:hAnsi="Times New Roman" w:cs="Times New Roman"/>
          <w:i/>
          <w:color w:val="222222"/>
          <w:sz w:val="24"/>
          <w:szCs w:val="24"/>
          <w:highlight w:val="white"/>
        </w:rPr>
        <w:t>Econ</w:t>
      </w:r>
      <w:r>
        <w:rPr>
          <w:rFonts w:ascii="Times New Roman" w:eastAsia="Times New Roman" w:hAnsi="Times New Roman" w:cs="Times New Roman"/>
          <w:i/>
          <w:color w:val="222222"/>
          <w:sz w:val="24"/>
          <w:szCs w:val="24"/>
          <w:highlight w:val="white"/>
        </w:rPr>
        <w:t>omic &amp; Political Weekly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55</w:t>
      </w:r>
      <w:r>
        <w:rPr>
          <w:rFonts w:ascii="Times New Roman" w:eastAsia="Times New Roman" w:hAnsi="Times New Roman" w:cs="Times New Roman"/>
          <w:color w:val="222222"/>
          <w:sz w:val="24"/>
          <w:szCs w:val="24"/>
          <w:highlight w:val="white"/>
        </w:rPr>
        <w:t xml:space="preserve">(42), p.59. Available at: </w:t>
      </w:r>
      <w:hyperlink r:id="rId10" w:history="1">
        <w:r>
          <w:rPr>
            <w:rFonts w:ascii="Times New Roman" w:eastAsia="Times New Roman" w:hAnsi="Times New Roman" w:cs="Times New Roman"/>
            <w:color w:val="1155CC"/>
            <w:sz w:val="24"/>
            <w:szCs w:val="24"/>
            <w:highlight w:val="white"/>
            <w:u w:val="single"/>
          </w:rPr>
          <w:t>https://www.researchgate.net/profile/Mathew-George/publication/344774734_The_Fragmentation_and_Weakening_of_Institutions_of_Prima</w:t>
        </w:r>
        <w:r>
          <w:rPr>
            <w:rFonts w:ascii="Times New Roman" w:eastAsia="Times New Roman" w:hAnsi="Times New Roman" w:cs="Times New Roman"/>
            <w:color w:val="1155CC"/>
            <w:sz w:val="24"/>
            <w:szCs w:val="24"/>
            <w:highlight w:val="white"/>
            <w:u w:val="single"/>
          </w:rPr>
          <w:t>ry_Healthcare_A_Prescription_for_Their_Revival/links/60c9c223a6fdcc0c5c86dd32/The-Fragmentation-and-Weakening-of-Institutions-of-Primary-Healthcare-A-Prescription-for-Their-Revival.pdf</w:t>
        </w:r>
      </w:hyperlink>
      <w:r>
        <w:rPr>
          <w:rFonts w:ascii="Times New Roman" w:eastAsia="Times New Roman" w:hAnsi="Times New Roman" w:cs="Times New Roman"/>
          <w:color w:val="222222"/>
          <w:sz w:val="24"/>
          <w:szCs w:val="24"/>
          <w:highlight w:val="white"/>
        </w:rPr>
        <w:t xml:space="preserve"> </w:t>
      </w:r>
    </w:p>
    <w:p w14:paraId="130A8C6E"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Hatleskog, E. and Samuel, F., 2021. Mapping social values. The Journal</w:t>
      </w:r>
      <w:r>
        <w:rPr>
          <w:rFonts w:ascii="Times New Roman" w:eastAsia="Times New Roman" w:hAnsi="Times New Roman" w:cs="Times New Roman"/>
          <w:color w:val="222222"/>
          <w:sz w:val="24"/>
          <w:szCs w:val="24"/>
          <w:highlight w:val="white"/>
        </w:rPr>
        <w:t xml:space="preserve"> of Architecture, 26(1), pp.56-58. Available at: </w:t>
      </w:r>
      <w:hyperlink r:id="rId11" w:history="1">
        <w:r>
          <w:rPr>
            <w:rFonts w:ascii="Times New Roman" w:eastAsia="Times New Roman" w:hAnsi="Times New Roman" w:cs="Times New Roman"/>
            <w:color w:val="1155CC"/>
            <w:sz w:val="24"/>
            <w:szCs w:val="24"/>
            <w:highlight w:val="white"/>
            <w:u w:val="single"/>
          </w:rPr>
          <w:t>https://www.researchgate.net/profile/El</w:t>
        </w:r>
        <w:r>
          <w:rPr>
            <w:rFonts w:ascii="Times New Roman" w:eastAsia="Times New Roman" w:hAnsi="Times New Roman" w:cs="Times New Roman"/>
            <w:color w:val="1155CC"/>
            <w:sz w:val="24"/>
            <w:szCs w:val="24"/>
            <w:highlight w:val="white"/>
            <w:u w:val="single"/>
          </w:rPr>
          <w:t>i-Hatleskog/publication/349445640_Mapping_social_values/links/614330afbbd37262ca0c0fca/Mapping-social-values.pdf</w:t>
        </w:r>
      </w:hyperlink>
      <w:r>
        <w:rPr>
          <w:rFonts w:ascii="Times New Roman" w:eastAsia="Times New Roman" w:hAnsi="Times New Roman" w:cs="Times New Roman"/>
          <w:color w:val="222222"/>
          <w:sz w:val="24"/>
          <w:szCs w:val="24"/>
          <w:highlight w:val="white"/>
        </w:rPr>
        <w:t xml:space="preserve"> </w:t>
      </w:r>
    </w:p>
    <w:p w14:paraId="16BA0E49"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Lockey, S., Graham, L., Redman, T., Zheng, Y., Routledge, G. and Purves, L., 2019. The impact of a local community engagement intervention on </w:t>
      </w:r>
      <w:r>
        <w:rPr>
          <w:rFonts w:ascii="Times New Roman" w:eastAsia="Times New Roman" w:hAnsi="Times New Roman" w:cs="Times New Roman"/>
          <w:color w:val="222222"/>
          <w:sz w:val="24"/>
          <w:szCs w:val="24"/>
          <w:highlight w:val="white"/>
        </w:rPr>
        <w:t xml:space="preserve">residents’ fear of crime and perceptions of the police. </w:t>
      </w:r>
      <w:r>
        <w:rPr>
          <w:rFonts w:ascii="Times New Roman" w:eastAsia="Times New Roman" w:hAnsi="Times New Roman" w:cs="Times New Roman"/>
          <w:i/>
          <w:color w:val="222222"/>
          <w:sz w:val="24"/>
          <w:szCs w:val="24"/>
          <w:highlight w:val="white"/>
        </w:rPr>
        <w:t>International Journal of Police Science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(3), pp.168-180. Available at: </w:t>
      </w:r>
      <w:hyperlink r:id="rId12" w:history="1">
        <w:r>
          <w:rPr>
            <w:rFonts w:ascii="Times New Roman" w:eastAsia="Times New Roman" w:hAnsi="Times New Roman" w:cs="Times New Roman"/>
            <w:color w:val="1155CC"/>
            <w:sz w:val="24"/>
            <w:szCs w:val="24"/>
            <w:highlight w:val="white"/>
            <w:u w:val="single"/>
          </w:rPr>
          <w:t>https://nrl.northumbria.ac.uk/id/eprint/40007/1/Lockey%20et%20al%20-%20The%20impact%20of%20a%20local%20community%20e</w:t>
        </w:r>
        <w:r>
          <w:rPr>
            <w:rFonts w:ascii="Times New Roman" w:eastAsia="Times New Roman" w:hAnsi="Times New Roman" w:cs="Times New Roman"/>
            <w:color w:val="1155CC"/>
            <w:sz w:val="24"/>
            <w:szCs w:val="24"/>
            <w:highlight w:val="white"/>
            <w:u w:val="single"/>
          </w:rPr>
          <w:t>ngagement%20intervention%20on%20residents%E2%80%99%20fear%20of%20crime%20and%20perceptions%20of%20the%20police%20AAM.pdf</w:t>
        </w:r>
      </w:hyperlink>
      <w:r>
        <w:rPr>
          <w:rFonts w:ascii="Times New Roman" w:eastAsia="Times New Roman" w:hAnsi="Times New Roman" w:cs="Times New Roman"/>
          <w:color w:val="222222"/>
          <w:sz w:val="24"/>
          <w:szCs w:val="24"/>
          <w:highlight w:val="white"/>
        </w:rPr>
        <w:t xml:space="preserve"> </w:t>
      </w:r>
    </w:p>
    <w:p w14:paraId="7AC2D471"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Pratt, B. and de Vries, J., 2018. Community engagement in global health research that advances health equity. </w:t>
      </w:r>
      <w:r>
        <w:rPr>
          <w:rFonts w:ascii="Times New Roman" w:eastAsia="Times New Roman" w:hAnsi="Times New Roman" w:cs="Times New Roman"/>
          <w:i/>
          <w:color w:val="222222"/>
          <w:sz w:val="24"/>
          <w:szCs w:val="24"/>
          <w:highlight w:val="white"/>
        </w:rPr>
        <w:t>Bioethics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(7), pp.454</w:t>
      </w:r>
      <w:r>
        <w:rPr>
          <w:rFonts w:ascii="Times New Roman" w:eastAsia="Times New Roman" w:hAnsi="Times New Roman" w:cs="Times New Roman"/>
          <w:color w:val="222222"/>
          <w:sz w:val="24"/>
          <w:szCs w:val="24"/>
          <w:highlight w:val="white"/>
        </w:rPr>
        <w:t xml:space="preserve">-463. Available at: </w:t>
      </w:r>
      <w:hyperlink r:id="rId13" w:history="1">
        <w:r>
          <w:rPr>
            <w:rFonts w:ascii="Times New Roman" w:eastAsia="Times New Roman" w:hAnsi="Times New Roman" w:cs="Times New Roman"/>
            <w:color w:val="1155CC"/>
            <w:sz w:val="24"/>
            <w:szCs w:val="24"/>
            <w:highlight w:val="white"/>
            <w:u w:val="single"/>
          </w:rPr>
          <w:t>https://onlinelibrary.wiley.com/doi/am-pdf/10.1111/bioe.12465</w:t>
        </w:r>
      </w:hyperlink>
      <w:r>
        <w:rPr>
          <w:rFonts w:ascii="Times New Roman" w:eastAsia="Times New Roman" w:hAnsi="Times New Roman" w:cs="Times New Roman"/>
          <w:color w:val="222222"/>
          <w:sz w:val="24"/>
          <w:szCs w:val="24"/>
          <w:highlight w:val="white"/>
        </w:rPr>
        <w:t xml:space="preserve"> </w:t>
      </w:r>
    </w:p>
    <w:p w14:paraId="1F5CEFA9"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Scarlett, S.F., Lafreniere, D., Trepal, D.J., Arnold, J.D. and Xie, Y., 2019. Out of the Classr</w:t>
      </w:r>
      <w:r>
        <w:rPr>
          <w:rFonts w:ascii="Times New Roman" w:eastAsia="Times New Roman" w:hAnsi="Times New Roman" w:cs="Times New Roman"/>
          <w:color w:val="222222"/>
          <w:sz w:val="24"/>
          <w:szCs w:val="24"/>
          <w:highlight w:val="white"/>
        </w:rPr>
        <w:t xml:space="preserve">oom and Into History. </w:t>
      </w:r>
      <w:r>
        <w:rPr>
          <w:rFonts w:ascii="Times New Roman" w:eastAsia="Times New Roman" w:hAnsi="Times New Roman" w:cs="Times New Roman"/>
          <w:i/>
          <w:color w:val="222222"/>
          <w:sz w:val="24"/>
          <w:szCs w:val="24"/>
          <w:highlight w:val="white"/>
        </w:rPr>
        <w:t>The History Teacher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 xml:space="preserve">(1), pp.11-35. Available at: </w:t>
      </w:r>
      <w:hyperlink r:id="rId14" w:history="1">
        <w:r>
          <w:rPr>
            <w:rFonts w:ascii="Times New Roman" w:eastAsia="Times New Roman" w:hAnsi="Times New Roman" w:cs="Times New Roman"/>
            <w:color w:val="1155CC"/>
            <w:sz w:val="24"/>
            <w:szCs w:val="24"/>
            <w:highlight w:val="white"/>
            <w:u w:val="single"/>
          </w:rPr>
          <w:t>https://d1wqtxts1xzle7.cloudfront.net/64593772/2_Scarlett_et_al_THT_N19-with-cover-page-v2.pdf?Expires=1648635452&amp;Signature=fN78bROAcJZgQk3ziuLAaqTLZyTq7z4OkAl~QTEwHwch7vRlJad7AtbupUn6rUocTqKqbZIIABkYo8AKqiQE4vuEDX4M62BOu~8JZ9JOq</w:t>
        </w:r>
        <w:r>
          <w:rPr>
            <w:rFonts w:ascii="Times New Roman" w:eastAsia="Times New Roman" w:hAnsi="Times New Roman" w:cs="Times New Roman"/>
            <w:color w:val="1155CC"/>
            <w:sz w:val="24"/>
            <w:szCs w:val="24"/>
            <w:highlight w:val="white"/>
            <w:u w:val="single"/>
          </w:rPr>
          <w:lastRenderedPageBreak/>
          <w:t>uclC9H0gsh69GBl4XlpqAyL</w:t>
        </w:r>
        <w:r>
          <w:rPr>
            <w:rFonts w:ascii="Times New Roman" w:eastAsia="Times New Roman" w:hAnsi="Times New Roman" w:cs="Times New Roman"/>
            <w:color w:val="1155CC"/>
            <w:sz w:val="24"/>
            <w:szCs w:val="24"/>
            <w:highlight w:val="white"/>
            <w:u w:val="single"/>
          </w:rPr>
          <w:t>AKmq4lO07Pdzvl8WEeBR83N76cpK3ukbRix9hGeXcB0oVf82AGzMk1wuGVqyksL-wDrwVG0RzKx~q3nAcHfjN8iMzW8GaQA7hMu~kJEygAcpPDiMGYjKFS2VK7YwbGo2xRi5IN314EAOsW7xx7I~yjXEiB4ylIIKut9KV5IavHyS~yRzHwtHrIL~kFgc3X~f8fPt6RixooiYoULSpcoc8g__&amp;Key-Pair-Id=APKAJLOHF5GGSLRBV4ZA</w:t>
        </w:r>
      </w:hyperlink>
      <w:r>
        <w:rPr>
          <w:rFonts w:ascii="Times New Roman" w:eastAsia="Times New Roman" w:hAnsi="Times New Roman" w:cs="Times New Roman"/>
          <w:color w:val="222222"/>
          <w:sz w:val="24"/>
          <w:szCs w:val="24"/>
          <w:highlight w:val="white"/>
        </w:rPr>
        <w:t xml:space="preserve"> </w:t>
      </w:r>
    </w:p>
    <w:p w14:paraId="4B62DC91"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Wallen, L. and Docherty-Hughes, J.R., 2022. Caring Spaces: Individual and Social Wellbeing in Museum Community Engagement Experiences. </w:t>
      </w:r>
      <w:r>
        <w:rPr>
          <w:rFonts w:ascii="Times New Roman" w:eastAsia="Times New Roman" w:hAnsi="Times New Roman" w:cs="Times New Roman"/>
          <w:i/>
          <w:color w:val="222222"/>
          <w:sz w:val="24"/>
          <w:szCs w:val="24"/>
          <w:highlight w:val="white"/>
        </w:rPr>
        <w:t>Journal of Museum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 xml:space="preserve">(1), pp.93-102. Available at: </w:t>
      </w:r>
      <w:hyperlink r:id="rId15" w:history="1">
        <w:r>
          <w:rPr>
            <w:rFonts w:ascii="Times New Roman" w:eastAsia="Times New Roman" w:hAnsi="Times New Roman" w:cs="Times New Roman"/>
            <w:color w:val="1155CC"/>
            <w:sz w:val="24"/>
            <w:szCs w:val="24"/>
            <w:highlight w:val="white"/>
            <w:u w:val="single"/>
          </w:rPr>
          <w:t>https://www.tandfonline.com/doi/pdf/10.1080/10598650.2021.2021490</w:t>
        </w:r>
      </w:hyperlink>
      <w:r>
        <w:rPr>
          <w:rFonts w:ascii="Times New Roman" w:eastAsia="Times New Roman" w:hAnsi="Times New Roman" w:cs="Times New Roman"/>
          <w:color w:val="222222"/>
          <w:sz w:val="24"/>
          <w:szCs w:val="24"/>
          <w:highlight w:val="white"/>
        </w:rPr>
        <w:t xml:space="preserve"> </w:t>
      </w:r>
    </w:p>
    <w:p w14:paraId="2AB48D08"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Witton, R. and Paisi, M., 2022. The benefits of an innovative community engagement model in dental undergraduate education. </w:t>
      </w:r>
      <w:r>
        <w:rPr>
          <w:rFonts w:ascii="Times New Roman" w:eastAsia="Times New Roman" w:hAnsi="Times New Roman" w:cs="Times New Roman"/>
          <w:i/>
          <w:color w:val="222222"/>
          <w:sz w:val="24"/>
          <w:szCs w:val="24"/>
          <w:highlight w:val="white"/>
        </w:rPr>
        <w:t>Education for Primary 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(1), pp.41-45</w:t>
      </w:r>
      <w:r>
        <w:rPr>
          <w:rFonts w:ascii="Times New Roman" w:eastAsia="Times New Roman" w:hAnsi="Times New Roman" w:cs="Times New Roman"/>
          <w:color w:val="222222"/>
          <w:sz w:val="24"/>
          <w:szCs w:val="24"/>
          <w:highlight w:val="white"/>
        </w:rPr>
        <w:t xml:space="preserve">. Available at: </w:t>
      </w:r>
      <w:hyperlink r:id="rId16" w:history="1">
        <w:r>
          <w:rPr>
            <w:rFonts w:ascii="Times New Roman" w:eastAsia="Times New Roman" w:hAnsi="Times New Roman" w:cs="Times New Roman"/>
            <w:color w:val="1155CC"/>
            <w:sz w:val="24"/>
            <w:szCs w:val="24"/>
            <w:highlight w:val="white"/>
            <w:u w:val="single"/>
          </w:rPr>
          <w:t>https://www.tandfonline.com/doi/pdf/10.1080/14739879.2021.1947160</w:t>
        </w:r>
      </w:hyperlink>
      <w:r>
        <w:rPr>
          <w:rFonts w:ascii="Times New Roman" w:eastAsia="Times New Roman" w:hAnsi="Times New Roman" w:cs="Times New Roman"/>
          <w:color w:val="222222"/>
          <w:sz w:val="24"/>
          <w:szCs w:val="24"/>
          <w:highlight w:val="white"/>
        </w:rPr>
        <w:t xml:space="preserve"> </w:t>
      </w:r>
    </w:p>
    <w:p w14:paraId="6B932406"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Yu, Y., 2020. From universities to Christian churches: agency in the intercultural engageme</w:t>
      </w:r>
      <w:r>
        <w:rPr>
          <w:rFonts w:ascii="Times New Roman" w:eastAsia="Times New Roman" w:hAnsi="Times New Roman" w:cs="Times New Roman"/>
          <w:color w:val="222222"/>
          <w:sz w:val="24"/>
          <w:szCs w:val="24"/>
          <w:highlight w:val="white"/>
        </w:rPr>
        <w:t xml:space="preserve">nt of non-Christian Chinese students in the UK. </w:t>
      </w:r>
      <w:r>
        <w:rPr>
          <w:rFonts w:ascii="Times New Roman" w:eastAsia="Times New Roman" w:hAnsi="Times New Roman" w:cs="Times New Roman"/>
          <w:i/>
          <w:color w:val="222222"/>
          <w:sz w:val="24"/>
          <w:szCs w:val="24"/>
          <w:highlight w:val="white"/>
        </w:rPr>
        <w:t>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80</w:t>
      </w:r>
      <w:r>
        <w:rPr>
          <w:rFonts w:ascii="Times New Roman" w:eastAsia="Times New Roman" w:hAnsi="Times New Roman" w:cs="Times New Roman"/>
          <w:color w:val="222222"/>
          <w:sz w:val="24"/>
          <w:szCs w:val="24"/>
          <w:highlight w:val="white"/>
        </w:rPr>
        <w:t xml:space="preserve">(2), pp.197-213. Available at: </w:t>
      </w:r>
      <w:hyperlink r:id="rId17" w:history="1">
        <w:r>
          <w:rPr>
            <w:rFonts w:ascii="Times New Roman" w:eastAsia="Times New Roman" w:hAnsi="Times New Roman" w:cs="Times New Roman"/>
            <w:color w:val="1155CC"/>
            <w:sz w:val="24"/>
            <w:szCs w:val="24"/>
            <w:highlight w:val="white"/>
            <w:u w:val="single"/>
          </w:rPr>
          <w:t>https://d1wqtxts1xzle7.cloudfront.net/61469500/Yuns10734-019-00474-520191209-65527-17obzxw-with-cover-page-v2.pdf?Expires=1648641256</w:t>
        </w:r>
        <w:r>
          <w:rPr>
            <w:rFonts w:ascii="Times New Roman" w:eastAsia="Times New Roman" w:hAnsi="Times New Roman" w:cs="Times New Roman"/>
            <w:color w:val="1155CC"/>
            <w:sz w:val="24"/>
            <w:szCs w:val="24"/>
            <w:highlight w:val="white"/>
            <w:u w:val="single"/>
          </w:rPr>
          <w:t>&amp;Signature=AfmKUFGKQNZxFR~YdaqXPq2ku0WkvTNer55-gwdxkxzCbBvh8b6b7Tzx~jzni5BwmB9ENcjLezUOe7ypH1QUaoDNLUI8xahwLBWa9gMXg8zvWLc9fnK-qQNimrTdtprDWs75Q0B-VONJgJJT23AneLsKt3pN6QdkMuKR66trwxF3yp9pu5Oxa4O2ehKrc1Z0k-HXhv4h0EkwMjGpBLZsSElvqzAKWDqfn0qFgXThIVEPyvZ8~~aOr</w:t>
        </w:r>
        <w:r>
          <w:rPr>
            <w:rFonts w:ascii="Times New Roman" w:eastAsia="Times New Roman" w:hAnsi="Times New Roman" w:cs="Times New Roman"/>
            <w:color w:val="1155CC"/>
            <w:sz w:val="24"/>
            <w:szCs w:val="24"/>
            <w:highlight w:val="white"/>
            <w:u w:val="single"/>
          </w:rPr>
          <w:t>6E10i3b-jKgZPH3NaLQDslri-JqA2xiefVurY-OSR~bRo78WaVtnytf7bx~H2N4XpBZ877jvEItmGPcfaiwM~s-IQlWHg6IQQ__&amp;Key-Pair-Id=APKAJLOHF5GGSLRBV4ZA</w:t>
        </w:r>
      </w:hyperlink>
      <w:r>
        <w:rPr>
          <w:rFonts w:ascii="Times New Roman" w:eastAsia="Times New Roman" w:hAnsi="Times New Roman" w:cs="Times New Roman"/>
          <w:color w:val="222222"/>
          <w:sz w:val="24"/>
          <w:szCs w:val="24"/>
          <w:highlight w:val="white"/>
        </w:rPr>
        <w:t xml:space="preserve"> </w:t>
      </w:r>
    </w:p>
    <w:p w14:paraId="06D9FC42" w14:textId="77777777" w:rsidR="00551E8A" w:rsidRDefault="0091496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Zhou, S., Hu, Z., Gu, W., Jiang, M. and Zhang, X.P., 2019. Artificial intelligence based smart energy community management</w:t>
      </w:r>
      <w:r>
        <w:rPr>
          <w:rFonts w:ascii="Times New Roman" w:eastAsia="Times New Roman" w:hAnsi="Times New Roman" w:cs="Times New Roman"/>
          <w:color w:val="222222"/>
          <w:sz w:val="24"/>
          <w:szCs w:val="24"/>
          <w:highlight w:val="white"/>
        </w:rPr>
        <w:t xml:space="preserve">: A reinforcement learning approach. </w:t>
      </w:r>
      <w:r>
        <w:rPr>
          <w:rFonts w:ascii="Times New Roman" w:eastAsia="Times New Roman" w:hAnsi="Times New Roman" w:cs="Times New Roman"/>
          <w:i/>
          <w:color w:val="222222"/>
          <w:sz w:val="24"/>
          <w:szCs w:val="24"/>
          <w:highlight w:val="white"/>
        </w:rPr>
        <w:t>CSEE Journal of Power and Energy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(1), pp.1-10. Available at: </w:t>
      </w:r>
      <w:hyperlink r:id="rId18" w:history="1">
        <w:r>
          <w:rPr>
            <w:rFonts w:ascii="Times New Roman" w:eastAsia="Times New Roman" w:hAnsi="Times New Roman" w:cs="Times New Roman"/>
            <w:color w:val="1155CC"/>
            <w:sz w:val="24"/>
            <w:szCs w:val="24"/>
            <w:highlight w:val="white"/>
            <w:u w:val="single"/>
          </w:rPr>
          <w:t>https://ieeexplore.ieee.org/stamp/stamp.jsp?arnumber=8661902</w:t>
        </w:r>
      </w:hyperlink>
      <w:r>
        <w:rPr>
          <w:rFonts w:ascii="Times New Roman" w:eastAsia="Times New Roman" w:hAnsi="Times New Roman" w:cs="Times New Roman"/>
          <w:color w:val="222222"/>
          <w:sz w:val="24"/>
          <w:szCs w:val="24"/>
          <w:highlight w:val="white"/>
        </w:rPr>
        <w:t xml:space="preserve"> </w:t>
      </w:r>
    </w:p>
    <w:sectPr w:rsidR="00551E8A" w:rsidSect="00C03F0B">
      <w:footerReference w:type="default" r:id="rId1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2F2C8" w14:textId="77777777" w:rsidR="0091496D" w:rsidRDefault="0091496D">
      <w:pPr>
        <w:spacing w:line="240" w:lineRule="auto"/>
      </w:pPr>
      <w:r>
        <w:separator/>
      </w:r>
    </w:p>
  </w:endnote>
  <w:endnote w:type="continuationSeparator" w:id="0">
    <w:p w14:paraId="5D6A8123" w14:textId="77777777" w:rsidR="0091496D" w:rsidRDefault="009149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728469"/>
      <w:docPartObj>
        <w:docPartGallery w:val="Page Numbers (Bottom of Page)"/>
        <w:docPartUnique/>
      </w:docPartObj>
    </w:sdtPr>
    <w:sdtEndPr/>
    <w:sdtContent>
      <w:sdt>
        <w:sdtPr>
          <w:id w:val="565050523"/>
          <w:docPartObj>
            <w:docPartGallery w:val="Page Numbers (Top of Page)"/>
            <w:docPartUnique/>
          </w:docPartObj>
        </w:sdtPr>
        <w:sdtEndPr/>
        <w:sdtContent>
          <w:p w14:paraId="4DF8F9D3" w14:textId="77777777" w:rsidR="00C03F0B" w:rsidRDefault="0091496D">
            <w:pPr>
              <w:pStyle w:val="Footer"/>
              <w:jc w:val="right"/>
            </w:pPr>
            <w:r w:rsidRPr="00C03F0B">
              <w:rPr>
                <w:b/>
              </w:rPr>
              <w:t xml:space="preserve">Page </w:t>
            </w:r>
            <w:r w:rsidRPr="00C03F0B">
              <w:rPr>
                <w:b/>
                <w:sz w:val="24"/>
                <w:szCs w:val="24"/>
              </w:rPr>
              <w:fldChar w:fldCharType="begin"/>
            </w:r>
            <w:r w:rsidRPr="00C03F0B">
              <w:rPr>
                <w:b/>
              </w:rPr>
              <w:instrText xml:space="preserve"> PAGE </w:instrText>
            </w:r>
            <w:r w:rsidRPr="00C03F0B">
              <w:rPr>
                <w:b/>
                <w:sz w:val="24"/>
                <w:szCs w:val="24"/>
              </w:rPr>
              <w:fldChar w:fldCharType="separate"/>
            </w:r>
            <w:r>
              <w:rPr>
                <w:b/>
                <w:noProof/>
              </w:rPr>
              <w:t>2</w:t>
            </w:r>
            <w:r w:rsidRPr="00C03F0B">
              <w:rPr>
                <w:b/>
                <w:sz w:val="24"/>
                <w:szCs w:val="24"/>
              </w:rPr>
              <w:fldChar w:fldCharType="end"/>
            </w:r>
            <w:r w:rsidRPr="00C03F0B">
              <w:rPr>
                <w:b/>
              </w:rPr>
              <w:t xml:space="preserve"> of </w:t>
            </w:r>
            <w:r w:rsidRPr="00C03F0B">
              <w:rPr>
                <w:b/>
                <w:sz w:val="24"/>
                <w:szCs w:val="24"/>
              </w:rPr>
              <w:fldChar w:fldCharType="begin"/>
            </w:r>
            <w:r w:rsidRPr="00C03F0B">
              <w:rPr>
                <w:b/>
              </w:rPr>
              <w:instrText xml:space="preserve"> NUMPAGES  </w:instrText>
            </w:r>
            <w:r w:rsidRPr="00C03F0B">
              <w:rPr>
                <w:b/>
                <w:sz w:val="24"/>
                <w:szCs w:val="24"/>
              </w:rPr>
              <w:fldChar w:fldCharType="separate"/>
            </w:r>
            <w:r>
              <w:rPr>
                <w:b/>
                <w:noProof/>
              </w:rPr>
              <w:t>13</w:t>
            </w:r>
            <w:r w:rsidRPr="00C03F0B">
              <w:rPr>
                <w:b/>
                <w:sz w:val="24"/>
                <w:szCs w:val="24"/>
              </w:rPr>
              <w:fldChar w:fldCharType="end"/>
            </w:r>
          </w:p>
        </w:sdtContent>
      </w:sdt>
    </w:sdtContent>
  </w:sdt>
  <w:p w14:paraId="6394E5C6" w14:textId="77777777" w:rsidR="00C03F0B" w:rsidRDefault="00C03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1B090" w14:textId="77777777" w:rsidR="0091496D" w:rsidRDefault="0091496D">
      <w:pPr>
        <w:spacing w:line="240" w:lineRule="auto"/>
      </w:pPr>
      <w:r>
        <w:separator/>
      </w:r>
    </w:p>
  </w:footnote>
  <w:footnote w:type="continuationSeparator" w:id="0">
    <w:p w14:paraId="35D51D7E" w14:textId="77777777" w:rsidR="0091496D" w:rsidRDefault="009149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5BE"/>
    <w:rsid w:val="00314252"/>
    <w:rsid w:val="005367C4"/>
    <w:rsid w:val="00551E8A"/>
    <w:rsid w:val="006B45BE"/>
    <w:rsid w:val="00761DC6"/>
    <w:rsid w:val="0091496D"/>
    <w:rsid w:val="00B621B2"/>
    <w:rsid w:val="00BA632F"/>
    <w:rsid w:val="00C03F0B"/>
    <w:rsid w:val="00FB0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13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31425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6B45BE"/>
    <w:pPr>
      <w:keepNext/>
      <w:keepLines/>
      <w:spacing w:before="360" w:after="120"/>
      <w:outlineLvl w:val="1"/>
    </w:pPr>
    <w:rPr>
      <w:sz w:val="32"/>
      <w:szCs w:val="32"/>
    </w:rPr>
  </w:style>
  <w:style w:type="paragraph" w:styleId="Heading3">
    <w:name w:val="heading 3"/>
    <w:basedOn w:val="Normal1"/>
    <w:next w:val="Normal1"/>
    <w:rsid w:val="006B45BE"/>
    <w:pPr>
      <w:keepNext/>
      <w:keepLines/>
      <w:spacing w:before="320" w:after="80"/>
      <w:outlineLvl w:val="2"/>
    </w:pPr>
    <w:rPr>
      <w:color w:val="434343"/>
      <w:sz w:val="28"/>
      <w:szCs w:val="28"/>
    </w:rPr>
  </w:style>
  <w:style w:type="paragraph" w:styleId="Heading4">
    <w:name w:val="heading 4"/>
    <w:basedOn w:val="Normal1"/>
    <w:next w:val="Normal1"/>
    <w:rsid w:val="006B45BE"/>
    <w:pPr>
      <w:keepNext/>
      <w:keepLines/>
      <w:spacing w:before="280" w:after="80"/>
      <w:outlineLvl w:val="3"/>
    </w:pPr>
    <w:rPr>
      <w:color w:val="666666"/>
      <w:sz w:val="24"/>
      <w:szCs w:val="24"/>
    </w:rPr>
  </w:style>
  <w:style w:type="paragraph" w:styleId="Heading5">
    <w:name w:val="heading 5"/>
    <w:basedOn w:val="Normal1"/>
    <w:next w:val="Normal1"/>
    <w:rsid w:val="006B45BE"/>
    <w:pPr>
      <w:keepNext/>
      <w:keepLines/>
      <w:spacing w:before="240" w:after="80"/>
      <w:outlineLvl w:val="4"/>
    </w:pPr>
    <w:rPr>
      <w:color w:val="666666"/>
    </w:rPr>
  </w:style>
  <w:style w:type="paragraph" w:styleId="Heading6">
    <w:name w:val="heading 6"/>
    <w:basedOn w:val="Normal1"/>
    <w:next w:val="Normal1"/>
    <w:rsid w:val="006B45B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B45BE"/>
  </w:style>
  <w:style w:type="paragraph" w:styleId="Title">
    <w:name w:val="Title"/>
    <w:basedOn w:val="Normal1"/>
    <w:next w:val="Normal1"/>
    <w:rsid w:val="006B45BE"/>
    <w:pPr>
      <w:keepNext/>
      <w:keepLines/>
      <w:spacing w:after="60"/>
    </w:pPr>
    <w:rPr>
      <w:sz w:val="52"/>
      <w:szCs w:val="52"/>
    </w:rPr>
  </w:style>
  <w:style w:type="paragraph" w:styleId="Subtitle">
    <w:name w:val="Subtitle"/>
    <w:basedOn w:val="Normal1"/>
    <w:next w:val="Normal1"/>
    <w:rsid w:val="006B45BE"/>
    <w:pPr>
      <w:keepNext/>
      <w:keepLines/>
      <w:spacing w:after="320"/>
    </w:pPr>
    <w:rPr>
      <w:color w:val="666666"/>
      <w:sz w:val="30"/>
      <w:szCs w:val="30"/>
    </w:rPr>
  </w:style>
  <w:style w:type="paragraph" w:styleId="Header">
    <w:name w:val="header"/>
    <w:basedOn w:val="Normal"/>
    <w:link w:val="HeaderChar"/>
    <w:uiPriority w:val="99"/>
    <w:unhideWhenUsed/>
    <w:rsid w:val="00C03F0B"/>
    <w:pPr>
      <w:tabs>
        <w:tab w:val="center" w:pos="4513"/>
        <w:tab w:val="right" w:pos="9026"/>
      </w:tabs>
      <w:spacing w:line="240" w:lineRule="auto"/>
    </w:pPr>
  </w:style>
  <w:style w:type="character" w:customStyle="1" w:styleId="HeaderChar">
    <w:name w:val="Header Char"/>
    <w:basedOn w:val="DefaultParagraphFont"/>
    <w:link w:val="Header"/>
    <w:uiPriority w:val="99"/>
    <w:rsid w:val="00C03F0B"/>
  </w:style>
  <w:style w:type="paragraph" w:styleId="Footer">
    <w:name w:val="footer"/>
    <w:basedOn w:val="Normal"/>
    <w:link w:val="FooterChar"/>
    <w:uiPriority w:val="99"/>
    <w:unhideWhenUsed/>
    <w:rsid w:val="00C03F0B"/>
    <w:pPr>
      <w:tabs>
        <w:tab w:val="center" w:pos="4513"/>
        <w:tab w:val="right" w:pos="9026"/>
      </w:tabs>
      <w:spacing w:line="240" w:lineRule="auto"/>
    </w:pPr>
  </w:style>
  <w:style w:type="character" w:customStyle="1" w:styleId="FooterChar">
    <w:name w:val="Footer Char"/>
    <w:basedOn w:val="DefaultParagraphFont"/>
    <w:link w:val="Footer"/>
    <w:uiPriority w:val="99"/>
    <w:rsid w:val="00C03F0B"/>
  </w:style>
  <w:style w:type="paragraph" w:styleId="TOCHeading">
    <w:name w:val="TOC Heading"/>
    <w:basedOn w:val="Heading1"/>
    <w:next w:val="Normal"/>
    <w:uiPriority w:val="39"/>
    <w:semiHidden/>
    <w:unhideWhenUsed/>
    <w:qFormat/>
    <w:rsid w:val="00C03F0B"/>
    <w:pPr>
      <w:spacing w:before="480" w:after="0"/>
      <w:outlineLvl w:val="9"/>
    </w:pPr>
    <w:rPr>
      <w:rFonts w:asciiTheme="majorHAnsi" w:eastAsiaTheme="majorEastAsia" w:hAnsiTheme="majorHAnsi" w:cstheme="majorBidi"/>
      <w:b w:val="0"/>
      <w:bCs/>
      <w:color w:val="365F91" w:themeColor="accent1" w:themeShade="BF"/>
      <w:szCs w:val="28"/>
      <w:lang w:val="en-US" w:eastAsia="en-US"/>
    </w:rPr>
  </w:style>
  <w:style w:type="paragraph" w:styleId="TOC1">
    <w:name w:val="toc 1"/>
    <w:basedOn w:val="Normal"/>
    <w:next w:val="Normal"/>
    <w:autoRedefine/>
    <w:uiPriority w:val="39"/>
    <w:unhideWhenUsed/>
    <w:rsid w:val="00C03F0B"/>
    <w:pPr>
      <w:spacing w:after="100"/>
    </w:pPr>
  </w:style>
  <w:style w:type="character" w:styleId="Hyperlink">
    <w:name w:val="Hyperlink"/>
    <w:basedOn w:val="DefaultParagraphFont"/>
    <w:uiPriority w:val="99"/>
    <w:unhideWhenUsed/>
    <w:rsid w:val="00C03F0B"/>
    <w:rPr>
      <w:color w:val="0000FF" w:themeColor="hyperlink"/>
      <w:u w:val="single"/>
    </w:rPr>
  </w:style>
  <w:style w:type="paragraph" w:styleId="BalloonText">
    <w:name w:val="Balloon Text"/>
    <w:basedOn w:val="Normal"/>
    <w:link w:val="BalloonTextChar"/>
    <w:uiPriority w:val="99"/>
    <w:semiHidden/>
    <w:unhideWhenUsed/>
    <w:rsid w:val="00C03F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3F0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eb.archive.org/web/20200829025807id_/https://watermark.silverchair.com/czz174.pdf?token=AQECAHi208BE49Ooan9kkhW_Ercy7Dm3ZL_9Cf3qfKAc485ysgAAAqMwggKfBgkqhkiG9w0BBwagggKQMIICjAIBADCCAoUGCSqGSIb3DQEHATAeBglghkgBZQMEAS4wEQQMjMpaot2DxKf26peHAgEQgIICVsrs2MOF6zAaiK8R9FZLm01uAvlHbAQEL_6P1UxW7N7XFzeihiT2uEduPjAj88TfDoNBgz-BBWDhboNOsQ9gpDQcGdSxr8w9G3254UfUaJznX3OZUFhBSqC9M3rmww8iZGLerLCLr2wK1I_SU2duQA8TnMQj3rBy9PkKH_JTGg2rJIkk388wSJAoFGrIg96xoBFIuNBEI2nZVJfYzWuOm12InUUsooePj6nXJKh8vfL4D2AN77H6ITqiHyJK7rQvvQLSzvzdjf4WPcYUguHsMQx-tN_maE9aRwt_QACRpTbSa7_-33J1YrEdlY1VqvrABr6New77IsfdbxIj0bIh7KJOSnFHLmMO7nS3y0vUW3miG5X5sJ-pQW2fP83cv-xbpOUyF5urTZqy6J_CYWk26WdKykKr8N5AhSnPWX1CjVrd3QpAXtjAr8zfREbppU91hPtaFeSI6QgNPNAVU5rzGsxOAA9U0HrO-LeGDeLIgOvan0odvcKMFDaNJMlSq1pCq-uACJMoJxuCLZfUc-DpybSByWF0y3V3Ehdq4fjCkH9KBMtav34vfydE85c4TVwbiAXBBgPaTdB9gBQTbCwoGOO_NzDx3uoLXHIuBoiqdAaRLXqLw6VQ4EE1Wt1YUNN9zJYYyrKki1AKX7nt5lzlUGn5Y5mOTbJki3I9-hCbYC_qz2FsyOf2RgVPrBdTQC5G992rDq8VFJrth3cI3QrVGbQFR8cYE17mihLvEpiDXxPniPEVLUUjA3lJay7r_u2B55_gDkW1PjYOvYenD4Y3gqwyLyJv9B8" TargetMode="External"/><Relationship Id="rId13" Type="http://schemas.openxmlformats.org/officeDocument/2006/relationships/hyperlink" Target="https://onlinelibrary.wiley.com/doi/am-pdf/10.1111/bioe.12465" TargetMode="External"/><Relationship Id="rId18" Type="http://schemas.openxmlformats.org/officeDocument/2006/relationships/hyperlink" Target="https://ieeexplore.ieee.org/stamp/stamp.jsp?arnumber=866190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esearchgate.net/profile/Sara-Dada/publication/342810644_The_Importance_of_Developing_Rigorous_Social_Science_Methods_for_Community_Engagement_and_Behavior_Change_During_Outbreak_Response/links/5f070ddfa6fdcc4ca459b55e/The-Importance-of-Developing-Rigorous-Social-Science-Methods-for-Community-Engagement-and-Behavior-Change-During-Outbreak-Response.pdf" TargetMode="External"/><Relationship Id="rId12" Type="http://schemas.openxmlformats.org/officeDocument/2006/relationships/hyperlink" Target="https://nrl.northumbria.ac.uk/id/eprint/40007/1/Lockey%20et%20al%20-%20The%20impact%20of%20a%20local%20community%20engagement%20intervention%20on%20residents%E2%80%99%20fear%20of%20crime%20and%20perceptions%20of%20the%20police%20AAM.pdf" TargetMode="External"/><Relationship Id="rId17" Type="http://schemas.openxmlformats.org/officeDocument/2006/relationships/hyperlink" Target="https://d1wqtxts1xzle7.cloudfront.net/61469500/Yuns10734-019-00474-520191209-65527-17obzxw-with-cover-page-v2.pdf?Expires=1648641256&amp;Signature=AfmKUFGKQNZxFR~YdaqXPq2ku0WkvTNer55-gwdxkxzCbBvh8b6b7Tzx~jzni5BwmB9ENcjLezUOe7ypH1QUaoDNLUI8xahwLBWa9gMXg8zvWLc9fnK-qQNimrTdtprDWs75Q0B-VONJgJJT23AneLsKt3pN6QdkMuKR66trwxF3yp9pu5Oxa4O2ehKrc1Z0k-HXhv4h0EkwMjGpBLZsSElvqzAKWDqfn0qFgXThIVEPyvZ8~~aOr6E10i3b-jKgZPH3NaLQDslri-JqA2xiefVurY-OSR~bRo78WaVtnytf7bx~H2N4XpBZ877jvEItmGPcfaiwM~s-IQlWHg6IQQ__&amp;Key-Pair-Id=APKAJLOHF5GGSLRBV4ZA" TargetMode="External"/><Relationship Id="rId2" Type="http://schemas.openxmlformats.org/officeDocument/2006/relationships/styles" Target="styles.xml"/><Relationship Id="rId16" Type="http://schemas.openxmlformats.org/officeDocument/2006/relationships/hyperlink" Target="https://www.tandfonline.com/doi/pdf/10.1080/14739879.2021.194716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Eli-Hatleskog/publication/349445640_Mapping_social_values/links/614330afbbd37262ca0c0fca/Mapping-social-values.pdf" TargetMode="External"/><Relationship Id="rId5" Type="http://schemas.openxmlformats.org/officeDocument/2006/relationships/footnotes" Target="footnotes.xml"/><Relationship Id="rId15" Type="http://schemas.openxmlformats.org/officeDocument/2006/relationships/hyperlink" Target="https://www.tandfonline.com/doi/pdf/10.1080/10598650.2021.2021490" TargetMode="External"/><Relationship Id="rId10" Type="http://schemas.openxmlformats.org/officeDocument/2006/relationships/hyperlink" Target="https://www.researchgate.net/profile/Mathew-George/publication/344774734_The_Fragmentation_and_Weakening_of_Institutions_of_Primary_Healthcare_A_Prescription_for_Their_Revival/links/60c9c223a6fdcc0c5c86dd32/The-Fragmentation-and-Weakening-of-Institutions-of-Primary-Healthcare-A-Prescription-for-Their-Revival.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rofile/Silke-Beck/publication/333223699_Participation_and_inclusiveness_in_the_Intergovernmental_Science-Policy_Platform_on_Biodiversity_and_Ecosystem_Services/links/5eca4e1b458515626cc6ce9c/Participation-and-inclusiveness-in-the-Intergovernmental-Science-Policy-Platform-on-Biodiversity-and-Ecosystem-Services.pdf" TargetMode="External"/><Relationship Id="rId14" Type="http://schemas.openxmlformats.org/officeDocument/2006/relationships/hyperlink" Target="https://d1wqtxts1xzle7.cloudfront.net/64593772/2_Scarlett_et_al_THT_N19-with-cover-page-v2.pdf?Expires=1648635452&amp;Signature=fN78bROAcJZgQk3ziuLAaqTLZyTq7z4OkAl~QTEwHwch7vRlJad7AtbupUn6rUocTqKqbZIIABkYo8AKqiQE4vuEDX4M62BOu~8JZ9JOquclC9H0gsh69GBl4XlpqAyLAKmq4lO07Pdzvl8WEeBR83N76cpK3ukbRix9hGeXcB0oVf82AGzMk1wuGVqyksL-wDrwVG0RzKx~q3nAcHfjN8iMzW8GaQA7hMu~kJEygAcpPDiMGYjKFS2VK7YwbGo2xRi5IN314EAOsW7xx7I~yjXEiB4ylIIKut9KV5IavHyS~yRzHwtHrIL~kFgc3X~f8fPt6RixooiYoULSpcoc8g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7C4537-89D2-424E-9933-D2381AE3A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3648</Words>
  <Characters>20796</Characters>
  <Application>Microsoft Office Word</Application>
  <DocSecurity>0</DocSecurity>
  <Lines>173</Lines>
  <Paragraphs>48</Paragraphs>
  <ScaleCrop>false</ScaleCrop>
  <Company/>
  <LinksUpToDate>false</LinksUpToDate>
  <CharactersWithSpaces>24396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2022-03-30T13:58:00Z</dcterms:created>
  <dcterms:modified xsi:type="dcterms:W3CDTF">2022-04-28T17:12:00Z</dcterms:modified>
</cp:coreProperties>
</file>