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1C9A83" w14:textId="2F94F03D" w:rsidR="00E11854" w:rsidRDefault="00E11854">
      <w:pPr>
        <w:spacing w:before="1000" w:after="80"/>
        <w:jc w:val="center"/>
        <w:rPr>
          <w:b/>
          <w:bCs/>
          <w:caps/>
          <w:sz w:val="28"/>
          <w:szCs w:val="28"/>
        </w:rPr>
      </w:pPr>
      <w:r>
        <w:rPr>
          <w:noProof/>
          <w:lang w:val="en-IN" w:eastAsia="en-IN"/>
        </w:rPr>
        <w:drawing>
          <wp:inline distT="0" distB="0" distL="0" distR="0" wp14:anchorId="7FD11053" wp14:editId="7F5C8A5A">
            <wp:extent cx="5731510" cy="146113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461135"/>
                    </a:xfrm>
                    <a:prstGeom prst="rect">
                      <a:avLst/>
                    </a:prstGeom>
                  </pic:spPr>
                </pic:pic>
              </a:graphicData>
            </a:graphic>
          </wp:inline>
        </w:drawing>
      </w:r>
    </w:p>
    <w:p w14:paraId="23499C71" w14:textId="2BEBC621" w:rsidR="00953020" w:rsidRDefault="00F3576C">
      <w:pPr>
        <w:spacing w:before="1000" w:after="80"/>
        <w:jc w:val="center"/>
      </w:pPr>
      <w:r>
        <w:rPr>
          <w:b/>
          <w:bCs/>
          <w:caps/>
          <w:sz w:val="28"/>
          <w:szCs w:val="28"/>
        </w:rPr>
        <w:t>DATA SECURITY, GOVERNANCE AND COMPLIANCE</w:t>
      </w:r>
    </w:p>
    <w:p w14:paraId="5A03672D" w14:textId="77777777" w:rsidR="00953020" w:rsidRDefault="00F3576C">
      <w:pPr>
        <w:spacing w:before="40" w:after="80"/>
        <w:jc w:val="center"/>
      </w:pPr>
      <w:r>
        <w:rPr>
          <w:color w:val="444444"/>
        </w:rPr>
        <w:t>ACCA7028  |  MSc Cybersecurity and Digital Forensics</w:t>
      </w:r>
    </w:p>
    <w:p w14:paraId="4F9A182A" w14:textId="77777777" w:rsidR="00953020" w:rsidRDefault="00953020">
      <w:pPr>
        <w:pBdr>
          <w:bottom w:val="single" w:sz="6" w:space="1" w:color="000000"/>
        </w:pBdr>
        <w:spacing w:before="80" w:after="80"/>
      </w:pPr>
    </w:p>
    <w:p w14:paraId="659DF5E5" w14:textId="77777777" w:rsidR="00953020" w:rsidRDefault="00F3576C">
      <w:pPr>
        <w:spacing w:before="180" w:after="60"/>
        <w:jc w:val="center"/>
      </w:pPr>
      <w:r>
        <w:rPr>
          <w:b/>
          <w:bCs/>
          <w:sz w:val="26"/>
          <w:szCs w:val="26"/>
        </w:rPr>
        <w:t>Applying the Principles and Practices of Data Security,</w:t>
      </w:r>
    </w:p>
    <w:p w14:paraId="77EF4EF2" w14:textId="77777777" w:rsidR="00953020" w:rsidRDefault="00F3576C">
      <w:pPr>
        <w:spacing w:before="40" w:after="180"/>
        <w:jc w:val="center"/>
      </w:pPr>
      <w:r>
        <w:rPr>
          <w:b/>
          <w:bCs/>
          <w:sz w:val="26"/>
          <w:szCs w:val="26"/>
        </w:rPr>
        <w:t>Governance and Compliance in FinSure Bank</w:t>
      </w:r>
    </w:p>
    <w:p w14:paraId="32B48450" w14:textId="77777777" w:rsidR="00953020" w:rsidRDefault="00953020">
      <w:pPr>
        <w:pBdr>
          <w:bottom w:val="single" w:sz="6" w:space="1" w:color="000000"/>
        </w:pBdr>
        <w:spacing w:before="80" w:after="80"/>
      </w:pPr>
    </w:p>
    <w:p w14:paraId="5244C834" w14:textId="77777777" w:rsidR="00953020" w:rsidRPr="00E11854" w:rsidRDefault="00F3576C">
      <w:pPr>
        <w:spacing w:before="200" w:after="60"/>
        <w:jc w:val="center"/>
        <w:rPr>
          <w:sz w:val="32"/>
          <w:szCs w:val="32"/>
        </w:rPr>
      </w:pPr>
      <w:r w:rsidRPr="00E11854">
        <w:rPr>
          <w:sz w:val="32"/>
          <w:szCs w:val="32"/>
        </w:rPr>
        <w:t>Student Name:  Tassavar Ahemad Kureshi</w:t>
      </w:r>
    </w:p>
    <w:p w14:paraId="33C1563F" w14:textId="77777777" w:rsidR="00953020" w:rsidRPr="00E11854" w:rsidRDefault="00F3576C">
      <w:pPr>
        <w:spacing w:before="60" w:after="60"/>
        <w:jc w:val="center"/>
        <w:rPr>
          <w:sz w:val="32"/>
          <w:szCs w:val="32"/>
        </w:rPr>
      </w:pPr>
      <w:r w:rsidRPr="00E11854">
        <w:rPr>
          <w:sz w:val="32"/>
          <w:szCs w:val="32"/>
        </w:rPr>
        <w:t>Student ID:  2530068</w:t>
      </w:r>
    </w:p>
    <w:p w14:paraId="1B16832F" w14:textId="77777777" w:rsidR="00953020" w:rsidRPr="00E11854" w:rsidRDefault="00F3576C">
      <w:pPr>
        <w:spacing w:before="60" w:after="60"/>
        <w:jc w:val="center"/>
        <w:rPr>
          <w:sz w:val="32"/>
          <w:szCs w:val="32"/>
        </w:rPr>
      </w:pPr>
      <w:r w:rsidRPr="00E11854">
        <w:rPr>
          <w:sz w:val="32"/>
          <w:szCs w:val="32"/>
        </w:rPr>
        <w:t>Module:  ACCA7028  |  Level 7</w:t>
      </w:r>
    </w:p>
    <w:p w14:paraId="49B362D0" w14:textId="77777777" w:rsidR="00953020" w:rsidRPr="00E11854" w:rsidRDefault="00F3576C">
      <w:pPr>
        <w:spacing w:before="60" w:after="60"/>
        <w:jc w:val="center"/>
        <w:rPr>
          <w:sz w:val="32"/>
          <w:szCs w:val="32"/>
        </w:rPr>
      </w:pPr>
      <w:r w:rsidRPr="00E11854">
        <w:rPr>
          <w:sz w:val="32"/>
          <w:szCs w:val="32"/>
        </w:rPr>
        <w:t>MSc Cybersecurity and Digital Forensics</w:t>
      </w:r>
    </w:p>
    <w:p w14:paraId="01E29D02" w14:textId="77777777" w:rsidR="00953020" w:rsidRPr="00E11854" w:rsidRDefault="00F3576C">
      <w:pPr>
        <w:spacing w:before="60" w:after="60"/>
        <w:jc w:val="center"/>
        <w:rPr>
          <w:sz w:val="32"/>
          <w:szCs w:val="32"/>
        </w:rPr>
      </w:pPr>
      <w:r w:rsidRPr="00E11854">
        <w:rPr>
          <w:sz w:val="32"/>
          <w:szCs w:val="32"/>
        </w:rPr>
        <w:t>Word Count:  ~3000</w:t>
      </w:r>
    </w:p>
    <w:p w14:paraId="6DAE083A" w14:textId="77777777" w:rsidR="00953020" w:rsidRDefault="00F3576C">
      <w:r>
        <w:br w:type="page"/>
      </w:r>
    </w:p>
    <w:p w14:paraId="487E833F" w14:textId="77777777" w:rsidR="00953020" w:rsidRDefault="00F3576C">
      <w:pPr>
        <w:pStyle w:val="Heading1"/>
      </w:pPr>
      <w:r>
        <w:lastRenderedPageBreak/>
        <w:t>Abstract</w:t>
      </w:r>
    </w:p>
    <w:p w14:paraId="387DE121" w14:textId="77777777" w:rsidR="00953020" w:rsidRDefault="00F3576C">
      <w:pPr>
        <w:spacing w:before="60" w:after="140"/>
        <w:jc w:val="both"/>
      </w:pPr>
      <w:r>
        <w:t xml:space="preserve">The rapid growth of digital banking has intensified cybersecurity threats across cloud and BYOD environments. FinSure Bank (FSB), a digital-first financial </w:t>
      </w:r>
      <w:r>
        <w:t xml:space="preserve">institution, faces significant operational challenges due to weak security governance, inadequate risk management, and insufficient compliance procedures. This report evaluates ISO 27001, NIST CSF, COBIT, and ITIL, alongside security models including Zero </w:t>
      </w:r>
      <w:r>
        <w:t>Trust Architecture and Defence in Depth, to determine their suitability for FSB. An integrated framework combining security controls, governance structures, SLA controls, and compliance standards is proposed. The solution improves regulatory compliance, re</w:t>
      </w:r>
      <w:r>
        <w:t>duces cybersecurity risks, and strengthens organisational resilience against evolving threats.</w:t>
      </w:r>
    </w:p>
    <w:p w14:paraId="39E3CACA" w14:textId="068412CD" w:rsidR="00953020" w:rsidRPr="003B3E82" w:rsidRDefault="00F3576C" w:rsidP="003B3E82">
      <w:pPr>
        <w:rPr>
          <w:b/>
        </w:rPr>
      </w:pPr>
      <w:r w:rsidRPr="003B3E82">
        <w:rPr>
          <w:b/>
        </w:rPr>
        <w:t>1. Introduction</w:t>
      </w:r>
    </w:p>
    <w:p w14:paraId="09F4189E" w14:textId="2F54F5F9" w:rsidR="005B78A8" w:rsidRDefault="005B78A8" w:rsidP="005B78A8">
      <w:pPr>
        <w:pStyle w:val="Heading1"/>
        <w:rPr>
          <w:b w:val="0"/>
          <w:bCs w:val="0"/>
          <w:sz w:val="22"/>
          <w:szCs w:val="22"/>
        </w:rPr>
      </w:pPr>
      <w:r w:rsidRPr="005B78A8">
        <w:rPr>
          <w:b w:val="0"/>
          <w:bCs w:val="0"/>
          <w:sz w:val="22"/>
          <w:szCs w:val="22"/>
        </w:rPr>
        <w:t xml:space="preserve">The emergence of digital banking has revolutionized financial services by making transactions faster on a global scale but in turn, increases the surface attack area to cyber criminals. Financial services hold massive amounts of customer data ranging from personal, financial, to transactional data, all of which is desirable to cyber criminals via attacks such as phishing, ransomware, malware and identity theft (Darem et al., 2023). The multitude of attacks proves the necessity of implementing good security governance (Cremer et al., 2022).Data security, governance and compliance form the pillars of organisational robustness and customer confidence. A governing structure of security ensures that all security measures are aligned to organizational goals whereas compliance with regulations such as the GDPR and standards such as the ISO 27001 will reduce exposure and limit potential liabilities. Without these, an organization will be highly susceptible to cyber attacks, operational risks and negative impact to the reputation of the organization.This paper analyses the case study of FinSure Bank (FSB), a purely digital organization running its operations in the cloud on a bring-your-own-device work-force. </w:t>
      </w:r>
      <w:r w:rsidR="00EC6DD9">
        <w:rPr>
          <w:b w:val="0"/>
          <w:bCs w:val="0"/>
          <w:sz w:val="22"/>
          <w:szCs w:val="22"/>
        </w:rPr>
        <w:t xml:space="preserve">All that </w:t>
      </w:r>
      <w:r w:rsidRPr="005B78A8">
        <w:rPr>
          <w:b w:val="0"/>
          <w:bCs w:val="0"/>
          <w:sz w:val="22"/>
          <w:szCs w:val="22"/>
        </w:rPr>
        <w:t>approach or compliance monitoring resulting in a strong vulnerability to large-scale cyber security attacks and regulatory compliance risks. This paper will analyze appropriate framework for FinSure Bank and implement a fully integrated solution for protection of the organization data, governance and compliance.</w:t>
      </w:r>
    </w:p>
    <w:p w14:paraId="1C84120C" w14:textId="49923B27" w:rsidR="00953020" w:rsidRDefault="00F3576C" w:rsidP="005B78A8">
      <w:pPr>
        <w:pStyle w:val="Heading1"/>
      </w:pPr>
      <w:r>
        <w:t>2. Literatu</w:t>
      </w:r>
      <w:r>
        <w:t>re Review</w:t>
      </w:r>
    </w:p>
    <w:p w14:paraId="11B51A53" w14:textId="77777777" w:rsidR="00953020" w:rsidRDefault="00F3576C">
      <w:pPr>
        <w:pStyle w:val="Heading2"/>
      </w:pPr>
      <w:r>
        <w:t>2.1 Security Frameworks Overview</w:t>
      </w:r>
    </w:p>
    <w:p w14:paraId="70DAFF15" w14:textId="5B1B6049" w:rsidR="003B3E82" w:rsidRDefault="003B3E82" w:rsidP="00025852">
      <w:pPr>
        <w:pStyle w:val="Heading2"/>
        <w:rPr>
          <w:b w:val="0"/>
          <w:bCs w:val="0"/>
          <w:sz w:val="22"/>
          <w:szCs w:val="22"/>
        </w:rPr>
      </w:pPr>
      <w:r w:rsidRPr="003B3E82">
        <w:rPr>
          <w:b w:val="0"/>
          <w:bCs w:val="0"/>
          <w:sz w:val="22"/>
          <w:szCs w:val="22"/>
        </w:rPr>
        <w:t>A systematic approach and set of steps and processes that ensure that information security risks are managed, regulations and requirements are met and business needs are addressed are established through cybersecurity frameworks. ISO/IEC 27001 defines an ISMS by detailing a system of controls and processes combined with an improvement model while ISO/IEC 27002 offers guidance on implementation, forming essential tools to address compliance in tightly regulated business areas such as financial services. NIST CSF, which due to being non- IT governance and business alignment of IT controls are key focuses of COBIT through provision of well defined roles, controls and measures. COBIT is weak in specific technical security controls, however. ITIL is of indirect assistance in contributing to security through defining how to carry out processes efficiently, which is key in strong process controls for security. All three above frameworks, to cover the full scope of GRC must be used in conjunction.</w:t>
      </w:r>
    </w:p>
    <w:p w14:paraId="7BCC85D9" w14:textId="77777777" w:rsidR="00DD7137" w:rsidRDefault="00DD7137" w:rsidP="00025852">
      <w:pPr>
        <w:pStyle w:val="Heading2"/>
      </w:pPr>
    </w:p>
    <w:p w14:paraId="2C0A4C68" w14:textId="77777777" w:rsidR="00DD7137" w:rsidRDefault="00DD7137" w:rsidP="00025852">
      <w:pPr>
        <w:pStyle w:val="Heading2"/>
      </w:pPr>
    </w:p>
    <w:p w14:paraId="175C8977" w14:textId="0273B598" w:rsidR="00953020" w:rsidRDefault="00F3576C" w:rsidP="00025852">
      <w:pPr>
        <w:pStyle w:val="Heading2"/>
      </w:pPr>
      <w:r>
        <w:lastRenderedPageBreak/>
        <w:t>2.2 Comparison of Frameworks</w:t>
      </w:r>
    </w:p>
    <w:p w14:paraId="423ABE88" w14:textId="51043462" w:rsidR="005B78A8" w:rsidRDefault="00025852" w:rsidP="00025852">
      <w:pPr>
        <w:spacing w:before="80" w:after="40"/>
        <w:rPr>
          <w:b/>
          <w:bCs/>
          <w:i/>
          <w:iCs/>
          <w:sz w:val="20"/>
          <w:szCs w:val="20"/>
        </w:rPr>
      </w:pPr>
      <w:r w:rsidRPr="00025852">
        <w:t>The ISO 27001 provides a compliance-driven framework with official certification and controlled mechanisms that is well suited for regulatory assu</w:t>
      </w:r>
      <w:r>
        <w:t>rance (Culot et al., 2021). The</w:t>
      </w:r>
      <w:r w:rsidR="00E11854">
        <w:t xml:space="preserve"> </w:t>
      </w:r>
      <w:r w:rsidRPr="00025852">
        <w:t>NIST CSF allows flexibility and adaptability due to the holistic risk-driven design of its framework (Luis Salas-Riega et al., 2025). COBIT ensures stronger governance and connects IT to the business but it lacks adequate technical security controls and it is often implemented alongside the ISO 27001 (Metin et al., 2025). ITIL supports service management and it is unlikely to be effective as a standalone security measure (Akbar et al., 2026).</w:t>
      </w:r>
    </w:p>
    <w:p w14:paraId="4E7E3F15" w14:textId="77777777" w:rsidR="005B78A8" w:rsidRDefault="005B78A8">
      <w:pPr>
        <w:spacing w:before="80" w:after="40"/>
        <w:jc w:val="center"/>
        <w:rPr>
          <w:b/>
          <w:bCs/>
          <w:i/>
          <w:iCs/>
          <w:sz w:val="20"/>
          <w:szCs w:val="20"/>
        </w:rPr>
      </w:pPr>
    </w:p>
    <w:p w14:paraId="60CB216E" w14:textId="60CDB3F9" w:rsidR="00953020" w:rsidRDefault="00F3576C">
      <w:pPr>
        <w:spacing w:before="80" w:after="40"/>
        <w:jc w:val="center"/>
      </w:pPr>
      <w:r>
        <w:rPr>
          <w:b/>
          <w:bCs/>
          <w:i/>
          <w:iCs/>
          <w:sz w:val="20"/>
          <w:szCs w:val="20"/>
        </w:rPr>
        <w:t>Table 1. Framework Comparison</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26"/>
        <w:gridCol w:w="1695"/>
        <w:gridCol w:w="1695"/>
        <w:gridCol w:w="1696"/>
        <w:gridCol w:w="1696"/>
      </w:tblGrid>
      <w:tr w:rsidR="00953020" w14:paraId="32A0D915" w14:textId="77777777" w:rsidTr="005B78A8">
        <w:trPr>
          <w:trHeight w:val="494"/>
        </w:trPr>
        <w:tc>
          <w:tcPr>
            <w:tcW w:w="2326" w:type="dxa"/>
            <w:tcBorders>
              <w:top w:val="single" w:sz="8" w:space="0" w:color="000000"/>
              <w:left w:val="single" w:sz="8" w:space="0" w:color="000000"/>
              <w:bottom w:val="single" w:sz="8" w:space="0" w:color="000000"/>
              <w:right w:val="single" w:sz="8" w:space="0" w:color="000000"/>
            </w:tcBorders>
            <w:shd w:val="clear" w:color="auto" w:fill="000000"/>
            <w:tcMar>
              <w:top w:w="80" w:type="dxa"/>
              <w:left w:w="120" w:type="dxa"/>
              <w:bottom w:w="80" w:type="dxa"/>
              <w:right w:w="120" w:type="dxa"/>
            </w:tcMar>
          </w:tcPr>
          <w:p w14:paraId="6BCE5053" w14:textId="77777777" w:rsidR="00953020" w:rsidRDefault="00F3576C">
            <w:pPr>
              <w:jc w:val="center"/>
            </w:pPr>
            <w:r>
              <w:rPr>
                <w:b/>
                <w:bCs/>
                <w:color w:val="FFFFFF"/>
                <w:sz w:val="20"/>
                <w:szCs w:val="20"/>
              </w:rPr>
              <w:t>Criteria</w:t>
            </w:r>
          </w:p>
        </w:tc>
        <w:tc>
          <w:tcPr>
            <w:tcW w:w="1695" w:type="dxa"/>
            <w:tcBorders>
              <w:top w:val="single" w:sz="8" w:space="0" w:color="000000"/>
              <w:left w:val="single" w:sz="8" w:space="0" w:color="000000"/>
              <w:bottom w:val="single" w:sz="8" w:space="0" w:color="000000"/>
              <w:right w:val="single" w:sz="8" w:space="0" w:color="000000"/>
            </w:tcBorders>
            <w:shd w:val="clear" w:color="auto" w:fill="000000"/>
            <w:tcMar>
              <w:top w:w="80" w:type="dxa"/>
              <w:left w:w="120" w:type="dxa"/>
              <w:bottom w:w="80" w:type="dxa"/>
              <w:right w:w="120" w:type="dxa"/>
            </w:tcMar>
          </w:tcPr>
          <w:p w14:paraId="64EC7869" w14:textId="77777777" w:rsidR="00953020" w:rsidRDefault="00F3576C">
            <w:pPr>
              <w:jc w:val="center"/>
            </w:pPr>
            <w:r>
              <w:rPr>
                <w:b/>
                <w:bCs/>
                <w:color w:val="FFFFFF"/>
                <w:sz w:val="20"/>
                <w:szCs w:val="20"/>
              </w:rPr>
              <w:t>ISO 27001</w:t>
            </w:r>
          </w:p>
        </w:tc>
        <w:tc>
          <w:tcPr>
            <w:tcW w:w="1695" w:type="dxa"/>
            <w:tcBorders>
              <w:top w:val="single" w:sz="8" w:space="0" w:color="000000"/>
              <w:left w:val="single" w:sz="8" w:space="0" w:color="000000"/>
              <w:bottom w:val="single" w:sz="8" w:space="0" w:color="000000"/>
              <w:right w:val="single" w:sz="8" w:space="0" w:color="000000"/>
            </w:tcBorders>
            <w:shd w:val="clear" w:color="auto" w:fill="000000"/>
            <w:tcMar>
              <w:top w:w="80" w:type="dxa"/>
              <w:left w:w="120" w:type="dxa"/>
              <w:bottom w:w="80" w:type="dxa"/>
              <w:right w:w="120" w:type="dxa"/>
            </w:tcMar>
          </w:tcPr>
          <w:p w14:paraId="5ED44283" w14:textId="77777777" w:rsidR="00953020" w:rsidRDefault="00F3576C">
            <w:pPr>
              <w:jc w:val="center"/>
            </w:pPr>
            <w:r>
              <w:rPr>
                <w:b/>
                <w:bCs/>
                <w:color w:val="FFFFFF"/>
                <w:sz w:val="20"/>
                <w:szCs w:val="20"/>
              </w:rPr>
              <w:t>NIST CSF</w:t>
            </w:r>
          </w:p>
        </w:tc>
        <w:tc>
          <w:tcPr>
            <w:tcW w:w="1696" w:type="dxa"/>
            <w:tcBorders>
              <w:top w:val="single" w:sz="8" w:space="0" w:color="000000"/>
              <w:left w:val="single" w:sz="8" w:space="0" w:color="000000"/>
              <w:bottom w:val="single" w:sz="8" w:space="0" w:color="000000"/>
              <w:right w:val="single" w:sz="8" w:space="0" w:color="000000"/>
            </w:tcBorders>
            <w:shd w:val="clear" w:color="auto" w:fill="000000"/>
            <w:tcMar>
              <w:top w:w="80" w:type="dxa"/>
              <w:left w:w="120" w:type="dxa"/>
              <w:bottom w:w="80" w:type="dxa"/>
              <w:right w:w="120" w:type="dxa"/>
            </w:tcMar>
          </w:tcPr>
          <w:p w14:paraId="10088AC9" w14:textId="77777777" w:rsidR="00953020" w:rsidRDefault="00F3576C">
            <w:pPr>
              <w:jc w:val="center"/>
            </w:pPr>
            <w:r>
              <w:rPr>
                <w:b/>
                <w:bCs/>
                <w:color w:val="FFFFFF"/>
                <w:sz w:val="20"/>
                <w:szCs w:val="20"/>
              </w:rPr>
              <w:t>COBIT</w:t>
            </w:r>
          </w:p>
        </w:tc>
        <w:tc>
          <w:tcPr>
            <w:tcW w:w="1696" w:type="dxa"/>
            <w:tcBorders>
              <w:top w:val="single" w:sz="8" w:space="0" w:color="000000"/>
              <w:left w:val="single" w:sz="8" w:space="0" w:color="000000"/>
              <w:bottom w:val="single" w:sz="8" w:space="0" w:color="000000"/>
              <w:right w:val="single" w:sz="8" w:space="0" w:color="000000"/>
            </w:tcBorders>
            <w:shd w:val="clear" w:color="auto" w:fill="000000"/>
            <w:tcMar>
              <w:top w:w="80" w:type="dxa"/>
              <w:left w:w="120" w:type="dxa"/>
              <w:bottom w:w="80" w:type="dxa"/>
              <w:right w:w="120" w:type="dxa"/>
            </w:tcMar>
          </w:tcPr>
          <w:p w14:paraId="32C109C7" w14:textId="77777777" w:rsidR="00953020" w:rsidRDefault="00F3576C">
            <w:pPr>
              <w:jc w:val="center"/>
            </w:pPr>
            <w:r>
              <w:rPr>
                <w:b/>
                <w:bCs/>
                <w:color w:val="FFFFFF"/>
                <w:sz w:val="20"/>
                <w:szCs w:val="20"/>
              </w:rPr>
              <w:t>ITIL</w:t>
            </w:r>
          </w:p>
        </w:tc>
      </w:tr>
      <w:tr w:rsidR="00953020" w14:paraId="6B1B42FC" w14:textId="77777777" w:rsidTr="005B78A8">
        <w:trPr>
          <w:trHeight w:val="989"/>
        </w:trPr>
        <w:tc>
          <w:tcPr>
            <w:tcW w:w="2326"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5FB4C089" w14:textId="77777777" w:rsidR="00953020" w:rsidRDefault="00F3576C">
            <w:r>
              <w:rPr>
                <w:b/>
                <w:bCs/>
                <w:sz w:val="20"/>
                <w:szCs w:val="20"/>
              </w:rPr>
              <w:t>Governance Capability</w:t>
            </w:r>
          </w:p>
        </w:tc>
        <w:tc>
          <w:tcPr>
            <w:tcW w:w="1695"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344B33AB" w14:textId="77777777" w:rsidR="00953020" w:rsidRDefault="00F3576C">
            <w:pPr>
              <w:jc w:val="center"/>
            </w:pPr>
            <w:r>
              <w:rPr>
                <w:sz w:val="20"/>
                <w:szCs w:val="20"/>
              </w:rPr>
              <w:t>Moderate</w:t>
            </w:r>
          </w:p>
        </w:tc>
        <w:tc>
          <w:tcPr>
            <w:tcW w:w="1695"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4409F02D" w14:textId="77777777" w:rsidR="00953020" w:rsidRDefault="00F3576C">
            <w:pPr>
              <w:jc w:val="center"/>
            </w:pPr>
            <w:r>
              <w:rPr>
                <w:sz w:val="20"/>
                <w:szCs w:val="20"/>
              </w:rPr>
              <w:t>Moderate</w:t>
            </w:r>
          </w:p>
        </w:tc>
        <w:tc>
          <w:tcPr>
            <w:tcW w:w="1696"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4C4FCC02" w14:textId="77777777" w:rsidR="00953020" w:rsidRDefault="00F3576C">
            <w:pPr>
              <w:jc w:val="center"/>
            </w:pPr>
            <w:r>
              <w:rPr>
                <w:sz w:val="20"/>
                <w:szCs w:val="20"/>
              </w:rPr>
              <w:t>High</w:t>
            </w:r>
          </w:p>
        </w:tc>
        <w:tc>
          <w:tcPr>
            <w:tcW w:w="1696"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2C524484" w14:textId="77777777" w:rsidR="00953020" w:rsidRDefault="00F3576C">
            <w:pPr>
              <w:jc w:val="center"/>
            </w:pPr>
            <w:r>
              <w:rPr>
                <w:sz w:val="20"/>
                <w:szCs w:val="20"/>
              </w:rPr>
              <w:t>Low</w:t>
            </w:r>
          </w:p>
        </w:tc>
      </w:tr>
      <w:tr w:rsidR="00953020" w14:paraId="637F9D73" w14:textId="77777777" w:rsidTr="005B78A8">
        <w:trPr>
          <w:trHeight w:val="494"/>
        </w:trPr>
        <w:tc>
          <w:tcPr>
            <w:tcW w:w="2326"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0FE59EE2" w14:textId="77777777" w:rsidR="00953020" w:rsidRDefault="00F3576C">
            <w:r>
              <w:rPr>
                <w:b/>
                <w:bCs/>
                <w:sz w:val="20"/>
                <w:szCs w:val="20"/>
              </w:rPr>
              <w:t>Risk Management</w:t>
            </w:r>
          </w:p>
        </w:tc>
        <w:tc>
          <w:tcPr>
            <w:tcW w:w="1695"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770CF5C7" w14:textId="77777777" w:rsidR="00953020" w:rsidRDefault="00F3576C">
            <w:pPr>
              <w:jc w:val="center"/>
            </w:pPr>
            <w:r>
              <w:rPr>
                <w:sz w:val="20"/>
                <w:szCs w:val="20"/>
              </w:rPr>
              <w:t>Strong</w:t>
            </w:r>
          </w:p>
        </w:tc>
        <w:tc>
          <w:tcPr>
            <w:tcW w:w="1695"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473DBD8B" w14:textId="77777777" w:rsidR="00953020" w:rsidRDefault="00F3576C">
            <w:pPr>
              <w:jc w:val="center"/>
            </w:pPr>
            <w:r>
              <w:rPr>
                <w:sz w:val="20"/>
                <w:szCs w:val="20"/>
              </w:rPr>
              <w:t>Strong</w:t>
            </w:r>
          </w:p>
        </w:tc>
        <w:tc>
          <w:tcPr>
            <w:tcW w:w="1696"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269D46DA" w14:textId="77777777" w:rsidR="00953020" w:rsidRDefault="00F3576C">
            <w:pPr>
              <w:jc w:val="center"/>
            </w:pPr>
            <w:r>
              <w:rPr>
                <w:sz w:val="20"/>
                <w:szCs w:val="20"/>
              </w:rPr>
              <w:t>Moderate</w:t>
            </w:r>
          </w:p>
        </w:tc>
        <w:tc>
          <w:tcPr>
            <w:tcW w:w="1696"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7AB3EC5D" w14:textId="77777777" w:rsidR="00953020" w:rsidRDefault="00F3576C">
            <w:pPr>
              <w:jc w:val="center"/>
            </w:pPr>
            <w:r>
              <w:rPr>
                <w:sz w:val="20"/>
                <w:szCs w:val="20"/>
              </w:rPr>
              <w:t>Limited</w:t>
            </w:r>
          </w:p>
        </w:tc>
      </w:tr>
      <w:tr w:rsidR="00953020" w14:paraId="182608F9" w14:textId="77777777" w:rsidTr="005B78A8">
        <w:trPr>
          <w:trHeight w:val="494"/>
        </w:trPr>
        <w:tc>
          <w:tcPr>
            <w:tcW w:w="2326"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31C833BF" w14:textId="77777777" w:rsidR="00953020" w:rsidRDefault="00F3576C">
            <w:r>
              <w:rPr>
                <w:b/>
                <w:bCs/>
                <w:sz w:val="20"/>
                <w:szCs w:val="20"/>
              </w:rPr>
              <w:t>Compliance Support</w:t>
            </w:r>
          </w:p>
        </w:tc>
        <w:tc>
          <w:tcPr>
            <w:tcW w:w="1695"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68760099" w14:textId="77777777" w:rsidR="00953020" w:rsidRDefault="00F3576C">
            <w:pPr>
              <w:jc w:val="center"/>
            </w:pPr>
            <w:r>
              <w:rPr>
                <w:sz w:val="20"/>
                <w:szCs w:val="20"/>
              </w:rPr>
              <w:t>High (cert.)</w:t>
            </w:r>
          </w:p>
        </w:tc>
        <w:tc>
          <w:tcPr>
            <w:tcW w:w="1695"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1201E219" w14:textId="77777777" w:rsidR="00953020" w:rsidRDefault="00F3576C">
            <w:pPr>
              <w:jc w:val="center"/>
            </w:pPr>
            <w:r>
              <w:rPr>
                <w:sz w:val="20"/>
                <w:szCs w:val="20"/>
              </w:rPr>
              <w:t>Moderate</w:t>
            </w:r>
          </w:p>
        </w:tc>
        <w:tc>
          <w:tcPr>
            <w:tcW w:w="1696"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6D4B9DDD" w14:textId="77777777" w:rsidR="00953020" w:rsidRDefault="00F3576C">
            <w:pPr>
              <w:jc w:val="center"/>
            </w:pPr>
            <w:r>
              <w:rPr>
                <w:sz w:val="20"/>
                <w:szCs w:val="20"/>
              </w:rPr>
              <w:t>High</w:t>
            </w:r>
          </w:p>
        </w:tc>
        <w:tc>
          <w:tcPr>
            <w:tcW w:w="1696"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08F41DC0" w14:textId="77777777" w:rsidR="00953020" w:rsidRDefault="00F3576C">
            <w:pPr>
              <w:jc w:val="center"/>
            </w:pPr>
            <w:r>
              <w:rPr>
                <w:sz w:val="20"/>
                <w:szCs w:val="20"/>
              </w:rPr>
              <w:t>Low</w:t>
            </w:r>
          </w:p>
        </w:tc>
      </w:tr>
      <w:tr w:rsidR="00953020" w14:paraId="6B52C197" w14:textId="77777777" w:rsidTr="005B78A8">
        <w:trPr>
          <w:trHeight w:val="1022"/>
        </w:trPr>
        <w:tc>
          <w:tcPr>
            <w:tcW w:w="2326"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0632F11B" w14:textId="77777777" w:rsidR="00953020" w:rsidRDefault="00F3576C">
            <w:r>
              <w:rPr>
                <w:b/>
                <w:bCs/>
                <w:sz w:val="20"/>
                <w:szCs w:val="20"/>
              </w:rPr>
              <w:t>Flexibility (Cloud/BYOD)</w:t>
            </w:r>
          </w:p>
        </w:tc>
        <w:tc>
          <w:tcPr>
            <w:tcW w:w="1695"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6B585892" w14:textId="77777777" w:rsidR="00953020" w:rsidRDefault="00F3576C">
            <w:pPr>
              <w:jc w:val="center"/>
            </w:pPr>
            <w:r>
              <w:rPr>
                <w:sz w:val="20"/>
                <w:szCs w:val="20"/>
              </w:rPr>
              <w:t>Moderate</w:t>
            </w:r>
          </w:p>
        </w:tc>
        <w:tc>
          <w:tcPr>
            <w:tcW w:w="1695"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374AC8FC" w14:textId="77777777" w:rsidR="00953020" w:rsidRDefault="00F3576C">
            <w:pPr>
              <w:jc w:val="center"/>
            </w:pPr>
            <w:r>
              <w:rPr>
                <w:sz w:val="20"/>
                <w:szCs w:val="20"/>
              </w:rPr>
              <w:t>High</w:t>
            </w:r>
          </w:p>
        </w:tc>
        <w:tc>
          <w:tcPr>
            <w:tcW w:w="1696"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4B0D2D69" w14:textId="77777777" w:rsidR="00953020" w:rsidRDefault="00F3576C">
            <w:pPr>
              <w:jc w:val="center"/>
            </w:pPr>
            <w:r>
              <w:rPr>
                <w:sz w:val="20"/>
                <w:szCs w:val="20"/>
              </w:rPr>
              <w:t>Moderate</w:t>
            </w:r>
          </w:p>
        </w:tc>
        <w:tc>
          <w:tcPr>
            <w:tcW w:w="1696"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5393E205" w14:textId="77777777" w:rsidR="00953020" w:rsidRDefault="00F3576C">
            <w:pPr>
              <w:jc w:val="center"/>
            </w:pPr>
            <w:r>
              <w:rPr>
                <w:sz w:val="20"/>
                <w:szCs w:val="20"/>
              </w:rPr>
              <w:t>Moderate</w:t>
            </w:r>
          </w:p>
        </w:tc>
      </w:tr>
      <w:tr w:rsidR="00953020" w14:paraId="7C3AB061" w14:textId="77777777" w:rsidTr="005B78A8">
        <w:trPr>
          <w:trHeight w:val="989"/>
        </w:trPr>
        <w:tc>
          <w:tcPr>
            <w:tcW w:w="2326"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60D9ADA6" w14:textId="77777777" w:rsidR="00953020" w:rsidRDefault="00F3576C">
            <w:r>
              <w:rPr>
                <w:b/>
                <w:bCs/>
                <w:sz w:val="20"/>
                <w:szCs w:val="20"/>
              </w:rPr>
              <w:t>Focus Area</w:t>
            </w:r>
          </w:p>
        </w:tc>
        <w:tc>
          <w:tcPr>
            <w:tcW w:w="1695"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19E79372" w14:textId="77777777" w:rsidR="00953020" w:rsidRDefault="00F3576C">
            <w:r>
              <w:rPr>
                <w:sz w:val="20"/>
                <w:szCs w:val="20"/>
              </w:rPr>
              <w:t>Security controls</w:t>
            </w:r>
          </w:p>
        </w:tc>
        <w:tc>
          <w:tcPr>
            <w:tcW w:w="1695"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64104398" w14:textId="77777777" w:rsidR="00953020" w:rsidRDefault="00F3576C">
            <w:r>
              <w:rPr>
                <w:sz w:val="20"/>
                <w:szCs w:val="20"/>
              </w:rPr>
              <w:t>Risk-based security</w:t>
            </w:r>
          </w:p>
        </w:tc>
        <w:tc>
          <w:tcPr>
            <w:tcW w:w="1696"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5EFE0D7C" w14:textId="77777777" w:rsidR="00953020" w:rsidRDefault="00F3576C">
            <w:r>
              <w:rPr>
                <w:sz w:val="20"/>
                <w:szCs w:val="20"/>
              </w:rPr>
              <w:t>IT governance</w:t>
            </w:r>
          </w:p>
        </w:tc>
        <w:tc>
          <w:tcPr>
            <w:tcW w:w="1696"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53584422" w14:textId="77777777" w:rsidR="00953020" w:rsidRDefault="00F3576C">
            <w:r>
              <w:rPr>
                <w:sz w:val="20"/>
                <w:szCs w:val="20"/>
              </w:rPr>
              <w:t>Service management</w:t>
            </w:r>
          </w:p>
        </w:tc>
      </w:tr>
    </w:tbl>
    <w:p w14:paraId="728D65E2" w14:textId="77777777" w:rsidR="00953020" w:rsidRDefault="00F3576C">
      <w:pPr>
        <w:spacing w:before="40" w:after="120"/>
        <w:jc w:val="center"/>
      </w:pPr>
      <w:r>
        <w:rPr>
          <w:i/>
          <w:iCs/>
          <w:color w:val="444444"/>
          <w:sz w:val="18"/>
          <w:szCs w:val="18"/>
        </w:rPr>
        <w:t>(Source: Culot et al., 2021; Luis Salas-Riega et al., 2025; Metin et al., 2025; Akbar et al., 2026)</w:t>
      </w:r>
    </w:p>
    <w:p w14:paraId="358A77A1" w14:textId="77777777" w:rsidR="00953020" w:rsidRDefault="00F3576C">
      <w:pPr>
        <w:pStyle w:val="Heading2"/>
      </w:pPr>
      <w:r>
        <w:t>2.3 Security Models &amp; Concepts</w:t>
      </w:r>
    </w:p>
    <w:p w14:paraId="4A7C7896" w14:textId="2F41498A" w:rsidR="00025852" w:rsidRDefault="00025852">
      <w:pPr>
        <w:pStyle w:val="Heading1"/>
        <w:rPr>
          <w:b w:val="0"/>
          <w:bCs w:val="0"/>
          <w:sz w:val="22"/>
          <w:szCs w:val="22"/>
        </w:rPr>
      </w:pPr>
      <w:r w:rsidRPr="00025852">
        <w:rPr>
          <w:b w:val="0"/>
          <w:bCs w:val="0"/>
          <w:sz w:val="22"/>
          <w:szCs w:val="22"/>
        </w:rPr>
        <w:t>Zero Trust Architecture is based on the identity of a subject or an object. It requires all subjects or objects to be authenticated and authorised before any transaction. Instead of being perimeter based it adopts a policy based access control, which mandates continuous authentication and authorisation, least pr</w:t>
      </w:r>
      <w:r w:rsidR="003B3E82">
        <w:rPr>
          <w:b w:val="0"/>
          <w:bCs w:val="0"/>
          <w:sz w:val="22"/>
          <w:szCs w:val="22"/>
        </w:rPr>
        <w:t>ivilege, and micro-segmentation</w:t>
      </w:r>
      <w:r w:rsidRPr="00025852">
        <w:rPr>
          <w:b w:val="0"/>
          <w:bCs w:val="0"/>
          <w:sz w:val="22"/>
          <w:szCs w:val="22"/>
        </w:rPr>
        <w:t>. It does suffer from complexity and performance implications, though (Oladimeji, 2024 and Kang et al., 2023). Defense in Depth means that security is applied across all three elements of the IT architecture, namely, the network, applications and data</w:t>
      </w:r>
      <w:r w:rsidR="00CE4ED0">
        <w:rPr>
          <w:b w:val="0"/>
          <w:bCs w:val="0"/>
          <w:sz w:val="22"/>
          <w:szCs w:val="22"/>
        </w:rPr>
        <w:t>.</w:t>
      </w:r>
      <w:r w:rsidRPr="00025852">
        <w:rPr>
          <w:b w:val="0"/>
          <w:bCs w:val="0"/>
          <w:sz w:val="22"/>
          <w:szCs w:val="22"/>
        </w:rPr>
        <w:t>Risk-based approach and Operationalisation of Risk management (via ISO 27001/NIST) enable flexible and scalable IT security architecture required for the financial industry. By prioritising resources based on the probability of a threat and impact upon it, it addresses the constraints posed by risk, and allows for an adaptive architecture (Rose et al., 2020 and Dasher et al., 2022).</w:t>
      </w:r>
    </w:p>
    <w:p w14:paraId="4D7E841E" w14:textId="77777777" w:rsidR="0073554E" w:rsidRDefault="0073554E">
      <w:pPr>
        <w:pStyle w:val="Heading1"/>
      </w:pPr>
    </w:p>
    <w:p w14:paraId="059C4EA6" w14:textId="77777777" w:rsidR="0073554E" w:rsidRDefault="0073554E">
      <w:pPr>
        <w:pStyle w:val="Heading1"/>
      </w:pPr>
    </w:p>
    <w:p w14:paraId="433461F1" w14:textId="13322403" w:rsidR="00953020" w:rsidRDefault="00F3576C">
      <w:pPr>
        <w:pStyle w:val="Heading1"/>
      </w:pPr>
      <w:r>
        <w:lastRenderedPageBreak/>
        <w:t>3. FSB Scenario Analysis</w:t>
      </w:r>
    </w:p>
    <w:p w14:paraId="4B9E270D" w14:textId="77777777" w:rsidR="00953020" w:rsidRDefault="00F3576C">
      <w:pPr>
        <w:pStyle w:val="Heading2"/>
      </w:pPr>
      <w:r>
        <w:t>3.1 Current Risks</w:t>
      </w:r>
    </w:p>
    <w:p w14:paraId="7CD284CE" w14:textId="4B4E2482" w:rsidR="00025852" w:rsidRPr="00025852" w:rsidRDefault="00025852" w:rsidP="00025852">
      <w:pPr>
        <w:pStyle w:val="Heading2"/>
        <w:rPr>
          <w:b w:val="0"/>
          <w:bCs w:val="0"/>
          <w:sz w:val="22"/>
          <w:szCs w:val="22"/>
        </w:rPr>
      </w:pPr>
      <w:r w:rsidRPr="00025852">
        <w:rPr>
          <w:b w:val="0"/>
          <w:bCs w:val="0"/>
          <w:sz w:val="22"/>
          <w:szCs w:val="22"/>
        </w:rPr>
        <w:t>The use of cloud and BYOD at FSB has significant and multiplicative security risks. In cloud, this can bring risks such as unsecured APIs, access-this is amplified by the fact that the FSB handles sensitive financial and personal information (Malik et al., 2024). Banking systems based in the cloud already have an increased risk of cyber threats as a result of their increased interdependence on external services and systems (Ranjan and Ness, 2024).</w:t>
      </w:r>
    </w:p>
    <w:p w14:paraId="204FECE1" w14:textId="74EC714A" w:rsidR="00025852" w:rsidRDefault="00025852" w:rsidP="00025852">
      <w:pPr>
        <w:pStyle w:val="Heading2"/>
        <w:rPr>
          <w:b w:val="0"/>
          <w:bCs w:val="0"/>
          <w:sz w:val="22"/>
          <w:szCs w:val="22"/>
        </w:rPr>
      </w:pPr>
      <w:r w:rsidRPr="00025852">
        <w:rPr>
          <w:b w:val="0"/>
          <w:bCs w:val="0"/>
          <w:sz w:val="22"/>
          <w:szCs w:val="22"/>
        </w:rPr>
        <w:t>The BYOD strategy massively increases FSB's attack surface untrusted applications and data leakage (Yeboah-Boateng and Boaten, 2016). Insider threat also poses an additional risk as authenticated users can abuse access rights in a way that is difficult to detect without centralized control and monitoring (Sophie, 2025).</w:t>
      </w:r>
    </w:p>
    <w:p w14:paraId="7C8E9D75" w14:textId="48CA9F59" w:rsidR="00953020" w:rsidRDefault="00F3576C" w:rsidP="00025852">
      <w:pPr>
        <w:pStyle w:val="Heading2"/>
      </w:pPr>
      <w:r>
        <w:t>3.2 Governance &amp; Compliance Gaps</w:t>
      </w:r>
    </w:p>
    <w:p w14:paraId="18F6A3F0" w14:textId="61ADEE69" w:rsidR="00025852" w:rsidRPr="00025852" w:rsidRDefault="00025852" w:rsidP="00025852">
      <w:pPr>
        <w:pStyle w:val="Heading1"/>
        <w:rPr>
          <w:b w:val="0"/>
          <w:bCs w:val="0"/>
          <w:sz w:val="22"/>
          <w:szCs w:val="22"/>
        </w:rPr>
      </w:pPr>
      <w:r w:rsidRPr="00025852">
        <w:rPr>
          <w:b w:val="0"/>
          <w:bCs w:val="0"/>
          <w:sz w:val="22"/>
          <w:szCs w:val="22"/>
        </w:rPr>
        <w:t>FSB demonstrates significant weaknesses in governance and compliance that are contributing to the increasing attack sur</w:t>
      </w:r>
      <w:r w:rsidR="00CE4ED0">
        <w:rPr>
          <w:b w:val="0"/>
          <w:bCs w:val="0"/>
          <w:sz w:val="22"/>
          <w:szCs w:val="22"/>
        </w:rPr>
        <w:t xml:space="preserve">face in terms of cybersecurity: </w:t>
      </w:r>
      <w:r w:rsidRPr="00025852">
        <w:rPr>
          <w:b w:val="0"/>
          <w:bCs w:val="0"/>
          <w:sz w:val="22"/>
          <w:szCs w:val="22"/>
        </w:rPr>
        <w:t>processes and business strategy, security has no defined of structured risk management FSB is not able to recognize, evaluate and remediate risks which are well accepted as crucial for protection of critical assets and prioritization of resource usage (Kumar, 2022).</w:t>
      </w:r>
    </w:p>
    <w:p w14:paraId="5F2CF11F" w14:textId="0D7AFD65" w:rsidR="00025852" w:rsidRDefault="00025852" w:rsidP="00025852">
      <w:pPr>
        <w:pStyle w:val="Heading1"/>
        <w:rPr>
          <w:b w:val="0"/>
          <w:bCs w:val="0"/>
          <w:sz w:val="22"/>
          <w:szCs w:val="22"/>
        </w:rPr>
      </w:pPr>
      <w:r w:rsidRPr="00025852">
        <w:rPr>
          <w:b w:val="0"/>
          <w:bCs w:val="0"/>
          <w:sz w:val="22"/>
          <w:szCs w:val="22"/>
        </w:rPr>
        <w:t>FSB also does not demonstrate having the ap</w:t>
      </w:r>
      <w:r w:rsidR="00DD7137">
        <w:rPr>
          <w:b w:val="0"/>
          <w:bCs w:val="0"/>
          <w:sz w:val="22"/>
          <w:szCs w:val="22"/>
        </w:rPr>
        <w:t xml:space="preserve">propriate compliance procedures </w:t>
      </w:r>
      <w:r w:rsidRPr="00025852">
        <w:rPr>
          <w:b w:val="0"/>
          <w:bCs w:val="0"/>
          <w:sz w:val="22"/>
          <w:szCs w:val="22"/>
        </w:rPr>
        <w:t>and operational security (Mukherjee, 2025). Combining BYOD use and weak governance also creates a problem in maintaining compliance with the regulations such as the GDPR as BYOD introduces large problems for data privacy as organizations cannot control the data processed on personal devices</w:t>
      </w:r>
    </w:p>
    <w:p w14:paraId="6C60AA63" w14:textId="6E376BBC" w:rsidR="00953020" w:rsidRDefault="00025852" w:rsidP="00025852">
      <w:pPr>
        <w:pStyle w:val="Heading1"/>
      </w:pPr>
      <w:r w:rsidRPr="00025852">
        <w:rPr>
          <w:b w:val="0"/>
          <w:bCs w:val="0"/>
          <w:sz w:val="22"/>
          <w:szCs w:val="22"/>
        </w:rPr>
        <w:t>.</w:t>
      </w:r>
      <w:r w:rsidR="00F3576C">
        <w:t>4. Proposed Security, Governance &amp; Compliance Frame</w:t>
      </w:r>
      <w:r w:rsidR="00F3576C">
        <w:t>work</w:t>
      </w:r>
    </w:p>
    <w:p w14:paraId="53758330" w14:textId="77777777" w:rsidR="00953020" w:rsidRDefault="00F3576C">
      <w:pPr>
        <w:pStyle w:val="Heading2"/>
      </w:pPr>
      <w:r>
        <w:t>4.1 Framework Design</w:t>
      </w:r>
    </w:p>
    <w:p w14:paraId="2265B338" w14:textId="0146C21D" w:rsidR="003A053A" w:rsidRDefault="00025852" w:rsidP="0073554E">
      <w:pPr>
        <w:spacing w:before="60" w:after="140"/>
        <w:jc w:val="center"/>
      </w:pPr>
      <w:r w:rsidRPr="00025852">
        <w:t>A new architecture is proposed where ISO/IEC 27001, NIST CSF and Zero Trust Architecture (ZTA) is combined to meet security, governance and compliance gaps mentioned by FSB. The combined standard covers the compliance controls (ISO/IEC 27001), risk based security management (NIST CSF) and access control (ZTA) to produce an integrated, all-inclusive security framework (Abdiukov, 2023). The standard for compliance is the ISO 27001 with its own ISMS, providing the security baselines. NIST CSF manages the life-cycle of a threat management (Luis Salas-Riega et al., 2025). In order to cope with cloud services and BYOD, the ZTA model uses micro-segmentation, lease privilege and continuous authentication for securing them (Rose et al., 2020). All these,</w:t>
      </w:r>
      <w:r w:rsidR="0073554E">
        <w:t xml:space="preserve"> are </w:t>
      </w:r>
      <w:r w:rsidR="0073554E">
        <w:lastRenderedPageBreak/>
        <w:t>flexible</w:t>
      </w:r>
      <w:r w:rsidRPr="00025852">
        <w:t>because FSB's activities are entirely digital.</w:t>
      </w:r>
      <w:r w:rsidR="003A053A">
        <w:rPr>
          <w:noProof/>
          <w:lang w:val="en-IN" w:eastAsia="en-IN"/>
        </w:rPr>
        <w:drawing>
          <wp:inline distT="0" distB="0" distL="0" distR="0" wp14:anchorId="75320192" wp14:editId="3004BF62">
            <wp:extent cx="3201491" cy="2919153"/>
            <wp:effectExtent l="0" t="0" r="0" b="0"/>
            <wp:docPr id="885960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60922" name="Picture 885960922"/>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10235" cy="2927126"/>
                    </a:xfrm>
                    <a:prstGeom prst="rect">
                      <a:avLst/>
                    </a:prstGeom>
                  </pic:spPr>
                </pic:pic>
              </a:graphicData>
            </a:graphic>
          </wp:inline>
        </w:drawing>
      </w:r>
    </w:p>
    <w:p w14:paraId="7094D41E" w14:textId="77777777" w:rsidR="00953020" w:rsidRDefault="00F3576C">
      <w:pPr>
        <w:spacing w:before="60" w:after="140"/>
        <w:jc w:val="both"/>
      </w:pPr>
      <w:r>
        <w:rPr>
          <w:b/>
          <w:bCs/>
        </w:rPr>
        <w:t xml:space="preserve">Note: </w:t>
      </w:r>
      <w:r>
        <w:t>Figure 1 (Proposed Cybersecurity Framework diagram) is provided as a supplementary attachment to this submission.</w:t>
      </w:r>
    </w:p>
    <w:p w14:paraId="189A7D8F" w14:textId="77777777" w:rsidR="00953020" w:rsidRDefault="00F3576C">
      <w:pPr>
        <w:pStyle w:val="Heading2"/>
      </w:pPr>
      <w:r>
        <w:t>4.2 Governance Structure</w:t>
      </w:r>
    </w:p>
    <w:p w14:paraId="03141788" w14:textId="460FC87C" w:rsidR="00025852" w:rsidRDefault="00025852" w:rsidP="00025852">
      <w:pPr>
        <w:pStyle w:val="Heading2"/>
        <w:rPr>
          <w:b w:val="0"/>
          <w:bCs w:val="0"/>
          <w:sz w:val="22"/>
          <w:szCs w:val="22"/>
        </w:rPr>
      </w:pPr>
      <w:r w:rsidRPr="00025852">
        <w:rPr>
          <w:b w:val="0"/>
          <w:bCs w:val="0"/>
          <w:sz w:val="22"/>
          <w:szCs w:val="22"/>
        </w:rPr>
        <w:t>Strong governance at FSB will enforce accountability, support strategic alignment and achieve regulatory compliance.</w:t>
      </w:r>
      <w:r w:rsidR="0073554E">
        <w:rPr>
          <w:b w:val="0"/>
          <w:bCs w:val="0"/>
          <w:sz w:val="22"/>
          <w:szCs w:val="22"/>
        </w:rPr>
        <w:t xml:space="preserve"> E</w:t>
      </w:r>
      <w:r w:rsidRPr="00025852">
        <w:rPr>
          <w:b w:val="0"/>
          <w:bCs w:val="0"/>
          <w:sz w:val="22"/>
          <w:szCs w:val="22"/>
        </w:rPr>
        <w:t xml:space="preserve">nsuring that security policies and processes support business objectives (AlGhamdi et al., 2020). The CISO has accountability for the GRC programme and security policy, reporting risk posture to the leadership team (EC-Council, 2026).The risk management team </w:t>
      </w:r>
      <w:r w:rsidR="003B3E82">
        <w:rPr>
          <w:b w:val="0"/>
          <w:bCs w:val="0"/>
          <w:sz w:val="22"/>
          <w:szCs w:val="22"/>
        </w:rPr>
        <w:t xml:space="preserve">manages security threats, </w:t>
      </w:r>
      <w:r w:rsidRPr="00025852">
        <w:rPr>
          <w:b w:val="0"/>
          <w:bCs w:val="0"/>
          <w:sz w:val="22"/>
          <w:szCs w:val="22"/>
        </w:rPr>
        <w:t>(risk management and compliance) and independent assurance (internal audit) supports accountability (Valkenburg and Bongiovanni, 2024).</w:t>
      </w:r>
    </w:p>
    <w:p w14:paraId="484355FE" w14:textId="47F452AA" w:rsidR="00953020" w:rsidRDefault="00F3576C" w:rsidP="00025852">
      <w:pPr>
        <w:pStyle w:val="Heading2"/>
      </w:pPr>
      <w:r>
        <w:t>4.3 Security Policies</w:t>
      </w:r>
    </w:p>
    <w:p w14:paraId="1C6492F7" w14:textId="6597C6A9" w:rsidR="00025852" w:rsidRDefault="00025852">
      <w:pPr>
        <w:pStyle w:val="Heading2"/>
        <w:rPr>
          <w:b w:val="0"/>
          <w:bCs w:val="0"/>
          <w:sz w:val="22"/>
          <w:szCs w:val="22"/>
        </w:rPr>
      </w:pPr>
      <w:r w:rsidRPr="00025852">
        <w:rPr>
          <w:b w:val="0"/>
          <w:bCs w:val="0"/>
          <w:sz w:val="22"/>
          <w:szCs w:val="22"/>
        </w:rPr>
        <w:t>Strict security policies are a must to secure the FSB's cloud environment as well as BYOD. The BYOD policy requires device registration via Mobile Device Management (MDM), data encryption and user authentication (Ayedh et al. 2023). The access control policy should allow only the necessary access based on the roles that each user performs and by using leas</w:t>
      </w:r>
      <w:r w:rsidR="00A92F55">
        <w:rPr>
          <w:b w:val="0"/>
          <w:bCs w:val="0"/>
          <w:sz w:val="22"/>
          <w:szCs w:val="22"/>
        </w:rPr>
        <w:t>t privilege (AYedh et al. 2023)</w:t>
      </w:r>
      <w:r w:rsidRPr="00025852">
        <w:rPr>
          <w:b w:val="0"/>
          <w:bCs w:val="0"/>
          <w:sz w:val="22"/>
          <w:szCs w:val="22"/>
        </w:rPr>
        <w:t>. The incident response policy needs to be designed for detection, reporting, containment, and recovery, in order to reduce the operational impact.</w:t>
      </w:r>
    </w:p>
    <w:p w14:paraId="65366BA0" w14:textId="77777777" w:rsidR="00025852" w:rsidRDefault="00025852">
      <w:pPr>
        <w:pStyle w:val="Heading2"/>
        <w:rPr>
          <w:b w:val="0"/>
          <w:bCs w:val="0"/>
          <w:sz w:val="22"/>
          <w:szCs w:val="22"/>
        </w:rPr>
      </w:pPr>
    </w:p>
    <w:p w14:paraId="3006DE79" w14:textId="77777777" w:rsidR="00025852" w:rsidRDefault="00025852">
      <w:pPr>
        <w:pStyle w:val="Heading2"/>
        <w:rPr>
          <w:b w:val="0"/>
          <w:bCs w:val="0"/>
          <w:sz w:val="22"/>
          <w:szCs w:val="22"/>
        </w:rPr>
      </w:pPr>
    </w:p>
    <w:p w14:paraId="2B0340C1" w14:textId="77777777" w:rsidR="00A92F55" w:rsidRDefault="00A92F55">
      <w:pPr>
        <w:pStyle w:val="Heading2"/>
      </w:pPr>
    </w:p>
    <w:p w14:paraId="7A771398" w14:textId="77777777" w:rsidR="00A92F55" w:rsidRDefault="00A92F55">
      <w:pPr>
        <w:pStyle w:val="Heading2"/>
      </w:pPr>
    </w:p>
    <w:p w14:paraId="08D6F6F8" w14:textId="77777777" w:rsidR="003B3E82" w:rsidRDefault="003B3E82">
      <w:pPr>
        <w:pStyle w:val="Heading2"/>
      </w:pPr>
    </w:p>
    <w:p w14:paraId="2DB1C2F5" w14:textId="77777777" w:rsidR="0073554E" w:rsidRDefault="0073554E">
      <w:pPr>
        <w:pStyle w:val="Heading2"/>
      </w:pPr>
    </w:p>
    <w:p w14:paraId="6B6BEC5D" w14:textId="3AD8E40E" w:rsidR="00953020" w:rsidRDefault="00F3576C">
      <w:pPr>
        <w:pStyle w:val="Heading2"/>
      </w:pPr>
      <w:r>
        <w:lastRenderedPageBreak/>
        <w:t>4.4 Risk Management Framework</w:t>
      </w:r>
    </w:p>
    <w:p w14:paraId="2657AD43" w14:textId="77777777" w:rsidR="00953020" w:rsidRDefault="00F3576C">
      <w:pPr>
        <w:spacing w:before="60" w:after="140"/>
        <w:jc w:val="both"/>
      </w:pPr>
      <w:r>
        <w:t xml:space="preserve">FSB's risk management operates through risk identification, assessment, and mitigation. Table 2 summarises key risks across FSB's cloud and BYOD environments, their assessed </w:t>
      </w:r>
      <w:r>
        <w:t>likelihood and impact, and proposed mitigation strategies.</w:t>
      </w:r>
    </w:p>
    <w:p w14:paraId="0C9EB863" w14:textId="77777777" w:rsidR="00953020" w:rsidRDefault="00F3576C">
      <w:pPr>
        <w:spacing w:before="80" w:after="40"/>
        <w:jc w:val="center"/>
      </w:pPr>
      <w:r>
        <w:rPr>
          <w:b/>
          <w:bCs/>
          <w:i/>
          <w:iCs/>
          <w:sz w:val="20"/>
          <w:szCs w:val="20"/>
        </w:rPr>
        <w:t>Table 2. Risk Identification, Assessment, and Mitigation Framework</w:t>
      </w:r>
    </w:p>
    <w:tbl>
      <w:tblPr>
        <w:tblW w:w="9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76"/>
        <w:gridCol w:w="1240"/>
        <w:gridCol w:w="1093"/>
        <w:gridCol w:w="1098"/>
        <w:gridCol w:w="3699"/>
      </w:tblGrid>
      <w:tr w:rsidR="00953020" w14:paraId="0CBED7DB" w14:textId="77777777">
        <w:tc>
          <w:tcPr>
            <w:tcW w:w="1900" w:type="dxa"/>
            <w:tcBorders>
              <w:top w:val="single" w:sz="8" w:space="0" w:color="000000"/>
              <w:left w:val="single" w:sz="8" w:space="0" w:color="000000"/>
              <w:bottom w:val="single" w:sz="8" w:space="0" w:color="000000"/>
              <w:right w:val="single" w:sz="8" w:space="0" w:color="000000"/>
            </w:tcBorders>
            <w:shd w:val="clear" w:color="auto" w:fill="000000"/>
            <w:tcMar>
              <w:top w:w="80" w:type="dxa"/>
              <w:left w:w="120" w:type="dxa"/>
              <w:bottom w:w="80" w:type="dxa"/>
              <w:right w:w="120" w:type="dxa"/>
            </w:tcMar>
          </w:tcPr>
          <w:p w14:paraId="401467A9" w14:textId="77777777" w:rsidR="00953020" w:rsidRDefault="00F3576C">
            <w:pPr>
              <w:jc w:val="center"/>
            </w:pPr>
            <w:r>
              <w:rPr>
                <w:b/>
                <w:bCs/>
                <w:color w:val="FFFFFF"/>
                <w:sz w:val="20"/>
                <w:szCs w:val="20"/>
              </w:rPr>
              <w:t>Risk Category</w:t>
            </w:r>
          </w:p>
        </w:tc>
        <w:tc>
          <w:tcPr>
            <w:tcW w:w="1100" w:type="dxa"/>
            <w:tcBorders>
              <w:top w:val="single" w:sz="8" w:space="0" w:color="000000"/>
              <w:left w:val="single" w:sz="8" w:space="0" w:color="000000"/>
              <w:bottom w:val="single" w:sz="8" w:space="0" w:color="000000"/>
              <w:right w:val="single" w:sz="8" w:space="0" w:color="000000"/>
            </w:tcBorders>
            <w:shd w:val="clear" w:color="auto" w:fill="000000"/>
            <w:tcMar>
              <w:top w:w="80" w:type="dxa"/>
              <w:left w:w="120" w:type="dxa"/>
              <w:bottom w:w="80" w:type="dxa"/>
              <w:right w:w="120" w:type="dxa"/>
            </w:tcMar>
          </w:tcPr>
          <w:p w14:paraId="69D992FD" w14:textId="77777777" w:rsidR="00953020" w:rsidRDefault="00F3576C">
            <w:pPr>
              <w:jc w:val="center"/>
            </w:pPr>
            <w:r>
              <w:rPr>
                <w:b/>
                <w:bCs/>
                <w:color w:val="FFFFFF"/>
                <w:sz w:val="20"/>
                <w:szCs w:val="20"/>
              </w:rPr>
              <w:t>Likelihood</w:t>
            </w:r>
          </w:p>
        </w:tc>
        <w:tc>
          <w:tcPr>
            <w:tcW w:w="1100" w:type="dxa"/>
            <w:tcBorders>
              <w:top w:val="single" w:sz="8" w:space="0" w:color="000000"/>
              <w:left w:val="single" w:sz="8" w:space="0" w:color="000000"/>
              <w:bottom w:val="single" w:sz="8" w:space="0" w:color="000000"/>
              <w:right w:val="single" w:sz="8" w:space="0" w:color="000000"/>
            </w:tcBorders>
            <w:shd w:val="clear" w:color="auto" w:fill="000000"/>
            <w:tcMar>
              <w:top w:w="80" w:type="dxa"/>
              <w:left w:w="120" w:type="dxa"/>
              <w:bottom w:w="80" w:type="dxa"/>
              <w:right w:w="120" w:type="dxa"/>
            </w:tcMar>
          </w:tcPr>
          <w:p w14:paraId="5AE8D085" w14:textId="77777777" w:rsidR="00953020" w:rsidRDefault="00F3576C">
            <w:pPr>
              <w:jc w:val="center"/>
            </w:pPr>
            <w:r>
              <w:rPr>
                <w:b/>
                <w:bCs/>
                <w:color w:val="FFFFFF"/>
                <w:sz w:val="20"/>
                <w:szCs w:val="20"/>
              </w:rPr>
              <w:t>Impact</w:t>
            </w:r>
          </w:p>
        </w:tc>
        <w:tc>
          <w:tcPr>
            <w:tcW w:w="1100" w:type="dxa"/>
            <w:tcBorders>
              <w:top w:val="single" w:sz="8" w:space="0" w:color="000000"/>
              <w:left w:val="single" w:sz="8" w:space="0" w:color="000000"/>
              <w:bottom w:val="single" w:sz="8" w:space="0" w:color="000000"/>
              <w:right w:val="single" w:sz="8" w:space="0" w:color="000000"/>
            </w:tcBorders>
            <w:shd w:val="clear" w:color="auto" w:fill="000000"/>
            <w:tcMar>
              <w:top w:w="80" w:type="dxa"/>
              <w:left w:w="120" w:type="dxa"/>
              <w:bottom w:w="80" w:type="dxa"/>
              <w:right w:w="120" w:type="dxa"/>
            </w:tcMar>
          </w:tcPr>
          <w:p w14:paraId="30946BA3" w14:textId="77777777" w:rsidR="00953020" w:rsidRDefault="00F3576C">
            <w:pPr>
              <w:jc w:val="center"/>
            </w:pPr>
            <w:r>
              <w:rPr>
                <w:b/>
                <w:bCs/>
                <w:color w:val="FFFFFF"/>
                <w:sz w:val="20"/>
                <w:szCs w:val="20"/>
              </w:rPr>
              <w:t>Risk Level</w:t>
            </w:r>
          </w:p>
        </w:tc>
        <w:tc>
          <w:tcPr>
            <w:tcW w:w="3806" w:type="dxa"/>
            <w:tcBorders>
              <w:top w:val="single" w:sz="8" w:space="0" w:color="000000"/>
              <w:left w:val="single" w:sz="8" w:space="0" w:color="000000"/>
              <w:bottom w:val="single" w:sz="8" w:space="0" w:color="000000"/>
              <w:right w:val="single" w:sz="8" w:space="0" w:color="000000"/>
            </w:tcBorders>
            <w:shd w:val="clear" w:color="auto" w:fill="000000"/>
            <w:tcMar>
              <w:top w:w="80" w:type="dxa"/>
              <w:left w:w="120" w:type="dxa"/>
              <w:bottom w:w="80" w:type="dxa"/>
              <w:right w:w="120" w:type="dxa"/>
            </w:tcMar>
          </w:tcPr>
          <w:p w14:paraId="48F22694" w14:textId="77777777" w:rsidR="00953020" w:rsidRDefault="00F3576C">
            <w:pPr>
              <w:jc w:val="center"/>
            </w:pPr>
            <w:r>
              <w:rPr>
                <w:b/>
                <w:bCs/>
                <w:color w:val="FFFFFF"/>
                <w:sz w:val="20"/>
                <w:szCs w:val="20"/>
              </w:rPr>
              <w:t>Mitigation Strategy</w:t>
            </w:r>
          </w:p>
        </w:tc>
      </w:tr>
      <w:tr w:rsidR="00953020" w14:paraId="61F95904" w14:textId="77777777">
        <w:tc>
          <w:tcPr>
            <w:tcW w:w="1900"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106BA91B" w14:textId="77777777" w:rsidR="00953020" w:rsidRDefault="00F3576C">
            <w:r>
              <w:rPr>
                <w:b/>
                <w:bCs/>
                <w:sz w:val="20"/>
                <w:szCs w:val="20"/>
              </w:rPr>
              <w:t>Cloud Security Risk</w:t>
            </w:r>
          </w:p>
        </w:tc>
        <w:tc>
          <w:tcPr>
            <w:tcW w:w="1100"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0D431B4C" w14:textId="77777777" w:rsidR="00953020" w:rsidRDefault="00F3576C">
            <w:pPr>
              <w:jc w:val="center"/>
            </w:pPr>
            <w:r>
              <w:rPr>
                <w:sz w:val="20"/>
                <w:szCs w:val="20"/>
              </w:rPr>
              <w:t>High</w:t>
            </w:r>
          </w:p>
        </w:tc>
        <w:tc>
          <w:tcPr>
            <w:tcW w:w="1100"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627AE5B5" w14:textId="77777777" w:rsidR="00953020" w:rsidRDefault="00F3576C">
            <w:pPr>
              <w:jc w:val="center"/>
            </w:pPr>
            <w:r>
              <w:rPr>
                <w:sz w:val="20"/>
                <w:szCs w:val="20"/>
              </w:rPr>
              <w:t>High</w:t>
            </w:r>
          </w:p>
        </w:tc>
        <w:tc>
          <w:tcPr>
            <w:tcW w:w="1100"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1FCB4C50" w14:textId="77777777" w:rsidR="00953020" w:rsidRDefault="00F3576C">
            <w:pPr>
              <w:jc w:val="center"/>
            </w:pPr>
            <w:r>
              <w:rPr>
                <w:sz w:val="20"/>
                <w:szCs w:val="20"/>
              </w:rPr>
              <w:t>HIGH</w:t>
            </w:r>
          </w:p>
        </w:tc>
        <w:tc>
          <w:tcPr>
            <w:tcW w:w="3806"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553B60B1" w14:textId="77777777" w:rsidR="00953020" w:rsidRDefault="00F3576C">
            <w:r>
              <w:rPr>
                <w:sz w:val="20"/>
                <w:szCs w:val="20"/>
              </w:rPr>
              <w:t xml:space="preserve">Encryption, continuous </w:t>
            </w:r>
            <w:r>
              <w:rPr>
                <w:sz w:val="20"/>
                <w:szCs w:val="20"/>
              </w:rPr>
              <w:t>monitoring, cloud security controls</w:t>
            </w:r>
          </w:p>
        </w:tc>
      </w:tr>
      <w:tr w:rsidR="00953020" w14:paraId="62E4BF30" w14:textId="77777777">
        <w:tc>
          <w:tcPr>
            <w:tcW w:w="1900"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35D8CBD1" w14:textId="77777777" w:rsidR="00953020" w:rsidRDefault="00F3576C">
            <w:r>
              <w:rPr>
                <w:b/>
                <w:bCs/>
                <w:sz w:val="20"/>
                <w:szCs w:val="20"/>
              </w:rPr>
              <w:t>BYOD Risk</w:t>
            </w:r>
          </w:p>
        </w:tc>
        <w:tc>
          <w:tcPr>
            <w:tcW w:w="1100"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590FD0D7" w14:textId="77777777" w:rsidR="00953020" w:rsidRDefault="00F3576C">
            <w:pPr>
              <w:jc w:val="center"/>
            </w:pPr>
            <w:r>
              <w:rPr>
                <w:sz w:val="20"/>
                <w:szCs w:val="20"/>
              </w:rPr>
              <w:t>High</w:t>
            </w:r>
          </w:p>
        </w:tc>
        <w:tc>
          <w:tcPr>
            <w:tcW w:w="1100"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4ECB9F9F" w14:textId="77777777" w:rsidR="00953020" w:rsidRDefault="00F3576C">
            <w:pPr>
              <w:jc w:val="center"/>
            </w:pPr>
            <w:r>
              <w:rPr>
                <w:sz w:val="20"/>
                <w:szCs w:val="20"/>
              </w:rPr>
              <w:t>High</w:t>
            </w:r>
          </w:p>
        </w:tc>
        <w:tc>
          <w:tcPr>
            <w:tcW w:w="1100"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74B77698" w14:textId="77777777" w:rsidR="00953020" w:rsidRDefault="00F3576C">
            <w:pPr>
              <w:jc w:val="center"/>
            </w:pPr>
            <w:r>
              <w:rPr>
                <w:sz w:val="20"/>
                <w:szCs w:val="20"/>
              </w:rPr>
              <w:t>HIGH</w:t>
            </w:r>
          </w:p>
        </w:tc>
        <w:tc>
          <w:tcPr>
            <w:tcW w:w="3806"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3D4D8B46" w14:textId="77777777" w:rsidR="00953020" w:rsidRDefault="00F3576C">
            <w:r>
              <w:rPr>
                <w:sz w:val="20"/>
                <w:szCs w:val="20"/>
              </w:rPr>
              <w:t>MDM enforcement, device authentication, compliance checks</w:t>
            </w:r>
          </w:p>
        </w:tc>
      </w:tr>
      <w:tr w:rsidR="00953020" w14:paraId="6CBB6F5F" w14:textId="77777777">
        <w:tc>
          <w:tcPr>
            <w:tcW w:w="1900"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7C878E91" w14:textId="77777777" w:rsidR="00953020" w:rsidRDefault="00F3576C">
            <w:r>
              <w:rPr>
                <w:b/>
                <w:bCs/>
                <w:sz w:val="20"/>
                <w:szCs w:val="20"/>
              </w:rPr>
              <w:t>Insider Threat</w:t>
            </w:r>
          </w:p>
        </w:tc>
        <w:tc>
          <w:tcPr>
            <w:tcW w:w="1100"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777553B9" w14:textId="77777777" w:rsidR="00953020" w:rsidRDefault="00F3576C">
            <w:pPr>
              <w:jc w:val="center"/>
            </w:pPr>
            <w:r>
              <w:rPr>
                <w:sz w:val="20"/>
                <w:szCs w:val="20"/>
              </w:rPr>
              <w:t>Medium</w:t>
            </w:r>
          </w:p>
        </w:tc>
        <w:tc>
          <w:tcPr>
            <w:tcW w:w="1100"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6B19D492" w14:textId="77777777" w:rsidR="00953020" w:rsidRDefault="00F3576C">
            <w:pPr>
              <w:jc w:val="center"/>
            </w:pPr>
            <w:r>
              <w:rPr>
                <w:sz w:val="20"/>
                <w:szCs w:val="20"/>
              </w:rPr>
              <w:t>High</w:t>
            </w:r>
          </w:p>
        </w:tc>
        <w:tc>
          <w:tcPr>
            <w:tcW w:w="1100"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58FCC253" w14:textId="77777777" w:rsidR="00953020" w:rsidRDefault="00F3576C">
            <w:pPr>
              <w:jc w:val="center"/>
            </w:pPr>
            <w:r>
              <w:rPr>
                <w:sz w:val="20"/>
                <w:szCs w:val="20"/>
              </w:rPr>
              <w:t>HIGH</w:t>
            </w:r>
          </w:p>
        </w:tc>
        <w:tc>
          <w:tcPr>
            <w:tcW w:w="3806"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73B7C989" w14:textId="72A25545" w:rsidR="00953020" w:rsidRDefault="00F3576C">
            <w:r>
              <w:rPr>
                <w:sz w:val="20"/>
                <w:szCs w:val="20"/>
              </w:rPr>
              <w:t xml:space="preserve">Least-privilege access, user </w:t>
            </w:r>
            <w:r w:rsidR="005B78A8">
              <w:rPr>
                <w:sz w:val="20"/>
                <w:szCs w:val="20"/>
              </w:rPr>
              <w:t>behavior</w:t>
            </w:r>
            <w:r>
              <w:rPr>
                <w:sz w:val="20"/>
                <w:szCs w:val="20"/>
              </w:rPr>
              <w:t xml:space="preserve"> monitoring, UBA tools</w:t>
            </w:r>
          </w:p>
        </w:tc>
      </w:tr>
      <w:tr w:rsidR="00953020" w14:paraId="76F3C71F" w14:textId="77777777">
        <w:tc>
          <w:tcPr>
            <w:tcW w:w="1900"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6DAC9136" w14:textId="77777777" w:rsidR="00953020" w:rsidRDefault="00F3576C">
            <w:r>
              <w:rPr>
                <w:b/>
                <w:bCs/>
                <w:sz w:val="20"/>
                <w:szCs w:val="20"/>
              </w:rPr>
              <w:t>Data Leakage</w:t>
            </w:r>
          </w:p>
        </w:tc>
        <w:tc>
          <w:tcPr>
            <w:tcW w:w="1100"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104BAEA5" w14:textId="77777777" w:rsidR="00953020" w:rsidRDefault="00F3576C">
            <w:pPr>
              <w:jc w:val="center"/>
            </w:pPr>
            <w:r>
              <w:rPr>
                <w:sz w:val="20"/>
                <w:szCs w:val="20"/>
              </w:rPr>
              <w:t>Medium</w:t>
            </w:r>
          </w:p>
        </w:tc>
        <w:tc>
          <w:tcPr>
            <w:tcW w:w="1100"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4277A451" w14:textId="77777777" w:rsidR="00953020" w:rsidRDefault="00F3576C">
            <w:pPr>
              <w:jc w:val="center"/>
            </w:pPr>
            <w:r>
              <w:rPr>
                <w:sz w:val="20"/>
                <w:szCs w:val="20"/>
              </w:rPr>
              <w:t>High</w:t>
            </w:r>
          </w:p>
        </w:tc>
        <w:tc>
          <w:tcPr>
            <w:tcW w:w="1100"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02E78FFF" w14:textId="77777777" w:rsidR="00953020" w:rsidRDefault="00F3576C">
            <w:pPr>
              <w:jc w:val="center"/>
            </w:pPr>
            <w:r>
              <w:rPr>
                <w:sz w:val="20"/>
                <w:szCs w:val="20"/>
              </w:rPr>
              <w:t>HIGH</w:t>
            </w:r>
          </w:p>
        </w:tc>
        <w:tc>
          <w:tcPr>
            <w:tcW w:w="3806"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088BD194" w14:textId="77777777" w:rsidR="00953020" w:rsidRDefault="00F3576C">
            <w:r>
              <w:rPr>
                <w:sz w:val="20"/>
                <w:szCs w:val="20"/>
              </w:rPr>
              <w:t xml:space="preserve">Data </w:t>
            </w:r>
            <w:r>
              <w:rPr>
                <w:sz w:val="20"/>
                <w:szCs w:val="20"/>
              </w:rPr>
              <w:t>classification, encryption, DLP tools</w:t>
            </w:r>
          </w:p>
        </w:tc>
      </w:tr>
      <w:tr w:rsidR="00953020" w14:paraId="3F2D189B" w14:textId="77777777">
        <w:tc>
          <w:tcPr>
            <w:tcW w:w="1900"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012AF57B" w14:textId="77777777" w:rsidR="00953020" w:rsidRDefault="00F3576C">
            <w:r>
              <w:rPr>
                <w:b/>
                <w:bCs/>
                <w:sz w:val="20"/>
                <w:szCs w:val="20"/>
              </w:rPr>
              <w:t>Phishing / Cyberattack</w:t>
            </w:r>
          </w:p>
        </w:tc>
        <w:tc>
          <w:tcPr>
            <w:tcW w:w="1100"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68181260" w14:textId="77777777" w:rsidR="00953020" w:rsidRDefault="00F3576C">
            <w:pPr>
              <w:jc w:val="center"/>
            </w:pPr>
            <w:r>
              <w:rPr>
                <w:sz w:val="20"/>
                <w:szCs w:val="20"/>
              </w:rPr>
              <w:t>High</w:t>
            </w:r>
          </w:p>
        </w:tc>
        <w:tc>
          <w:tcPr>
            <w:tcW w:w="1100"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7E85CA88" w14:textId="77777777" w:rsidR="00953020" w:rsidRDefault="00F3576C">
            <w:pPr>
              <w:jc w:val="center"/>
            </w:pPr>
            <w:r>
              <w:rPr>
                <w:sz w:val="20"/>
                <w:szCs w:val="20"/>
              </w:rPr>
              <w:t>Medium</w:t>
            </w:r>
          </w:p>
        </w:tc>
        <w:tc>
          <w:tcPr>
            <w:tcW w:w="1100"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6DB7D105" w14:textId="77777777" w:rsidR="00953020" w:rsidRDefault="00F3576C">
            <w:pPr>
              <w:jc w:val="center"/>
            </w:pPr>
            <w:r>
              <w:rPr>
                <w:sz w:val="20"/>
                <w:szCs w:val="20"/>
              </w:rPr>
              <w:t>HIGH</w:t>
            </w:r>
          </w:p>
        </w:tc>
        <w:tc>
          <w:tcPr>
            <w:tcW w:w="3806"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3FDA9258" w14:textId="77777777" w:rsidR="00953020" w:rsidRDefault="00F3576C">
            <w:r>
              <w:rPr>
                <w:sz w:val="20"/>
                <w:szCs w:val="20"/>
              </w:rPr>
              <w:t>MFA, security awareness training, threat detection systems</w:t>
            </w:r>
          </w:p>
        </w:tc>
      </w:tr>
      <w:tr w:rsidR="00953020" w14:paraId="7B0D3158" w14:textId="77777777">
        <w:tc>
          <w:tcPr>
            <w:tcW w:w="1900"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4015B598" w14:textId="77777777" w:rsidR="00953020" w:rsidRDefault="00F3576C">
            <w:r>
              <w:rPr>
                <w:b/>
                <w:bCs/>
                <w:sz w:val="20"/>
                <w:szCs w:val="20"/>
              </w:rPr>
              <w:t>Compliance Failure</w:t>
            </w:r>
          </w:p>
        </w:tc>
        <w:tc>
          <w:tcPr>
            <w:tcW w:w="1100"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1BE46668" w14:textId="77777777" w:rsidR="00953020" w:rsidRDefault="00F3576C">
            <w:pPr>
              <w:jc w:val="center"/>
            </w:pPr>
            <w:r>
              <w:rPr>
                <w:sz w:val="20"/>
                <w:szCs w:val="20"/>
              </w:rPr>
              <w:t>Medium</w:t>
            </w:r>
          </w:p>
        </w:tc>
        <w:tc>
          <w:tcPr>
            <w:tcW w:w="1100"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2439639F" w14:textId="77777777" w:rsidR="00953020" w:rsidRDefault="00F3576C">
            <w:pPr>
              <w:jc w:val="center"/>
            </w:pPr>
            <w:r>
              <w:rPr>
                <w:sz w:val="20"/>
                <w:szCs w:val="20"/>
              </w:rPr>
              <w:t>High</w:t>
            </w:r>
          </w:p>
        </w:tc>
        <w:tc>
          <w:tcPr>
            <w:tcW w:w="1100"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48AF9B4F" w14:textId="77777777" w:rsidR="00953020" w:rsidRDefault="00F3576C">
            <w:pPr>
              <w:jc w:val="center"/>
            </w:pPr>
            <w:r>
              <w:rPr>
                <w:sz w:val="20"/>
                <w:szCs w:val="20"/>
              </w:rPr>
              <w:t>HIGH</w:t>
            </w:r>
          </w:p>
        </w:tc>
        <w:tc>
          <w:tcPr>
            <w:tcW w:w="3806"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13E609A8" w14:textId="77777777" w:rsidR="00953020" w:rsidRDefault="00F3576C">
            <w:r>
              <w:rPr>
                <w:sz w:val="20"/>
                <w:szCs w:val="20"/>
              </w:rPr>
              <w:t>Regular audits, DPIAs, policy enforcement</w:t>
            </w:r>
          </w:p>
        </w:tc>
      </w:tr>
      <w:tr w:rsidR="00953020" w14:paraId="69EDEA58" w14:textId="77777777">
        <w:tc>
          <w:tcPr>
            <w:tcW w:w="1900"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442AE977" w14:textId="77777777" w:rsidR="00953020" w:rsidRDefault="00F3576C">
            <w:r>
              <w:rPr>
                <w:b/>
                <w:bCs/>
                <w:sz w:val="20"/>
                <w:szCs w:val="20"/>
              </w:rPr>
              <w:t>System Downtime</w:t>
            </w:r>
          </w:p>
        </w:tc>
        <w:tc>
          <w:tcPr>
            <w:tcW w:w="1100"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3D4B54AB" w14:textId="77777777" w:rsidR="00953020" w:rsidRDefault="00F3576C">
            <w:pPr>
              <w:jc w:val="center"/>
            </w:pPr>
            <w:r>
              <w:rPr>
                <w:sz w:val="20"/>
                <w:szCs w:val="20"/>
              </w:rPr>
              <w:t>Low</w:t>
            </w:r>
          </w:p>
        </w:tc>
        <w:tc>
          <w:tcPr>
            <w:tcW w:w="1100"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0DFC072E" w14:textId="77777777" w:rsidR="00953020" w:rsidRDefault="00F3576C">
            <w:pPr>
              <w:jc w:val="center"/>
            </w:pPr>
            <w:r>
              <w:rPr>
                <w:sz w:val="20"/>
                <w:szCs w:val="20"/>
              </w:rPr>
              <w:t>High</w:t>
            </w:r>
          </w:p>
        </w:tc>
        <w:tc>
          <w:tcPr>
            <w:tcW w:w="1100"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18AC2822" w14:textId="77777777" w:rsidR="00953020" w:rsidRDefault="00F3576C">
            <w:pPr>
              <w:jc w:val="center"/>
            </w:pPr>
            <w:r>
              <w:rPr>
                <w:sz w:val="20"/>
                <w:szCs w:val="20"/>
              </w:rPr>
              <w:t>MEDIUM</w:t>
            </w:r>
          </w:p>
        </w:tc>
        <w:tc>
          <w:tcPr>
            <w:tcW w:w="3806" w:type="dxa"/>
            <w:tcBorders>
              <w:top w:val="single" w:sz="4" w:space="0" w:color="999999"/>
              <w:left w:val="single" w:sz="4" w:space="0" w:color="999999"/>
              <w:bottom w:val="single" w:sz="4" w:space="0" w:color="999999"/>
              <w:right w:val="single" w:sz="4" w:space="0" w:color="999999"/>
            </w:tcBorders>
            <w:shd w:val="clear" w:color="auto" w:fill="F0F0F0"/>
            <w:tcMar>
              <w:top w:w="60" w:type="dxa"/>
              <w:left w:w="120" w:type="dxa"/>
              <w:bottom w:w="60" w:type="dxa"/>
              <w:right w:w="120" w:type="dxa"/>
            </w:tcMar>
          </w:tcPr>
          <w:p w14:paraId="1F8C7193" w14:textId="77777777" w:rsidR="00953020" w:rsidRDefault="00F3576C">
            <w:r>
              <w:rPr>
                <w:sz w:val="20"/>
                <w:szCs w:val="20"/>
              </w:rPr>
              <w:t>Backup</w:t>
            </w:r>
            <w:r>
              <w:rPr>
                <w:sz w:val="20"/>
                <w:szCs w:val="20"/>
              </w:rPr>
              <w:t xml:space="preserve"> systems, disaster recovery planning, redundancy</w:t>
            </w:r>
          </w:p>
        </w:tc>
      </w:tr>
      <w:tr w:rsidR="00953020" w14:paraId="03A0A446" w14:textId="77777777">
        <w:tc>
          <w:tcPr>
            <w:tcW w:w="1900"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674418EB" w14:textId="77777777" w:rsidR="00953020" w:rsidRDefault="00F3576C">
            <w:r>
              <w:rPr>
                <w:b/>
                <w:bCs/>
                <w:sz w:val="20"/>
                <w:szCs w:val="20"/>
              </w:rPr>
              <w:t>Third-party / Vendor Risk</w:t>
            </w:r>
          </w:p>
        </w:tc>
        <w:tc>
          <w:tcPr>
            <w:tcW w:w="1100"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3A7CDF3D" w14:textId="77777777" w:rsidR="00953020" w:rsidRDefault="00F3576C">
            <w:pPr>
              <w:jc w:val="center"/>
            </w:pPr>
            <w:r>
              <w:rPr>
                <w:sz w:val="20"/>
                <w:szCs w:val="20"/>
              </w:rPr>
              <w:t>Medium</w:t>
            </w:r>
          </w:p>
        </w:tc>
        <w:tc>
          <w:tcPr>
            <w:tcW w:w="1100"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638D0844" w14:textId="77777777" w:rsidR="00953020" w:rsidRDefault="00F3576C">
            <w:pPr>
              <w:jc w:val="center"/>
            </w:pPr>
            <w:r>
              <w:rPr>
                <w:sz w:val="20"/>
                <w:szCs w:val="20"/>
              </w:rPr>
              <w:t>Medium</w:t>
            </w:r>
          </w:p>
        </w:tc>
        <w:tc>
          <w:tcPr>
            <w:tcW w:w="1100"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34830221" w14:textId="77777777" w:rsidR="00953020" w:rsidRDefault="00F3576C">
            <w:pPr>
              <w:jc w:val="center"/>
            </w:pPr>
            <w:r>
              <w:rPr>
                <w:sz w:val="20"/>
                <w:szCs w:val="20"/>
              </w:rPr>
              <w:t>MEDIUM</w:t>
            </w:r>
          </w:p>
        </w:tc>
        <w:tc>
          <w:tcPr>
            <w:tcW w:w="3806"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tcPr>
          <w:p w14:paraId="20F57545" w14:textId="77777777" w:rsidR="00953020" w:rsidRDefault="00F3576C">
            <w:r>
              <w:rPr>
                <w:sz w:val="20"/>
                <w:szCs w:val="20"/>
              </w:rPr>
              <w:t>Vendor risk assessments, SLA enforcement, contractual controls</w:t>
            </w:r>
          </w:p>
        </w:tc>
      </w:tr>
    </w:tbl>
    <w:p w14:paraId="44CABA7E" w14:textId="77777777" w:rsidR="00953020" w:rsidRDefault="00F3576C">
      <w:pPr>
        <w:spacing w:before="40" w:after="120"/>
        <w:jc w:val="center"/>
      </w:pPr>
      <w:r>
        <w:rPr>
          <w:i/>
          <w:iCs/>
          <w:color w:val="444444"/>
          <w:sz w:val="18"/>
          <w:szCs w:val="18"/>
        </w:rPr>
        <w:t>(Source: Author's own, adapted from ISO 27001 and NIST CSF risk frameworks)</w:t>
      </w:r>
    </w:p>
    <w:p w14:paraId="30613BEE" w14:textId="77777777" w:rsidR="00953020" w:rsidRDefault="00F3576C">
      <w:pPr>
        <w:pStyle w:val="Heading2"/>
      </w:pPr>
      <w:r>
        <w:t xml:space="preserve">4.5 Compliance &amp; </w:t>
      </w:r>
      <w:r>
        <w:t>Regulatory Controls</w:t>
      </w:r>
    </w:p>
    <w:p w14:paraId="0D6D805C" w14:textId="2E2EC91A" w:rsidR="00025852" w:rsidRDefault="00025852">
      <w:pPr>
        <w:pStyle w:val="Heading2"/>
        <w:rPr>
          <w:b w:val="0"/>
          <w:bCs w:val="0"/>
          <w:sz w:val="22"/>
          <w:szCs w:val="22"/>
        </w:rPr>
      </w:pPr>
      <w:r w:rsidRPr="00025852">
        <w:rPr>
          <w:b w:val="0"/>
          <w:bCs w:val="0"/>
          <w:sz w:val="22"/>
          <w:szCs w:val="22"/>
        </w:rPr>
        <w:t>For FSB to be compliant, there must be compliance controls put in place, that ensure the firm meets both statutory and industry (Gilbert &amp; Gilbert, 2025). W</w:t>
      </w:r>
      <w:r w:rsidR="00A92F55">
        <w:rPr>
          <w:b w:val="0"/>
          <w:bCs w:val="0"/>
          <w:sz w:val="22"/>
          <w:szCs w:val="22"/>
        </w:rPr>
        <w:t>ithin financial data protection</w:t>
      </w:r>
      <w:r w:rsidRPr="00025852">
        <w:rPr>
          <w:b w:val="0"/>
          <w:bCs w:val="0"/>
          <w:sz w:val="22"/>
          <w:szCs w:val="22"/>
        </w:rPr>
        <w:t>. In terms of the audit processes</w:t>
      </w:r>
      <w:r w:rsidR="003B3E82" w:rsidRPr="003B3E82">
        <w:rPr>
          <w:b w:val="0"/>
          <w:bCs w:val="0"/>
          <w:sz w:val="22"/>
          <w:szCs w:val="22"/>
        </w:rPr>
        <w:t xml:space="preserve"> </w:t>
      </w:r>
      <w:r w:rsidR="003B3E82" w:rsidRPr="00025852">
        <w:rPr>
          <w:b w:val="0"/>
          <w:bCs w:val="0"/>
          <w:sz w:val="22"/>
          <w:szCs w:val="22"/>
        </w:rPr>
        <w:t>data protection obligations. The GDPR will enforce specific obligations, such as data minimisation</w:t>
      </w:r>
      <w:r w:rsidRPr="00025852">
        <w:rPr>
          <w:b w:val="0"/>
          <w:bCs w:val="0"/>
          <w:sz w:val="22"/>
          <w:szCs w:val="22"/>
        </w:rPr>
        <w:t>,</w:t>
      </w:r>
      <w:r w:rsidRPr="00025852">
        <w:rPr>
          <w:b w:val="0"/>
          <w:bCs w:val="0"/>
          <w:sz w:val="22"/>
          <w:szCs w:val="22"/>
        </w:rPr>
        <w:t xml:space="preserve"> a system-wide approach including IT audits, as well as Data Protection Impact Assessments (DPIA), should be in place for the security processes and to ensure that the firm complies with legislation (Fakeyede et al, 2023).</w:t>
      </w:r>
    </w:p>
    <w:p w14:paraId="78C0C7F2" w14:textId="2AFED63C" w:rsidR="00953020" w:rsidRDefault="00F3576C">
      <w:pPr>
        <w:pStyle w:val="Heading2"/>
      </w:pPr>
      <w:r>
        <w:t>4.6 SLA Controls</w:t>
      </w:r>
    </w:p>
    <w:p w14:paraId="63D84BCA" w14:textId="25734588" w:rsidR="00953020" w:rsidRDefault="00025852">
      <w:pPr>
        <w:spacing w:before="60" w:after="140"/>
        <w:jc w:val="both"/>
      </w:pPr>
      <w:r w:rsidRPr="00025852">
        <w:t>SLAs have become a fundamental aspect of FSB's governance and third party risk management framework.Given FSB's increasing dependence on cloud service providers and technology vendors, clearly defined SLAs are vital in holding</w:t>
      </w:r>
      <w:r w:rsidR="003B3E82">
        <w:t>.</w:t>
      </w:r>
      <w:r w:rsidRPr="00025852">
        <w:t xml:space="preserve"> For example SLAs must exist with cloud providers requiring at least 99.9% guaranteed up time, encryption of data at rest, encryption of data in transit, and timeframes in line with GDPR (within 72 hours) to report an incident or data breach and to allow the company to audit vendor security controls. </w:t>
      </w:r>
      <w:r w:rsidR="00A92F55">
        <w:t>I</w:t>
      </w:r>
      <w:r w:rsidRPr="00025852">
        <w:t xml:space="preserve">f data is handled outside of the UK and EU.Regular reviews of SLAs under the leadership of GRC and CISO bring order to these considerations, </w:t>
      </w:r>
      <w:r w:rsidR="00F3576C">
        <w:t>assurance that third-party partners maintain the security standards required to protect FSB's operations and customer data.</w:t>
      </w:r>
    </w:p>
    <w:p w14:paraId="2CF1D6A0" w14:textId="77777777" w:rsidR="00A92F55" w:rsidRDefault="00A92F55">
      <w:pPr>
        <w:pStyle w:val="Heading2"/>
      </w:pPr>
    </w:p>
    <w:p w14:paraId="2AA624A0" w14:textId="77777777" w:rsidR="003B3E82" w:rsidRDefault="003B3E82">
      <w:pPr>
        <w:pStyle w:val="Heading2"/>
      </w:pPr>
    </w:p>
    <w:p w14:paraId="7BE06D6E" w14:textId="49610914" w:rsidR="00953020" w:rsidRDefault="00F3576C">
      <w:pPr>
        <w:pStyle w:val="Heading2"/>
      </w:pPr>
      <w:r>
        <w:lastRenderedPageBreak/>
        <w:t>4.7 Technical Protection Mechanisms</w:t>
      </w:r>
    </w:p>
    <w:p w14:paraId="36F5C053" w14:textId="443638E1" w:rsidR="00A4436A" w:rsidRDefault="00A4436A">
      <w:pPr>
        <w:pStyle w:val="Heading1"/>
        <w:rPr>
          <w:b w:val="0"/>
          <w:bCs w:val="0"/>
          <w:sz w:val="22"/>
          <w:szCs w:val="22"/>
        </w:rPr>
      </w:pPr>
      <w:r w:rsidRPr="00A4436A">
        <w:rPr>
          <w:b w:val="0"/>
          <w:bCs w:val="0"/>
          <w:sz w:val="22"/>
          <w:szCs w:val="22"/>
        </w:rPr>
        <w:t>These are controls that operate in the environment in which FSB security takes place. These are the encryption controls that safeguard sensitive data at rest and during transit and will render the data unintelligible if any breach is succe</w:t>
      </w:r>
      <w:r w:rsidR="003B3E82">
        <w:rPr>
          <w:b w:val="0"/>
          <w:bCs w:val="0"/>
          <w:sz w:val="22"/>
          <w:szCs w:val="22"/>
        </w:rPr>
        <w:t>ssful</w:t>
      </w:r>
      <w:r w:rsidRPr="00A4436A">
        <w:rPr>
          <w:b w:val="0"/>
          <w:bCs w:val="0"/>
          <w:sz w:val="22"/>
          <w:szCs w:val="22"/>
        </w:rPr>
        <w:t>. Cloud security tools such as IAM, continuous monitoring, and automated threat detection tools provide enhanced visibility and controls over a distributed environment. Together, these controls provide the multi-layer security framework that needs to protect FSB’s cloud financial operations.</w:t>
      </w:r>
    </w:p>
    <w:p w14:paraId="7DAD13D1" w14:textId="412EAED4" w:rsidR="00953020" w:rsidRDefault="00F3576C">
      <w:pPr>
        <w:pStyle w:val="Heading1"/>
      </w:pPr>
      <w:r>
        <w:t>5. Critical Discussion: Why Updated Regulations and Standards Are Essential</w:t>
      </w:r>
    </w:p>
    <w:p w14:paraId="75126273" w14:textId="3CBC229D" w:rsidR="0073554E" w:rsidRPr="0073554E" w:rsidRDefault="0073554E" w:rsidP="0073554E">
      <w:pPr>
        <w:pStyle w:val="Heading1"/>
        <w:rPr>
          <w:b w:val="0"/>
          <w:bCs w:val="0"/>
          <w:sz w:val="22"/>
          <w:szCs w:val="22"/>
        </w:rPr>
      </w:pPr>
      <w:r w:rsidRPr="0073554E">
        <w:rPr>
          <w:b w:val="0"/>
          <w:bCs w:val="0"/>
          <w:sz w:val="22"/>
          <w:szCs w:val="22"/>
        </w:rPr>
        <w:t>The environment of cybersecurity and the relevant regulations constantly change due to the increasing sophistication of attack vectors. GDPR demonstrated the issues with static regulatory frameworks, where regulation set in 2018 might no longer cover the risks for rapidly digitised sectors like financial services, where technology outpaces regulation. NIST and ISO, as standard bodies, clearly recognized this and implemented new standards. The updated NIST CSF 2.0 (published 2024) introduces a "Govern" function in response to. NIST's previous standard, CSF 1.0 and 1.1, was already out of date in 2014. The 2022 update to ISO 27001 reflected this necessity, indicating that the 2013 update had not adequately prepared standards for current ri</w:t>
      </w:r>
      <w:r>
        <w:rPr>
          <w:b w:val="0"/>
          <w:bCs w:val="0"/>
          <w:sz w:val="22"/>
          <w:szCs w:val="22"/>
        </w:rPr>
        <w:t>sk management challenges.</w:t>
      </w:r>
      <w:r w:rsidRPr="0073554E">
        <w:rPr>
          <w:b w:val="0"/>
          <w:bCs w:val="0"/>
          <w:sz w:val="22"/>
          <w:szCs w:val="22"/>
        </w:rPr>
        <w:t>EU's Digital Operational Resilience Act (DORA) which comes into effect January 2025.</w:t>
      </w:r>
    </w:p>
    <w:p w14:paraId="5D57CDD0" w14:textId="77777777" w:rsidR="0073554E" w:rsidRPr="0073554E" w:rsidRDefault="0073554E" w:rsidP="0073554E">
      <w:pPr>
        <w:pStyle w:val="Heading1"/>
        <w:rPr>
          <w:b w:val="0"/>
          <w:bCs w:val="0"/>
          <w:sz w:val="22"/>
          <w:szCs w:val="22"/>
        </w:rPr>
      </w:pPr>
    </w:p>
    <w:p w14:paraId="6865C186" w14:textId="3D4DEC78" w:rsidR="0073554E" w:rsidRDefault="0073554E" w:rsidP="0073554E">
      <w:pPr>
        <w:pStyle w:val="Heading1"/>
        <w:rPr>
          <w:b w:val="0"/>
          <w:bCs w:val="0"/>
          <w:sz w:val="22"/>
          <w:szCs w:val="22"/>
        </w:rPr>
      </w:pPr>
      <w:r w:rsidRPr="0073554E">
        <w:rPr>
          <w:b w:val="0"/>
          <w:bCs w:val="0"/>
          <w:sz w:val="22"/>
          <w:szCs w:val="22"/>
        </w:rPr>
        <w:t>Keeping the standards current allows the FSB to enforce SLAs, and ensure uniformity across regulations. The reason regulations must change over time is due to: the ever-increasing and complex thr</w:t>
      </w:r>
      <w:r w:rsidR="00EC6DD9">
        <w:rPr>
          <w:b w:val="0"/>
          <w:bCs w:val="0"/>
          <w:sz w:val="22"/>
          <w:szCs w:val="22"/>
        </w:rPr>
        <w:t>eat landscape; emergence of new</w:t>
      </w:r>
      <w:bookmarkStart w:id="0" w:name="_GoBack"/>
      <w:bookmarkEnd w:id="0"/>
      <w:r w:rsidRPr="0073554E">
        <w:rPr>
          <w:b w:val="0"/>
          <w:bCs w:val="0"/>
          <w:sz w:val="22"/>
          <w:szCs w:val="22"/>
        </w:rPr>
        <w:t>. The FSB will therefore need to ensure that it is operating in alignment with NIST CSF 2.0, ISO 27001 (2022), GDPR and DORA in order to meet operational resilience targets</w:t>
      </w:r>
    </w:p>
    <w:p w14:paraId="038D104D" w14:textId="3E4B4368" w:rsidR="00953020" w:rsidRDefault="0073554E" w:rsidP="0073554E">
      <w:pPr>
        <w:pStyle w:val="Heading1"/>
      </w:pPr>
      <w:r w:rsidRPr="0073554E">
        <w:rPr>
          <w:b w:val="0"/>
          <w:bCs w:val="0"/>
          <w:sz w:val="22"/>
          <w:szCs w:val="22"/>
        </w:rPr>
        <w:t>.</w:t>
      </w:r>
      <w:r w:rsidR="00F3576C">
        <w:t>6. Conclusion</w:t>
      </w:r>
    </w:p>
    <w:p w14:paraId="750AE3E2" w14:textId="1C2DAD22" w:rsidR="00A4436A" w:rsidRDefault="00A4436A">
      <w:pPr>
        <w:pStyle w:val="Heading2"/>
        <w:rPr>
          <w:b w:val="0"/>
          <w:bCs w:val="0"/>
          <w:sz w:val="22"/>
          <w:szCs w:val="22"/>
        </w:rPr>
      </w:pPr>
      <w:r w:rsidRPr="00A4436A">
        <w:rPr>
          <w:b w:val="0"/>
          <w:bCs w:val="0"/>
          <w:sz w:val="22"/>
          <w:szCs w:val="22"/>
        </w:rPr>
        <w:t>This report found that FinSure Bank have high levels of risk exposure due to a lack of security governance and weak controls around compliance, and even the approach to risk management to regulation like GDPR. The proposed combined integrated framework of ISO 27001, NIST CSF and ZTA proposes a single solution with multiple controls that will help mitigate risks and access controls, create a resilient system, maintain compliance and also include control over the third-party risks by providing SLA controls and vendor governance structures. As can be seen through the impact of both NIST CSF 2.0 and DORA in the current financial sector, cybersecurity is a never-ending task, it is continually being adapted and monitored to adhere to regulations and frameworks that are always moving forward.</w:t>
      </w:r>
    </w:p>
    <w:p w14:paraId="758278BF" w14:textId="77777777" w:rsidR="0073554E" w:rsidRDefault="0073554E">
      <w:pPr>
        <w:pStyle w:val="Heading2"/>
      </w:pPr>
    </w:p>
    <w:p w14:paraId="20C56D78" w14:textId="77777777" w:rsidR="0073554E" w:rsidRDefault="0073554E">
      <w:pPr>
        <w:pStyle w:val="Heading2"/>
      </w:pPr>
    </w:p>
    <w:p w14:paraId="59CE7C3F" w14:textId="77777777" w:rsidR="00EC6DD9" w:rsidRDefault="00EC6DD9">
      <w:pPr>
        <w:pStyle w:val="Heading2"/>
      </w:pPr>
    </w:p>
    <w:p w14:paraId="69F64D2C" w14:textId="0A4D7D59" w:rsidR="00953020" w:rsidRDefault="00F3576C">
      <w:pPr>
        <w:pStyle w:val="Heading2"/>
      </w:pPr>
      <w:r>
        <w:t>Assumptions</w:t>
      </w:r>
    </w:p>
    <w:p w14:paraId="4704DB5F" w14:textId="77777777" w:rsidR="00A4436A" w:rsidRPr="00A4436A" w:rsidRDefault="00A4436A" w:rsidP="00A4436A">
      <w:pPr>
        <w:pStyle w:val="Heading1"/>
        <w:rPr>
          <w:b w:val="0"/>
          <w:bCs w:val="0"/>
          <w:sz w:val="22"/>
          <w:szCs w:val="22"/>
        </w:rPr>
      </w:pPr>
      <w:r w:rsidRPr="00A4436A">
        <w:rPr>
          <w:b w:val="0"/>
          <w:bCs w:val="0"/>
          <w:sz w:val="22"/>
          <w:szCs w:val="22"/>
        </w:rPr>
        <w:lastRenderedPageBreak/>
        <w:t>The following assumptions are made within this report:</w:t>
      </w:r>
    </w:p>
    <w:p w14:paraId="2060AEDE" w14:textId="6E6B50D3" w:rsidR="00A4436A" w:rsidRPr="00A4436A" w:rsidRDefault="00A4436A" w:rsidP="00A4436A">
      <w:pPr>
        <w:pStyle w:val="Heading1"/>
        <w:rPr>
          <w:b w:val="0"/>
          <w:bCs w:val="0"/>
          <w:sz w:val="22"/>
          <w:szCs w:val="22"/>
        </w:rPr>
      </w:pPr>
      <w:r>
        <w:rPr>
          <w:b w:val="0"/>
          <w:bCs w:val="0"/>
          <w:sz w:val="22"/>
          <w:szCs w:val="22"/>
        </w:rPr>
        <w:t>•</w:t>
      </w:r>
      <w:r w:rsidRPr="00A4436A">
        <w:rPr>
          <w:b w:val="0"/>
          <w:bCs w:val="0"/>
          <w:sz w:val="22"/>
          <w:szCs w:val="22"/>
        </w:rPr>
        <w:t>FSB falls within UK jurisdiction and is therefore bound by UK GDPR, FCA operational resilience requirements and the DORA requirements.</w:t>
      </w:r>
    </w:p>
    <w:p w14:paraId="3BE4EB03" w14:textId="77777777" w:rsidR="003B3E82" w:rsidRDefault="00A4436A" w:rsidP="00A4436A">
      <w:pPr>
        <w:pStyle w:val="Heading1"/>
        <w:rPr>
          <w:b w:val="0"/>
          <w:bCs w:val="0"/>
          <w:sz w:val="22"/>
          <w:szCs w:val="22"/>
        </w:rPr>
      </w:pPr>
      <w:r>
        <w:rPr>
          <w:b w:val="0"/>
          <w:bCs w:val="0"/>
          <w:sz w:val="22"/>
          <w:szCs w:val="22"/>
        </w:rPr>
        <w:t>•</w:t>
      </w:r>
      <w:r w:rsidRPr="00A4436A">
        <w:rPr>
          <w:b w:val="0"/>
          <w:bCs w:val="0"/>
          <w:sz w:val="22"/>
          <w:szCs w:val="22"/>
        </w:rPr>
        <w:t>All FSB employees and contractors have cloud-hosted applicatio</w:t>
      </w:r>
      <w:r w:rsidR="003B3E82">
        <w:rPr>
          <w:b w:val="0"/>
          <w:bCs w:val="0"/>
          <w:sz w:val="22"/>
          <w:szCs w:val="22"/>
        </w:rPr>
        <w:t>ns as their working environment.</w:t>
      </w:r>
    </w:p>
    <w:p w14:paraId="70DE5AA6" w14:textId="18DEF18A" w:rsidR="00A4436A" w:rsidRPr="00A4436A" w:rsidRDefault="00A4436A" w:rsidP="00A4436A">
      <w:pPr>
        <w:pStyle w:val="Heading1"/>
        <w:rPr>
          <w:b w:val="0"/>
          <w:bCs w:val="0"/>
          <w:sz w:val="22"/>
          <w:szCs w:val="22"/>
        </w:rPr>
      </w:pPr>
      <w:r>
        <w:rPr>
          <w:b w:val="0"/>
          <w:bCs w:val="0"/>
          <w:sz w:val="22"/>
          <w:szCs w:val="22"/>
        </w:rPr>
        <w:t>•</w:t>
      </w:r>
      <w:r w:rsidRPr="00A4436A">
        <w:rPr>
          <w:b w:val="0"/>
          <w:bCs w:val="0"/>
          <w:sz w:val="22"/>
          <w:szCs w:val="22"/>
        </w:rPr>
        <w:t>FSB currently do not have an ISMS in place, security policies, or have defined the role of CISO.</w:t>
      </w:r>
    </w:p>
    <w:p w14:paraId="1D48901D" w14:textId="6DC95A58" w:rsidR="00A4436A" w:rsidRPr="00A4436A" w:rsidRDefault="00A4436A" w:rsidP="00A4436A">
      <w:pPr>
        <w:pStyle w:val="Heading1"/>
        <w:rPr>
          <w:b w:val="0"/>
          <w:bCs w:val="0"/>
          <w:sz w:val="22"/>
          <w:szCs w:val="22"/>
        </w:rPr>
      </w:pPr>
      <w:r>
        <w:rPr>
          <w:b w:val="0"/>
          <w:bCs w:val="0"/>
          <w:sz w:val="22"/>
          <w:szCs w:val="22"/>
        </w:rPr>
        <w:t>•</w:t>
      </w:r>
      <w:r w:rsidRPr="00A4436A">
        <w:rPr>
          <w:b w:val="0"/>
          <w:bCs w:val="0"/>
          <w:sz w:val="22"/>
          <w:szCs w:val="22"/>
        </w:rPr>
        <w:t>BYOD policy is applicable to all staff including third party staff that have access to the FSB's systems.</w:t>
      </w:r>
    </w:p>
    <w:p w14:paraId="03CD5B1E" w14:textId="4E68EECC" w:rsidR="00A4436A" w:rsidRPr="00A4436A" w:rsidRDefault="00A4436A" w:rsidP="00A4436A">
      <w:pPr>
        <w:pStyle w:val="Heading1"/>
        <w:rPr>
          <w:b w:val="0"/>
          <w:bCs w:val="0"/>
          <w:sz w:val="22"/>
          <w:szCs w:val="22"/>
        </w:rPr>
      </w:pPr>
      <w:r>
        <w:rPr>
          <w:b w:val="0"/>
          <w:bCs w:val="0"/>
          <w:sz w:val="22"/>
          <w:szCs w:val="22"/>
        </w:rPr>
        <w:t>•</w:t>
      </w:r>
      <w:r w:rsidRPr="00A4436A">
        <w:rPr>
          <w:b w:val="0"/>
          <w:bCs w:val="0"/>
          <w:sz w:val="22"/>
          <w:szCs w:val="22"/>
        </w:rPr>
        <w:t>Cloud services are hosted by a major commercial provider (e.g. AWS, Azure or Google Cloud) and bound by standard SLA terms.</w:t>
      </w:r>
    </w:p>
    <w:p w14:paraId="2C634D7F" w14:textId="4C5C338C" w:rsidR="00A4436A" w:rsidRDefault="00A4436A" w:rsidP="00A4436A">
      <w:pPr>
        <w:pStyle w:val="Heading1"/>
        <w:rPr>
          <w:b w:val="0"/>
          <w:bCs w:val="0"/>
          <w:sz w:val="22"/>
          <w:szCs w:val="22"/>
        </w:rPr>
      </w:pPr>
      <w:r>
        <w:rPr>
          <w:b w:val="0"/>
          <w:bCs w:val="0"/>
          <w:sz w:val="22"/>
          <w:szCs w:val="22"/>
        </w:rPr>
        <w:t>•</w:t>
      </w:r>
      <w:r w:rsidRPr="00A4436A">
        <w:rPr>
          <w:b w:val="0"/>
          <w:bCs w:val="0"/>
          <w:sz w:val="22"/>
          <w:szCs w:val="22"/>
        </w:rPr>
        <w:t>The proposed framework is for phased implementation over a period of 12 months, sponsored by the executive management team and with board level attention.</w:t>
      </w:r>
    </w:p>
    <w:p w14:paraId="2BBE6631" w14:textId="77777777" w:rsidR="00A4436A" w:rsidRDefault="00A4436A" w:rsidP="00A4436A">
      <w:pPr>
        <w:pStyle w:val="Heading1"/>
        <w:rPr>
          <w:b w:val="0"/>
          <w:bCs w:val="0"/>
          <w:sz w:val="22"/>
          <w:szCs w:val="22"/>
        </w:rPr>
      </w:pPr>
    </w:p>
    <w:p w14:paraId="001E501A" w14:textId="77777777" w:rsidR="003B3E82" w:rsidRDefault="003B3E82" w:rsidP="00A4436A">
      <w:pPr>
        <w:pStyle w:val="Heading1"/>
      </w:pPr>
    </w:p>
    <w:p w14:paraId="42B7BAD8" w14:textId="77777777" w:rsidR="003B3E82" w:rsidRDefault="003B3E82" w:rsidP="00A4436A">
      <w:pPr>
        <w:pStyle w:val="Heading1"/>
      </w:pPr>
    </w:p>
    <w:p w14:paraId="2774DA98" w14:textId="77777777" w:rsidR="003B3E82" w:rsidRDefault="003B3E82" w:rsidP="00A4436A">
      <w:pPr>
        <w:pStyle w:val="Heading1"/>
      </w:pPr>
    </w:p>
    <w:p w14:paraId="224F361E" w14:textId="77777777" w:rsidR="003B3E82" w:rsidRDefault="003B3E82" w:rsidP="00A4436A">
      <w:pPr>
        <w:pStyle w:val="Heading1"/>
      </w:pPr>
    </w:p>
    <w:p w14:paraId="57125937" w14:textId="46E0349D" w:rsidR="00953020" w:rsidRDefault="00F3576C" w:rsidP="00A4436A">
      <w:pPr>
        <w:pStyle w:val="Heading1"/>
      </w:pPr>
      <w:r>
        <w:t>Reference List</w:t>
      </w:r>
    </w:p>
    <w:p w14:paraId="75F56FF7" w14:textId="77777777" w:rsidR="00953020" w:rsidRDefault="00953020">
      <w:pPr>
        <w:pBdr>
          <w:bottom w:val="single" w:sz="6" w:space="1" w:color="000000"/>
        </w:pBdr>
        <w:spacing w:before="80" w:after="80"/>
      </w:pPr>
    </w:p>
    <w:p w14:paraId="63D54BFE" w14:textId="77777777" w:rsidR="00953020" w:rsidRDefault="00F3576C">
      <w:pPr>
        <w:spacing w:before="60" w:after="80"/>
        <w:ind w:left="720" w:hanging="720"/>
        <w:jc w:val="both"/>
      </w:pPr>
      <w:r>
        <w:rPr>
          <w:sz w:val="20"/>
          <w:szCs w:val="20"/>
        </w:rPr>
        <w:t>Abdiukov, T. (2023) A Unified Framework for Cybersecurity Maturity Assessment Across CISSP Domains: Integrating N</w:t>
      </w:r>
      <w:r>
        <w:rPr>
          <w:sz w:val="20"/>
          <w:szCs w:val="20"/>
        </w:rPr>
        <w:t>IST, ISO 27001, and CMMI for Holistic Security Posture Evaluation. Journal of Emerging Technologies and Innovative Research, 10(11), pp. f743–f753. Available at: https://www.jetir.org/papers/JETIR2311591.pdf (Accessed: 8 April 2026).</w:t>
      </w:r>
    </w:p>
    <w:p w14:paraId="08D13375" w14:textId="77777777" w:rsidR="00953020" w:rsidRDefault="00F3576C">
      <w:pPr>
        <w:spacing w:before="60" w:after="80"/>
        <w:ind w:left="720" w:hanging="720"/>
        <w:jc w:val="both"/>
      </w:pPr>
      <w:r>
        <w:rPr>
          <w:sz w:val="20"/>
          <w:szCs w:val="20"/>
        </w:rPr>
        <w:t>Akbar, A., Pratama, R.</w:t>
      </w:r>
      <w:r>
        <w:rPr>
          <w:sz w:val="20"/>
          <w:szCs w:val="20"/>
        </w:rPr>
        <w:t>V., Purnomo, C., Wanandi, M.R. and Akbar, K. (2026) IT Service Management: Implementation of ITIL Framework in Modern Organizations. Devotion: Journal of Research and Community Service, 7(3), pp. 320–326. https://doi.org/10.59188/devotion.v7i3.25642</w:t>
      </w:r>
    </w:p>
    <w:p w14:paraId="5CAFBD5C" w14:textId="77777777" w:rsidR="00953020" w:rsidRDefault="00F3576C">
      <w:pPr>
        <w:spacing w:before="60" w:after="80"/>
        <w:ind w:left="720" w:hanging="720"/>
        <w:jc w:val="both"/>
      </w:pPr>
      <w:r>
        <w:rPr>
          <w:sz w:val="20"/>
          <w:szCs w:val="20"/>
        </w:rPr>
        <w:t>AlGham</w:t>
      </w:r>
      <w:r>
        <w:rPr>
          <w:sz w:val="20"/>
          <w:szCs w:val="20"/>
        </w:rPr>
        <w:t xml:space="preserve">di, S., Win, K.T. and Vlahu-Gjorgievska, E. (2020) Information security governance challenges and critical success factors: Systematic review. Computers &amp; Security, 99, p. 102030. Available at: https://ro.uow.edu.au/ndownloader/files/50543274 (Accessed: 8 </w:t>
      </w:r>
      <w:r>
        <w:rPr>
          <w:sz w:val="20"/>
          <w:szCs w:val="20"/>
        </w:rPr>
        <w:t>April 2026).</w:t>
      </w:r>
    </w:p>
    <w:p w14:paraId="5D00528E" w14:textId="77777777" w:rsidR="00953020" w:rsidRDefault="00F3576C">
      <w:pPr>
        <w:spacing w:before="60" w:after="80"/>
        <w:ind w:left="720" w:hanging="720"/>
        <w:jc w:val="both"/>
      </w:pPr>
      <w:r>
        <w:rPr>
          <w:sz w:val="20"/>
          <w:szCs w:val="20"/>
        </w:rPr>
        <w:t>AlShalaan, M.R. and Fati, S.M. (2023) Enhancing organizational data security on employee-connected devices using BYOD policy. Information, 14(5), p. 275. https://doi.org/10.3390/info14050275</w:t>
      </w:r>
    </w:p>
    <w:p w14:paraId="706BED25" w14:textId="77777777" w:rsidR="00953020" w:rsidRDefault="00F3576C">
      <w:pPr>
        <w:spacing w:before="60" w:after="80"/>
        <w:ind w:left="720" w:hanging="720"/>
        <w:jc w:val="both"/>
      </w:pPr>
      <w:r>
        <w:rPr>
          <w:sz w:val="20"/>
          <w:szCs w:val="20"/>
        </w:rPr>
        <w:t>Ayedh, M., Wahab, A.W.A. and Idris, M.Y.I. (2023) Sy</w:t>
      </w:r>
      <w:r>
        <w:rPr>
          <w:sz w:val="20"/>
          <w:szCs w:val="20"/>
        </w:rPr>
        <w:t>stematic literature review on security access control policies and techniques based on privacy requirements in a BYOD environment. Applied Sciences, 13(14), p. 8048. https://doi.org/10.3390/app13148048</w:t>
      </w:r>
    </w:p>
    <w:p w14:paraId="7775A34B" w14:textId="77777777" w:rsidR="00953020" w:rsidRDefault="00F3576C">
      <w:pPr>
        <w:spacing w:before="60" w:after="80"/>
        <w:ind w:left="720" w:hanging="720"/>
        <w:jc w:val="both"/>
      </w:pPr>
      <w:r>
        <w:rPr>
          <w:sz w:val="20"/>
          <w:szCs w:val="20"/>
        </w:rPr>
        <w:lastRenderedPageBreak/>
        <w:t>Cremer, F., Sheehan, B., Fortmann, M., Kia, A.N., Mull</w:t>
      </w:r>
      <w:r>
        <w:rPr>
          <w:sz w:val="20"/>
          <w:szCs w:val="20"/>
        </w:rPr>
        <w:t>ins, M., Murphy, F. and Materne, S. (2022) Cyber risk and cybersecurity: a systematic review of data availability. The Geneva Papers on Risk and Insurance. Issues and Practice, 47(3), p. 698. https://doi.org/10.1057/s41288-022-00266-6</w:t>
      </w:r>
    </w:p>
    <w:p w14:paraId="77066203" w14:textId="77777777" w:rsidR="00953020" w:rsidRDefault="00F3576C">
      <w:pPr>
        <w:spacing w:before="60" w:after="80"/>
        <w:ind w:left="720" w:hanging="720"/>
        <w:jc w:val="both"/>
      </w:pPr>
      <w:r>
        <w:rPr>
          <w:sz w:val="20"/>
          <w:szCs w:val="20"/>
        </w:rPr>
        <w:t>Culot, G., Nassimbeni</w:t>
      </w:r>
      <w:r>
        <w:rPr>
          <w:sz w:val="20"/>
          <w:szCs w:val="20"/>
        </w:rPr>
        <w:t>, G., Podrecca, M. and Sartor, M. (2021) The ISO/IEC 27001 information security management standard: literature review and theory-based research agenda. The TQM Journal, 33(7), pp. 76–105. https://doi.org/10.1108/TQM-09-2020-0202</w:t>
      </w:r>
    </w:p>
    <w:p w14:paraId="4AEB1157" w14:textId="77777777" w:rsidR="00953020" w:rsidRDefault="00F3576C">
      <w:pPr>
        <w:spacing w:before="60" w:after="80"/>
        <w:ind w:left="720" w:hanging="720"/>
        <w:jc w:val="both"/>
      </w:pPr>
      <w:r>
        <w:rPr>
          <w:sz w:val="20"/>
          <w:szCs w:val="20"/>
        </w:rPr>
        <w:t>Darem, A.A., Alhashmi, A.A</w:t>
      </w:r>
      <w:r>
        <w:rPr>
          <w:sz w:val="20"/>
          <w:szCs w:val="20"/>
        </w:rPr>
        <w:t>., Alkhaldi, T.M., Alashjaee, A.M., Alanazi, S.M. and Ebad, S.A. (2023) Cyber threats classifications and countermeasures in banking and financial sector. IEEE Access, 11, pp. 125138–125158. https://doi.org/10.1109/ACCESS.2023.3327016</w:t>
      </w:r>
    </w:p>
    <w:p w14:paraId="37050103" w14:textId="77777777" w:rsidR="00953020" w:rsidRDefault="00F3576C">
      <w:pPr>
        <w:spacing w:before="60" w:after="80"/>
        <w:ind w:left="720" w:hanging="720"/>
        <w:jc w:val="both"/>
      </w:pPr>
      <w:r>
        <w:rPr>
          <w:sz w:val="20"/>
          <w:szCs w:val="20"/>
        </w:rPr>
        <w:t>Dasher, G., Envid</w:t>
      </w:r>
      <w:r>
        <w:rPr>
          <w:sz w:val="20"/>
          <w:szCs w:val="20"/>
        </w:rPr>
        <w:t>, I. and Calder, B. (2022) Architectures for protecting cloud data planes. arXiv preprint arXiv:2201.13010. https://doi.org/10.48550/arXiv.2201.13010</w:t>
      </w:r>
    </w:p>
    <w:p w14:paraId="560491BA" w14:textId="77777777" w:rsidR="00953020" w:rsidRDefault="00F3576C">
      <w:pPr>
        <w:spacing w:before="60" w:after="80"/>
        <w:ind w:left="720" w:hanging="720"/>
        <w:jc w:val="both"/>
      </w:pPr>
      <w:r>
        <w:rPr>
          <w:sz w:val="20"/>
          <w:szCs w:val="20"/>
        </w:rPr>
        <w:t>EC-Council (2026) What Is The Role of CISO in Governance Risk &amp; Compliance in Cybersecurity. Cybersecurity</w:t>
      </w:r>
      <w:r>
        <w:rPr>
          <w:sz w:val="20"/>
          <w:szCs w:val="20"/>
        </w:rPr>
        <w:t xml:space="preserve"> Exchange. Available at: https://www.eccouncil.org/cybersecurity-exchange/executive-management/ciso-cybersecurity-risk-management-governance-compliance/ (Accessed: 8 April 2026).</w:t>
      </w:r>
    </w:p>
    <w:p w14:paraId="08576AE9" w14:textId="77777777" w:rsidR="00953020" w:rsidRDefault="00F3576C">
      <w:pPr>
        <w:spacing w:before="60" w:after="80"/>
        <w:ind w:left="720" w:hanging="720"/>
        <w:jc w:val="both"/>
      </w:pPr>
      <w:r>
        <w:rPr>
          <w:sz w:val="20"/>
          <w:szCs w:val="20"/>
        </w:rPr>
        <w:t>Fakeyede, O.G., Okeleke, P.A., Hassan, A., Iwuanyanwu, U., Adaramodu, O.R. an</w:t>
      </w:r>
      <w:r>
        <w:rPr>
          <w:sz w:val="20"/>
          <w:szCs w:val="20"/>
        </w:rPr>
        <w:t>d Oyewole, O.O. (2023) Navigating data privacy through IT audits: GDPR, CCPA, and beyond. International Journal of Research in Engineering and Science, 11(11), pp. 45–58. Available at: https://www.ijres.org/papers/Volume-11/Issue-11/1111184192.pdf (Accesse</w:t>
      </w:r>
      <w:r>
        <w:rPr>
          <w:sz w:val="20"/>
          <w:szCs w:val="20"/>
        </w:rPr>
        <w:t>d: 8 April 2026).</w:t>
      </w:r>
    </w:p>
    <w:p w14:paraId="1CAD140F" w14:textId="77777777" w:rsidR="00953020" w:rsidRDefault="00F3576C">
      <w:pPr>
        <w:spacing w:before="60" w:after="80"/>
        <w:ind w:left="720" w:hanging="720"/>
        <w:jc w:val="both"/>
      </w:pPr>
      <w:r>
        <w:rPr>
          <w:sz w:val="20"/>
          <w:szCs w:val="20"/>
        </w:rPr>
        <w:t>Gilbert, C. and Gilbert, M.A. (2025) Impact of General Data Protection Regulation (GDPR) on data breach response strategies. International Journal of Research and Innovation in Social Science, 9(14), pp. 760–784. https://dx.doi.org/10.477</w:t>
      </w:r>
      <w:r>
        <w:rPr>
          <w:sz w:val="20"/>
          <w:szCs w:val="20"/>
        </w:rPr>
        <w:t>72/IJRISS.2025.914MG0061</w:t>
      </w:r>
    </w:p>
    <w:p w14:paraId="36E74BC2" w14:textId="77777777" w:rsidR="00953020" w:rsidRDefault="00F3576C">
      <w:pPr>
        <w:spacing w:before="60" w:after="80"/>
        <w:ind w:left="720" w:hanging="720"/>
        <w:jc w:val="both"/>
      </w:pPr>
      <w:r>
        <w:rPr>
          <w:sz w:val="20"/>
          <w:szCs w:val="20"/>
        </w:rPr>
        <w:t>Gudepu, B.K. and Jaladi, D.S. (2022) Data Discovery and Security: Protecting Sensitive Information. International Journal of Acta Informatica, 1(1), pp. 176–187. Available at: http://yuktabpublisher.com/index.php/IJAI/article/downl</w:t>
      </w:r>
      <w:r>
        <w:rPr>
          <w:sz w:val="20"/>
          <w:szCs w:val="20"/>
        </w:rPr>
        <w:t>oad/265/253 (Accessed: 8 April 2026).</w:t>
      </w:r>
    </w:p>
    <w:p w14:paraId="62520FD1" w14:textId="77777777" w:rsidR="00953020" w:rsidRDefault="00F3576C">
      <w:pPr>
        <w:spacing w:before="60" w:after="80"/>
        <w:ind w:left="720" w:hanging="720"/>
        <w:jc w:val="both"/>
      </w:pPr>
      <w:r>
        <w:rPr>
          <w:sz w:val="20"/>
          <w:szCs w:val="20"/>
        </w:rPr>
        <w:t>Kang, H., Liu, G., Wang, Q., Meng, L. and Liu, J. (2023) Theory and application of zero trust security: A brief survey. Entropy, 25(12), p. 1595. https://doi.org/10.3390/e25121595</w:t>
      </w:r>
    </w:p>
    <w:p w14:paraId="0135A390" w14:textId="77777777" w:rsidR="00953020" w:rsidRDefault="00F3576C">
      <w:pPr>
        <w:spacing w:before="60" w:after="80"/>
        <w:ind w:left="720" w:hanging="720"/>
        <w:jc w:val="both"/>
      </w:pPr>
      <w:r>
        <w:rPr>
          <w:sz w:val="20"/>
          <w:szCs w:val="20"/>
        </w:rPr>
        <w:t>Kumar, A. (2022) Risk management frame</w:t>
      </w:r>
      <w:r>
        <w:rPr>
          <w:sz w:val="20"/>
          <w:szCs w:val="20"/>
        </w:rPr>
        <w:t>works in financial cybersecurity. International Journal of Management and Organizational Research. Available at: https://www.themanagementjournal.com/uploads/archives/20250222165533_MOR-2025-1-048.1.pdf (Accessed: 8 April 2026).</w:t>
      </w:r>
    </w:p>
    <w:p w14:paraId="01D08E9A" w14:textId="77777777" w:rsidR="00953020" w:rsidRDefault="00F3576C">
      <w:pPr>
        <w:spacing w:before="60" w:after="80"/>
        <w:ind w:left="720" w:hanging="720"/>
        <w:jc w:val="both"/>
      </w:pPr>
      <w:r>
        <w:rPr>
          <w:sz w:val="20"/>
          <w:szCs w:val="20"/>
        </w:rPr>
        <w:t>Luis Salas-Riega, J., Riega</w:t>
      </w:r>
      <w:r>
        <w:rPr>
          <w:sz w:val="20"/>
          <w:szCs w:val="20"/>
        </w:rPr>
        <w:t>-Viru, Y., Ninaquispe-Soto, M. and Miguel Salas-Riega, J. (2025) Cybersecurity and the NIST Framework: A Systematic Review of its Implementation and Effectiveness Against Cyber Threats. International Journal of Advanced Computer Science &amp; Applications, 16(</w:t>
      </w:r>
      <w:r>
        <w:rPr>
          <w:sz w:val="20"/>
          <w:szCs w:val="20"/>
        </w:rPr>
        <w:t>6). https://doi.org/10.14569/IJACSA.2025.0160672</w:t>
      </w:r>
    </w:p>
    <w:p w14:paraId="38FB61C5" w14:textId="77777777" w:rsidR="00953020" w:rsidRDefault="00F3576C">
      <w:pPr>
        <w:spacing w:before="60" w:after="80"/>
        <w:ind w:left="720" w:hanging="720"/>
        <w:jc w:val="both"/>
      </w:pPr>
      <w:r>
        <w:rPr>
          <w:sz w:val="20"/>
          <w:szCs w:val="20"/>
        </w:rPr>
        <w:t>Malik, A.W., Bhatti, D.S., Park, T.J., Ishtiaq, H.U., Ryou, J.C. and Kim, K.I. (2024) Cloud digital forensics: Beyond tools, techniques, and challenges. Sensors, 24(2), p. 433. https://doi.org/10.3390/s24020</w:t>
      </w:r>
      <w:r>
        <w:rPr>
          <w:sz w:val="20"/>
          <w:szCs w:val="20"/>
        </w:rPr>
        <w:t>433</w:t>
      </w:r>
    </w:p>
    <w:p w14:paraId="1EE28DE8" w14:textId="77777777" w:rsidR="00953020" w:rsidRDefault="00F3576C">
      <w:pPr>
        <w:spacing w:before="60" w:after="80"/>
        <w:ind w:left="720" w:hanging="720"/>
        <w:jc w:val="both"/>
      </w:pPr>
      <w:r>
        <w:rPr>
          <w:sz w:val="20"/>
          <w:szCs w:val="20"/>
        </w:rPr>
        <w:t>McIntosh, T.R., Susnjak, T., Liu, T., Watters, P., Xu, D., Liu, D., Nowrozy, R. and Halgamuge, M.N. (2024) From COBIT to ISO 42001: Evaluating cybersecurity frameworks for opportunities, risks, and regulatory compliance in commercializing large languag</w:t>
      </w:r>
      <w:r>
        <w:rPr>
          <w:sz w:val="20"/>
          <w:szCs w:val="20"/>
        </w:rPr>
        <w:t>e models. Computers &amp; Security, 144, p. 103964. https://doi.org/10.1016/j.cose.2024.103964</w:t>
      </w:r>
    </w:p>
    <w:p w14:paraId="746AC582" w14:textId="77777777" w:rsidR="00953020" w:rsidRDefault="00F3576C">
      <w:pPr>
        <w:spacing w:before="60" w:after="80"/>
        <w:ind w:left="720" w:hanging="720"/>
        <w:jc w:val="both"/>
      </w:pPr>
      <w:r>
        <w:rPr>
          <w:sz w:val="20"/>
          <w:szCs w:val="20"/>
        </w:rPr>
        <w:t>Metin, B., Sevim, S.B. and Wynn, M. (2025) Cybersecurity Strategy Development: Towards an Integrated Approach Based on COBIT and ISO 27000 Series Standards. Standard</w:t>
      </w:r>
      <w:r>
        <w:rPr>
          <w:sz w:val="20"/>
          <w:szCs w:val="20"/>
        </w:rPr>
        <w:t>s, 5(4), p. 33. https://doi.org/10.3390/standards5040033</w:t>
      </w:r>
    </w:p>
    <w:p w14:paraId="3F281053" w14:textId="77777777" w:rsidR="00953020" w:rsidRDefault="00F3576C">
      <w:pPr>
        <w:spacing w:before="60" w:after="80"/>
        <w:ind w:left="720" w:hanging="720"/>
        <w:jc w:val="both"/>
      </w:pPr>
      <w:r>
        <w:rPr>
          <w:sz w:val="20"/>
          <w:szCs w:val="20"/>
        </w:rPr>
        <w:t>Mostafa, A.M., Ezz, M., Elbashir, M.K., Alruily, M., Hamouda, E., Alsarhani, M. and Said, W. (2023) Strengthening cloud security: an innovative multi-factor multi-layer authentication framework for c</w:t>
      </w:r>
      <w:r>
        <w:rPr>
          <w:sz w:val="20"/>
          <w:szCs w:val="20"/>
        </w:rPr>
        <w:t>loud user authentication. Applied Sciences, 13(19), p. 10871. https://doi.org/10.3390/app131910871</w:t>
      </w:r>
    </w:p>
    <w:p w14:paraId="7F0722FB" w14:textId="77777777" w:rsidR="00953020" w:rsidRDefault="00F3576C">
      <w:pPr>
        <w:spacing w:before="60" w:after="80"/>
        <w:ind w:left="720" w:hanging="720"/>
        <w:jc w:val="both"/>
      </w:pPr>
      <w:r>
        <w:rPr>
          <w:sz w:val="20"/>
          <w:szCs w:val="20"/>
        </w:rPr>
        <w:t>Mukherjee, D. (2025) Cloud Security and Privacy in Financial Institutions: Challenges, Frameworks, and Future Directions. International Journal of Advanced R</w:t>
      </w:r>
      <w:r>
        <w:rPr>
          <w:sz w:val="20"/>
          <w:szCs w:val="20"/>
        </w:rPr>
        <w:t>esearch in Science, Communication and Technology, 5(8), pp. 820–827. Available at: https://www.ijarsct.co.in/Paper26992.pdf (Accessed: 8 April 2026).</w:t>
      </w:r>
    </w:p>
    <w:p w14:paraId="4FD5E76D" w14:textId="77777777" w:rsidR="00953020" w:rsidRDefault="00F3576C">
      <w:pPr>
        <w:spacing w:before="60" w:after="80"/>
        <w:ind w:left="720" w:hanging="720"/>
        <w:jc w:val="both"/>
      </w:pPr>
      <w:r>
        <w:rPr>
          <w:sz w:val="20"/>
          <w:szCs w:val="20"/>
        </w:rPr>
        <w:lastRenderedPageBreak/>
        <w:t>Nzeako, G. and Shittu, R.A. (2024) Implementing zero trust security models in cloud computing environments</w:t>
      </w:r>
      <w:r>
        <w:rPr>
          <w:sz w:val="20"/>
          <w:szCs w:val="20"/>
        </w:rPr>
        <w:t>. World Journal of Advanced Research and Reviews, 24(3), pp. 1234–1245. https://doi.org/10.30574/wjarr.2024.24.3.3500</w:t>
      </w:r>
    </w:p>
    <w:p w14:paraId="5C1C1E55" w14:textId="77777777" w:rsidR="00953020" w:rsidRDefault="00F3576C">
      <w:pPr>
        <w:spacing w:before="60" w:after="80"/>
        <w:ind w:left="720" w:hanging="720"/>
        <w:jc w:val="both"/>
      </w:pPr>
      <w:r>
        <w:rPr>
          <w:sz w:val="20"/>
          <w:szCs w:val="20"/>
        </w:rPr>
        <w:t>Oladimeji, G. (2024) A critical analysis of foundations, challenges and directions for zero trust security in cloud environments. arXiv pr</w:t>
      </w:r>
      <w:r>
        <w:rPr>
          <w:sz w:val="20"/>
          <w:szCs w:val="20"/>
        </w:rPr>
        <w:t>eprint arXiv:2411.06139. https://doi.org/10.48550/arXiv.2411.06139</w:t>
      </w:r>
    </w:p>
    <w:p w14:paraId="3DC485A3" w14:textId="77777777" w:rsidR="00953020" w:rsidRDefault="00F3576C">
      <w:pPr>
        <w:spacing w:before="60" w:after="80"/>
        <w:ind w:left="720" w:hanging="720"/>
        <w:jc w:val="both"/>
      </w:pPr>
      <w:r>
        <w:rPr>
          <w:sz w:val="20"/>
          <w:szCs w:val="20"/>
        </w:rPr>
        <w:t>Ranjan, R. and Ness, S. (2024) Cyber security Threats to Cloud Banking Systems. International Journal of Research Publication and Reviews, 5(10), pp. 1698–1709. Available at: https://ijrpr.</w:t>
      </w:r>
      <w:r>
        <w:rPr>
          <w:sz w:val="20"/>
          <w:szCs w:val="20"/>
        </w:rPr>
        <w:t>com/uploads/V5ISSUE10/IJRPR34008.pdf (Accessed: 8 April 2026).</w:t>
      </w:r>
    </w:p>
    <w:p w14:paraId="37478120" w14:textId="77777777" w:rsidR="00953020" w:rsidRDefault="00F3576C">
      <w:pPr>
        <w:spacing w:before="60" w:after="80"/>
        <w:ind w:left="720" w:hanging="720"/>
        <w:jc w:val="both"/>
      </w:pPr>
      <w:r>
        <w:rPr>
          <w:sz w:val="20"/>
          <w:szCs w:val="20"/>
        </w:rPr>
        <w:t>Reuben-Owoh, B. and Haig, E. (2025) A Systematic Review of Voluntary Cybersecurity Standards and Frameworks. International Journal of Information Security, 24(5), p. 206. https://doi.org/10.100</w:t>
      </w:r>
      <w:r>
        <w:rPr>
          <w:sz w:val="20"/>
          <w:szCs w:val="20"/>
        </w:rPr>
        <w:t>7/s10207-025-01121-0</w:t>
      </w:r>
    </w:p>
    <w:p w14:paraId="4D318A55" w14:textId="77777777" w:rsidR="00953020" w:rsidRDefault="00F3576C">
      <w:pPr>
        <w:spacing w:before="60" w:after="80"/>
        <w:ind w:left="720" w:hanging="720"/>
        <w:jc w:val="both"/>
      </w:pPr>
      <w:r>
        <w:rPr>
          <w:sz w:val="20"/>
          <w:szCs w:val="20"/>
        </w:rPr>
        <w:t>Rose, S., Borchert, O., Mitchell, S. and Connelly, S. (2020) Zero trust architecture. NIST Special Publication 800-207, pp. 1–52. Available at: https://nvlpubs.nist.gov/nistpubs/specialpublications/NIST.SP.800-207.pdf (Accessed: 8 Apri</w:t>
      </w:r>
      <w:r>
        <w:rPr>
          <w:sz w:val="20"/>
          <w:szCs w:val="20"/>
        </w:rPr>
        <w:t>l 2026).</w:t>
      </w:r>
    </w:p>
    <w:p w14:paraId="0094B354" w14:textId="77777777" w:rsidR="00953020" w:rsidRDefault="00F3576C">
      <w:pPr>
        <w:spacing w:before="60" w:after="80"/>
        <w:ind w:left="720" w:hanging="720"/>
        <w:jc w:val="both"/>
      </w:pPr>
      <w:r>
        <w:rPr>
          <w:sz w:val="20"/>
          <w:szCs w:val="20"/>
        </w:rPr>
        <w:t>Sophie, E.R. (2025) Insider Threats in Cloud Computing: Detection and Mitigation Strategies. ResearchGate. Available at: https://www.researchgate.net/publication/391271263 (Accessed: 8 April 2026).</w:t>
      </w:r>
    </w:p>
    <w:p w14:paraId="63B045D3" w14:textId="77777777" w:rsidR="00953020" w:rsidRDefault="00F3576C">
      <w:pPr>
        <w:spacing w:before="60" w:after="80"/>
        <w:ind w:left="720" w:hanging="720"/>
        <w:jc w:val="both"/>
      </w:pPr>
      <w:r>
        <w:rPr>
          <w:sz w:val="20"/>
          <w:szCs w:val="20"/>
        </w:rPr>
        <w:t>Valkenburg, B. and Bongiovanni, I. (2024) Unravel</w:t>
      </w:r>
      <w:r>
        <w:rPr>
          <w:sz w:val="20"/>
          <w:szCs w:val="20"/>
        </w:rPr>
        <w:t>ling the three lines model in cybersecurity: a systematic literature review. Computers &amp; Security, 139, p. 103708. https://doi.org/10.1016/j.cose.2023.103708</w:t>
      </w:r>
    </w:p>
    <w:p w14:paraId="7C73A536" w14:textId="77777777" w:rsidR="00953020" w:rsidRDefault="00F3576C">
      <w:pPr>
        <w:spacing w:before="60" w:after="80"/>
        <w:ind w:left="720" w:hanging="720"/>
        <w:jc w:val="both"/>
      </w:pPr>
      <w:r>
        <w:rPr>
          <w:sz w:val="20"/>
          <w:szCs w:val="20"/>
        </w:rPr>
        <w:t>Vishvanath, A.G. and Ganesh, D. (2024) Cloud Safe: A Survey of Encryption, Access Control, and Net</w:t>
      </w:r>
      <w:r>
        <w:rPr>
          <w:sz w:val="20"/>
          <w:szCs w:val="20"/>
        </w:rPr>
        <w:t>work Protection Strategies. SSRG International Journal of Electrical and Electronics Engineering, 11(12), pp. 208–228. Available at: https://www.internationaljournalssrg.org/IJEEE/2024/Volume11-Issue12/IJEEE-V11I12P119.pdf (Accessed: 8 April 2026).</w:t>
      </w:r>
    </w:p>
    <w:p w14:paraId="7B96140E" w14:textId="77777777" w:rsidR="00953020" w:rsidRDefault="00F3576C">
      <w:pPr>
        <w:spacing w:before="60" w:after="80"/>
        <w:ind w:left="720" w:hanging="720"/>
        <w:jc w:val="both"/>
      </w:pPr>
      <w:r>
        <w:rPr>
          <w:sz w:val="20"/>
          <w:szCs w:val="20"/>
        </w:rPr>
        <w:t>Yeboah-</w:t>
      </w:r>
      <w:r>
        <w:rPr>
          <w:sz w:val="20"/>
          <w:szCs w:val="20"/>
        </w:rPr>
        <w:t>Boateng, E.O. and Boaten, F.E. (2016) Bring-Your-Own-Device (BYOD): an evaluation of associated risks to corporate information security. arXiv preprint arXiv:1609.01821. Available at: https://arxiv.org/abs/1609.01821 (Accessed: 8 April 2026).</w:t>
      </w:r>
    </w:p>
    <w:sectPr w:rsidR="00953020">
      <w:footerReference w:type="default" r:id="rId1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A21BCA" w14:textId="77777777" w:rsidR="00F3576C" w:rsidRDefault="00F3576C">
      <w:r>
        <w:separator/>
      </w:r>
    </w:p>
  </w:endnote>
  <w:endnote w:type="continuationSeparator" w:id="0">
    <w:p w14:paraId="38088CF3" w14:textId="77777777" w:rsidR="00F3576C" w:rsidRDefault="00F35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7DBF7" w14:textId="620FE385" w:rsidR="00953020" w:rsidRDefault="00F3576C">
    <w:pPr>
      <w:jc w:val="center"/>
    </w:pPr>
    <w:r>
      <w:rPr>
        <w:color w:val="444444"/>
        <w:sz w:val="18"/>
        <w:szCs w:val="18"/>
      </w:rPr>
      <w:t xml:space="preserve">ACCA7028 — FinSure Bank  |  Page </w:t>
    </w:r>
    <w:r>
      <w:rPr>
        <w:color w:val="444444"/>
        <w:sz w:val="18"/>
        <w:szCs w:val="18"/>
      </w:rPr>
      <w:fldChar w:fldCharType="begin"/>
    </w:r>
    <w:r>
      <w:rPr>
        <w:color w:val="444444"/>
        <w:sz w:val="18"/>
        <w:szCs w:val="18"/>
      </w:rPr>
      <w:instrText>PAGE</w:instrText>
    </w:r>
    <w:r>
      <w:rPr>
        <w:color w:val="444444"/>
        <w:sz w:val="18"/>
        <w:szCs w:val="18"/>
      </w:rPr>
      <w:fldChar w:fldCharType="separate"/>
    </w:r>
    <w:r w:rsidR="00BC6B85">
      <w:rPr>
        <w:noProof/>
        <w:color w:val="444444"/>
        <w:sz w:val="18"/>
        <w:szCs w:val="18"/>
      </w:rPr>
      <w:t>1</w:t>
    </w:r>
    <w:r>
      <w:rPr>
        <w:color w:val="444444"/>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0080E7" w14:textId="77777777" w:rsidR="00F3576C" w:rsidRDefault="00F3576C">
      <w:r>
        <w:separator/>
      </w:r>
    </w:p>
  </w:footnote>
  <w:footnote w:type="continuationSeparator" w:id="0">
    <w:p w14:paraId="5E482096" w14:textId="77777777" w:rsidR="00F3576C" w:rsidRDefault="00F357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BB24BC"/>
    <w:multiLevelType w:val="hybridMultilevel"/>
    <w:tmpl w:val="F9E68436"/>
    <w:lvl w:ilvl="0" w:tplc="9A7062FA">
      <w:start w:val="1"/>
      <w:numFmt w:val="bullet"/>
      <w:lvlText w:val="•"/>
      <w:lvlJc w:val="left"/>
      <w:pPr>
        <w:ind w:left="720" w:hanging="360"/>
      </w:pPr>
    </w:lvl>
    <w:lvl w:ilvl="1" w:tplc="9E7A140A">
      <w:numFmt w:val="decimal"/>
      <w:lvlText w:val=""/>
      <w:lvlJc w:val="left"/>
    </w:lvl>
    <w:lvl w:ilvl="2" w:tplc="24DC6E3A">
      <w:numFmt w:val="decimal"/>
      <w:lvlText w:val=""/>
      <w:lvlJc w:val="left"/>
    </w:lvl>
    <w:lvl w:ilvl="3" w:tplc="336C1B9A">
      <w:numFmt w:val="decimal"/>
      <w:lvlText w:val=""/>
      <w:lvlJc w:val="left"/>
    </w:lvl>
    <w:lvl w:ilvl="4" w:tplc="30EC5E4A">
      <w:numFmt w:val="decimal"/>
      <w:lvlText w:val=""/>
      <w:lvlJc w:val="left"/>
    </w:lvl>
    <w:lvl w:ilvl="5" w:tplc="9474C87E">
      <w:numFmt w:val="decimal"/>
      <w:lvlText w:val=""/>
      <w:lvlJc w:val="left"/>
    </w:lvl>
    <w:lvl w:ilvl="6" w:tplc="20D294A6">
      <w:numFmt w:val="decimal"/>
      <w:lvlText w:val=""/>
      <w:lvlJc w:val="left"/>
    </w:lvl>
    <w:lvl w:ilvl="7" w:tplc="3320A4D0">
      <w:numFmt w:val="decimal"/>
      <w:lvlText w:val=""/>
      <w:lvlJc w:val="left"/>
    </w:lvl>
    <w:lvl w:ilvl="8" w:tplc="5B8EC5A6">
      <w:numFmt w:val="decimal"/>
      <w:lvlText w:val=""/>
      <w:lvlJc w:val="left"/>
    </w:lvl>
  </w:abstractNum>
  <w:abstractNum w:abstractNumId="1" w15:restartNumberingAfterBreak="0">
    <w:nsid w:val="687A55E3"/>
    <w:multiLevelType w:val="hybridMultilevel"/>
    <w:tmpl w:val="669CDBFC"/>
    <w:lvl w:ilvl="0" w:tplc="E6FAC1B4">
      <w:start w:val="1"/>
      <w:numFmt w:val="bullet"/>
      <w:lvlText w:val="●"/>
      <w:lvlJc w:val="left"/>
      <w:pPr>
        <w:ind w:left="720" w:hanging="360"/>
      </w:pPr>
    </w:lvl>
    <w:lvl w:ilvl="1" w:tplc="9296ED9C">
      <w:start w:val="1"/>
      <w:numFmt w:val="bullet"/>
      <w:lvlText w:val="○"/>
      <w:lvlJc w:val="left"/>
      <w:pPr>
        <w:ind w:left="1440" w:hanging="360"/>
      </w:pPr>
    </w:lvl>
    <w:lvl w:ilvl="2" w:tplc="3C90AF0E">
      <w:start w:val="1"/>
      <w:numFmt w:val="bullet"/>
      <w:lvlText w:val="■"/>
      <w:lvlJc w:val="left"/>
      <w:pPr>
        <w:ind w:left="2160" w:hanging="360"/>
      </w:pPr>
    </w:lvl>
    <w:lvl w:ilvl="3" w:tplc="608C6F66">
      <w:start w:val="1"/>
      <w:numFmt w:val="bullet"/>
      <w:lvlText w:val="●"/>
      <w:lvlJc w:val="left"/>
      <w:pPr>
        <w:ind w:left="2880" w:hanging="360"/>
      </w:pPr>
    </w:lvl>
    <w:lvl w:ilvl="4" w:tplc="27B49C3C">
      <w:start w:val="1"/>
      <w:numFmt w:val="bullet"/>
      <w:lvlText w:val="○"/>
      <w:lvlJc w:val="left"/>
      <w:pPr>
        <w:ind w:left="3600" w:hanging="360"/>
      </w:pPr>
    </w:lvl>
    <w:lvl w:ilvl="5" w:tplc="351038B2">
      <w:start w:val="1"/>
      <w:numFmt w:val="bullet"/>
      <w:lvlText w:val="■"/>
      <w:lvlJc w:val="left"/>
      <w:pPr>
        <w:ind w:left="4320" w:hanging="360"/>
      </w:pPr>
    </w:lvl>
    <w:lvl w:ilvl="6" w:tplc="7BD6292C">
      <w:start w:val="1"/>
      <w:numFmt w:val="bullet"/>
      <w:lvlText w:val="●"/>
      <w:lvlJc w:val="left"/>
      <w:pPr>
        <w:ind w:left="5040" w:hanging="360"/>
      </w:pPr>
    </w:lvl>
    <w:lvl w:ilvl="7" w:tplc="EFBCB2F4">
      <w:start w:val="1"/>
      <w:numFmt w:val="bullet"/>
      <w:lvlText w:val="●"/>
      <w:lvlJc w:val="left"/>
      <w:pPr>
        <w:ind w:left="5760" w:hanging="360"/>
      </w:pPr>
    </w:lvl>
    <w:lvl w:ilvl="8" w:tplc="AB2E7950">
      <w:start w:val="1"/>
      <w:numFmt w:val="bullet"/>
      <w:lvlText w:val="●"/>
      <w:lvlJc w:val="left"/>
      <w:pPr>
        <w:ind w:left="648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020"/>
    <w:rsid w:val="00025852"/>
    <w:rsid w:val="003A053A"/>
    <w:rsid w:val="003B3E82"/>
    <w:rsid w:val="005B78A8"/>
    <w:rsid w:val="00631E44"/>
    <w:rsid w:val="0073554E"/>
    <w:rsid w:val="007A73C2"/>
    <w:rsid w:val="00953020"/>
    <w:rsid w:val="00A4436A"/>
    <w:rsid w:val="00A92F55"/>
    <w:rsid w:val="00AD719E"/>
    <w:rsid w:val="00BC6B85"/>
    <w:rsid w:val="00CE4ED0"/>
    <w:rsid w:val="00DD7137"/>
    <w:rsid w:val="00E11854"/>
    <w:rsid w:val="00EC6DD9"/>
    <w:rsid w:val="00F3576C"/>
    <w:rsid w:val="00FF1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EF31B8"/>
  <w15:docId w15:val="{EC797901-AAC4-436B-82A9-D19B82515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pPr>
      <w:spacing w:before="360" w:after="160"/>
      <w:outlineLvl w:val="0"/>
    </w:pPr>
    <w:rPr>
      <w:b/>
      <w:bCs/>
      <w:sz w:val="28"/>
      <w:szCs w:val="28"/>
    </w:rPr>
  </w:style>
  <w:style w:type="paragraph" w:styleId="Heading2">
    <w:name w:val="heading 2"/>
    <w:uiPriority w:val="9"/>
    <w:unhideWhenUsed/>
    <w:qFormat/>
    <w:pPr>
      <w:spacing w:before="260" w:after="120"/>
      <w:outlineLvl w:val="1"/>
    </w:pPr>
    <w:rPr>
      <w:b/>
      <w:bCs/>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5B78A8"/>
    <w:pPr>
      <w:tabs>
        <w:tab w:val="center" w:pos="4513"/>
        <w:tab w:val="right" w:pos="9026"/>
      </w:tabs>
    </w:pPr>
  </w:style>
  <w:style w:type="character" w:customStyle="1" w:styleId="HeaderChar">
    <w:name w:val="Header Char"/>
    <w:basedOn w:val="DefaultParagraphFont"/>
    <w:link w:val="Header"/>
    <w:uiPriority w:val="99"/>
    <w:rsid w:val="005B78A8"/>
  </w:style>
  <w:style w:type="paragraph" w:styleId="Footer">
    <w:name w:val="footer"/>
    <w:basedOn w:val="Normal"/>
    <w:link w:val="FooterChar"/>
    <w:uiPriority w:val="99"/>
    <w:unhideWhenUsed/>
    <w:rsid w:val="005B78A8"/>
    <w:pPr>
      <w:tabs>
        <w:tab w:val="center" w:pos="4513"/>
        <w:tab w:val="right" w:pos="9026"/>
      </w:tabs>
    </w:pPr>
  </w:style>
  <w:style w:type="character" w:customStyle="1" w:styleId="FooterChar">
    <w:name w:val="Footer Char"/>
    <w:basedOn w:val="DefaultParagraphFont"/>
    <w:link w:val="Footer"/>
    <w:uiPriority w:val="99"/>
    <w:rsid w:val="005B78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040ED-7681-4741-8D6E-41AAD4FEB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3513</Words>
  <Characters>20025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DELL</cp:lastModifiedBy>
  <cp:revision>2</cp:revision>
  <dcterms:created xsi:type="dcterms:W3CDTF">2026-04-29T01:02:00Z</dcterms:created>
  <dcterms:modified xsi:type="dcterms:W3CDTF">2026-04-29T01:02:00Z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7e5ffcb2-fd82-4745-9177-49161d694db0</vt:lpwstr>
  </property>
</Properties>
</file>