
<file path=[Content_Types].xml><?xml version="1.0" encoding="utf-8"?>
<Types xmlns="http://schemas.openxmlformats.org/package/2006/content-types">
  <Default Extension="xml" ContentType="application/xml"/>
  <Default Extension="bmp" ContentType="image/bmp"/>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8"/>
        <w:spacing w:before="468" w:beforeLines="150" w:after="468" w:afterLines="150" w:line="360" w:lineRule="auto"/>
        <w:jc w:val="both"/>
        <w:rPr>
          <w:rFonts w:ascii="Times New Roman" w:hAnsi="Times New Roman" w:cs="Times New Roman"/>
          <w:sz w:val="44"/>
          <w:szCs w:val="44"/>
        </w:rPr>
      </w:pPr>
      <w:r>
        <w:rPr>
          <w:rFonts w:ascii="Times New Roman" w:hAnsi="Times New Roman" w:cs="Times New Roman"/>
          <w:sz w:val="44"/>
          <w:szCs w:val="44"/>
        </w:rPr>
        <w:t>Strategic Management：</w:t>
      </w:r>
    </w:p>
    <w:p>
      <w:pPr>
        <w:pStyle w:val="18"/>
        <w:spacing w:before="468" w:beforeLines="150" w:after="468" w:afterLines="150" w:line="360" w:lineRule="auto"/>
        <w:jc w:val="both"/>
        <w:rPr>
          <w:rFonts w:ascii="Times New Roman" w:hAnsi="Times New Roman" w:cs="Times New Roman"/>
          <w:b/>
          <w:bCs/>
          <w:sz w:val="44"/>
          <w:szCs w:val="44"/>
        </w:rPr>
      </w:pPr>
      <w:r>
        <w:rPr>
          <w:rFonts w:ascii="Times New Roman" w:hAnsi="Times New Roman" w:cs="Times New Roman"/>
          <w:b/>
          <w:bCs/>
          <w:sz w:val="44"/>
          <w:szCs w:val="44"/>
        </w:rPr>
        <w:t xml:space="preserve">A marketing plan developed for Huazhu </w:t>
      </w:r>
      <w:bookmarkStart w:id="15" w:name="_GoBack"/>
      <w:bookmarkEnd w:id="15"/>
    </w:p>
    <w:p>
      <w:pPr>
        <w:rPr>
          <w:rFonts w:ascii="Times New Roman" w:hAnsi="Times New Roman" w:cs="Times New Roman"/>
          <w:b/>
          <w:bCs/>
          <w:sz w:val="44"/>
          <w:szCs w:val="44"/>
        </w:rPr>
      </w:pPr>
    </w:p>
    <w:p>
      <w:pPr>
        <w:rPr>
          <w:rFonts w:hint="default" w:ascii="Times New Roman" w:hAnsi="Times New Roman" w:cs="Times New Roman" w:eastAsiaTheme="minorEastAsia"/>
          <w:b w:val="0"/>
          <w:bCs w:val="0"/>
          <w:sz w:val="30"/>
          <w:szCs w:val="30"/>
          <w:lang w:val="en-US" w:eastAsia="zh-CN"/>
        </w:rPr>
      </w:pPr>
      <w:r>
        <w:rPr>
          <w:rFonts w:hint="eastAsia" w:ascii="Times New Roman" w:hAnsi="Times New Roman" w:cs="Times New Roman"/>
          <w:b w:val="0"/>
          <w:bCs w:val="0"/>
          <w:sz w:val="30"/>
          <w:szCs w:val="30"/>
          <w:lang w:val="en-US" w:eastAsia="zh-CN"/>
        </w:rPr>
        <w:t>Student ID：2106635</w:t>
      </w:r>
    </w:p>
    <w:p>
      <w:pPr>
        <w:spacing w:before="468" w:beforeLines="150" w:after="468" w:afterLines="150" w:line="360" w:lineRule="auto"/>
        <w:jc w:val="both"/>
        <w:rPr>
          <w:rFonts w:ascii="Times New Roman" w:hAnsi="Times New Roman" w:cs="Times New Roman" w:eastAsiaTheme="majorEastAsia"/>
          <w:b/>
          <w:bCs/>
          <w:caps/>
          <w:color w:val="44546A" w:themeColor="text2"/>
          <w:spacing w:val="30"/>
          <w:sz w:val="44"/>
          <w:szCs w:val="44"/>
          <w14:textFill>
            <w14:solidFill>
              <w14:schemeClr w14:val="tx2"/>
            </w14:solidFill>
          </w14:textFill>
        </w:rPr>
      </w:pPr>
      <w:r>
        <w:rPr>
          <w:rFonts w:ascii="Times New Roman" w:hAnsi="Times New Roman" w:cs="Times New Roman"/>
          <w:b/>
          <w:bCs/>
          <w:sz w:val="44"/>
          <w:szCs w:val="44"/>
        </w:rPr>
        <w:br w:type="page"/>
      </w:r>
    </w:p>
    <w:sdt>
      <w:sdtPr>
        <w:rPr>
          <w:rFonts w:ascii="Times New Roman" w:hAnsi="Times New Roman" w:cs="Times New Roman"/>
          <w:color w:val="auto"/>
          <w:lang w:val="zh-CN"/>
        </w:rPr>
        <w:id w:val="-433523137"/>
        <w:docPartObj>
          <w:docPartGallery w:val="Table of Contents"/>
          <w:docPartUnique/>
        </w:docPartObj>
      </w:sdtPr>
      <w:sdtEndPr>
        <w:rPr>
          <w:rFonts w:ascii="Times New Roman" w:hAnsi="Times New Roman" w:cs="Times New Roman" w:eastAsiaTheme="minorEastAsia"/>
          <w:b/>
          <w:bCs/>
          <w:color w:val="auto"/>
          <w:sz w:val="22"/>
          <w:szCs w:val="22"/>
          <w:lang w:val="zh-CN"/>
        </w:rPr>
      </w:sdtEndPr>
      <w:sdtContent>
        <w:p>
          <w:pPr>
            <w:pStyle w:val="45"/>
            <w:rPr>
              <w:rFonts w:ascii="Times New Roman" w:hAnsi="Times New Roman" w:cs="Times New Roman"/>
              <w:color w:val="auto"/>
            </w:rPr>
          </w:pPr>
          <w:r>
            <w:rPr>
              <w:rFonts w:ascii="Times New Roman" w:hAnsi="Times New Roman" w:cs="Times New Roman"/>
              <w:color w:val="auto"/>
              <w:lang w:val="zh-CN"/>
            </w:rPr>
            <w:t>List of contents</w:t>
          </w:r>
        </w:p>
        <w:p>
          <w:pPr>
            <w:pStyle w:val="15"/>
            <w:tabs>
              <w:tab w:val="right" w:leader="dot" w:pos="9736"/>
            </w:tabs>
            <w:rPr>
              <w:kern w:val="2"/>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"_Toc102317304" </w:instrText>
          </w:r>
          <w:r>
            <w:fldChar w:fldCharType="separate"/>
          </w:r>
          <w:r>
            <w:rPr>
              <w:rStyle w:val="23"/>
              <w:rFonts w:ascii="Times New Roman" w:hAnsi="Times New Roman" w:cs="Times New Roman"/>
              <w:sz w:val="24"/>
              <w:szCs w:val="24"/>
            </w:rPr>
            <w:t>Executive Summary</w:t>
          </w:r>
          <w:r>
            <w:rPr>
              <w:sz w:val="24"/>
              <w:szCs w:val="24"/>
            </w:rPr>
            <w:tab/>
          </w:r>
          <w:r>
            <w:rPr>
              <w:sz w:val="24"/>
              <w:szCs w:val="24"/>
            </w:rPr>
            <w:fldChar w:fldCharType="begin"/>
          </w:r>
          <w:r>
            <w:rPr>
              <w:sz w:val="24"/>
              <w:szCs w:val="24"/>
            </w:rPr>
            <w:instrText xml:space="preserve"> PAGEREF _Toc102317304 \h </w:instrText>
          </w:r>
          <w:r>
            <w:rPr>
              <w:sz w:val="24"/>
              <w:szCs w:val="24"/>
            </w:rPr>
            <w:fldChar w:fldCharType="separate"/>
          </w:r>
          <w:r>
            <w:rPr>
              <w:sz w:val="24"/>
              <w:szCs w:val="24"/>
            </w:rPr>
            <w:t>1</w:t>
          </w:r>
          <w:r>
            <w:rPr>
              <w:sz w:val="24"/>
              <w:szCs w:val="24"/>
            </w:rPr>
            <w:fldChar w:fldCharType="end"/>
          </w:r>
          <w:r>
            <w:rPr>
              <w:sz w:val="24"/>
              <w:szCs w:val="24"/>
            </w:rPr>
            <w:fldChar w:fldCharType="end"/>
          </w:r>
        </w:p>
        <w:p>
          <w:pPr>
            <w:pStyle w:val="15"/>
            <w:tabs>
              <w:tab w:val="left" w:pos="420"/>
              <w:tab w:val="right" w:leader="dot" w:pos="9736"/>
            </w:tabs>
            <w:rPr>
              <w:kern w:val="2"/>
              <w:szCs w:val="24"/>
            </w:rPr>
          </w:pPr>
          <w:r>
            <w:fldChar w:fldCharType="begin"/>
          </w:r>
          <w:r>
            <w:instrText xml:space="preserve"> HYPERLINK \l "_Toc102317305" </w:instrText>
          </w:r>
          <w:r>
            <w:fldChar w:fldCharType="separate"/>
          </w:r>
          <w:r>
            <w:rPr>
              <w:rStyle w:val="23"/>
              <w:rFonts w:ascii="Times New Roman" w:hAnsi="Times New Roman" w:cs="Times New Roman"/>
              <w:sz w:val="24"/>
              <w:szCs w:val="24"/>
            </w:rPr>
            <w:t>1.</w:t>
          </w:r>
          <w:r>
            <w:rPr>
              <w:kern w:val="2"/>
              <w:szCs w:val="24"/>
            </w:rPr>
            <w:tab/>
          </w:r>
          <w:r>
            <w:rPr>
              <w:rStyle w:val="23"/>
              <w:rFonts w:ascii="Times New Roman" w:hAnsi="Times New Roman" w:cs="Times New Roman"/>
              <w:sz w:val="24"/>
              <w:szCs w:val="24"/>
            </w:rPr>
            <w:t>Introduction</w:t>
          </w:r>
          <w:r>
            <w:rPr>
              <w:sz w:val="24"/>
              <w:szCs w:val="24"/>
            </w:rPr>
            <w:tab/>
          </w:r>
          <w:r>
            <w:rPr>
              <w:sz w:val="24"/>
              <w:szCs w:val="24"/>
            </w:rPr>
            <w:fldChar w:fldCharType="begin"/>
          </w:r>
          <w:r>
            <w:rPr>
              <w:sz w:val="24"/>
              <w:szCs w:val="24"/>
            </w:rPr>
            <w:instrText xml:space="preserve"> PAGEREF _Toc102317305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15"/>
            <w:tabs>
              <w:tab w:val="left" w:pos="420"/>
              <w:tab w:val="right" w:leader="dot" w:pos="9736"/>
            </w:tabs>
            <w:rPr>
              <w:kern w:val="2"/>
              <w:szCs w:val="24"/>
            </w:rPr>
          </w:pPr>
          <w:r>
            <w:fldChar w:fldCharType="begin"/>
          </w:r>
          <w:r>
            <w:instrText xml:space="preserve"> HYPERLINK \l "_Toc102317306" </w:instrText>
          </w:r>
          <w:r>
            <w:fldChar w:fldCharType="separate"/>
          </w:r>
          <w:r>
            <w:rPr>
              <w:rStyle w:val="23"/>
              <w:rFonts w:ascii="Times New Roman" w:hAnsi="Times New Roman" w:cs="Times New Roman"/>
              <w:sz w:val="24"/>
              <w:szCs w:val="24"/>
            </w:rPr>
            <w:t>2.</w:t>
          </w:r>
          <w:r>
            <w:rPr>
              <w:kern w:val="2"/>
              <w:szCs w:val="24"/>
            </w:rPr>
            <w:tab/>
          </w:r>
          <w:r>
            <w:rPr>
              <w:rStyle w:val="23"/>
              <w:rFonts w:ascii="Times New Roman" w:hAnsi="Times New Roman" w:cs="Times New Roman"/>
              <w:sz w:val="24"/>
              <w:szCs w:val="24"/>
            </w:rPr>
            <w:t>Marketing plan for Huazhu – based on SOSTAC</w:t>
          </w:r>
          <w:r>
            <w:rPr>
              <w:sz w:val="24"/>
              <w:szCs w:val="24"/>
            </w:rPr>
            <w:tab/>
          </w:r>
          <w:r>
            <w:rPr>
              <w:sz w:val="24"/>
              <w:szCs w:val="24"/>
            </w:rPr>
            <w:fldChar w:fldCharType="begin"/>
          </w:r>
          <w:r>
            <w:rPr>
              <w:sz w:val="24"/>
              <w:szCs w:val="24"/>
            </w:rPr>
            <w:instrText xml:space="preserve"> PAGEREF _Toc102317306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7"/>
            <w:tabs>
              <w:tab w:val="left" w:pos="1050"/>
              <w:tab w:val="right" w:leader="dot" w:pos="9736"/>
            </w:tabs>
            <w:ind w:left="440"/>
            <w:rPr>
              <w:kern w:val="2"/>
              <w:szCs w:val="24"/>
            </w:rPr>
          </w:pPr>
          <w:r>
            <w:fldChar w:fldCharType="begin"/>
          </w:r>
          <w:r>
            <w:instrText xml:space="preserve"> HYPERLINK \l "_Toc102317307" </w:instrText>
          </w:r>
          <w:r>
            <w:fldChar w:fldCharType="separate"/>
          </w:r>
          <w:r>
            <w:rPr>
              <w:rStyle w:val="23"/>
              <w:rFonts w:ascii="Times New Roman" w:hAnsi="Times New Roman" w:cs="Times New Roman"/>
              <w:sz w:val="24"/>
              <w:szCs w:val="24"/>
            </w:rPr>
            <w:t>2.1</w:t>
          </w:r>
          <w:r>
            <w:rPr>
              <w:kern w:val="2"/>
              <w:szCs w:val="24"/>
            </w:rPr>
            <w:tab/>
          </w:r>
          <w:r>
            <w:rPr>
              <w:rStyle w:val="23"/>
              <w:rFonts w:ascii="Times New Roman" w:hAnsi="Times New Roman" w:cs="Times New Roman"/>
              <w:sz w:val="24"/>
              <w:szCs w:val="24"/>
            </w:rPr>
            <w:t>Situation</w:t>
          </w:r>
          <w:r>
            <w:rPr>
              <w:sz w:val="24"/>
              <w:szCs w:val="24"/>
            </w:rPr>
            <w:tab/>
          </w:r>
          <w:r>
            <w:rPr>
              <w:sz w:val="24"/>
              <w:szCs w:val="24"/>
            </w:rPr>
            <w:fldChar w:fldCharType="begin"/>
          </w:r>
          <w:r>
            <w:rPr>
              <w:sz w:val="24"/>
              <w:szCs w:val="24"/>
            </w:rPr>
            <w:instrText xml:space="preserve"> PAGEREF _Toc102317307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7"/>
            <w:tabs>
              <w:tab w:val="left" w:pos="1050"/>
              <w:tab w:val="right" w:leader="dot" w:pos="9736"/>
            </w:tabs>
            <w:ind w:left="440"/>
            <w:rPr>
              <w:kern w:val="2"/>
              <w:szCs w:val="24"/>
            </w:rPr>
          </w:pPr>
          <w:r>
            <w:fldChar w:fldCharType="begin"/>
          </w:r>
          <w:r>
            <w:instrText xml:space="preserve"> HYPERLINK \l "_Toc102317310" </w:instrText>
          </w:r>
          <w:r>
            <w:fldChar w:fldCharType="separate"/>
          </w:r>
          <w:r>
            <w:rPr>
              <w:rStyle w:val="23"/>
              <w:rFonts w:ascii="Times New Roman" w:hAnsi="Times New Roman" w:cs="Times New Roman"/>
              <w:sz w:val="24"/>
              <w:szCs w:val="24"/>
            </w:rPr>
            <w:t>2.2</w:t>
          </w:r>
          <w:r>
            <w:rPr>
              <w:kern w:val="2"/>
              <w:szCs w:val="24"/>
            </w:rPr>
            <w:tab/>
          </w:r>
          <w:r>
            <w:rPr>
              <w:rStyle w:val="23"/>
              <w:rFonts w:ascii="Times New Roman" w:hAnsi="Times New Roman" w:cs="Times New Roman"/>
              <w:sz w:val="24"/>
              <w:szCs w:val="24"/>
            </w:rPr>
            <w:t>Objective</w:t>
          </w:r>
          <w:r>
            <w:rPr>
              <w:sz w:val="24"/>
              <w:szCs w:val="24"/>
            </w:rPr>
            <w:tab/>
          </w:r>
          <w:r>
            <w:rPr>
              <w:sz w:val="24"/>
              <w:szCs w:val="24"/>
            </w:rPr>
            <w:fldChar w:fldCharType="begin"/>
          </w:r>
          <w:r>
            <w:rPr>
              <w:sz w:val="24"/>
              <w:szCs w:val="24"/>
            </w:rPr>
            <w:instrText xml:space="preserve"> PAGEREF _Toc102317310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17"/>
            <w:tabs>
              <w:tab w:val="left" w:pos="1050"/>
              <w:tab w:val="right" w:leader="dot" w:pos="9736"/>
            </w:tabs>
            <w:ind w:left="440"/>
            <w:rPr>
              <w:kern w:val="2"/>
              <w:szCs w:val="24"/>
            </w:rPr>
          </w:pPr>
          <w:r>
            <w:fldChar w:fldCharType="begin"/>
          </w:r>
          <w:r>
            <w:instrText xml:space="preserve"> HYPERLINK \l "_Toc102317311" </w:instrText>
          </w:r>
          <w:r>
            <w:fldChar w:fldCharType="separate"/>
          </w:r>
          <w:r>
            <w:rPr>
              <w:rStyle w:val="23"/>
              <w:rFonts w:ascii="Times New Roman" w:hAnsi="Times New Roman" w:cs="Times New Roman"/>
              <w:sz w:val="24"/>
              <w:szCs w:val="24"/>
            </w:rPr>
            <w:t>2.3</w:t>
          </w:r>
          <w:r>
            <w:rPr>
              <w:kern w:val="2"/>
              <w:szCs w:val="24"/>
            </w:rPr>
            <w:tab/>
          </w:r>
          <w:r>
            <w:rPr>
              <w:rStyle w:val="23"/>
              <w:rFonts w:ascii="Times New Roman" w:hAnsi="Times New Roman" w:cs="Times New Roman"/>
              <w:sz w:val="24"/>
              <w:szCs w:val="24"/>
            </w:rPr>
            <w:t>Strategy</w:t>
          </w:r>
          <w:r>
            <w:rPr>
              <w:sz w:val="24"/>
              <w:szCs w:val="24"/>
            </w:rPr>
            <w:tab/>
          </w:r>
          <w:r>
            <w:rPr>
              <w:sz w:val="24"/>
              <w:szCs w:val="24"/>
            </w:rPr>
            <w:fldChar w:fldCharType="begin"/>
          </w:r>
          <w:r>
            <w:rPr>
              <w:sz w:val="24"/>
              <w:szCs w:val="24"/>
            </w:rPr>
            <w:instrText xml:space="preserve"> PAGEREF _Toc102317311 \h </w:instrText>
          </w:r>
          <w:r>
            <w:rPr>
              <w:sz w:val="24"/>
              <w:szCs w:val="24"/>
            </w:rPr>
            <w:fldChar w:fldCharType="separate"/>
          </w:r>
          <w:r>
            <w:rPr>
              <w:sz w:val="24"/>
              <w:szCs w:val="24"/>
            </w:rPr>
            <w:t>7</w:t>
          </w:r>
          <w:r>
            <w:rPr>
              <w:sz w:val="24"/>
              <w:szCs w:val="24"/>
            </w:rPr>
            <w:fldChar w:fldCharType="end"/>
          </w:r>
          <w:r>
            <w:rPr>
              <w:sz w:val="24"/>
              <w:szCs w:val="24"/>
            </w:rPr>
            <w:fldChar w:fldCharType="end"/>
          </w:r>
        </w:p>
        <w:p>
          <w:pPr>
            <w:pStyle w:val="17"/>
            <w:tabs>
              <w:tab w:val="right" w:leader="dot" w:pos="9736"/>
            </w:tabs>
            <w:ind w:left="440"/>
            <w:rPr>
              <w:kern w:val="2"/>
              <w:szCs w:val="24"/>
            </w:rPr>
          </w:pPr>
          <w:r>
            <w:fldChar w:fldCharType="begin"/>
          </w:r>
          <w:r>
            <w:instrText xml:space="preserve"> HYPERLINK \l "_Toc102317312" </w:instrText>
          </w:r>
          <w:r>
            <w:fldChar w:fldCharType="separate"/>
          </w:r>
          <w:r>
            <w:rPr>
              <w:rStyle w:val="23"/>
              <w:rFonts w:ascii="Times New Roman" w:hAnsi="Times New Roman" w:cs="Times New Roman"/>
              <w:sz w:val="24"/>
              <w:szCs w:val="24"/>
            </w:rPr>
            <w:t>2.4   Tactics</w:t>
          </w:r>
          <w:r>
            <w:rPr>
              <w:sz w:val="24"/>
              <w:szCs w:val="24"/>
            </w:rPr>
            <w:tab/>
          </w:r>
          <w:r>
            <w:rPr>
              <w:sz w:val="24"/>
              <w:szCs w:val="24"/>
            </w:rPr>
            <w:fldChar w:fldCharType="begin"/>
          </w:r>
          <w:r>
            <w:rPr>
              <w:sz w:val="24"/>
              <w:szCs w:val="24"/>
            </w:rPr>
            <w:instrText xml:space="preserve"> PAGEREF _Toc102317312 \h </w:instrText>
          </w:r>
          <w:r>
            <w:rPr>
              <w:sz w:val="24"/>
              <w:szCs w:val="24"/>
            </w:rPr>
            <w:fldChar w:fldCharType="separate"/>
          </w:r>
          <w:r>
            <w:rPr>
              <w:sz w:val="24"/>
              <w:szCs w:val="24"/>
            </w:rPr>
            <w:t>7</w:t>
          </w:r>
          <w:r>
            <w:rPr>
              <w:sz w:val="24"/>
              <w:szCs w:val="24"/>
            </w:rPr>
            <w:fldChar w:fldCharType="end"/>
          </w:r>
          <w:r>
            <w:rPr>
              <w:sz w:val="24"/>
              <w:szCs w:val="24"/>
            </w:rPr>
            <w:fldChar w:fldCharType="end"/>
          </w:r>
        </w:p>
        <w:p>
          <w:pPr>
            <w:pStyle w:val="17"/>
            <w:tabs>
              <w:tab w:val="right" w:leader="dot" w:pos="9736"/>
            </w:tabs>
            <w:ind w:left="440"/>
            <w:rPr>
              <w:kern w:val="2"/>
              <w:szCs w:val="24"/>
            </w:rPr>
          </w:pPr>
          <w:r>
            <w:fldChar w:fldCharType="begin"/>
          </w:r>
          <w:r>
            <w:instrText xml:space="preserve"> HYPERLINK \l "_Toc102317313" </w:instrText>
          </w:r>
          <w:r>
            <w:fldChar w:fldCharType="separate"/>
          </w:r>
          <w:r>
            <w:rPr>
              <w:rStyle w:val="23"/>
              <w:rFonts w:ascii="Times New Roman" w:hAnsi="Times New Roman" w:cs="Times New Roman"/>
              <w:sz w:val="24"/>
              <w:szCs w:val="24"/>
            </w:rPr>
            <w:t>2.5   Actions</w:t>
          </w:r>
          <w:r>
            <w:rPr>
              <w:sz w:val="24"/>
              <w:szCs w:val="24"/>
            </w:rPr>
            <w:tab/>
          </w:r>
          <w:r>
            <w:rPr>
              <w:sz w:val="24"/>
              <w:szCs w:val="24"/>
            </w:rPr>
            <w:fldChar w:fldCharType="begin"/>
          </w:r>
          <w:r>
            <w:rPr>
              <w:sz w:val="24"/>
              <w:szCs w:val="24"/>
            </w:rPr>
            <w:instrText xml:space="preserve"> PAGEREF _Toc102317313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17"/>
            <w:tabs>
              <w:tab w:val="right" w:leader="dot" w:pos="9736"/>
            </w:tabs>
            <w:ind w:left="440"/>
            <w:rPr>
              <w:kern w:val="2"/>
              <w:szCs w:val="24"/>
            </w:rPr>
          </w:pPr>
          <w:r>
            <w:fldChar w:fldCharType="begin"/>
          </w:r>
          <w:r>
            <w:instrText xml:space="preserve"> HYPERLINK \l "_Toc102317314" </w:instrText>
          </w:r>
          <w:r>
            <w:fldChar w:fldCharType="separate"/>
          </w:r>
          <w:r>
            <w:rPr>
              <w:rStyle w:val="23"/>
              <w:rFonts w:ascii="Times New Roman" w:hAnsi="Times New Roman" w:cs="Times New Roman"/>
              <w:sz w:val="24"/>
              <w:szCs w:val="24"/>
            </w:rPr>
            <w:t>2.6   Control</w:t>
          </w:r>
          <w:r>
            <w:rPr>
              <w:sz w:val="24"/>
              <w:szCs w:val="24"/>
            </w:rPr>
            <w:tab/>
          </w:r>
          <w:r>
            <w:rPr>
              <w:sz w:val="24"/>
              <w:szCs w:val="24"/>
            </w:rPr>
            <w:fldChar w:fldCharType="begin"/>
          </w:r>
          <w:r>
            <w:rPr>
              <w:sz w:val="24"/>
              <w:szCs w:val="24"/>
            </w:rPr>
            <w:instrText xml:space="preserve"> PAGEREF _Toc102317314 \h </w:instrText>
          </w:r>
          <w:r>
            <w:rPr>
              <w:sz w:val="24"/>
              <w:szCs w:val="24"/>
            </w:rPr>
            <w:fldChar w:fldCharType="separate"/>
          </w:r>
          <w:r>
            <w:rPr>
              <w:sz w:val="24"/>
              <w:szCs w:val="24"/>
            </w:rPr>
            <w:t>10</w:t>
          </w:r>
          <w:r>
            <w:rPr>
              <w:sz w:val="24"/>
              <w:szCs w:val="24"/>
            </w:rPr>
            <w:fldChar w:fldCharType="end"/>
          </w:r>
          <w:r>
            <w:rPr>
              <w:sz w:val="24"/>
              <w:szCs w:val="24"/>
            </w:rPr>
            <w:fldChar w:fldCharType="end"/>
          </w:r>
        </w:p>
        <w:p>
          <w:pPr>
            <w:pStyle w:val="15"/>
            <w:tabs>
              <w:tab w:val="left" w:pos="420"/>
              <w:tab w:val="right" w:leader="dot" w:pos="9736"/>
            </w:tabs>
            <w:rPr>
              <w:kern w:val="2"/>
              <w:szCs w:val="24"/>
            </w:rPr>
          </w:pPr>
          <w:r>
            <w:fldChar w:fldCharType="begin"/>
          </w:r>
          <w:r>
            <w:instrText xml:space="preserve"> HYPERLINK \l "_Toc102317315" </w:instrText>
          </w:r>
          <w:r>
            <w:fldChar w:fldCharType="separate"/>
          </w:r>
          <w:r>
            <w:rPr>
              <w:rStyle w:val="23"/>
              <w:rFonts w:ascii="Times New Roman" w:hAnsi="Times New Roman" w:cs="Times New Roman"/>
              <w:sz w:val="24"/>
              <w:szCs w:val="24"/>
            </w:rPr>
            <w:t>3.</w:t>
          </w:r>
          <w:r>
            <w:rPr>
              <w:kern w:val="2"/>
              <w:szCs w:val="24"/>
            </w:rPr>
            <w:tab/>
          </w:r>
          <w:r>
            <w:rPr>
              <w:rStyle w:val="23"/>
              <w:rFonts w:ascii="Times New Roman" w:hAnsi="Times New Roman" w:cs="Times New Roman"/>
              <w:sz w:val="24"/>
              <w:szCs w:val="24"/>
            </w:rPr>
            <w:t>Recommendation and Conclusions</w:t>
          </w:r>
          <w:r>
            <w:rPr>
              <w:sz w:val="24"/>
              <w:szCs w:val="24"/>
            </w:rPr>
            <w:tab/>
          </w:r>
          <w:r>
            <w:rPr>
              <w:sz w:val="24"/>
              <w:szCs w:val="24"/>
            </w:rPr>
            <w:fldChar w:fldCharType="begin"/>
          </w:r>
          <w:r>
            <w:rPr>
              <w:sz w:val="24"/>
              <w:szCs w:val="24"/>
            </w:rPr>
            <w:instrText xml:space="preserve"> PAGEREF _Toc102317315 \h </w:instrText>
          </w:r>
          <w:r>
            <w:rPr>
              <w:sz w:val="24"/>
              <w:szCs w:val="24"/>
            </w:rPr>
            <w:fldChar w:fldCharType="separate"/>
          </w:r>
          <w:r>
            <w:rPr>
              <w:sz w:val="24"/>
              <w:szCs w:val="24"/>
            </w:rPr>
            <w:t>10</w:t>
          </w:r>
          <w:r>
            <w:rPr>
              <w:sz w:val="24"/>
              <w:szCs w:val="24"/>
            </w:rPr>
            <w:fldChar w:fldCharType="end"/>
          </w:r>
          <w:r>
            <w:rPr>
              <w:sz w:val="24"/>
              <w:szCs w:val="24"/>
            </w:rPr>
            <w:fldChar w:fldCharType="end"/>
          </w:r>
        </w:p>
        <w:p>
          <w:pPr>
            <w:pStyle w:val="15"/>
            <w:tabs>
              <w:tab w:val="right" w:leader="dot" w:pos="9736"/>
            </w:tabs>
            <w:rPr>
              <w:kern w:val="2"/>
              <w:szCs w:val="24"/>
            </w:rPr>
          </w:pPr>
          <w:r>
            <w:fldChar w:fldCharType="begin"/>
          </w:r>
          <w:r>
            <w:instrText xml:space="preserve"> HYPERLINK \l "_Toc102317316" </w:instrText>
          </w:r>
          <w:r>
            <w:fldChar w:fldCharType="separate"/>
          </w:r>
          <w:r>
            <w:rPr>
              <w:rStyle w:val="23"/>
              <w:rFonts w:ascii="Times New Roman" w:hAnsi="Times New Roman" w:cs="Times New Roman"/>
              <w:sz w:val="24"/>
              <w:szCs w:val="24"/>
            </w:rPr>
            <w:t>References</w:t>
          </w:r>
          <w:r>
            <w:rPr>
              <w:sz w:val="24"/>
              <w:szCs w:val="24"/>
            </w:rPr>
            <w:tab/>
          </w:r>
          <w:r>
            <w:rPr>
              <w:sz w:val="24"/>
              <w:szCs w:val="24"/>
            </w:rPr>
            <w:fldChar w:fldCharType="begin"/>
          </w:r>
          <w:r>
            <w:rPr>
              <w:sz w:val="24"/>
              <w:szCs w:val="24"/>
            </w:rPr>
            <w:instrText xml:space="preserve"> PAGEREF _Toc102317316 \h </w:instrText>
          </w:r>
          <w:r>
            <w:rPr>
              <w:sz w:val="24"/>
              <w:szCs w:val="24"/>
            </w:rPr>
            <w:fldChar w:fldCharType="separate"/>
          </w:r>
          <w:r>
            <w:rPr>
              <w:sz w:val="24"/>
              <w:szCs w:val="24"/>
            </w:rPr>
            <w:t>12</w:t>
          </w:r>
          <w:r>
            <w:rPr>
              <w:sz w:val="24"/>
              <w:szCs w:val="24"/>
            </w:rPr>
            <w:fldChar w:fldCharType="end"/>
          </w:r>
          <w:r>
            <w:rPr>
              <w:sz w:val="24"/>
              <w:szCs w:val="24"/>
            </w:rPr>
            <w:fldChar w:fldCharType="end"/>
          </w:r>
        </w:p>
        <w:p>
          <w:pPr>
            <w:rPr>
              <w:rFonts w:ascii="Times New Roman" w:hAnsi="Times New Roman" w:cs="Times New Roman"/>
            </w:rPr>
          </w:pPr>
          <w:r>
            <w:rPr>
              <w:rFonts w:ascii="Times New Roman" w:hAnsi="Times New Roman" w:cs="Times New Roman"/>
              <w:b/>
              <w:bCs/>
              <w:sz w:val="24"/>
              <w:szCs w:val="24"/>
              <w:lang w:val="zh-CN"/>
            </w:rPr>
            <w:fldChar w:fldCharType="end"/>
          </w:r>
        </w:p>
      </w:sdtContent>
    </w:sdt>
    <w:p>
      <w:pPr>
        <w:spacing w:before="468" w:beforeLines="150" w:after="468" w:afterLines="150" w:line="360" w:lineRule="auto"/>
        <w:jc w:val="both"/>
        <w:rPr>
          <w:rFonts w:ascii="Times New Roman" w:hAnsi="Times New Roman" w:cs="Times New Roman"/>
        </w:rPr>
      </w:pPr>
      <w:r>
        <w:rPr>
          <w:rFonts w:ascii="Times New Roman" w:hAnsi="Times New Roman" w:cs="Times New Roman"/>
        </w:rPr>
        <w:br w:type="page"/>
      </w:r>
    </w:p>
    <w:p>
      <w:pPr>
        <w:pStyle w:val="2"/>
        <w:spacing w:before="468" w:beforeLines="150" w:after="468" w:afterLines="150" w:line="360" w:lineRule="auto"/>
        <w:jc w:val="both"/>
        <w:rPr>
          <w:rFonts w:ascii="Times New Roman" w:hAnsi="Times New Roman" w:cs="Times New Roman"/>
        </w:rPr>
        <w:sectPr>
          <w:footerReference r:id="rId5" w:type="default"/>
          <w:pgSz w:w="11906" w:h="16838"/>
          <w:pgMar w:top="1440" w:right="1080" w:bottom="1440" w:left="1080" w:header="851" w:footer="992" w:gutter="0"/>
          <w:cols w:space="425" w:num="1"/>
          <w:docGrid w:type="lines" w:linePitch="312" w:charSpace="0"/>
        </w:sectPr>
      </w:pPr>
    </w:p>
    <w:p>
      <w:pPr>
        <w:pStyle w:val="2"/>
        <w:spacing w:before="468" w:beforeLines="150" w:after="468" w:afterLines="150" w:line="360" w:lineRule="auto"/>
        <w:jc w:val="both"/>
        <w:rPr>
          <w:rFonts w:ascii="Times New Roman" w:hAnsi="Times New Roman" w:cs="Times New Roman"/>
          <w:color w:val="auto"/>
        </w:rPr>
      </w:pPr>
      <w:bookmarkStart w:id="0" w:name="_Toc102317304"/>
      <w:r>
        <w:rPr>
          <w:rFonts w:ascii="Times New Roman" w:hAnsi="Times New Roman" w:cs="Times New Roman"/>
          <w:color w:val="auto"/>
        </w:rPr>
        <w:t>Executive Summary</w:t>
      </w:r>
      <w:bookmarkEnd w:id="0"/>
      <w:r>
        <w:rPr>
          <w:rFonts w:ascii="Times New Roman" w:hAnsi="Times New Roman" w:cs="Times New Roman"/>
          <w:color w:val="auto"/>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Huazhu is the second-largest hotel chain in China with an international presence. Ever since the outbreak of the covid-19, it has been struggling with reviving its financial performance due to the sluggish demand during the covid-19. As the travel industry starts to pick up in 2022 due to the ease of travel restrictions and the ever-high desire for traveling, Huazhu should actively be prepared to live with covid-19 and actively transform its business to adapt to the new competitive norm.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The present report is a sound marketing plan developed for Huazhu with an objective to improve its tax-inclusive RevPAR to 190 RMB level at the corporate level. Based on the objective, the 4P marketing mix of Huazhu is refined with more focus on product personalization, social media promotion, etc.</w:t>
      </w:r>
    </w:p>
    <w:p>
      <w:pPr>
        <w:spacing w:before="468" w:beforeLines="150" w:after="468" w:afterLines="150" w:line="360" w:lineRule="auto"/>
        <w:jc w:val="both"/>
        <w:rPr>
          <w:rFonts w:ascii="Times New Roman" w:hAnsi="Times New Roman" w:cs="Times New Roman"/>
          <w:sz w:val="24"/>
          <w:szCs w:val="24"/>
        </w:rPr>
      </w:pPr>
    </w:p>
    <w:p>
      <w:pPr>
        <w:spacing w:before="468" w:beforeLines="150" w:after="468" w:afterLines="150" w:line="360" w:lineRule="auto"/>
        <w:jc w:val="both"/>
        <w:rPr>
          <w:rFonts w:ascii="Times New Roman" w:hAnsi="Times New Roman" w:cs="Times New Roman"/>
          <w:sz w:val="24"/>
          <w:szCs w:val="24"/>
        </w:rPr>
      </w:pPr>
    </w:p>
    <w:p>
      <w:pPr>
        <w:spacing w:before="468" w:beforeLines="150" w:after="468" w:afterLines="150" w:line="360" w:lineRule="auto"/>
        <w:jc w:val="both"/>
        <w:rPr>
          <w:rFonts w:ascii="Times New Roman" w:hAnsi="Times New Roman" w:cs="Times New Roman"/>
          <w:sz w:val="24"/>
          <w:szCs w:val="24"/>
        </w:rPr>
      </w:pPr>
    </w:p>
    <w:p>
      <w:pPr>
        <w:spacing w:before="468" w:beforeLines="150" w:after="468" w:afterLines="150" w:line="360" w:lineRule="auto"/>
        <w:jc w:val="both"/>
        <w:rPr>
          <w:rFonts w:ascii="Times New Roman" w:hAnsi="Times New Roman" w:cs="Times New Roman"/>
          <w:sz w:val="24"/>
          <w:szCs w:val="24"/>
        </w:rPr>
      </w:pPr>
    </w:p>
    <w:p>
      <w:pPr>
        <w:spacing w:before="468" w:beforeLines="150" w:after="468" w:afterLines="150" w:line="360" w:lineRule="auto"/>
        <w:jc w:val="both"/>
        <w:rPr>
          <w:rFonts w:ascii="Times New Roman" w:hAnsi="Times New Roman" w:cs="Times New Roman"/>
          <w:sz w:val="24"/>
          <w:szCs w:val="24"/>
        </w:rPr>
      </w:pPr>
    </w:p>
    <w:p>
      <w:pPr>
        <w:spacing w:before="468" w:beforeLines="150" w:after="468" w:afterLines="150" w:line="360" w:lineRule="auto"/>
        <w:jc w:val="both"/>
        <w:rPr>
          <w:rFonts w:ascii="Times New Roman" w:hAnsi="Times New Roman" w:cs="Times New Roman"/>
          <w:sz w:val="24"/>
          <w:szCs w:val="24"/>
        </w:rPr>
      </w:pPr>
    </w:p>
    <w:p>
      <w:pPr>
        <w:pStyle w:val="2"/>
        <w:numPr>
          <w:ilvl w:val="0"/>
          <w:numId w:val="1"/>
        </w:numPr>
        <w:spacing w:before="468" w:beforeLines="150" w:after="468" w:afterLines="150" w:line="360" w:lineRule="auto"/>
        <w:jc w:val="both"/>
        <w:rPr>
          <w:rFonts w:ascii="Times New Roman" w:hAnsi="Times New Roman" w:cs="Times New Roman"/>
          <w:color w:val="auto"/>
        </w:rPr>
      </w:pPr>
      <w:bookmarkStart w:id="1" w:name="_Toc102317305"/>
      <w:r>
        <w:rPr>
          <w:rFonts w:ascii="Times New Roman" w:hAnsi="Times New Roman" w:cs="Times New Roman"/>
          <w:color w:val="auto"/>
        </w:rPr>
        <w:t>Introduction</w:t>
      </w:r>
      <w:bookmarkEnd w:id="1"/>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global outbreak of covid-19 in the beginning of 2020, governments around the world have introduced a plethora of measures in the hope of controlling the pandemic from further spreading, such as partial or complete border closures and the imposition of a number of requirements on inbound travelers, including pre-departure testing for the covid-19 virus and post-entry quarantine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{"citationItems":[{"id":"ITEM-1","itemData":{"DOI":"10.1371/journal.pone.0256486","ISSN":"19326203","PMID":"34469468","abstract":"This study aims to explore the impact of the Covid-19 pandemic on tourists’ travel risk and management perceptions. Driven on the effect of the pandemic, we investigate tourists’ travel risk and management perceptions and its effect on society using a sample of 716 respondents. The data was collected through social media platforms using a representative sampling method and analyzed applying the PLS-SEM tool. The findings reveal that Covid-19 pandemic has greatly affected travel risk and management perceptions. Travel risk and management perception had a significant association with risk management, service delivery, transportation patterns, distribution channels, avoidance of overpopulated destinations, and hygiene and safety. The results also identified the mediating effect of travel risk and management perceptions. The finding of this study contributes to tourism crises and provides future research insights in the travel and tourism sector and response to change tourists’ travel risk and management perceptions in the post-covid recovery period.","author":[{"dropping-particle":"","family":"Rahman","given":"Muhammad Khalilur","non-dropping-particle":"","parse-names":false,"suffix":""},{"dropping-particle":"","family":"Gazi","given":"Abu Issa","non-dropping-particle":"","parse-names":false,"suffix":""},{"dropping-particle":"","family":"Bhuiyan","given":"Miraj Ahmed","non-dropping-particle":"","parse-names":false,"suffix":""},{"dropping-particle":"","family":"Rahaman","given":"Atikur","non-dropping-particle":"","parse-names":false,"suffix":""}],"container-title":"PLoS ONE","id":"ITEM-1","issue":"9","issued":{"date-parts":[["2021","9","1"]]},"page":"e0256486","publisher":"Public Library of Science","title":"Effect of Covid-19 pandemic on tourist travel risk and management perceptions","type":"article-journal","volume":"16"},"uris":["http://www.mendeley.com/documents/?uuid=897d9737-6a0d-3368-9f08-75fb9f90cb0b"]}],"mendeley":{"formattedCitation":"(Rahman &lt;i&gt;et al.&lt;/i&gt;, 2021)","plainTextFormattedCitation":"(Rahman et al., 2021)","previouslyFormattedCitation":"(Rahman &lt;i&gt;et al.&lt;/i&gt;, 2021)"},"properties":{"noteIndex":0},"schema":"https://github.com/citation-style-language/schema/raw/master/csl-citation.json"}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(Rahman </w:t>
      </w:r>
      <w:r>
        <w:rPr>
          <w:rFonts w:ascii="Times New Roman" w:hAnsi="Times New Roman" w:cs="Times New Roman"/>
          <w:i/>
          <w:sz w:val="24"/>
          <w:szCs w:val="24"/>
        </w:rPr>
        <w:t>et al.</w:t>
      </w:r>
      <w:r>
        <w:rPr>
          <w:rFonts w:ascii="Times New Roman" w:hAnsi="Times New Roman" w:cs="Times New Roman"/>
          <w:sz w:val="24"/>
          <w:szCs w:val="24"/>
        </w:rPr>
        <w:t>, 2021)</w:t>
      </w:r>
      <w:r>
        <w:rPr>
          <w:rFonts w:ascii="Times New Roman" w:hAnsi="Times New Roman" w:cs="Times New Roman"/>
          <w:sz w:val="24"/>
          <w:szCs w:val="24"/>
        </w:rPr>
        <w:fldChar w:fldCharType="end"/>
      </w:r>
      <w:r>
        <w:rPr>
          <w:rFonts w:ascii="Times New Roman" w:hAnsi="Times New Roman" w:cs="Times New Roman"/>
          <w:sz w:val="24"/>
          <w:szCs w:val="24"/>
        </w:rPr>
        <w:t xml:space="preserve">. Under these measures, the travel cost and time for traveling, especially international travel, have been unprecedentedly high, making all operators within the industry struggle for basic survival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{"citationItems":[{"id":"ITEM-1","itemData":{"DOI":"10.1093/JTM/TAAA085","ISSN":"17088305","PMID":"32463093","author":[{"dropping-particle":"","family":"Chen","given":"Lin H.","non-dropping-particle":"","parse-names":false,"suffix":""},{"dropping-particle":"","family":"Freedman","given":"David O.","non-dropping-particle":"","parse-names":false,"suffix":""},{"dropping-particle":"","family":"Visser","given":"Leo G.","non-dropping-particle":"","parse-names":false,"suffix":""}],"container-title":"Journal of Travel Medicine","id":"ITEM-1","issue":"5","issued":{"date-parts":[["2021"]]},"page":"1-3","publisher":"Oxford University Press","title":"COVID-19 immunity passport to ease travel restrictions?","type":"article","volume":"27"},"uris":["http://www.mendeley.com/documents/?uuid=c9d5e101-db47-39e0-b83b-ff92a5928420"]}],"mendeley":{"formattedCitation":"(Chen, Freedman and Visser, 2021)","plainTextFormattedCitation":"(Chen, Freedman and Visser, 2021)","previouslyFormattedCitation":"(Chen, Freedman and Visser, 2021)"},"properties":{"noteIndex":0},"schema":"https://github.com/citation-style-language/schema/raw/master/csl-citation.json"}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(Chen, Freedman and Visser, 2021)</w:t>
      </w:r>
      <w:r>
        <w:rPr>
          <w:rFonts w:ascii="Times New Roman" w:hAnsi="Times New Roman" w:cs="Times New Roman"/>
          <w:sz w:val="24"/>
          <w:szCs w:val="24"/>
        </w:rPr>
        <w:fldChar w:fldCharType="end"/>
      </w:r>
      <w:r>
        <w:rPr>
          <w:rFonts w:ascii="Times New Roman" w:hAnsi="Times New Roman" w:cs="Times New Roman"/>
          <w:sz w:val="24"/>
          <w:szCs w:val="24"/>
        </w:rPr>
        <w:t xml:space="preserve">. However, the status quo of epidemic prevention and control has improved significantly, the social and economic production level has gradually returned to a stable growth trend, and the demand of ordinary residents for living and entertainment has gradually returned to the level before the epidemic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{"citationItems":[{"id":"ITEM-1","itemData":{"DOI":"10.1016/j.tourman.2021.104429","ISSN":"02615177","abstract":"There are numerous arguments regarding the attitudes of different tourists and scenic destination managers regarding virtual tourism. However, it remains difficult to understand the public's attitude towards virtual tourism in a crisis situation. In this way, under the influence of COVID-19, this study explores the public sentiment and drivers of virtual tourism using Python and the grounded theory method. The results reveal that tourists' positive sentiment in virtual tourism dominates, with few tourists showing negative or neutral sentiment polarity. Furthermore, there is an obvious law of time decay in the intensity of public sentiment. Especially as the crisis fades, the supplementary effect of virtual tourism on on-site tourism weakens. Moreover, project design, experience quality, travel convenience, travel cost, travel motivation and destination attractiveness are the critical factors affecting tourist sentiment. The findings provide implications for the sustainable development of both destination and virtual tourism in a new world order post-COVID-19.","author":[{"dropping-particle":"","family":"Zhang","given":"Shu Ning","non-dropping-particle":"","parse-names":false,"suffix":""},{"dropping-particle":"","family":"Li","given":"Yong Quan","non-dropping-particle":"","parse-names":false,"suffix":""},{"dropping-particle":"","family":"Ruan","given":"Wen Qi","non-dropping-particle":"","parse-names":false,"suffix":""},{"dropping-particle":"","family":"Liu","given":"Chih Hsing","non-dropping-particle":"","parse-names":false,"suffix":""}],"container-title":"Tourism Management","id":"ITEM-1","issue":"1","issued":{"date-parts":[["2022"]]},"page":"23-34","title":"Would you enjoy virtual travel? The characteristics and causes of virtual tourists’ sentiment under the influence of the COVID-19 pandemic","type":"article-journal","volume":"88"},"uris":["http://www.mendeley.com/documents/?uuid=ad3d784f-5862-38fc-a0ee-45e70a413e44"]}],"mendeley":{"formattedCitation":"(Zhang &lt;i&gt;et al.&lt;/i&gt;, 2022)","plainTextFormattedCitation":"(Zhang et al., 2022)","previouslyFormattedCitation":"(Zhang &lt;i&gt;et al.&lt;/i&gt;,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(Zhang </w:t>
      </w:r>
      <w:r>
        <w:rPr>
          <w:rFonts w:ascii="Times New Roman" w:hAnsi="Times New Roman" w:cs="Times New Roman"/>
          <w:i/>
          <w:sz w:val="24"/>
          <w:szCs w:val="24"/>
        </w:rPr>
        <w:t>et al.</w:t>
      </w:r>
      <w:r>
        <w:rPr>
          <w:rFonts w:ascii="Times New Roman" w:hAnsi="Times New Roman" w:cs="Times New Roman"/>
          <w:sz w:val="24"/>
          <w:szCs w:val="24"/>
        </w:rPr>
        <w:t>, 2022)</w:t>
      </w:r>
      <w:r>
        <w:rPr>
          <w:rFonts w:ascii="Times New Roman" w:hAnsi="Times New Roman" w:cs="Times New Roman"/>
          <w:sz w:val="24"/>
          <w:szCs w:val="24"/>
        </w:rPr>
        <w:fldChar w:fldCharType="end"/>
      </w:r>
      <w:r>
        <w:rPr>
          <w:rFonts w:ascii="Times New Roman" w:hAnsi="Times New Roman" w:cs="Times New Roman"/>
          <w:sz w:val="24"/>
          <w:szCs w:val="24"/>
        </w:rPr>
        <w:t xml:space="preserve">. The industry has been optimistic about the recovery of the hotel industry, but opportunities and challenges coexist. How the traditional hotel industry can actively seek new ways to break through and upgrade under the new social situation has become a challenge for them.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Huazhu Group (as Huazhu) is a leading and fast-growing, multi-brand hotel group in China with a global footprint. Huazhu is the second-largest hotel group in China and ninth in the global hotel market with 11% (China) and 2.7% (worldwide) market share, respectively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2022)","previouslyFormattedCitation":"(Huazhu,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(Huazhu, 2022)</w:t>
      </w:r>
      <w:r>
        <w:rPr>
          <w:rFonts w:ascii="Times New Roman" w:hAnsi="Times New Roman" w:cs="Times New Roman"/>
          <w:sz w:val="24"/>
          <w:szCs w:val="24"/>
        </w:rPr>
        <w:fldChar w:fldCharType="end"/>
      </w:r>
      <w:r>
        <w:rPr>
          <w:rFonts w:ascii="Times New Roman" w:hAnsi="Times New Roman" w:cs="Times New Roman"/>
          <w:sz w:val="24"/>
          <w:szCs w:val="24"/>
        </w:rPr>
        <w:t xml:space="preserve">. The present report uses the widely adopted SOSTAC framework to develop a more effective marketing plan for Huazhu. SOSTAC is an acronym for situation (where is Huazhu now?), objective (where does Huazhu want to get to?), strategy (the big picture about how is Huazhu going to get there?), tactics (the detailed plan about how is Huazhu going to get there?) action (who is going to do what and when?), and control (how can Huazhu control, measure, and develop the process?)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{"citationItems":[{"id":"ITEM-1","itemData":{"URL":"https://digitaldimensions4u.com/how-to-write-a-digital-marketing-plan-sostac-model/","abstract":"Special Note:-The digital marketing plan mentioned in the below-given post is based on the model formulated by PR Smith's SOSTAC® Planning framework. You can have more details from www. prsmith. org/sostac or to become a SOSTAC® Certified Planner visit www …","accessed":{"date-parts":[["2022","5","1"]]},"author":[{"dropping-particle":"","family":"Smith","given":"P R","non-dropping-particle":"","parse-names":false,"suffix":""}],"container-title":"SmartInsights","id":"ITEM-1","issued":{"date-parts":[["2020"]]},"title":"How to create a digital marketing plan using PR Smith's SOSTAC® Planning model","type":"webpage"},"uris":["http://www.mendeley.com/documents/?uuid=1d87f0bb-4789-3e1c-859a-d022b4b763c0"]}],"mendeley":{"formattedCitation":"(Smith, 2020)","plainTextFormattedCitation":"(Smith, 2020)","previouslyFormattedCitation":"(Smith, 2020)"},"properties":{"noteIndex":0},"schema":"https://github.com/citation-style-language/schema/raw/master/csl-citation.json"}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(Smith, 2020)</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pStyle w:val="2"/>
        <w:numPr>
          <w:ilvl w:val="0"/>
          <w:numId w:val="1"/>
        </w:numPr>
        <w:spacing w:before="468" w:beforeLines="150" w:after="468" w:afterLines="150" w:line="360" w:lineRule="auto"/>
        <w:jc w:val="both"/>
        <w:rPr>
          <w:rFonts w:ascii="Times New Roman" w:hAnsi="Times New Roman" w:cs="Times New Roman"/>
          <w:color w:val="auto"/>
        </w:rPr>
      </w:pPr>
      <w:bookmarkStart w:id="2" w:name="_Toc102317306"/>
      <w:r>
        <w:rPr>
          <w:rFonts w:ascii="Times New Roman" w:hAnsi="Times New Roman" w:cs="Times New Roman"/>
          <w:color w:val="auto"/>
        </w:rPr>
        <w:t>Marketing plan for Huazhu – based on SOSTAC</w:t>
      </w:r>
      <w:bookmarkEnd w:id="2"/>
    </w:p>
    <w:p>
      <w:pPr>
        <w:pStyle w:val="3"/>
        <w:numPr>
          <w:ilvl w:val="1"/>
          <w:numId w:val="1"/>
        </w:numPr>
        <w:spacing w:before="468" w:beforeLines="150" w:after="468" w:afterLines="150" w:line="360" w:lineRule="auto"/>
        <w:jc w:val="both"/>
        <w:rPr>
          <w:rFonts w:ascii="Times New Roman" w:hAnsi="Times New Roman" w:cs="Times New Roman"/>
          <w:color w:val="auto"/>
        </w:rPr>
      </w:pPr>
      <w:bookmarkStart w:id="3" w:name="_Toc102317307"/>
      <w:r>
        <w:rPr>
          <w:rFonts w:ascii="Times New Roman" w:hAnsi="Times New Roman" w:cs="Times New Roman"/>
          <w:color w:val="auto"/>
        </w:rPr>
        <w:t>Situation</w:t>
      </w:r>
      <w:bookmarkEnd w:id="3"/>
      <w:r>
        <w:rPr>
          <w:rFonts w:ascii="Times New Roman" w:hAnsi="Times New Roman" w:cs="Times New Roman"/>
          <w:color w:val="auto"/>
        </w:rPr>
        <w:t xml:space="preserve"> </w:t>
      </w:r>
    </w:p>
    <w:p>
      <w:pPr>
        <w:pStyle w:val="4"/>
        <w:spacing w:before="468" w:beforeLines="150" w:after="468" w:afterLines="150" w:line="360" w:lineRule="auto"/>
        <w:jc w:val="both"/>
        <w:rPr>
          <w:rFonts w:ascii="Times New Roman" w:hAnsi="Times New Roman" w:cs="Times New Roman"/>
          <w:color w:val="auto"/>
        </w:rPr>
      </w:pPr>
      <w:bookmarkStart w:id="4" w:name="_Toc102317255"/>
      <w:bookmarkStart w:id="5" w:name="_Toc102317308"/>
      <w:r>
        <w:rPr>
          <w:rFonts w:ascii="Times New Roman" w:hAnsi="Times New Roman" w:cs="Times New Roman"/>
          <w:color w:val="auto"/>
        </w:rPr>
        <w:t>2.1.1 Internal situation analysis</w:t>
      </w:r>
      <w:bookmarkEnd w:id="4"/>
      <w:bookmarkEnd w:id="5"/>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three main business models of Huazhu are the lease and ownership model, the franchise model and the management franchise model. The lease and ownership model are an asset-heavy model in which the Company directly operates hotels located primarily in leased and owned properties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10.1002/9781119751342.ch5","author":[{"dropping-particle":"","family":"Giacomel","given":"Aurore","non-dropping-particle":"","parse-names":false,"suffix":""},{"dropping-particle":"","family":"Dumoulin","given":"Régis","non-dropping-particle":"","parse-names":false,"suffix":""}],"container-title":"Shapes of Tourism Employment","id":"ITEM-1","issued":{"date-parts":[["2020","6","30"]]},"page":"67-76","publisher":"Wiley","title":"The Globalized Hotel Business: Worlds within a World","type":"chapter"},"uris":["http://www.mendeley.com/documents/?uuid=14ffe063-0138-3f20-86ea-af73670942a4"]}],"mendeley":{"formattedCitation":"(Giacomel and Dumoulin, 2020)","plainTextFormattedCitation":"(Giacomel and Dumoulin, 2020)","previouslyFormattedCitation":"(Giacomel and Dumoulin, 2020)"},"properties":{"noteIndex":0},"schema":"https://github.com/citation-style-language/schema/raw/master/csl-citation.json"}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(Giacomel and Dumoulin, 2020)</w:t>
      </w:r>
      <w:r>
        <w:rPr>
          <w:rFonts w:ascii="Times New Roman" w:hAnsi="Times New Roman" w:cs="Times New Roman"/>
          <w:sz w:val="24"/>
          <w:szCs w:val="24"/>
        </w:rPr>
        <w:fldChar w:fldCharType="end"/>
      </w:r>
      <w:r>
        <w:rPr>
          <w:rFonts w:ascii="Times New Roman" w:hAnsi="Times New Roman" w:cs="Times New Roman"/>
          <w:sz w:val="24"/>
          <w:szCs w:val="24"/>
        </w:rPr>
        <w:t xml:space="preserve">. The franchising and management franchise model is an asset-light model. Under the franchise model, the Company charges franchisees but does not assign on-site hotel managers. Under the management franchise model, the hotels are managed and franchisee fees are charged through the assistance of on-site hotel managers. As of March 31, 2021, Huazhu's hotel business covers 16 countries with 6,881 hotels and 662,512 rooms with franchises accounting for 88.9% of the total number of hotels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2022)","previouslyFormattedCitation":"(Huazhu,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(Huazhu, 2022)</w:t>
      </w:r>
      <w:r>
        <w:rPr>
          <w:rFonts w:ascii="Times New Roman" w:hAnsi="Times New Roman" w:cs="Times New Roman"/>
          <w:sz w:val="24"/>
          <w:szCs w:val="24"/>
        </w:rPr>
        <w:fldChar w:fldCharType="end"/>
      </w:r>
      <w:r>
        <w:rPr>
          <w:rFonts w:ascii="Times New Roman" w:hAnsi="Times New Roman" w:cs="Times New Roman"/>
          <w:sz w:val="24"/>
          <w:szCs w:val="24"/>
        </w:rPr>
        <w:t xml:space="preserve">. The franchising model has become the main business model of Huazhu and is dominated by management franchises. At the same time, Huazhu operates more than 20 hotel brands to enhance its market competitiveness. The hotels operated by Huazhu can be divided into the economy, mid-range, mid-range and high-end brands, covering all segments of the market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{"citationItems":[{"id":"ITEM-1","itemData":{"URL":"https://www.investorsobserver.com/news/stock-update/is-huazhu-group-ltd-htht-stock-a-bad-value","accessed":{"date-parts":[["2022","5","1"]]},"author":[{"dropping-particle":"","family":"Investor Observer","given":"","non-dropping-particle":"","parse-names":false,"suffix":""}],"id":"ITEM-1","issued":{"date-parts":[["2022"]]},"title":"Is Huazhu Group Ltd (HTHT) Stock a Bad Value?","type":"webpage"},"uris":["http://www.mendeley.com/documents/?uuid=05ec1468-4154-3345-b7c7-ce3315dea740"]}],"mendeley":{"formattedCitation":"(Investor Observer, 2022)","plainTextFormattedCitation":"(Investor Observer, 2022)","previouslyFormattedCitation":"(Investor Observer,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(Investor Observer, 2022)</w:t>
      </w:r>
      <w:r>
        <w:rPr>
          <w:rFonts w:ascii="Times New Roman" w:hAnsi="Times New Roman" w:cs="Times New Roman"/>
          <w:sz w:val="24"/>
          <w:szCs w:val="24"/>
        </w:rPr>
        <w:fldChar w:fldCharType="end"/>
      </w:r>
      <w:r>
        <w:rPr>
          <w:rFonts w:ascii="Times New Roman" w:hAnsi="Times New Roman" w:cs="Times New Roman"/>
          <w:sz w:val="24"/>
          <w:szCs w:val="24"/>
        </w:rPr>
        <w:t xml:space="preserve">. The multi-brand strategy provides Huazhu with competitive advantages: 1) being able to open more stores in attractive markets; 2) meeting the changing consumer needs of various types of consumers and attracting more customers; and 3) gaining greater economies of scale through the group's shared platform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globenewswire.com/news-release/2022/03/23/2408461/19355/en/Huazhu-Group-Limited-Reports-Fourth-Quarter-and-Full-Year-2021-Unaudited-Financial-Results.html","accessed":{"date-parts":[["2022","5","1"]]},"author":[{"dropping-particle":"","family":"Global Newswire","given":"","non-dropping-particle":"","parse-names":false,"suffix":""}],"id":"ITEM-1","issued":{"date-parts":[["2022"]]},"title":"Huazhu Group Limited Reports Fourth Quarter and Full Year","type":"webpage"},"uris":["http://www.mendeley.com/documents/?uuid=12f97cf9-d28b-3d67-9eec-55cff7adebd4"]},{"id":"ITEM-2","itemData":{"DOI":"10.1108/ihr-05-2020-0012","ISSN":"2516-8142","author":[{"dropping-particle":"","family":"Wen","given":"Jun","non-dropping-particle":"","parse-names":false,"suffix":""}],"container-title":"International Hospitality Review","id":"ITEM-2","issue":"3","issued":{"date-parts":[["2021","1","14"]]},"page":"34-45","publisher":"Emerald","title":"CEO interview-Mr. Jingbang Zhang, EVP of Yagao Meihua Hotel Management Co., Ltd and CEO of Madison Brand, Shanghai, China","type":"article-journal","volume":"1"},"uris":["http://www.mendeley.com/documents/?uuid=91ad709e-5dd2-303c-92f6-634e26c17ec4"]}],"mendeley":{"formattedCitation":"(Wen, 2021; Global Newswire, 2022)","plainTextFormattedCitation":"(Wen, 2021; Global Newswire, 2022)","previouslyFormattedCitation":"(Wen, 2021; Global Newswire,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(Wen, 2021; Global Newswire, 2022)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covid-19 on the global scale, Huazhu recorded a net loss of approximately $2,204 million in FY2020, turning from profit to loss year-over-year. A decrease of 10.26% on the daily average rate was reported on a year-over-year basis; the occupancy rate for the year was 71.0%, compared to 84.4% in FY2019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2022)","previouslyFormattedCitation":"(Huazhu,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(Huazhu, 2022)</w:t>
      </w:r>
      <w:r>
        <w:rPr>
          <w:rFonts w:ascii="Times New Roman" w:hAnsi="Times New Roman" w:cs="Times New Roman"/>
          <w:sz w:val="24"/>
          <w:szCs w:val="24"/>
        </w:rPr>
        <w:fldChar w:fldCharType="end"/>
      </w:r>
      <w:r>
        <w:rPr>
          <w:rFonts w:ascii="Times New Roman" w:hAnsi="Times New Roman" w:cs="Times New Roman"/>
          <w:sz w:val="24"/>
          <w:szCs w:val="24"/>
        </w:rPr>
        <w:t xml:space="preserve">. The unsatisfied financial performance was largely caused by the macroeconomic condition of the whole lodging industry. </w:t>
      </w:r>
    </w:p>
    <w:p>
      <w:pPr>
        <w:pStyle w:val="4"/>
        <w:spacing w:before="468" w:beforeLines="150" w:after="468" w:afterLines="150" w:line="360" w:lineRule="auto"/>
        <w:jc w:val="both"/>
        <w:rPr>
          <w:rFonts w:ascii="Times New Roman" w:hAnsi="Times New Roman" w:cs="Times New Roman"/>
          <w:color w:val="auto"/>
        </w:rPr>
      </w:pPr>
      <w:bookmarkStart w:id="6" w:name="_Toc102317309"/>
      <w:bookmarkStart w:id="7" w:name="_Toc102317256"/>
      <w:r>
        <w:rPr>
          <w:rFonts w:ascii="Times New Roman" w:hAnsi="Times New Roman" w:cs="Times New Roman"/>
          <w:color w:val="auto"/>
        </w:rPr>
        <w:t>2.1.2 External situation analysis</w:t>
      </w:r>
      <w:bookmarkEnd w:id="6"/>
      <w:bookmarkEnd w:id="7"/>
      <w:r>
        <w:rPr>
          <w:rFonts w:ascii="Times New Roman" w:hAnsi="Times New Roman" w:cs="Times New Roman"/>
          <w:color w:val="auto"/>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In terms of external analysis, the independent hotels with lower resilience are expected to exist the industry due to the continuous threats from the covid-19, and the hotel chains is expected to witness a stronger penetration and recovery in 2022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{"citationItems":[{"id":"ITEM-1","itemData":{"DOI":"10.1016/j.jairtraman.2020.101971","ISSN":"09696997","abstract":"China was the first aviation market in the world hit hard by COVID-19 and has been recovering gradually as the pandemic became largely under control within mainland China. This study reviews the recovery pattern influenced by the Chinese government's aviation policy choices, in the hope that our discussions and findings will help improve aviation policy responses elsewhere. While the domestic market in mainland China has enjoyed a quick recovery to about 80% of the pre-crisis level by July 2020, the recovery of international services has been much slower, due to the bilateral route and flight frequency/capacity control and strict requirements for health check and quarantine. China's domestic aviation market was recovered by about 80% in two months after the pandemic became under good control. Most other countries with a “curve flattening” strategy, instead of full pandemic control, may not expect the fast recovery path China has achieved. A British “travel corridor” approach may be more practical for Western countries to follow, albeit more likely to be subject to serious setbacks and disruptions. The aviation fee reductions and cost support China and many other countries have been using are helpful by reducing airlines' marginal costs, but not sufficient for carriers to return to profitability or sustainable operations. Capital injection and/or credit guarantee may be needed for many airlines to survive. With various, often uncoordinated, regulations imposed in international markets, airlines based in open economies that have small domestic markets will face particularly serious challenges during the recovery process.","author":[{"dropping-particle":"","family":"Czerny","given":"Achim I.","non-dropping-particle":"","parse-names":false,"suffix":""},{"dropping-particle":"","family":"Fu","given":"Xiaowen","non-dropping-particle":"","parse-names":false,"suffix":""},{"dropping-particle":"","family":"Lei","given":"Zheng","non-dropping-particle":"","parse-names":false,"suffix":""},{"dropping-particle":"","family":"Oum","given":"Tae H.","non-dropping-particle":"","parse-names":false,"suffix":""}],"container-title":"Journal of Air Transport Management","id":"ITEM-1","issue":"2","issued":{"date-parts":[["2021"]]},"page":"3-14","title":"Post pandemic aviation market recovery: Experience and lessons from China","type":"article-journal","volume":"90"},"uris":["http://www.mendeley.com/documents/?uuid=9b035c8c-4bfd-3cfa-be78-30e2ea7761cd"]}],"mendeley":{"formattedCitation":"(Czerny &lt;i&gt;et al.&lt;/i&gt;, 2021)","plainTextFormattedCitation":"(Czerny et al., 2021)","previouslyFormattedCitation":"(Czerny &lt;i&gt;et al.&lt;/i&gt;, 2021)"},"properties":{"noteIndex":0},"schema":"https://github.com/citation-style-language/schema/raw/master/csl-citation.json"}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(Czerny </w:t>
      </w:r>
      <w:r>
        <w:rPr>
          <w:rFonts w:ascii="Times New Roman" w:hAnsi="Times New Roman" w:cs="Times New Roman"/>
          <w:i/>
          <w:sz w:val="24"/>
          <w:szCs w:val="24"/>
        </w:rPr>
        <w:t>et al.</w:t>
      </w:r>
      <w:r>
        <w:rPr>
          <w:rFonts w:ascii="Times New Roman" w:hAnsi="Times New Roman" w:cs="Times New Roman"/>
          <w:sz w:val="24"/>
          <w:szCs w:val="24"/>
        </w:rPr>
        <w:t>, 2021)</w:t>
      </w:r>
      <w:r>
        <w:rPr>
          <w:rFonts w:ascii="Times New Roman" w:hAnsi="Times New Roman" w:cs="Times New Roman"/>
          <w:sz w:val="24"/>
          <w:szCs w:val="24"/>
        </w:rPr>
        <w:fldChar w:fldCharType="end"/>
      </w:r>
      <w:r>
        <w:rPr>
          <w:rFonts w:ascii="Times New Roman" w:hAnsi="Times New Roman" w:cs="Times New Roman"/>
          <w:sz w:val="24"/>
          <w:szCs w:val="24"/>
        </w:rPr>
        <w:t xml:space="preserve">. Economic growth in most emerging countries, especially China, India etc., has led to an increase in both leisure and business travel, which in turn has boosted the hotel industry. As travel spending continues to increase, more consumers are seeking quality accommodation experiences that go beyond the basic needs of affordability and convenience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{"citationItems":[{"id":"ITEM-1","itemData":{"DOI":"10.1108/JHTT-07-2014-0026","ISSN":"17579899","abstract":"Purpose – This paper aims to examine the effect of privacy concern, irritation and personalization on Millennials’ perceptions of personalized smartphone advertising avoidance in a restaurant context. The hospitality industry has witnessed a huge surge in mobile activity over the past few years. Mobility opens up a new communication channel and allows industry to connect with their guests in a more personalized way. However, not all customers welcome the personalized advertisements. Design/methodology/approach – Data were collected from 159 Millennials enrolled in a large state university in the Eastern USA using an online self-administered survey. These Millennials were asked to use a restaurant’s smartphone application for 30 days and then complete a survey based on their perceptions of personalized advertising. Descriptive analysis, reliability, factor analysis and regression analysis were used to evaluate the relationships among the four constructs: privacy concern, irritation, personalization and advertising avoidance, with the first three variables as predictors and advertising avoidance as an outcome. Findings – The results suggest that advertising irritation is positively related to advertising avoidance, perceived personalization is related with less advertising avoidance, while privacy concern is not related to advertising avoidance. Originality/value – Although advertising avoidance has previously been studied for the past few decades, little research has explored the underlying mechanisms of the Millennials’ avoidance of personalized smartphone advertising in a restaurant context. The current research suggests information pertinent to strategies for marketing personalized smartphone advertisement for restaurant companies.","author":[{"dropping-particle":"","family":"Nyheim","given":"Peter","non-dropping-particle":"","parse-names":false,"suffix":""},{"dropping-particle":"","family":"Xu","given":"Shi","non-dropping-particle":"","parse-names":false,"suffix":""},{"dropping-particle":"","family":"Zhang","given":"Lu","non-dropping-particle":"","parse-names":false,"suffix":""},{"dropping-particle":"","family":"Mattila","given":"Anna S.","non-dropping-particle":"","parse-names":false,"suffix":""}],"container-title":"Journal of Hospitality and Tourism Technology","id":"ITEM-1","issue":"2","issued":{"date-parts":[["2015","8","17"]]},"page":"145-159","publisher":"Emerald Group Holdings Ltd.","title":"Predictors of avoidance towards personalization of restaurant smartphone advertising: A study from the Millennials’ perspective","type":"article-journal","volume":"6"},"uris":["http://www.mendeley.com/documents/?uuid=8652f7ce-8ce8-3a48-bd9b-4dc5913761f8"]}],"mendeley":{"formattedCitation":"(Nyheim &lt;i&gt;et al.&lt;/i&gt;, 2015)","plainTextFormattedCitation":"(Nyheim et al., 2015)","previouslyFormattedCitation":"(Nyheim &lt;i&gt;et al.&lt;/i&gt;, 2015)"},"properties":{"noteIndex":0},"schema":"https://github.com/citation-style-language/schema/raw/master/csl-citation.json"}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(Nyheim </w:t>
      </w:r>
      <w:r>
        <w:rPr>
          <w:rFonts w:ascii="Times New Roman" w:hAnsi="Times New Roman" w:cs="Times New Roman"/>
          <w:i/>
          <w:sz w:val="24"/>
          <w:szCs w:val="24"/>
        </w:rPr>
        <w:t>et al.</w:t>
      </w:r>
      <w:r>
        <w:rPr>
          <w:rFonts w:ascii="Times New Roman" w:hAnsi="Times New Roman" w:cs="Times New Roman"/>
          <w:sz w:val="24"/>
          <w:szCs w:val="24"/>
        </w:rPr>
        <w:t>, 2015)</w:t>
      </w:r>
      <w:r>
        <w:rPr>
          <w:rFonts w:ascii="Times New Roman" w:hAnsi="Times New Roman" w:cs="Times New Roman"/>
          <w:sz w:val="24"/>
          <w:szCs w:val="24"/>
        </w:rPr>
        <w:fldChar w:fldCharType="end"/>
      </w:r>
      <w:r>
        <w:rPr>
          <w:rFonts w:ascii="Times New Roman" w:hAnsi="Times New Roman" w:cs="Times New Roman"/>
          <w:sz w:val="24"/>
          <w:szCs w:val="24"/>
        </w:rPr>
        <w:t xml:space="preserve">. As a result, there has been a structural shift in the hotel industry as the growth in the supply of mid-to-high-end rooms has outpaced economic growth. The growing popularity of midscale hotel brands has been driven by a growing number of guests seeking more value-for-money options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{"citationItems":[{"id":"ITEM-1","itemData":{"DOI":"10.1108/IJCHM-07-2015-0349","ISSN":"09596119","abstract":"Purpose: The unprecedented development of hotel-branded mobile applications (apps) has been instrumental in facilitating the rich guest–hotel interactions, thus contributing to a high personalization of services. For true personalization, guests need to provide personal information via apps. Yet, no study to date has addressed how guests develop intentions to use such apps given the current personalization and privacy challenges. Therefore, this study aims to investigate hotel guests’ intentions to use hotel apps to access personalized services. Design/methodology/approach: Drawing from personalization-privacy theory, this study conceptualized perceived personalization and privacy concerns as distinct constructs while recognizing two different privacy concerns constructs: general and app-specific privacy concerns. To build a comprehensive structural model that is appropriate for explicating intentions to use hotel apps, this study incorporates consumer psychology and information systems theoretical streams that provide constructs that unequivocally capture the unique set of consumer–app interactions in highly experiential settings such as hotels (e.g. innovativeness and involvement). Using a nation-wide sample of hotel guests from the USA, the model was validated using confirmatory factor analysis and structural equations modeling. Findings: The predictors explained 79 per cent of the variability in the intentions to use hotel apps to personalize hotel services. The strongest predictor of intentions was involvement, followed by app-related privacy concerns and perceived personalization. Research limitations/implications: First, this study’s extended theoretical framework was well supported, as it captures relevant elements of the mobile commerce ecosystem (e.g. personalization and privacy), thus extending the classic paradigmatic approach to information systems adoption beyond system beliefs. Second, this study clarifies the distinct roles of personalization and privacy in the context of hotel apps, which has not been examined in the context of m-commerce in hospitality. Third, the study clarifies the role of involvement as the most critical factor that can influence guests’ intentions to use hotel apps when personalization options and privacy concerns exist. Practical implications: This study offers hotel decision-makers a mapping of the factors, leading to use of hotel apps for purchasing personalized hotel services. Originality/value: This study prov…","author":[{"dropping-particle":"","family":"Morosan","given":"Cristian","non-dropping-particle":"","parse-names":false,"suffix":""},{"dropping-particle":"","family":"DeFranco","given":"Agnes","non-dropping-particle":"","parse-names":false,"suffix":""}],"container-title":"International Journal of Contemporary Hospitality Management","id":"ITEM-1","issue":"9","issued":{"date-parts":[["2016"]]},"page":"1968-1991","publisher":"Emerald Group Publishing Ltd.","title":"Modeling guests’ intentions to use mobile apps in hotels: The roles of personalization, privacy, and involvement","type":"article-journal","volume":"28"},"uris":["http://www.mendeley.com/documents/?uuid=8b9a7af2-4b20-3d6c-8981-7c57f6c8d327"]}],"mendeley":{"formattedCitation":"(Morosan and DeFranco, 2016)","plainTextFormattedCitation":"(Morosan and DeFranco, 2016)","previouslyFormattedCitation":"(Morosan and DeFranco,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(Morosan and DeFranco, 2016)</w:t>
      </w:r>
      <w:r>
        <w:rPr>
          <w:rFonts w:ascii="Times New Roman" w:hAnsi="Times New Roman" w:cs="Times New Roman"/>
          <w:sz w:val="24"/>
          <w:szCs w:val="24"/>
        </w:rPr>
        <w:fldChar w:fldCharType="end"/>
      </w:r>
      <w:r>
        <w:rPr>
          <w:rFonts w:ascii="Times New Roman" w:hAnsi="Times New Roman" w:cs="Times New Roman"/>
          <w:sz w:val="24"/>
          <w:szCs w:val="24"/>
        </w:rPr>
        <w:t xml:space="preserve">. Consumer demand for personalized experiences has created a diverse range of accommodation needs and consumption scenarios, supporting the competitive advantage of a multi-brand strategy.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Technology-driven hotel operations has been an inevitable trend in the global hotel industry, with an aim of noting only promoting the operational efficiency but also affording differentiated services. A wide spectrum of new technologies has been used to collect and uncover customer insights, thereby helping hotel operators to enhance experiences and loyalty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10.1108/TR-05-2019-0150","ISSN":"17598451","author":[{"dropping-particle":"","family":"Law","given":"Rob","non-dropping-particle":"","parse-names":false,"suffix":""},{"dropping-particle":"","family":"Sun","given":"Sunny","non-dropping-particle":"","parse-names":false,"suffix":""},{"dropping-particle":"","family":"Chan","given":"Irene Cheng Chu","non-dropping-particle":"","parse-names":false,"suffix":""}],"container-title":"Tourism Review","id":"ITEM-1","issue":"1","issued":{"date-parts":[["2020","2","20"]]},"page":"286-289","publisher":"Emerald Group Holdings Ltd.","title":"Hotel technology: a perspective article","type":"article-journal","volume":"75"},"uris":["http://www.mendeley.com/documents/?uuid=1f05ead4-3026-38dd-93cd-745e10d0140a"]}],"mendeley":{"formattedCitation":"(Law, Sun and Chan, 2020)","plainTextFormattedCitation":"(Law, Sun and Chan, 2020)","previouslyFormattedCitation":"(Law, Sun and Chan, 2020)"},"properties":{"noteIndex":0},"schema":"https://github.com/citation-style-language/schema/raw/master/csl-citation.json"}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(Law, Sun and Chan, 2020)</w:t>
      </w:r>
      <w:r>
        <w:rPr>
          <w:rFonts w:ascii="Times New Roman" w:hAnsi="Times New Roman" w:cs="Times New Roman"/>
          <w:sz w:val="24"/>
          <w:szCs w:val="24"/>
        </w:rPr>
        <w:fldChar w:fldCharType="end"/>
      </w:r>
      <w:r>
        <w:rPr>
          <w:rFonts w:ascii="Times New Roman" w:hAnsi="Times New Roman" w:cs="Times New Roman"/>
          <w:sz w:val="24"/>
          <w:szCs w:val="24"/>
        </w:rPr>
        <w:t xml:space="preserve">. Other new technologies adopted by leading hotel groups, such as self-check-in/check-out systems, artificial intelligence-assisted embedded hotel mobility programs, and intelligent robots, have significantly enhanced the consumer experience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{"citationItems":[{"id":"ITEM-1","itemData":{"DOI":"10.1016/j.tmp.2015.09.002","ISSN":"22119736","abstract":"The hospitality industry is expanding with an ever evolving technology adoption process and novel possibilities of adoption of new technologies are constantly being explored. Over the years, several research perspectives have offered different adoption models for the implementation of such technologies. The current study extends the utility of technology acceptance model (TAM) through analysis of additional antecedent beliefs in order to predict tourists' attitude towards self-service technologies (SSTs) in the offline hospitality context. The paper further examines the impact of trust and subjective norm on consumers' (1) attitude and (2) behavioural intention towards adopting self-service hotel technologies (SSHTs). Results indicate that trust has a more significant impact on tourists' attitude, though both trust and subjective norm considerably affect tourists' behavioural intention towards adopting new technologies. Conclusion includes managerial and theoretical contributions of the study, its limitations and future research directions.","author":[{"dropping-particle":"","family":"Kaushik","given":"Arun Kumar","non-dropping-particle":"","parse-names":false,"suffix":""},{"dropping-particle":"","family":"Agrawal","given":"Amit Kumar","non-dropping-particle":"","parse-names":false,"suffix":""},{"dropping-particle":"","family":"Rahman","given":"Zillur","non-dropping-particle":"","parse-names":false,"suffix":""}],"container-title":"Tourism Management Perspectives","id":"ITEM-1","issue":"2","issued":{"date-parts":[["2015"]]},"page":"278-289","title":"Tourist behaviour towards self-service hotel technology adoption: Trust and subjective norm as key antecedents","type":"article-journal","volume":"16"},"uris":["http://www.mendeley.com/documents/?uuid=f982ecf1-497c-3762-9f14-41088d9500a6"]}],"mendeley":{"formattedCitation":"(Kaushik, Agrawal and Rahman, 2015)","plainTextFormattedCitation":"(Kaushik, Agrawal and Rahman, 2015)","previouslyFormattedCitation":"(Kaushik, Agrawal and Rahman, 2015)"},"properties":{"noteIndex":0},"schema":"https://github.com/citation-style-language/schema/raw/master/csl-citation.json"}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(Kaushik, Agrawal and Rahman, 2015)</w:t>
      </w:r>
      <w:r>
        <w:rPr>
          <w:rFonts w:ascii="Times New Roman" w:hAnsi="Times New Roman" w:cs="Times New Roman"/>
          <w:sz w:val="24"/>
          <w:szCs w:val="24"/>
        </w:rPr>
        <w:fldChar w:fldCharType="end"/>
      </w:r>
      <w:r>
        <w:rPr>
          <w:rFonts w:ascii="Times New Roman" w:hAnsi="Times New Roman" w:cs="Times New Roman"/>
          <w:sz w:val="24"/>
          <w:szCs w:val="24"/>
        </w:rPr>
        <w:t>. As these leading hotel groups enjoy significant advantages, technology-driven hotel operations are likely to be widely adopted across the industry.</w:t>
      </w:r>
    </w:p>
    <w:p>
      <w:pPr>
        <w:pStyle w:val="3"/>
        <w:numPr>
          <w:ilvl w:val="1"/>
          <w:numId w:val="1"/>
        </w:numPr>
        <w:spacing w:before="468" w:beforeLines="150" w:after="468" w:afterLines="150" w:line="360" w:lineRule="auto"/>
        <w:jc w:val="both"/>
        <w:rPr>
          <w:rFonts w:ascii="Times New Roman" w:hAnsi="Times New Roman" w:cs="Times New Roman"/>
          <w:color w:val="auto"/>
        </w:rPr>
      </w:pPr>
      <w:bookmarkStart w:id="8" w:name="_Toc102317310"/>
      <w:r>
        <w:rPr>
          <w:rFonts w:ascii="Times New Roman" w:hAnsi="Times New Roman" w:cs="Times New Roman"/>
          <w:color w:val="auto"/>
        </w:rPr>
        <w:t>Objective</w:t>
      </w:r>
      <w:bookmarkEnd w:id="8"/>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Huazhu has utilized a set of key performance indicators (KPIs) to quantify its strategic goal. Given to above internal and external situational analysis. Among these, the most important one is RevPAR (revenue per available room). Given the overall optimism toward the lodging industry, the overall </w:t>
      </w:r>
      <w:r>
        <w:rPr>
          <w:rFonts w:ascii="Times New Roman" w:hAnsi="Times New Roman" w:cs="Times New Roman"/>
          <w:color w:val="auto"/>
          <w:sz w:val="24"/>
          <w:szCs w:val="24"/>
        </w:rPr>
        <w:t>objective of the marketing plan is to promote the tax-inclusive RevPAR to RMB 190 by the end of FY2022 (31</w:t>
      </w:r>
      <w:r>
        <w:rPr>
          <w:rFonts w:ascii="Times New Roman" w:hAnsi="Times New Roman" w:cs="Times New Roman"/>
          <w:color w:val="auto"/>
          <w:sz w:val="24"/>
          <w:szCs w:val="24"/>
          <w:vertAlign w:val="superscript"/>
        </w:rPr>
        <w:t>st</w:t>
      </w:r>
      <w:r>
        <w:rPr>
          <w:rFonts w:ascii="Times New Roman" w:hAnsi="Times New Roman" w:cs="Times New Roman"/>
          <w:color w:val="auto"/>
          <w:sz w:val="24"/>
          <w:szCs w:val="24"/>
        </w:rPr>
        <w:t xml:space="preserve"> December 2022). The o</w:t>
      </w:r>
      <w:r>
        <w:rPr>
          <w:rFonts w:ascii="Times New Roman" w:hAnsi="Times New Roman" w:cs="Times New Roman"/>
          <w:sz w:val="24"/>
          <w:szCs w:val="24"/>
        </w:rPr>
        <w:t xml:space="preserve">bjective can be perceived as a SMART objective due to the following reason.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Specific: The objective set above is simplistically formulated and clearly defined what Huazhu is going to do, as it uses the tax-inclusive RevPAR as a primary KPI, and identifies the requirement to achieve it. The RevPAR has been commonly used as an operating measure in the hotel industry, and it can be understood as the product of average occupancy rate and average daily room rates achieved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{"citationItems":[{"id":"ITEM-1","itemData":{"DOI":"10.1108/09596111111122497/FULL/HTML","ISSN":"09596119","abstract":"Purpose: This paper aims to identify revenue per available room (RevPAR) determinants of individual firms located in a destination. Independent variables are to be sought along \"what\" and \"where\" dimensions. Design/methodology/approach: The sample is composed of 72 individual firms, operating in the 3-5 star range and data have been collected from financial statements and questionnaires. Findings: The empirical findings identify four main significant determinants linked to the \"what\" positioning - number of rooms, number of employees, number of years since the last refurbishment, market orientation - and confirm the relevance of location (\"where\"), and especially of centrality within the destination. Research limitations/implications: At a theoretical level, the findings suggest the importance of linking the identification of determinants with the local context (destination) and positioning inside the city (location). At an empirical level, the study suggests some interesting implications both for existing hotels and for start-ups. For existing firms, empirical findings show the relevance of a strong advantage (disadvantage) in location (where) that might compensate for a disadvantage (advantage) in the strategic positioning (what). Concerning start-ups, the findings confirm the old rules of the hotel game, significantly summarized in the three success factors of a hotel unit: location, location, and location. Originality/value: The present paper suggests the usefulness of taking into greater account the link between destination and local firms as an important determinant of performance, and explores the key success factors for individual (not affiliated) firms. © Emerald Group Publishing Limited.","author":[{"dropping-particle":"","family":"Sainaghi","given":"Ruggero","non-dropping-particle":"","parse-names":false,"suffix":""}],"container-title":"International Journal of Contemporary Hospitality Management","id":"ITEM-1","issue":"3","issued":{"date-parts":[["2011","4"]]},"page":"297-311","title":"RevPAR determinants of individual hotels: Evidences from Milan","type":"article-journal","volume":"23"},"uris":["http://www.mendeley.com/documents/?uuid=2ebfcac1-413d-3e7f-83e6-6c21cffb5e77"]}],"mendeley":{"formattedCitation":"(Sainaghi, 2011)","plainTextFormattedCitation":"(Sainaghi, 2011)","previouslyFormattedCitation":"(Sainaghi, 2011)"},"properties":{"noteIndex":0},"schema":"https://github.com/citation-style-language/schema/raw/master/csl-citation.json"}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(Sainaghi, 2011)</w:t>
      </w:r>
      <w:r>
        <w:rPr>
          <w:rFonts w:ascii="Times New Roman" w:hAnsi="Times New Roman" w:cs="Times New Roman"/>
          <w:sz w:val="24"/>
          <w:szCs w:val="24"/>
        </w:rPr>
        <w:fldChar w:fldCharType="end"/>
      </w:r>
      <w:r>
        <w:rPr>
          <w:rFonts w:ascii="Times New Roman" w:hAnsi="Times New Roman" w:cs="Times New Roman"/>
          <w:sz w:val="24"/>
          <w:szCs w:val="24"/>
        </w:rPr>
        <w:t xml:space="preserve">. In this sense, the RevPAR is more comprehensive than the occupancy rate or daily room rates.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Measurable: The objective is measurable as it has tangible evidence of a tax-inclusive RevPAR of RMB 190 that Huazhu had accomplished the goal. The indicator will be timely evaluated by its senior management at different categories (including leased and owned, manachised, franchised hotels, etc.), at different locations (including the domestic market and the international market, etc.)</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Achievable: the objective is achievable as it stretches Huazhu slightly so it feels challenged, but defined well enough so that Huazhu can achieve them. Huazhu has a RevPAR of RMB 197 for the FY 2018, and RMB 198 for the FY2029, before the covid-19 pandemic; the indicator dropped to RMB 149 in the first year of covid-19 (as shown in Table 1)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2022)","previouslyFormattedCitation":"(Huazhu,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(Huazhu, 2022)</w:t>
      </w:r>
      <w:r>
        <w:rPr>
          <w:rFonts w:ascii="Times New Roman" w:hAnsi="Times New Roman" w:cs="Times New Roman"/>
          <w:sz w:val="24"/>
          <w:szCs w:val="24"/>
        </w:rPr>
        <w:fldChar w:fldCharType="end"/>
      </w:r>
      <w:r>
        <w:rPr>
          <w:rFonts w:ascii="Times New Roman" w:hAnsi="Times New Roman" w:cs="Times New Roman"/>
          <w:sz w:val="24"/>
          <w:szCs w:val="24"/>
        </w:rPr>
        <w:t xml:space="preserve">. The sheer drop in 2020 is attributed to the outbreak of covid-19, and the Chinese government’s highly stringent dynamic zero policies to contain the spread, which directly led to lower average daily room rates and lower occupancy rates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{"citationItems":[{"id":"ITEM-1","itemData":{"DOI":"10.1108/IJCHM-03-2021-0356","ISSN":"09596119","abstract":"Purpose: The purpose of this study is to provide better service to hotel customers during the COVID-19 era. Specifically, this study focuses on understanding the changes in hotel customer satisfaction during the epidemic and formulating effective marketing strategies to satisfy and attract guests. Design/methodology/approach: As the first victim of the COVID-19 virus, China’s hotel industry has been profoundly affected and customer satisfaction and needs have also changed. Taking 105,635 hotel reviews obtained from Tripadvisor.com in Beijing and Shanghai as samples, this study explores the changes in consumer satisfaction by using text-mining methods. Findings: The results suggest that there are significant differences in overall ratings, spatial distribution and ratings of different traveller types before and after the epidemic. Generally, customers have higher “tolerance” and are more inclined to give higher ratings and pay more attention to hotel prevention and control measures to reduce health risks after the COVID-19. Research limitations/implications: This paper proves the changes in customer satisfaction before and after the COVID-19 at the theoretical level and reveals the changes in customer attention through the topic model and provides a basis for guiding hotel managers to reduce the impact of the COVID-19 crisis. Practical implications: Empirical findings would provide useful insights into tourism management and improve hotel service quality during the COVID-19 epidemic era. Originality/value: This research explores the hotel customer satisfaction in the field of hotel management before COVID-19 and after COVID-19, by using text mining to analyse mandarin online reviews. The results of this study will suggest that the hotel industry should continuously adjust its products and services based on the effective information obtained from customer reviews, so as to realize the activation and revitalization of the hotel industry in the epidemic era.","author":[{"dropping-particle":"","family":"Sun","given":"Shaolong","non-dropping-particle":"","parse-names":false,"suffix":""},{"dropping-particle":"","family":"Jiang","given":"Fuxin","non-dropping-particle":"","parse-names":false,"suffix":""},{"dropping-particle":"","family":"Feng","given":"Gengzhong","non-dropping-particle":"","parse-names":false,"suffix":""},{"dropping-particle":"","family":"Wang","given":"Shouyang","non-dropping-particle":"","parse-names":false,"suffix":""},{"dropping-particle":"","family":"Zhang","given":"Chengyuan","non-dropping-particle":"","parse-names":false,"suffix":""}],"container-title":"International Journal of Contemporary Hospitality Management","id":"ITEM-1","issue":"1","issued":{"date-parts":[["2022","1","3"]]},"page":"382-406","publisher":"Emerald Group Holdings Ltd.","title":"The impact of COVID-19 on hotel customer satisfaction: evidence from Beijing and Shanghai in China","type":"article-journal","volume":"34"},"uris":["http://www.mendeley.com/documents/?uuid=3a6f0664-68c6-3614-a00b-77b85bc94f7d"]},{"id":"ITEM-2","itemData":{"DOI":"10.3390/ijerph17207366","ISSN":"16604601","PMID":"33050203","abstract":"This study reports on a systematic review of the published literature used to reveal the current research investigating the hospitality industry in the face of the COVID-19 pandemic. The presented review identified relevant papers using Google Scholar, Web of Science, and Science Direct databases. Of the 175 articles found, 50 papers met the predefined inclusion criteria. The included papers were classified concerning the following dimensions: the source of publication, hospitality industry domain, and methodology. The reviewed articles focused on different aspects of the hospitality industry, including hospitality workers' issues, loss of jobs, revenue impact, the COVID-19 spreading patterns in the industry, market demand, prospects for recovery of the hospitality industry, safety and health, travel behavior, and preference of customers. The results revealed a variety of research approaches that have been used to investigate the hospitality industry at the time of the pandemic. The reported approaches include simulation and scenario modeling for discovering the COVID-19 spreading patterns, field surveys, secondary data analysis, discussing the resumption of activities during and after the pandemic, comparing the COVID-19 pandemic with previous public health crises, and measuring the impact of the pandemic in terms of economics.","author":[{"dropping-particle":"","family":"Davahli","given":"Mohammad Reza","non-dropping-particle":"","parse-names":false,"suffix":""},{"dropping-particle":"","family":"Karwowski","given":"Waldemar","non-dropping-particle":"","parse-names":false,"suffix":""},{"dropping-particle":"","family":"Sonmez","given":"Sevil","non-dropping-particle":"","parse-names":false,"suffix":""},{"dropping-particle":"","family":"Apostolopoulos","given":"Yorghos","non-dropping-particle":"","parse-names":false,"suffix":""}],"container-title":"International Journal of Environmental Research and Public Health","id":"ITEM-2","issue":"20","issued":{"date-parts":[["2020"]]},"page":"1-22","title":"The hospitality industry in the face of the COVID-19 pandemic: Current topics and research methods","type":"article","volume":"17"},"uris":["http://www.mendeley.com/documents/?uuid=3fbd8d9c-e3a8-37ce-b832-6734bfe626c6"]}],"mendeley":{"formattedCitation":"(Davahli &lt;i&gt;et al.&lt;/i&gt;, 2020; Sun &lt;i&gt;et al.&lt;/i&gt;, 2022)","plainTextFormattedCitation":"(Davahli et al., 2020; Sun et al., 2022)","previouslyFormattedCitation":"(Davahli &lt;i&gt;et al.&lt;/i&gt;, 2020; Sun &lt;i&gt;et al.&lt;/i&gt;,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(Davahli </w:t>
      </w:r>
      <w:r>
        <w:rPr>
          <w:rFonts w:ascii="Times New Roman" w:hAnsi="Times New Roman" w:cs="Times New Roman"/>
          <w:i/>
          <w:sz w:val="24"/>
          <w:szCs w:val="24"/>
        </w:rPr>
        <w:t>et al.</w:t>
      </w:r>
      <w:r>
        <w:rPr>
          <w:rFonts w:ascii="Times New Roman" w:hAnsi="Times New Roman" w:cs="Times New Roman"/>
          <w:sz w:val="24"/>
          <w:szCs w:val="24"/>
        </w:rPr>
        <w:t xml:space="preserve">, 2020; Sun </w:t>
      </w:r>
      <w:r>
        <w:rPr>
          <w:rFonts w:ascii="Times New Roman" w:hAnsi="Times New Roman" w:cs="Times New Roman"/>
          <w:i/>
          <w:sz w:val="24"/>
          <w:szCs w:val="24"/>
        </w:rPr>
        <w:t>et al.</w:t>
      </w:r>
      <w:r>
        <w:rPr>
          <w:rFonts w:ascii="Times New Roman" w:hAnsi="Times New Roman" w:cs="Times New Roman"/>
          <w:sz w:val="24"/>
          <w:szCs w:val="24"/>
        </w:rPr>
        <w:t>, 2022)</w:t>
      </w:r>
      <w:r>
        <w:rPr>
          <w:rFonts w:ascii="Times New Roman" w:hAnsi="Times New Roman" w:cs="Times New Roman"/>
          <w:sz w:val="24"/>
          <w:szCs w:val="24"/>
        </w:rPr>
        <w:fldChar w:fldCharType="end"/>
      </w:r>
      <w:r>
        <w:rPr>
          <w:rFonts w:ascii="Times New Roman" w:hAnsi="Times New Roman" w:cs="Times New Roman"/>
          <w:sz w:val="24"/>
          <w:szCs w:val="24"/>
        </w:rPr>
        <w:t>. The hotel industry, especially in China, has picked up rapidly due to the greater ease of travel restrictions and the ever-high lust for travel. Industries have expected a full recovery of the whole travel industry by the end of 2022, of course, with the prerequisites that stakeholders actively commit to the delivery of highly safe service</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{"citationItems":[{"id":"ITEM-1","itemData":{"DOI":"10.1016/j.tourman.2021.104395","ISSN":"02615177","abstract":"This paper analyses the influence that the initial actions and strategies pursued by hotel managers have on the recovery of occupancy after a crisis such as the COVID-19 pandemic. To do this, a specific survey is carried out on managers of Spanish hotels. The main findings show that labour actions, especially plans for temporary employment regulations, innovation and differentiation strategies, reorientation to closer markets and obtaining information from official sources as a guarantee of their certainty, are the measures that have a greater impact on the possibilities of recovering hotel activity. In addition, government measures that contribute to the improvement of the financial situation of firms can also play a relevant role in hotel recovery.","author":[{"dropping-particle":"","family":"Hidalgo","given":"Alberto","non-dropping-particle":"","parse-names":false,"suffix":""},{"dropping-particle":"","family":"Martín-Barroso","given":"David","non-dropping-particle":"","parse-names":false,"suffix":""},{"dropping-particle":"","family":"Nuñez-Serrano","given":"Juan A.","non-dropping-particle":"","parse-names":false,"suffix":""},{"dropping-particle":"","family":"Turrión","given":"Jaime","non-dropping-particle":"","parse-names":false,"suffix":""},{"dropping-particle":"","family":"Velázquez","given":"Francisco J.","non-dropping-particle":"","parse-names":false,"suffix":""}],"container-title":"Tourism Management","id":"ITEM-1","issue":"2","issued":{"date-parts":[["2022"]]},"page":"23-34","title":"Does hotel management matter to overcoming the COVID-19 crisis? The Spanish case","type":"article-journal","volume":"88"},"uris":["http://www.mendeley.com/documents/?uuid=98c44f01-94dc-3756-b61b-461b7c26e17a"]},{"id":"ITEM-2","itemData":{"DOI":"10.1080/13683500.2021.1989385","ISSN":"13683500","abstract":"The COVID-19 pandemic is greatly affecting the hospitality industry worldwide. Lodging demand is severely reduced as people's fear of coronavirus spreading risk in hotels. This research makes a timely contribution to the hospitality literature by proposing the mixed data sampling models (MIDAS) to monitor and forecast latest hotel occupancy rates with high-frequency big data sources, such as daily visitor arrivals and search query data. Quantitative evidence from Macau from January to July 2020 confirms that MIDAS models can measure the dynamic impacts of the COVID-19 pandemic on hotel occupancy and have a better prediction accuracy and explanation ability than competitive models. Industry practitioners can adopt this big data analytical framework to make daily or monthly updates of lodging demand, conduct scenario analysis, plan and trace the recovery schedule during and post COVID-19 phases. Finally, managerial implications and future work are highlighted.","author":[{"dropping-particle":"","family":"Wu","given":"Edmond H.C.","non-dropping-particle":"","parse-names":false,"suffix":""},{"dropping-particle":"","family":"Hu","given":"Jihao","non-dropping-particle":"","parse-names":false,"suffix":""},{"dropping-particle":"","family":"Chen","given":"Rui","non-dropping-particle":"","parse-names":false,"suffix":""}],"container-title":"Current Issues in Tourism","id":"ITEM-2","issue":"3","issued":{"date-parts":[["2022"]]},"page":"490-507","publisher":"Routledge","title":"Monitoring and forecasting COVID-19 impacts on hotel occupancy rates with daily visitor arrivals and search queries","type":"article-journal","volume":"25"},"uris":["http://www.mendeley.com/documents/?uuid=b89fda0f-976e-3bc8-8381-9709b06a1a0d"]}],"mendeley":{"formattedCitation":"(Hidalgo &lt;i&gt;et al.&lt;/i&gt;, 2022; Wu, Hu and Chen, 2022)","plainTextFormattedCitation":"(Hidalgo et al., 2022; Wu, Hu and Chen, 2022)","previouslyFormattedCitation":"(Hidalgo &lt;i&gt;et al.&lt;/i&gt;, 2022; Wu, Hu and Chen,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(Hidalgo </w:t>
      </w:r>
      <w:r>
        <w:rPr>
          <w:rFonts w:ascii="Times New Roman" w:hAnsi="Times New Roman" w:cs="Times New Roman"/>
          <w:i/>
          <w:sz w:val="24"/>
          <w:szCs w:val="24"/>
        </w:rPr>
        <w:t>et al.</w:t>
      </w:r>
      <w:r>
        <w:rPr>
          <w:rFonts w:ascii="Times New Roman" w:hAnsi="Times New Roman" w:cs="Times New Roman"/>
          <w:sz w:val="24"/>
          <w:szCs w:val="24"/>
        </w:rPr>
        <w:t>, 2022; Wu, Hu and Chen, 2022)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468" w:beforeLines="150" w:after="468" w:afterLines="150" w:line="360" w:lineRule="auto"/>
        <w:jc w:val="center"/>
        <w:rPr>
          <w:rFonts w:ascii="Times New Roman" w:hAnsi="Times New Roman" w:cs="Times New Roman"/>
          <w:i/>
          <w:iCs/>
          <w:sz w:val="24"/>
          <w:szCs w:val="24"/>
        </w:rPr>
      </w:pPr>
      <w:r>
        <w:rPr>
          <w:rFonts w:ascii="Times New Roman" w:hAnsi="Times New Roman" w:cs="Times New Roman"/>
          <w:i/>
          <w:iCs/>
          <w:sz w:val="24"/>
          <w:szCs w:val="24"/>
        </w:rPr>
        <w:drawing>
          <wp:inline distT="0" distB="0" distL="0" distR="0">
            <wp:extent cx="5455920" cy="2537460"/>
            <wp:effectExtent l="76200" t="76200" r="125730" b="129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5456393" cy="253768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before="468" w:beforeLines="150" w:after="468" w:afterLines="150" w:line="360" w:lineRule="auto"/>
        <w:jc w:val="center"/>
        <w:rPr>
          <w:rFonts w:ascii="Times New Roman" w:hAnsi="Times New Roman" w:cs="Times New Roman"/>
          <w:i/>
          <w:iCs/>
          <w:color w:val="auto"/>
          <w:sz w:val="24"/>
          <w:szCs w:val="24"/>
        </w:rPr>
      </w:pPr>
      <w:r>
        <w:rPr>
          <w:rFonts w:ascii="Times New Roman" w:hAnsi="Times New Roman" w:cs="Times New Roman"/>
          <w:i/>
          <w:iCs/>
          <w:color w:val="auto"/>
          <w:sz w:val="24"/>
          <w:szCs w:val="24"/>
        </w:rPr>
        <w:t xml:space="preserve">Table 1: Key performance indicators of Huazhu </w:t>
      </w:r>
      <w:r>
        <w:rPr>
          <w:rFonts w:ascii="Times New Roman" w:hAnsi="Times New Roman" w:cs="Times New Roman"/>
          <w:i/>
          <w:iCs/>
          <w:color w:val="auto"/>
          <w:sz w:val="24"/>
          <w:szCs w:val="24"/>
        </w:rPr>
        <w:fldChar w:fldCharType="begin" w:fldLock="1"/>
      </w:r>
      <w:r>
        <w:rPr>
          <w:rFonts w:ascii="Times New Roman" w:hAnsi="Times New Roman" w:cs="Times New Roman"/>
          <w:i/>
          <w:iCs/>
          <w:color w:val="auto"/>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2022)","previouslyFormattedCitation":"(Huazhu, 2022)"},"properties":{"noteIndex":0},"schema":"https://github.com/citation-style-language/schema/raw/master/csl-citation.json"}</w:instrText>
      </w:r>
      <w:r>
        <w:rPr>
          <w:rFonts w:ascii="Times New Roman" w:hAnsi="Times New Roman" w:cs="Times New Roman"/>
          <w:i/>
          <w:iCs/>
          <w:color w:val="auto"/>
          <w:sz w:val="24"/>
          <w:szCs w:val="24"/>
        </w:rPr>
        <w:fldChar w:fldCharType="separate"/>
      </w:r>
      <w:r>
        <w:rPr>
          <w:rFonts w:ascii="Times New Roman" w:hAnsi="Times New Roman" w:cs="Times New Roman"/>
          <w:i/>
          <w:iCs/>
          <w:color w:val="auto"/>
          <w:sz w:val="24"/>
          <w:szCs w:val="24"/>
        </w:rPr>
        <w:t>(Huazhu, 2022)</w:t>
      </w:r>
      <w:r>
        <w:rPr>
          <w:rFonts w:ascii="Times New Roman" w:hAnsi="Times New Roman" w:cs="Times New Roman"/>
          <w:i/>
          <w:iCs/>
          <w:color w:val="auto"/>
          <w:sz w:val="24"/>
          <w:szCs w:val="24"/>
        </w:rPr>
        <w:fldChar w:fldCharType="end"/>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Relevant: the objective should with the overate strategic goals of Huazhu, and should measure relevant outcomes. For years, Huazhu has invested aggressively in internationalization to eliminate its reliance on the Chinese market and seeks to further diversify its brand. The realization of the overate long-term strategies should be felicitated with higher RevPAR, as it generates operation revenues and promotes brand awareness, which is the fundamental support required for the long-term strategy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2022)","previouslyFormattedCitation":"(Huazhu,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(Huazhu, 2022)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Time-bound: the objective should be linked to a time frame with a practical sense of urgency. The travel industry is expected to recover by the end of 2022 (as a result of the removal of travel restrictions and the effectiveness of the vaccination programs), which is almost half a year left from now. As one of the industrial leaders, Huazhu should keep its pace with the overall industry development, to manage the recovery of its KPI by the same too. </w:t>
      </w:r>
    </w:p>
    <w:p>
      <w:pPr>
        <w:pStyle w:val="3"/>
        <w:numPr>
          <w:ilvl w:val="1"/>
          <w:numId w:val="1"/>
        </w:numPr>
        <w:spacing w:before="468" w:beforeLines="150" w:after="468" w:afterLines="150" w:line="360" w:lineRule="auto"/>
        <w:jc w:val="both"/>
        <w:rPr>
          <w:rFonts w:ascii="Times New Roman" w:hAnsi="Times New Roman" w:cs="Times New Roman"/>
          <w:color w:val="auto"/>
        </w:rPr>
      </w:pPr>
      <w:bookmarkStart w:id="9" w:name="_Toc102317311"/>
      <w:r>
        <w:rPr>
          <w:rFonts w:ascii="Times New Roman" w:hAnsi="Times New Roman" w:cs="Times New Roman"/>
          <w:color w:val="auto"/>
        </w:rPr>
        <w:t>Strategy</w:t>
      </w:r>
      <w:bookmarkEnd w:id="9"/>
      <w:r>
        <w:rPr>
          <w:rFonts w:ascii="Times New Roman" w:hAnsi="Times New Roman" w:cs="Times New Roman"/>
          <w:color w:val="auto"/>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The covid-19 pandemic has highlighted the customer demands for hygiene and safety when considering a hotel brand. Huazhu, as a leading hotel chain, should definitely be more rigorous in their daily hygiene processes, and be more responsive to customer needs. In response to the requirement and demand for social distancing, Huazhu, with more advanced technologies, should actively leverage its technological capabilities in the customer journey to afford an experience of greater level of safety and superiority.</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commitment for hygiene and safety, effective marketing plan, though marketing mix (product, place, promotion and price) should be refined to boost customer demands and enhance perceived values. This can be realized using the multi-channel strategy to drive direct sales, and the technological capabilities to drive personalization, etc. A detailed plan through marketing mix is attached in the next section. </w:t>
      </w:r>
    </w:p>
    <w:p>
      <w:pPr>
        <w:pStyle w:val="3"/>
        <w:spacing w:before="468" w:beforeLines="150" w:after="468" w:afterLines="150" w:line="360" w:lineRule="auto"/>
        <w:jc w:val="both"/>
        <w:rPr>
          <w:rFonts w:ascii="Times New Roman" w:hAnsi="Times New Roman" w:cs="Times New Roman"/>
          <w:color w:val="auto"/>
        </w:rPr>
      </w:pPr>
      <w:bookmarkStart w:id="10" w:name="_Toc102317312"/>
      <w:r>
        <w:rPr>
          <w:rFonts w:ascii="Times New Roman" w:hAnsi="Times New Roman" w:cs="Times New Roman"/>
          <w:color w:val="auto"/>
        </w:rPr>
        <w:t>2.4 Tactics</w:t>
      </w:r>
      <w:bookmarkEnd w:id="10"/>
      <w:r>
        <w:rPr>
          <w:rFonts w:ascii="Times New Roman" w:hAnsi="Times New Roman" w:cs="Times New Roman"/>
          <w:color w:val="auto"/>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Product: Personalized service, in the context of the hotel industry, can be understood as the accommodation service with distinct flexibility and differences for each individual, and generally without additional charges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{"citationItems":[{"id":"ITEM-1","itemData":{"DOI":"10.1108/JTF-06-2016-0018","ISSN":"2055592X","abstract":"Purpose: The purpose of this paper is to better understand the future of hotel chains by exploring the evolving expectations of guests, potential innovations, emerging opportunities, and likely future scenarios. Design/methodology/approach: A literature review consisting of current events, industry reports, and recent trends is utilized to summarize and categorize the challenges and opportunities facing hotel chains. Findings: The future of hotel chains will be driven by the convergence of an increasingly competitive landscape, along with a diverse evolving customer base seeking out unique and individualized experiences. In order to survive in the future hotel chains will have to: listen to and learn from guests incorporating big data insights, go beyond segments to provide personalized services, continuously develop the brand through signature experiences, utilize collaboration and open innovation to maintain an edge in technology and service, and through total revenue management generate ancillary revenues and maximize guest spend. Originality/value: This paper provides a comprehensive set of recommendations to hotel chains highlighting opportunities related to: financing, revenue generation, personalization, and co-creation.","author":[{"dropping-particle":"","family":"Richard","given":"Brendan","non-dropping-particle":"","parse-names":false,"suffix":""}],"container-title":"Journal of Tourism Futures","id":"ITEM-1","issue":"1","issued":{"date-parts":[["2017","4","3"]]},"page":"56-65","publisher":"Emerald Group Publishing Ltd.","title":"Hotel chains: survival strategies for a dynamic future","type":"article","volume":"3"},"uris":["http://www.mendeley.com/documents/?uuid=bab36922-cb0b-3085-a6df-990695225854"]},{"id":"ITEM-2","itemData":{"DOI":"10.1016/j.tourman.2016.08.015","ISSN":"02615177","abstract":"Customer service is a critical element of a hotel's strategy and an important lever for differentiation of the hotel's offer. Over the last two decades, information systems have contributed to the transformation of customer interactions, enabling an unprecedented scale and scope of service personalization in the tourism industry. This paper reports the results of a mixed method study in a hotel that offers three contributions to the development and refinement of IT-enabled service personalization theory. It explores the role of signifiers in the design of customer service systems, showing that they significantly increase customer preference elicitation during the learning phase of the service personalization process. It then demonstrates that improved preference elicitation translates into higher customer service evaluations and value perceptions of the hotel. Finally, our study shows that IT-enabled service personalization creates financial benefits for the hotel via revenue share-shift from costly intermediated to direct distribution channels.","author":[{"dropping-particle":"","family":"Piccoli","given":"Gabriele","non-dropping-particle":"","parse-names":false,"suffix":""},{"dropping-particle":"","family":"Lui","given":"Tsz Wai","non-dropping-particle":"","parse-names":false,"suffix":""},{"dropping-particle":"","family":"Grün","given":"Bettina","non-dropping-particle":"","parse-names":false,"suffix":""}],"container-title":"Tourism Management","id":"ITEM-2","issue":"2","issued":{"date-parts":[["2017"]]},"page":"349-362","title":"The impact of IT-enabled customer service systems on service personalization, customer service perceptions, and hotel performance","type":"article-journal","volume":"59"},"uris":["http://www.mendeley.com/documents/?uuid=4dce7902-e634-364b-843b-35c869541486"]}],"mendeley":{"formattedCitation":"(Piccoli, Lui and Grün, 2017; Richard, 2017)","plainTextFormattedCitation":"(Piccoli, Lui and Grün, 2017; Richard, 2017)","previouslyFormattedCitation":"(Piccoli, Lui and Grün, 2017; Richard,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(Piccoli, Lui and Grün, 2017; Richard, 2017)</w:t>
      </w:r>
      <w:r>
        <w:rPr>
          <w:rFonts w:ascii="Times New Roman" w:hAnsi="Times New Roman" w:cs="Times New Roman"/>
          <w:sz w:val="24"/>
          <w:szCs w:val="24"/>
        </w:rPr>
        <w:fldChar w:fldCharType="end"/>
      </w:r>
      <w:r>
        <w:rPr>
          <w:rFonts w:ascii="Times New Roman" w:hAnsi="Times New Roman" w:cs="Times New Roman"/>
          <w:sz w:val="24"/>
          <w:szCs w:val="24"/>
        </w:rPr>
        <w:t xml:space="preserve">. Facing the fierce competition within the industry, the technological capabilities of Huazhu, such as its mobile application, Huazhu PMS &amp; integrated ERP, should be leveraged to collect customer information ethically from each touch point along with the customer journey to develop a more profound understanding of customers at an individual level. Based on the understanding of individual customers, more personalized accommodation services should be provided across all brands under Huazhu. At the same time, safety is still the primary concern of guests under the covid-19 pandemic. The current technological capabilities of Huazhu, such as automated check-in and check-out, delivery robots, mobile housekeeping, etc. which were not widely adopted across brands and locations, should be rapidly promoted to ensure contactless customer experiences. </w:t>
      </w:r>
    </w:p>
    <w:p>
      <w:pPr>
        <w:spacing w:before="468" w:beforeLines="150" w:after="468" w:afterLines="150" w:line="360" w:lineRule="auto"/>
        <w:jc w:val="center"/>
        <w:rPr>
          <w:rFonts w:ascii="Times New Roman" w:hAnsi="Times New Roman" w:cs="Times New Roman"/>
          <w:i/>
          <w:iCs/>
          <w:sz w:val="24"/>
          <w:szCs w:val="24"/>
        </w:rPr>
      </w:pPr>
      <w:r>
        <w:rPr>
          <w:rFonts w:ascii="Times New Roman" w:hAnsi="Times New Roman" w:cs="Times New Roman"/>
          <w:i/>
          <w:iCs/>
          <w:sz w:val="24"/>
          <w:szCs w:val="24"/>
        </w:rPr>
        <w:drawing>
          <wp:inline distT="0" distB="0" distL="0" distR="0">
            <wp:extent cx="4400550" cy="2480310"/>
            <wp:effectExtent l="76200" t="76200" r="133350" b="129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4406566" cy="248389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before="468" w:beforeLines="150" w:after="468" w:afterLines="150" w:line="360" w:lineRule="auto"/>
        <w:jc w:val="center"/>
        <w:rPr>
          <w:rFonts w:ascii="Times New Roman" w:hAnsi="Times New Roman" w:cs="Times New Roman"/>
          <w:i/>
          <w:iCs/>
          <w:color w:val="auto"/>
          <w:sz w:val="24"/>
          <w:szCs w:val="24"/>
        </w:rPr>
      </w:pPr>
      <w:r>
        <w:rPr>
          <w:rFonts w:ascii="Times New Roman" w:hAnsi="Times New Roman" w:cs="Times New Roman"/>
          <w:i/>
          <w:iCs/>
          <w:color w:val="auto"/>
          <w:sz w:val="24"/>
          <w:szCs w:val="24"/>
        </w:rPr>
        <w:t xml:space="preserve">Figure 2: Huazhu’s technological capabilities </w:t>
      </w:r>
      <w:r>
        <w:rPr>
          <w:rFonts w:ascii="Times New Roman" w:hAnsi="Times New Roman" w:cs="Times New Roman"/>
          <w:i/>
          <w:iCs/>
          <w:color w:val="auto"/>
          <w:sz w:val="24"/>
          <w:szCs w:val="24"/>
        </w:rPr>
        <w:fldChar w:fldCharType="begin" w:fldLock="1"/>
      </w:r>
      <w:r>
        <w:rPr>
          <w:rFonts w:ascii="Times New Roman" w:hAnsi="Times New Roman" w:cs="Times New Roman"/>
          <w:i/>
          <w:iCs/>
          <w:color w:val="auto"/>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2022)","previouslyFormattedCitation":"(Huazhu, 2022)"},"properties":{"noteIndex":0},"schema":"https://github.com/citation-style-language/schema/raw/master/csl-citation.json"}</w:instrText>
      </w:r>
      <w:r>
        <w:rPr>
          <w:rFonts w:ascii="Times New Roman" w:hAnsi="Times New Roman" w:cs="Times New Roman"/>
          <w:i/>
          <w:iCs/>
          <w:color w:val="auto"/>
          <w:sz w:val="24"/>
          <w:szCs w:val="24"/>
        </w:rPr>
        <w:fldChar w:fldCharType="separate"/>
      </w:r>
      <w:r>
        <w:rPr>
          <w:rFonts w:ascii="Times New Roman" w:hAnsi="Times New Roman" w:cs="Times New Roman"/>
          <w:i/>
          <w:iCs/>
          <w:color w:val="auto"/>
          <w:sz w:val="24"/>
          <w:szCs w:val="24"/>
        </w:rPr>
        <w:t>(Huazhu, 2022)</w:t>
      </w:r>
      <w:r>
        <w:rPr>
          <w:rFonts w:ascii="Times New Roman" w:hAnsi="Times New Roman" w:cs="Times New Roman"/>
          <w:i/>
          <w:iCs/>
          <w:color w:val="auto"/>
          <w:sz w:val="24"/>
          <w:szCs w:val="24"/>
        </w:rPr>
        <w:fldChar w:fldCharType="end"/>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Price: Compared to the rigid pricing with little flexibility and dynamism, Huazhu should leverage the real-time market intelligence tools, enabled by big data analytics or artificial intelligence, to make better and effective pricing decisions based on precise and timely market data (such as demand and supply equilibrium, industrial average offerings, lowest/highest rates with competitors demographical features of consumers, etc.)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{"citationItems":[{"id":"ITEM-1","itemData":{"DOI":"10.1016/j.tourman.2014.05.003","ISSN":"02615177","abstract":"This paper studies the optimal pricing strategy of a hotel that establishes an online distribution channel through cooperation with an online travel agency (OTA). The OTA promotes the hotel and sells hotel rooms through its website and receives commission from the hotel for rooms sold. Through a sequence game model, this paper derives the optimal decision on the unit commission of the hotel and the optimal response of the OTA to that commission. The paper notes management implications, including (1) occupancy rate of a hotel before opening online marketing is an important metric for securing cooperation with an OTA; that is, a hotel with lower occupancy rates is more inclined to cooperate with an OTA to achieve an improvement in profits; and (2) a hotel is inclined to establish an online channel through an OTA with many online customers and/or few listed hotels. © 2014 Elsevier Ltd.","author":[{"dropping-particle":"","family":"Ling","given":"Liuyi","non-dropping-particle":"","parse-names":false,"suffix":""},{"dropping-particle":"","family":"Guo","given":"Xiaolong","non-dropping-particle":"","parse-names":false,"suffix":""},{"dropping-particle":"","family":"Yang","given":"Chenchen","non-dropping-particle":"","parse-names":false,"suffix":""}],"container-title":"Tourism Management","id":"ITEM-1","issue":"2","issued":{"date-parts":[["2014"]]},"page":"234-243","title":"Opening the online marketplace: An examination of hotel pricing and travel agency on-line distribution of rooms","type":"article-journal","volume":"45"},"uris":["http://www.mendeley.com/documents/?uuid=c1f0c8a4-093a-36df-ac49-2f0e639214bb"]}],"mendeley":{"formattedCitation":"(Ling, Guo and Yang, 2014)","plainTextFormattedCitation":"(Ling, Guo and Yang, 2014)","previouslyFormattedCitation":"(Ling, Guo and Yang, 2014)"},"properties":{"noteIndex":0},"schema":"https://github.com/citation-style-language/schema/raw/master/csl-citation.json"}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(Ling, Guo and Yang, 2014)</w:t>
      </w:r>
      <w:r>
        <w:rPr>
          <w:rFonts w:ascii="Times New Roman" w:hAnsi="Times New Roman" w:cs="Times New Roman"/>
          <w:sz w:val="24"/>
          <w:szCs w:val="24"/>
        </w:rPr>
        <w:fldChar w:fldCharType="end"/>
      </w:r>
      <w:r>
        <w:rPr>
          <w:rFonts w:ascii="Times New Roman" w:hAnsi="Times New Roman" w:cs="Times New Roman"/>
          <w:sz w:val="24"/>
          <w:szCs w:val="24"/>
        </w:rPr>
        <w:t>. Specifically, this means more effective revenue management should be deployed and developed to advance the hotel pricing system, thereby improving the average daily rate, the occupancy rate and RevPAR.</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Promotion: The primary promotion channel of Huazhu has been through its Huazhu Club program, and so far, it has not yet actively established its online presence and manager customer relationship on major social media platforms. However, social media has become a primary source of information, especially in the form of video clipping or picture logs, etc. Huazhu should establish a presence on the local social media used by the travelers, such as Sina Blog and Douyin in China, Instagram, and Youtube in the international market. Social media allows Huazhu to showcase the latest offerings of Huazhu, and communicate their latest measures in preventing covid-19.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Place: The sales channels of hotels can be divided into distribution and direct sales. Distribution channels include OTAs (online travel agencies), offline travel groups, group purchases, etc.; direct sales channels include front desk casual customers, members, etc. Huazhu has established a comprehensive direct sales system. As of the end of 2019, the number of nights occupied by Huazhu hotel's own channels accounted for 85%, and only 15% of the nights relied on OTAs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2021","type":"report"},"uris":["http://www.mendeley.com/documents/?uuid=6b7f82c1-5de0-3b23-8d30-d85cf2c2b2eb"]}],"mendeley":{"formattedCitation":"(Huazhu, 2022)","plainTextFormattedCitation":"(Huazhu,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(Huazhu, 2022)</w:t>
      </w:r>
      <w:r>
        <w:rPr>
          <w:rFonts w:ascii="Times New Roman" w:hAnsi="Times New Roman" w:cs="Times New Roman"/>
          <w:sz w:val="24"/>
          <w:szCs w:val="24"/>
        </w:rPr>
        <w:fldChar w:fldCharType="end"/>
      </w:r>
      <w:r>
        <w:rPr>
          <w:rFonts w:ascii="Times New Roman" w:hAnsi="Times New Roman" w:cs="Times New Roman"/>
          <w:sz w:val="24"/>
          <w:szCs w:val="24"/>
        </w:rPr>
        <w:t xml:space="preserve">. Compared with distribution channels, the direct sales method can avoid high channel fees, and the hotel has more control over the channels to maintain lower costs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{"citationItems":[{"id":"ITEM-1","itemData":{"author":[{"dropping-particle":"","family":"Huazhu","given":"","non-dropping-particle":"","parse-names":false,"suffix":""}],"id":"ITEM-1","issued":{"date-parts":[["2022"]]},"title":"Huazhu Group Limited: Annual report 2021","type":"report"},"uris":["http://www.mendeley.com/documents/?uuid=6b7f82c1-5de0-3b23-8d30-d85cf2c2b2eb"]},{"id":"ITEM-2","itemData":{"DOI":"10.1108/JHTT-10-2016-0069/FULL/HTML","ISSN":"17579899","abstract":"Purpose: Hoteliers are often frustrated by the significant fees charged for bookings by Online Travel Agents (OTAs), and they try to encourage more direct bookings that circumvent the OTA system. However, there are billions of dollars of room revenues generated by OTAs every year; and many companies in other industries sell their products through multiple channels. The purpose of this study is to investigate how hotel revenue managers can collaborate successfully with OTAs. Design/methodology/approach: Qualitative methods are applied in this study, specifically focus groups and in-person interviews with market managers of a leading OTA. Content analysis is performed, using ATLASti 5, to discover emerging themes and categories from the transcripts. Findings: This study highlights several OTA value propositions and how hotels can benefit from them. Additionally, the findings of this study reveal that effective two-way communication between OTAs and revenue managers is the key to success. An “optimization loop” is established, which specifies that partnership and collaboration between OTAs and hotels must occur in a circular sequence of communication, engagement, collaboration and strategy. Research limitations/implications: A major limitation for this study is that interviews were conducted only with market managers, limiting the perspective to that of OTAs. Originality/value: There is a paucity of research and dialogue discussing productive relationships between OTAs and hotel firms. Through in-depth in-person interviews with a diverse set of market managers from a leading OTA, this study brings to light an array of perspectives of what is required to optimize the OTA/hotelier relationship.","author":[{"dropping-particle":"","family":"Raab","given":"Carola","non-dropping-particle":"","parse-names":false,"suffix":""},{"dropping-particle":"","family":"Berezan","given":"Orie","non-dropping-particle":"","parse-names":false,"suffix":""},{"dropping-particle":"","family":"Christodoulidou","given":"Natasa","non-dropping-particle":"","parse-names":false,"suffix":""},{"dropping-particle":"","family":"Jiang","given":"Lan","non-dropping-particle":"","parse-names":false,"suffix":""},{"dropping-particle":"","family":"Shoemaker","given":"Stowe","non-dropping-particle":"","parse-names":false,"suffix":""}],"container-title":"Journal of Hospitality and Tourism Technology","id":"ITEM-2","issue":"1","issued":{"date-parts":[["2018"]]},"page":"121-135","publisher":"Emerald Group Publishing Ltd.","title":"Creating strategic relationships with online travel agents to drive hotel room revenue: An OTA perspective","type":"article-journal","volume":"9"},"uris":["http://www.mendeley.com/documents/?uuid=9d9ef029-df89-35ff-9e21-a2014ba0fcae"]}],"mendeley":{"formattedCitation":"(Raab &lt;i&gt;et al.&lt;/i&gt;, 2018; Huazhu, 2022)","plainTextFormattedCitation":"(Raab et al., 2018; Huazhu, 2022)","previouslyFormattedCitation":"(Raab &lt;i&gt;et al.&lt;/i&gt;, 2018; Huazhu, 2022)"},"properties":{"noteIndex":0},"schema":"https://github.com/citation-style-language/schema/raw/master/csl-citation.json"}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(Raab </w:t>
      </w:r>
      <w:r>
        <w:rPr>
          <w:rFonts w:ascii="Times New Roman" w:hAnsi="Times New Roman" w:cs="Times New Roman"/>
          <w:i/>
          <w:sz w:val="24"/>
          <w:szCs w:val="24"/>
        </w:rPr>
        <w:t>et al.</w:t>
      </w:r>
      <w:r>
        <w:rPr>
          <w:rFonts w:ascii="Times New Roman" w:hAnsi="Times New Roman" w:cs="Times New Roman"/>
          <w:sz w:val="24"/>
          <w:szCs w:val="24"/>
        </w:rPr>
        <w:t>, 2018; Huazhu, 2022)</w:t>
      </w:r>
      <w:r>
        <w:rPr>
          <w:rFonts w:ascii="Times New Roman" w:hAnsi="Times New Roman" w:cs="Times New Roman"/>
          <w:sz w:val="24"/>
          <w:szCs w:val="24"/>
        </w:rPr>
        <w:fldChar w:fldCharType="end"/>
      </w:r>
      <w:r>
        <w:rPr>
          <w:rFonts w:ascii="Times New Roman" w:hAnsi="Times New Roman" w:cs="Times New Roman"/>
          <w:sz w:val="24"/>
          <w:szCs w:val="24"/>
        </w:rPr>
        <w:t>. At the same time, its own system is conducive to the hotel to accumulate high loyalty consumer groups, and the group can achieve the sharing of passenger flow between hotels. Thereby, Huazhu should continue with the multi-channel strategy to promote direct sales, such as through the Huazhu Club to enhance each other's networking environment by maintaining a direct and positive interactive relationship with members and encourage offline sales staff to convert customers into members; through the key account team, invest more resources in key account coverage to further expand the corporate customer base; through regional sales team marketing to attract local customers to Huazhu hotels; through hotel level staff to step up hotel room sales and recruit members to join the Huazhu Club by offering preferential rates and vacation benefits.</w:t>
      </w:r>
    </w:p>
    <w:p>
      <w:pPr>
        <w:pStyle w:val="3"/>
        <w:spacing w:before="468" w:beforeLines="150" w:after="468" w:afterLines="150" w:line="360" w:lineRule="auto"/>
        <w:jc w:val="both"/>
        <w:rPr>
          <w:rFonts w:ascii="Times New Roman" w:hAnsi="Times New Roman" w:cs="Times New Roman"/>
          <w:color w:val="auto"/>
        </w:rPr>
      </w:pPr>
      <w:bookmarkStart w:id="11" w:name="_Toc102317313"/>
      <w:r>
        <w:rPr>
          <w:rFonts w:ascii="Times New Roman" w:hAnsi="Times New Roman" w:cs="Times New Roman"/>
          <w:color w:val="auto"/>
        </w:rPr>
        <w:t>2.5 Actions</w:t>
      </w:r>
      <w:bookmarkEnd w:id="11"/>
      <w:r>
        <w:rPr>
          <w:rFonts w:ascii="Times New Roman" w:hAnsi="Times New Roman" w:cs="Times New Roman"/>
          <w:color w:val="auto"/>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marketing objective should be collectively delivered by the corporate marketing team, regional marketing team, and hotel marketing team. This requires active and transparent communication across teams to break down the tax-inclusive RevPAR into the regional and hotel KPIs based on the previous performance and based on the local covid-19 situation. The corporate-level marketing team will mainly liaison with the regional team to take care of the online promotion through social media; the hotel marketing team will mainly engage in the on-site marketing team through initiatives such as festival promotions, travel packages, etc.  </w:t>
      </w:r>
    </w:p>
    <w:p>
      <w:pPr>
        <w:pStyle w:val="3"/>
        <w:rPr>
          <w:rFonts w:ascii="Times New Roman" w:hAnsi="Times New Roman" w:cs="Times New Roman"/>
          <w:color w:val="auto"/>
        </w:rPr>
      </w:pPr>
      <w:bookmarkStart w:id="12" w:name="_Toc102317314"/>
      <w:r>
        <w:rPr>
          <w:rFonts w:ascii="Times New Roman" w:hAnsi="Times New Roman" w:cs="Times New Roman"/>
          <w:color w:val="auto"/>
        </w:rPr>
        <w:t>2.6 Control</w:t>
      </w:r>
      <w:bookmarkEnd w:id="12"/>
      <w:r>
        <w:rPr>
          <w:rFonts w:ascii="Times New Roman" w:hAnsi="Times New Roman" w:cs="Times New Roman"/>
          <w:color w:val="auto"/>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integrated cloud PMS technological system should be actively leveraged by Huazhu to construct a marketing platform where the marketing efforts from the corporate, regional, and hotel levels can be recorded and benchmarked against the pre-determined objective above, the performance of previous years, as well as the preform of Huazhu’s direct competitors (Jin Jiang, Hilton, Marriott, Intercontinental, etc.). At the same time, beyond the sole focus on the RevPAR, the marketing team should cooperate with other teams in Huazhu, through the CRM system, CRS system, RMS system, and CPS system to keep a close eye on other relevant performance indicators (customer satisfaction, profit margin, etc.). </w:t>
      </w:r>
    </w:p>
    <w:p>
      <w:pPr>
        <w:pStyle w:val="2"/>
        <w:numPr>
          <w:ilvl w:val="0"/>
          <w:numId w:val="1"/>
        </w:numPr>
        <w:spacing w:before="468" w:beforeLines="150" w:after="468" w:afterLines="150" w:line="360" w:lineRule="auto"/>
        <w:jc w:val="both"/>
        <w:rPr>
          <w:rFonts w:ascii="Times New Roman" w:hAnsi="Times New Roman" w:cs="Times New Roman"/>
          <w:color w:val="auto"/>
        </w:rPr>
      </w:pPr>
      <w:bookmarkStart w:id="13" w:name="_Toc102317315"/>
      <w:r>
        <w:rPr>
          <w:rFonts w:ascii="Times New Roman" w:hAnsi="Times New Roman" w:cs="Times New Roman"/>
          <w:color w:val="auto"/>
        </w:rPr>
        <w:t>Recommendation and Conclusions</w:t>
      </w:r>
      <w:bookmarkEnd w:id="13"/>
      <w:r>
        <w:rPr>
          <w:rFonts w:ascii="Times New Roman" w:hAnsi="Times New Roman" w:cs="Times New Roman"/>
          <w:color w:val="auto"/>
        </w:rPr>
        <w:t xml:space="preserve"> </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The primary recommendation promoted for Huazhu is to uncover the opportunities hidden in the covid-19 pandemic as the covid-19 is a norm for the whole hospitality industry. These opportunities, together with other social and technological trends within the industry should be perceived and prioritized by Huazhu, and actively exploited through its advantages in its diversified brand portfolio, its strong technological capabilities, etc. Compared to passively responding to the covid-19, a more active stance will help Huazhu to grow sustainably.</w:t>
      </w:r>
    </w:p>
    <w:p>
      <w:pPr>
        <w:spacing w:before="468" w:beforeLines="150" w:after="468" w:afterLines="15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situation analysis, with a focus on the internal and external environment, identifies the internal resources and competencies of Huazhu but also understands the external industrial trends facing Huazhu. based on the situation, an objective of promoting the tax-inclusive RevPAR to around RMB 190 is formulated. For the sake of realizing the objective, a sound marketing plan, with a focus on direct sales, social media promotion, and offering differentiation, is developed too. </w:t>
      </w:r>
    </w:p>
    <w:p>
      <w:pPr>
        <w:rPr>
          <w:rFonts w:hint="eastAsia" w:ascii="Times New Roman" w:hAnsi="Times New Roman" w:cs="Times New Roman"/>
        </w:rPr>
      </w:pPr>
      <w:r>
        <w:rPr>
          <w:rFonts w:ascii="Times New Roman" w:hAnsi="Times New Roman" w:cs="Times New Roman"/>
        </w:rPr>
        <w:br w:type="page"/>
      </w:r>
    </w:p>
    <w:p>
      <w:pPr>
        <w:pStyle w:val="2"/>
        <w:spacing w:before="468" w:beforeLines="150" w:after="468" w:afterLines="150" w:line="360" w:lineRule="auto"/>
        <w:jc w:val="both"/>
        <w:rPr>
          <w:rFonts w:ascii="Times New Roman" w:hAnsi="Times New Roman" w:cs="Times New Roman"/>
          <w:color w:val="auto"/>
        </w:rPr>
      </w:pPr>
      <w:bookmarkStart w:id="14" w:name="_Toc102317316"/>
      <w:r>
        <w:rPr>
          <w:rFonts w:ascii="Times New Roman" w:hAnsi="Times New Roman" w:cs="Times New Roman"/>
          <w:color w:val="auto"/>
        </w:rPr>
        <w:t>References</w:t>
      </w:r>
      <w:bookmarkEnd w:id="14"/>
      <w:r>
        <w:rPr>
          <w:rFonts w:ascii="Times New Roman" w:hAnsi="Times New Roman" w:cs="Times New Roman"/>
          <w:color w:val="auto"/>
        </w:rPr>
        <w:t xml:space="preserve"> </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Chen, L. H., Freedman, D. O. and Visser, L. G. (2021) ‘COVID-19 immunity passport to ease travel restrictions?’, </w:t>
      </w:r>
      <w:r>
        <w:rPr>
          <w:rFonts w:ascii="Times New Roman" w:hAnsi="Times New Roman" w:cs="Times New Roman"/>
          <w:i/>
          <w:iCs/>
          <w:sz w:val="24"/>
          <w:szCs w:val="24"/>
        </w:rPr>
        <w:t>Journal of Travel Medicine</w:t>
      </w:r>
      <w:r>
        <w:rPr>
          <w:rFonts w:ascii="Times New Roman" w:hAnsi="Times New Roman" w:cs="Times New Roman"/>
          <w:sz w:val="24"/>
          <w:szCs w:val="24"/>
        </w:rPr>
        <w:t>. Oxford University Press, pp. 1–3. doi: 10.1093/JTM/TAAA085.</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Czerny, A. I. </w:t>
      </w:r>
      <w:r>
        <w:rPr>
          <w:rFonts w:ascii="Times New Roman" w:hAnsi="Times New Roman" w:cs="Times New Roman"/>
          <w:i/>
          <w:iCs/>
          <w:sz w:val="24"/>
          <w:szCs w:val="24"/>
        </w:rPr>
        <w:t>et al.</w:t>
      </w:r>
      <w:r>
        <w:rPr>
          <w:rFonts w:ascii="Times New Roman" w:hAnsi="Times New Roman" w:cs="Times New Roman"/>
          <w:sz w:val="24"/>
          <w:szCs w:val="24"/>
        </w:rPr>
        <w:t xml:space="preserve"> (2021) ‘Post pandemic aviation market recovery: Experience and lessons from China’, </w:t>
      </w:r>
      <w:r>
        <w:rPr>
          <w:rFonts w:ascii="Times New Roman" w:hAnsi="Times New Roman" w:cs="Times New Roman"/>
          <w:i/>
          <w:iCs/>
          <w:sz w:val="24"/>
          <w:szCs w:val="24"/>
        </w:rPr>
        <w:t>Journal of Air Transport Management</w:t>
      </w:r>
      <w:r>
        <w:rPr>
          <w:rFonts w:ascii="Times New Roman" w:hAnsi="Times New Roman" w:cs="Times New Roman"/>
          <w:sz w:val="24"/>
          <w:szCs w:val="24"/>
        </w:rPr>
        <w:t>, 90(2), pp. 3–14. doi: 10.1016/j.jairtraman.2020.101971.</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Davahli, M. R. </w:t>
      </w:r>
      <w:r>
        <w:rPr>
          <w:rFonts w:ascii="Times New Roman" w:hAnsi="Times New Roman" w:cs="Times New Roman"/>
          <w:i/>
          <w:iCs/>
          <w:sz w:val="24"/>
          <w:szCs w:val="24"/>
        </w:rPr>
        <w:t>et al.</w:t>
      </w:r>
      <w:r>
        <w:rPr>
          <w:rFonts w:ascii="Times New Roman" w:hAnsi="Times New Roman" w:cs="Times New Roman"/>
          <w:sz w:val="24"/>
          <w:szCs w:val="24"/>
        </w:rPr>
        <w:t xml:space="preserve"> (2020) ‘The hospitality industry in the face of the COVID-19 pandemic: Current topics and research methods’, </w:t>
      </w:r>
      <w:r>
        <w:rPr>
          <w:rFonts w:ascii="Times New Roman" w:hAnsi="Times New Roman" w:cs="Times New Roman"/>
          <w:i/>
          <w:iCs/>
          <w:sz w:val="24"/>
          <w:szCs w:val="24"/>
        </w:rPr>
        <w:t>International Journal of Environmental Research and Public Health</w:t>
      </w:r>
      <w:r>
        <w:rPr>
          <w:rFonts w:ascii="Times New Roman" w:hAnsi="Times New Roman" w:cs="Times New Roman"/>
          <w:sz w:val="24"/>
          <w:szCs w:val="24"/>
        </w:rPr>
        <w:t>, pp. 1–22. doi: 10.3390/ijerph17207366.</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Giacomel, A. and Dumoulin, R. (2020) ‘The Globalized Hotel Business: Worlds within a World’, in </w:t>
      </w:r>
      <w:r>
        <w:rPr>
          <w:rFonts w:ascii="Times New Roman" w:hAnsi="Times New Roman" w:cs="Times New Roman"/>
          <w:i/>
          <w:iCs/>
          <w:sz w:val="24"/>
          <w:szCs w:val="24"/>
        </w:rPr>
        <w:t>Shapes of Tourism Employment</w:t>
      </w:r>
      <w:r>
        <w:rPr>
          <w:rFonts w:ascii="Times New Roman" w:hAnsi="Times New Roman" w:cs="Times New Roman"/>
          <w:sz w:val="24"/>
          <w:szCs w:val="24"/>
        </w:rPr>
        <w:t>. Wiley, pp. 67–76. doi: 10.1002/9781119751342.ch5.</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Global Newswire (2022) </w:t>
      </w:r>
      <w:r>
        <w:rPr>
          <w:rFonts w:ascii="Times New Roman" w:hAnsi="Times New Roman" w:cs="Times New Roman"/>
          <w:i/>
          <w:iCs/>
          <w:sz w:val="24"/>
          <w:szCs w:val="24"/>
        </w:rPr>
        <w:t>Huazhu Group Limited Reports Fourth Quarter and Full Year</w:t>
      </w:r>
      <w:r>
        <w:rPr>
          <w:rFonts w:ascii="Times New Roman" w:hAnsi="Times New Roman" w:cs="Times New Roman"/>
          <w:sz w:val="24"/>
          <w:szCs w:val="24"/>
        </w:rPr>
        <w:t>. Available at: https://www.globenewswire.com/news-release/2022/03/23/2408461/19355/en/Huazhu-Group-Limited-Reports-Fourth-Quarter-and-Full-Year-2021-Unaudited-Financial-Results.html (Accessed: 1 May 2022).</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Hidalgo, A. </w:t>
      </w:r>
      <w:r>
        <w:rPr>
          <w:rFonts w:ascii="Times New Roman" w:hAnsi="Times New Roman" w:cs="Times New Roman"/>
          <w:i/>
          <w:iCs/>
          <w:sz w:val="24"/>
          <w:szCs w:val="24"/>
        </w:rPr>
        <w:t>et al.</w:t>
      </w:r>
      <w:r>
        <w:rPr>
          <w:rFonts w:ascii="Times New Roman" w:hAnsi="Times New Roman" w:cs="Times New Roman"/>
          <w:sz w:val="24"/>
          <w:szCs w:val="24"/>
        </w:rPr>
        <w:t xml:space="preserve"> (2022) ‘Does hotel management matter to overcoming the COVID-19 crisis? The Spanish case’, </w:t>
      </w:r>
      <w:r>
        <w:rPr>
          <w:rFonts w:ascii="Times New Roman" w:hAnsi="Times New Roman" w:cs="Times New Roman"/>
          <w:i/>
          <w:iCs/>
          <w:sz w:val="24"/>
          <w:szCs w:val="24"/>
        </w:rPr>
        <w:t>Tourism Management</w:t>
      </w:r>
      <w:r>
        <w:rPr>
          <w:rFonts w:ascii="Times New Roman" w:hAnsi="Times New Roman" w:cs="Times New Roman"/>
          <w:sz w:val="24"/>
          <w:szCs w:val="24"/>
        </w:rPr>
        <w:t>, 88(2), pp. 23–34. doi: 10.1016/j.tourman.2021.104395.</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Huazhu (2022) </w:t>
      </w:r>
      <w:r>
        <w:rPr>
          <w:rFonts w:ascii="Times New Roman" w:hAnsi="Times New Roman" w:cs="Times New Roman"/>
          <w:i/>
          <w:iCs/>
          <w:sz w:val="24"/>
          <w:szCs w:val="24"/>
        </w:rPr>
        <w:t>Huazhu Group Limited: Annual report 2021</w:t>
      </w:r>
      <w:r>
        <w:rPr>
          <w:rFonts w:ascii="Times New Roman" w:hAnsi="Times New Roman" w:cs="Times New Roman"/>
          <w:sz w:val="24"/>
          <w:szCs w:val="24"/>
        </w:rPr>
        <w:t>.</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Investor Observer (2022) </w:t>
      </w:r>
      <w:r>
        <w:rPr>
          <w:rFonts w:ascii="Times New Roman" w:hAnsi="Times New Roman" w:cs="Times New Roman"/>
          <w:i/>
          <w:iCs/>
          <w:sz w:val="24"/>
          <w:szCs w:val="24"/>
        </w:rPr>
        <w:t>Is Huazhu Group Ltd (HTHT) Stock a Bad Value?</w:t>
      </w:r>
      <w:r>
        <w:rPr>
          <w:rFonts w:ascii="Times New Roman" w:hAnsi="Times New Roman" w:cs="Times New Roman"/>
          <w:sz w:val="24"/>
          <w:szCs w:val="24"/>
        </w:rPr>
        <w:t xml:space="preserve"> Available at: https://www.investorsobserver.com/news/stock-update/is-huazhu-group-ltd-htht-stock-a-bad-value (Accessed: 1 May 2022).</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Kaushik, A. K., Agrawal, A. K. and Rahman, Z. (2015) ‘Tourist behaviour towards self-service hotel technology adoption: Trust and subjective norm as key antecedents’, </w:t>
      </w:r>
      <w:r>
        <w:rPr>
          <w:rFonts w:ascii="Times New Roman" w:hAnsi="Times New Roman" w:cs="Times New Roman"/>
          <w:i/>
          <w:iCs/>
          <w:sz w:val="24"/>
          <w:szCs w:val="24"/>
        </w:rPr>
        <w:t>Tourism Management Perspectives</w:t>
      </w:r>
      <w:r>
        <w:rPr>
          <w:rFonts w:ascii="Times New Roman" w:hAnsi="Times New Roman" w:cs="Times New Roman"/>
          <w:sz w:val="24"/>
          <w:szCs w:val="24"/>
        </w:rPr>
        <w:t>, 16(2), pp. 278–289. doi: 10.1016/j.tmp.2015.09.002.</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Law, R., Sun, S. and Chan, I. C. C. (2020) ‘Hotel technology: a perspective article’, </w:t>
      </w:r>
      <w:r>
        <w:rPr>
          <w:rFonts w:ascii="Times New Roman" w:hAnsi="Times New Roman" w:cs="Times New Roman"/>
          <w:i/>
          <w:iCs/>
          <w:sz w:val="24"/>
          <w:szCs w:val="24"/>
        </w:rPr>
        <w:t>Tourism Review</w:t>
      </w:r>
      <w:r>
        <w:rPr>
          <w:rFonts w:ascii="Times New Roman" w:hAnsi="Times New Roman" w:cs="Times New Roman"/>
          <w:sz w:val="24"/>
          <w:szCs w:val="24"/>
        </w:rPr>
        <w:t>, 75(1), pp. 286–289. doi: 10.1108/TR-05-2019-0150.</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Ling, L., Guo, X. and Yang, C. (2014) ‘Opening the online marketplace: An examination of hotel pricing and travel agency on-line distribution of rooms’, </w:t>
      </w:r>
      <w:r>
        <w:rPr>
          <w:rFonts w:ascii="Times New Roman" w:hAnsi="Times New Roman" w:cs="Times New Roman"/>
          <w:i/>
          <w:iCs/>
          <w:sz w:val="24"/>
          <w:szCs w:val="24"/>
        </w:rPr>
        <w:t>Tourism Management</w:t>
      </w:r>
      <w:r>
        <w:rPr>
          <w:rFonts w:ascii="Times New Roman" w:hAnsi="Times New Roman" w:cs="Times New Roman"/>
          <w:sz w:val="24"/>
          <w:szCs w:val="24"/>
        </w:rPr>
        <w:t>, 45(2), pp. 234–243. doi: 10.1016/j.tourman.2014.05.003.</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Morosan, C. and DeFranco, A. (2016) ‘Modeling guests’ intentions to use mobile apps in hotels: The roles of personalization, privacy, and involvement’,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28(9), pp. 1968–1991. doi: 10.1108/IJCHM-07-2015-0349.</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Nyheim, P. </w:t>
      </w:r>
      <w:r>
        <w:rPr>
          <w:rFonts w:ascii="Times New Roman" w:hAnsi="Times New Roman" w:cs="Times New Roman"/>
          <w:i/>
          <w:iCs/>
          <w:sz w:val="24"/>
          <w:szCs w:val="24"/>
        </w:rPr>
        <w:t>et al.</w:t>
      </w:r>
      <w:r>
        <w:rPr>
          <w:rFonts w:ascii="Times New Roman" w:hAnsi="Times New Roman" w:cs="Times New Roman"/>
          <w:sz w:val="24"/>
          <w:szCs w:val="24"/>
        </w:rPr>
        <w:t xml:space="preserve"> (2015) ‘Predictors of avoidance towards personalization of restaurant smartphone advertising: A study from the Millennials’ perspective’, </w:t>
      </w:r>
      <w:r>
        <w:rPr>
          <w:rFonts w:ascii="Times New Roman" w:hAnsi="Times New Roman" w:cs="Times New Roman"/>
          <w:i/>
          <w:iCs/>
          <w:sz w:val="24"/>
          <w:szCs w:val="24"/>
        </w:rPr>
        <w:t>Journal of Hospitality and Tourism Technology</w:t>
      </w:r>
      <w:r>
        <w:rPr>
          <w:rFonts w:ascii="Times New Roman" w:hAnsi="Times New Roman" w:cs="Times New Roman"/>
          <w:sz w:val="24"/>
          <w:szCs w:val="24"/>
        </w:rPr>
        <w:t>, 6(2), pp. 145–159. doi: 10.1108/JHTT-07-2014-0026.</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Piccoli, G., Lui, T. W. and Grün, B. (2017) ‘The impact of IT-enabled customer service systems on service personalization, customer service perceptions, and hotel performance’, </w:t>
      </w:r>
      <w:r>
        <w:rPr>
          <w:rFonts w:ascii="Times New Roman" w:hAnsi="Times New Roman" w:cs="Times New Roman"/>
          <w:i/>
          <w:iCs/>
          <w:sz w:val="24"/>
          <w:szCs w:val="24"/>
        </w:rPr>
        <w:t>Tourism Management</w:t>
      </w:r>
      <w:r>
        <w:rPr>
          <w:rFonts w:ascii="Times New Roman" w:hAnsi="Times New Roman" w:cs="Times New Roman"/>
          <w:sz w:val="24"/>
          <w:szCs w:val="24"/>
        </w:rPr>
        <w:t>, 59(2), pp. 349–362. doi: 10.1016/j.tourman.2016.08.015.</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Raab, C. </w:t>
      </w:r>
      <w:r>
        <w:rPr>
          <w:rFonts w:ascii="Times New Roman" w:hAnsi="Times New Roman" w:cs="Times New Roman"/>
          <w:i/>
          <w:iCs/>
          <w:sz w:val="24"/>
          <w:szCs w:val="24"/>
        </w:rPr>
        <w:t>et al.</w:t>
      </w:r>
      <w:r>
        <w:rPr>
          <w:rFonts w:ascii="Times New Roman" w:hAnsi="Times New Roman" w:cs="Times New Roman"/>
          <w:sz w:val="24"/>
          <w:szCs w:val="24"/>
        </w:rPr>
        <w:t xml:space="preserve"> (2018) ‘Creating strategic relationships with online travel agents to drive hotel room revenue: An OTA perspective’, </w:t>
      </w:r>
      <w:r>
        <w:rPr>
          <w:rFonts w:ascii="Times New Roman" w:hAnsi="Times New Roman" w:cs="Times New Roman"/>
          <w:i/>
          <w:iCs/>
          <w:sz w:val="24"/>
          <w:szCs w:val="24"/>
        </w:rPr>
        <w:t>Journal of Hospitality and Tourism Technology</w:t>
      </w:r>
      <w:r>
        <w:rPr>
          <w:rFonts w:ascii="Times New Roman" w:hAnsi="Times New Roman" w:cs="Times New Roman"/>
          <w:sz w:val="24"/>
          <w:szCs w:val="24"/>
        </w:rPr>
        <w:t>, 9(1), pp. 121–135. doi: 10.1108/JHTT-10-2016-0069/FULL/HTML.</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Rahman, M. K. </w:t>
      </w:r>
      <w:r>
        <w:rPr>
          <w:rFonts w:ascii="Times New Roman" w:hAnsi="Times New Roman" w:cs="Times New Roman"/>
          <w:i/>
          <w:iCs/>
          <w:sz w:val="24"/>
          <w:szCs w:val="24"/>
        </w:rPr>
        <w:t>et al.</w:t>
      </w:r>
      <w:r>
        <w:rPr>
          <w:rFonts w:ascii="Times New Roman" w:hAnsi="Times New Roman" w:cs="Times New Roman"/>
          <w:sz w:val="24"/>
          <w:szCs w:val="24"/>
        </w:rPr>
        <w:t xml:space="preserve"> (2021) ‘Effect of Covid-19 pandemic on tourist travel risk and management perceptions’, </w:t>
      </w:r>
      <w:r>
        <w:rPr>
          <w:rFonts w:ascii="Times New Roman" w:hAnsi="Times New Roman" w:cs="Times New Roman"/>
          <w:i/>
          <w:iCs/>
          <w:sz w:val="24"/>
          <w:szCs w:val="24"/>
        </w:rPr>
        <w:t>PLoS ONE</w:t>
      </w:r>
      <w:r>
        <w:rPr>
          <w:rFonts w:ascii="Times New Roman" w:hAnsi="Times New Roman" w:cs="Times New Roman"/>
          <w:sz w:val="24"/>
          <w:szCs w:val="24"/>
        </w:rPr>
        <w:t>, 16(9), p. e0256486. doi: 10.1371/journal.pone.0256486.</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Richard, B. (2017) ‘Hotel chains: survival strategies for a dynamic future’, </w:t>
      </w:r>
      <w:r>
        <w:rPr>
          <w:rFonts w:ascii="Times New Roman" w:hAnsi="Times New Roman" w:cs="Times New Roman"/>
          <w:i/>
          <w:iCs/>
          <w:sz w:val="24"/>
          <w:szCs w:val="24"/>
        </w:rPr>
        <w:t>Journal of Tourism Futures</w:t>
      </w:r>
      <w:r>
        <w:rPr>
          <w:rFonts w:ascii="Times New Roman" w:hAnsi="Times New Roman" w:cs="Times New Roman"/>
          <w:sz w:val="24"/>
          <w:szCs w:val="24"/>
        </w:rPr>
        <w:t>. Emerald Group Publishing Ltd., pp. 56–65. doi: 10.1108/JTF-06-2016-0018.</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Sainaghi, R. (2011) ‘RevPAR determinants of individual hotels: Evidences from Milan’,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23(3), pp. 297–311. doi: 10.1108/09596111111122497/FULL/HTML.</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Smith, P. R. (2020) </w:t>
      </w:r>
      <w:r>
        <w:rPr>
          <w:rFonts w:ascii="Times New Roman" w:hAnsi="Times New Roman" w:cs="Times New Roman"/>
          <w:i/>
          <w:iCs/>
          <w:sz w:val="24"/>
          <w:szCs w:val="24"/>
        </w:rPr>
        <w:t>How to create a digital marketing plan using PR Smith’s SOSTAC® Planning model</w:t>
      </w:r>
      <w:r>
        <w:rPr>
          <w:rFonts w:ascii="Times New Roman" w:hAnsi="Times New Roman" w:cs="Times New Roman"/>
          <w:sz w:val="24"/>
          <w:szCs w:val="24"/>
        </w:rPr>
        <w:t xml:space="preserve">, </w:t>
      </w:r>
      <w:r>
        <w:rPr>
          <w:rFonts w:ascii="Times New Roman" w:hAnsi="Times New Roman" w:cs="Times New Roman"/>
          <w:i/>
          <w:iCs/>
          <w:sz w:val="24"/>
          <w:szCs w:val="24"/>
        </w:rPr>
        <w:t>SmartInsights</w:t>
      </w:r>
      <w:r>
        <w:rPr>
          <w:rFonts w:ascii="Times New Roman" w:hAnsi="Times New Roman" w:cs="Times New Roman"/>
          <w:sz w:val="24"/>
          <w:szCs w:val="24"/>
        </w:rPr>
        <w:t>. Available at: https://digitaldimensions4u.com/how-to-write-a-digital-marketing-plan-sostac-model/ (Accessed: 1 May 2022).</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Sun, S. </w:t>
      </w:r>
      <w:r>
        <w:rPr>
          <w:rFonts w:ascii="Times New Roman" w:hAnsi="Times New Roman" w:cs="Times New Roman"/>
          <w:i/>
          <w:iCs/>
          <w:sz w:val="24"/>
          <w:szCs w:val="24"/>
        </w:rPr>
        <w:t>et al.</w:t>
      </w:r>
      <w:r>
        <w:rPr>
          <w:rFonts w:ascii="Times New Roman" w:hAnsi="Times New Roman" w:cs="Times New Roman"/>
          <w:sz w:val="24"/>
          <w:szCs w:val="24"/>
        </w:rPr>
        <w:t xml:space="preserve"> (2022) ‘The impact of COVID-19 on hotel customer satisfaction: evidence from Beijing and Shanghai in China’,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34(1), pp. 382–406. doi: 10.1108/IJCHM-03-2021-0356.</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Wen, J. (2021) ‘CEO interview-Mr. Jingbang Zhang, EVP of Yagao Meihua Hotel Management Co., Ltd and CEO of Madison Brand, Shanghai, China’, </w:t>
      </w:r>
      <w:r>
        <w:rPr>
          <w:rFonts w:ascii="Times New Roman" w:hAnsi="Times New Roman" w:cs="Times New Roman"/>
          <w:i/>
          <w:iCs/>
          <w:sz w:val="24"/>
          <w:szCs w:val="24"/>
        </w:rPr>
        <w:t>International Hospitality Review</w:t>
      </w:r>
      <w:r>
        <w:rPr>
          <w:rFonts w:ascii="Times New Roman" w:hAnsi="Times New Roman" w:cs="Times New Roman"/>
          <w:sz w:val="24"/>
          <w:szCs w:val="24"/>
        </w:rPr>
        <w:t>, 1(3), pp. 34–45. doi: 10.1108/ihr-05-2020-0012.</w:t>
      </w:r>
    </w:p>
    <w:p>
      <w:pPr>
        <w:autoSpaceDE w:val="0"/>
        <w:autoSpaceDN w:val="0"/>
        <w:adjustRightInd w:val="0"/>
        <w:spacing w:before="460" w:after="460" w:line="360" w:lineRule="auto"/>
        <w:rPr>
          <w:rFonts w:ascii="Times New Roman" w:hAnsi="Times New Roman" w:cs="Times New Roman"/>
          <w:sz w:val="24"/>
          <w:szCs w:val="24"/>
        </w:rPr>
      </w:pPr>
      <w:r>
        <w:rPr>
          <w:rFonts w:ascii="Times New Roman" w:hAnsi="Times New Roman" w:cs="Times New Roman"/>
          <w:sz w:val="24"/>
          <w:szCs w:val="24"/>
        </w:rPr>
        <w:t xml:space="preserve">Wu, E. H. C., Hu, J. and Chen, R. (2022) ‘Monitoring and forecasting COVID-19 impacts on hotel occupancy rates with daily visitor arrivals and search queries’, </w:t>
      </w:r>
      <w:r>
        <w:rPr>
          <w:rFonts w:ascii="Times New Roman" w:hAnsi="Times New Roman" w:cs="Times New Roman"/>
          <w:i/>
          <w:iCs/>
          <w:sz w:val="24"/>
          <w:szCs w:val="24"/>
        </w:rPr>
        <w:t>Current Issues in Tourism</w:t>
      </w:r>
      <w:r>
        <w:rPr>
          <w:rFonts w:ascii="Times New Roman" w:hAnsi="Times New Roman" w:cs="Times New Roman"/>
          <w:sz w:val="24"/>
          <w:szCs w:val="24"/>
        </w:rPr>
        <w:t>, 25(3), pp. 490–507. doi: 10.1080/13683500.2021.1989385.</w:t>
      </w:r>
    </w:p>
    <w:p>
      <w:pPr>
        <w:autoSpaceDE w:val="0"/>
        <w:autoSpaceDN w:val="0"/>
        <w:adjustRightInd w:val="0"/>
        <w:spacing w:before="460" w:after="460" w:line="360" w:lineRule="auto"/>
        <w:rPr>
          <w:rFonts w:ascii="Times New Roman" w:hAnsi="Times New Roman" w:cs="Times New Roman"/>
          <w:sz w:val="24"/>
        </w:rPr>
      </w:pPr>
      <w:r>
        <w:rPr>
          <w:rFonts w:ascii="Times New Roman" w:hAnsi="Times New Roman" w:cs="Times New Roman"/>
          <w:sz w:val="24"/>
          <w:szCs w:val="24"/>
        </w:rPr>
        <w:t xml:space="preserve">Zhang, S. N. </w:t>
      </w:r>
      <w:r>
        <w:rPr>
          <w:rFonts w:ascii="Times New Roman" w:hAnsi="Times New Roman" w:cs="Times New Roman"/>
          <w:i/>
          <w:iCs/>
          <w:sz w:val="24"/>
          <w:szCs w:val="24"/>
        </w:rPr>
        <w:t>et al.</w:t>
      </w:r>
      <w:r>
        <w:rPr>
          <w:rFonts w:ascii="Times New Roman" w:hAnsi="Times New Roman" w:cs="Times New Roman"/>
          <w:sz w:val="24"/>
          <w:szCs w:val="24"/>
        </w:rPr>
        <w:t xml:space="preserve"> (2022) ‘Would you enjoy virtual travel? The characteristics and causes of virtual tourists’ sentiment under the influence of the COVID-19 pandemic’, </w:t>
      </w:r>
      <w:r>
        <w:rPr>
          <w:rFonts w:ascii="Times New Roman" w:hAnsi="Times New Roman" w:cs="Times New Roman"/>
          <w:i/>
          <w:iCs/>
          <w:sz w:val="24"/>
          <w:szCs w:val="24"/>
        </w:rPr>
        <w:t>Tourism Management</w:t>
      </w:r>
      <w:r>
        <w:rPr>
          <w:rFonts w:ascii="Times New Roman" w:hAnsi="Times New Roman" w:cs="Times New Roman"/>
          <w:sz w:val="24"/>
          <w:szCs w:val="24"/>
        </w:rPr>
        <w:t>, 88(1), pp. 23–34. doi: 10.1016/j.tourman.2021.104429.</w:t>
      </w:r>
    </w:p>
    <w:p>
      <w:pPr>
        <w:spacing w:before="468" w:beforeLines="150" w:after="468" w:afterLines="150" w:line="360" w:lineRule="auto"/>
        <w:jc w:val="both"/>
        <w:rPr>
          <w:rFonts w:ascii="Times New Roman" w:hAnsi="Times New Roman" w:cs="Times New Roman"/>
        </w:rPr>
      </w:pPr>
      <w:r>
        <w:rPr>
          <w:rFonts w:ascii="Times New Roman" w:hAnsi="Times New Roman" w:cs="Times New Roman"/>
          <w:sz w:val="24"/>
          <w:szCs w:val="24"/>
        </w:rPr>
        <w:fldChar w:fldCharType="end"/>
      </w:r>
    </w:p>
    <w:sectPr>
      <w:footerReference r:id="rId6" w:type="default"/>
      <w:pgSz w:w="11906" w:h="16838"/>
      <w:pgMar w:top="1440" w:right="1080" w:bottom="1440" w:left="108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35658172"/>
      <w:docPartObj>
        <w:docPartGallery w:val="AutoText"/>
      </w:docPartObj>
    </w:sdtPr>
    <w:sdtContent>
      <w:p>
        <w:pPr>
          <w:pStyle w:val="13"/>
          <w:jc w:val="center"/>
        </w:pPr>
      </w:p>
      <w:p>
        <w:pPr>
          <w:pStyle w:val="13"/>
          <w:jc w:val="center"/>
        </w:pPr>
      </w:p>
    </w:sdtContent>
  </w:sdt>
  <w:p>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16660423"/>
      <w:docPartObj>
        <w:docPartGallery w:val="AutoText"/>
      </w:docPartObj>
    </w:sdtPr>
    <w:sdtContent>
      <w:p>
        <w:pPr>
          <w:pStyle w:val="13"/>
          <w:jc w:val="center"/>
        </w:pPr>
        <w:r>
          <mc:AlternateContent>
            <mc:Choice Requires="wps">
              <w:drawing>
                <wp:inline distT="0" distB="0" distL="0" distR="0">
                  <wp:extent cx="5467350" cy="45085"/>
                  <wp:effectExtent l="9525" t="9525" r="0" b="2540"/>
                  <wp:docPr id="4" name="流程图: 决策 4" descr="Light horizontal"/>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wps:spPr>
                        <wps:bodyPr rot="0" vert="horz" wrap="square" lIns="91440" tIns="45720" rIns="91440" bIns="45720" anchor="t" anchorCtr="0" upright="1">
                          <a:noAutofit/>
                        </wps:bodyPr>
                      </wps:wsp>
                    </a:graphicData>
                  </a:graphic>
                </wp:inline>
              </w:drawing>
            </mc:Choice>
            <mc:Fallback>
              <w:pict>
                <v:shape id="_x0000_s1026" o:spid="_x0000_s1026" o:spt="110" alt="Light horizontal" type="#_x0000_t110" style="flip:y;height:3.55pt;width:430.5pt;" fillcolor="#000000" filled="t" stroked="f" coordsize="21600,21600" o:gfxdata="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GPeyHLUAAAAAwEAAA8AAAAAAAAAAQAgAAAAIgAAAGRycy9kb3ducmV2LnhtbFBLAQIUABQAAAAI&#10;AIdO4kBcFg+oYwIAAKsEAAAOAAAAAAAAAAEAIAAAACMBAABkcnMvZTJvRG9jLnhtbFBLBQYAAAAA&#10;BgAGAFkBAAD4BQAAAAA=&#10;">
                  <v:fill type="pattern" on="t" color2="#FFFFFF" o:title="浅色横线" focussize="0,0" r:id="rId1"/>
                  <v:stroke on="f"/>
                  <v:imagedata o:title=""/>
                  <o:lock v:ext="edit" aspectratio="f"/>
                  <w10:wrap type="none"/>
                  <w10:anchorlock/>
                </v:shape>
              </w:pict>
            </mc:Fallback>
          </mc:AlternateContent>
        </w:r>
      </w:p>
      <w:p>
        <w:pPr>
          <w:pStyle w:val="13"/>
          <w:jc w:val="center"/>
        </w:pPr>
        <w:r>
          <w:fldChar w:fldCharType="begin"/>
        </w:r>
        <w:r>
          <w:instrText xml:space="preserve">PAGE    \* MERGEFORMAT</w:instrText>
        </w:r>
        <w:r>
          <w:fldChar w:fldCharType="separate"/>
        </w:r>
        <w:r>
          <w:rPr>
            <w:lang w:val="zh-CN"/>
          </w:rPr>
          <w:t>2</w:t>
        </w:r>
        <w:r>
          <w:fldChar w:fldCharType="end"/>
        </w:r>
      </w:p>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2C11C3"/>
    <w:multiLevelType w:val="multilevel"/>
    <w:tmpl w:val="772C11C3"/>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DIxMzM4YjM5OWY5NzFhZTAzYzhkMjk4MDY1ZDQ4NmUifQ=="/>
  </w:docVars>
  <w:rsids>
    <w:rsidRoot w:val="002C655E"/>
    <w:rsid w:val="00000DD0"/>
    <w:rsid w:val="00183B1E"/>
    <w:rsid w:val="00276429"/>
    <w:rsid w:val="002C655E"/>
    <w:rsid w:val="003622D8"/>
    <w:rsid w:val="00365BBA"/>
    <w:rsid w:val="003A1E6A"/>
    <w:rsid w:val="004367C1"/>
    <w:rsid w:val="00451AED"/>
    <w:rsid w:val="0046251E"/>
    <w:rsid w:val="00503862"/>
    <w:rsid w:val="00575151"/>
    <w:rsid w:val="005E6206"/>
    <w:rsid w:val="00685CDF"/>
    <w:rsid w:val="00693F54"/>
    <w:rsid w:val="006A70A4"/>
    <w:rsid w:val="006A755D"/>
    <w:rsid w:val="00721B22"/>
    <w:rsid w:val="0079145B"/>
    <w:rsid w:val="007F6BAC"/>
    <w:rsid w:val="00831144"/>
    <w:rsid w:val="00842492"/>
    <w:rsid w:val="0086125C"/>
    <w:rsid w:val="00867E2F"/>
    <w:rsid w:val="00885409"/>
    <w:rsid w:val="008D15D9"/>
    <w:rsid w:val="009749E7"/>
    <w:rsid w:val="009B1760"/>
    <w:rsid w:val="00A30795"/>
    <w:rsid w:val="00AA723E"/>
    <w:rsid w:val="00AD3EE0"/>
    <w:rsid w:val="00BA27E2"/>
    <w:rsid w:val="00C64D57"/>
    <w:rsid w:val="00C93AAC"/>
    <w:rsid w:val="00DA41C8"/>
    <w:rsid w:val="00DD58DA"/>
    <w:rsid w:val="00E43A4B"/>
    <w:rsid w:val="00E73F54"/>
    <w:rsid w:val="00EA0428"/>
    <w:rsid w:val="00EF1375"/>
    <w:rsid w:val="00F07B44"/>
    <w:rsid w:val="00F51FFD"/>
    <w:rsid w:val="1B50269B"/>
    <w:rsid w:val="5F9C0D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zh-CN" w:bidi="ar-SA"/>
    </w:rPr>
  </w:style>
  <w:style w:type="paragraph" w:styleId="2">
    <w:name w:val="heading 1"/>
    <w:basedOn w:val="1"/>
    <w:next w:val="1"/>
    <w:link w:val="24"/>
    <w:qFormat/>
    <w:uiPriority w:val="9"/>
    <w:pPr>
      <w:keepNext/>
      <w:keepLines/>
      <w:spacing w:before="400" w:after="40" w:line="240" w:lineRule="auto"/>
      <w:outlineLvl w:val="0"/>
    </w:pPr>
    <w:rPr>
      <w:rFonts w:asciiTheme="majorHAnsi" w:hAnsiTheme="majorHAnsi" w:eastAsiaTheme="majorEastAsia" w:cstheme="majorBidi"/>
      <w:color w:val="203864" w:themeColor="accent1" w:themeShade="80"/>
      <w:sz w:val="36"/>
      <w:szCs w:val="36"/>
    </w:rPr>
  </w:style>
  <w:style w:type="paragraph" w:styleId="3">
    <w:name w:val="heading 2"/>
    <w:basedOn w:val="1"/>
    <w:next w:val="1"/>
    <w:link w:val="25"/>
    <w:unhideWhenUsed/>
    <w:qFormat/>
    <w:uiPriority w:val="9"/>
    <w:pPr>
      <w:keepNext/>
      <w:keepLines/>
      <w:spacing w:before="40" w:after="0" w:line="240" w:lineRule="auto"/>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6"/>
    <w:unhideWhenUsed/>
    <w:qFormat/>
    <w:uiPriority w:val="9"/>
    <w:pPr>
      <w:keepNext/>
      <w:keepLines/>
      <w:spacing w:before="40" w:after="0" w:line="240" w:lineRule="auto"/>
      <w:outlineLvl w:val="2"/>
    </w:pPr>
    <w:rPr>
      <w:rFonts w:asciiTheme="majorHAnsi" w:hAnsiTheme="majorHAnsi" w:eastAsiaTheme="majorEastAsia" w:cstheme="majorBidi"/>
      <w:color w:val="2F5597" w:themeColor="accent1" w:themeShade="BF"/>
      <w:sz w:val="28"/>
      <w:szCs w:val="28"/>
    </w:rPr>
  </w:style>
  <w:style w:type="paragraph" w:styleId="5">
    <w:name w:val="heading 4"/>
    <w:basedOn w:val="1"/>
    <w:next w:val="1"/>
    <w:link w:val="27"/>
    <w:semiHidden/>
    <w:unhideWhenUsed/>
    <w:qFormat/>
    <w:uiPriority w:val="9"/>
    <w:pPr>
      <w:keepNext/>
      <w:keepLines/>
      <w:spacing w:before="40" w:after="0"/>
      <w:outlineLvl w:val="3"/>
    </w:pPr>
    <w:rPr>
      <w:rFonts w:asciiTheme="majorHAnsi" w:hAnsiTheme="majorHAnsi" w:eastAsiaTheme="majorEastAsia" w:cstheme="majorBidi"/>
      <w:color w:val="2F5597" w:themeColor="accent1" w:themeShade="BF"/>
      <w:sz w:val="24"/>
      <w:szCs w:val="24"/>
    </w:rPr>
  </w:style>
  <w:style w:type="paragraph" w:styleId="6">
    <w:name w:val="heading 5"/>
    <w:basedOn w:val="1"/>
    <w:next w:val="1"/>
    <w:link w:val="28"/>
    <w:semiHidden/>
    <w:unhideWhenUsed/>
    <w:qFormat/>
    <w:uiPriority w:val="9"/>
    <w:pPr>
      <w:keepNext/>
      <w:keepLines/>
      <w:spacing w:before="40" w:after="0"/>
      <w:outlineLvl w:val="4"/>
    </w:pPr>
    <w:rPr>
      <w:rFonts w:asciiTheme="majorHAnsi" w:hAnsiTheme="majorHAnsi" w:eastAsiaTheme="majorEastAsia" w:cstheme="majorBidi"/>
      <w:caps/>
      <w:color w:val="2F5597"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asciiTheme="majorHAnsi" w:hAnsiTheme="majorHAnsi" w:eastAsiaTheme="majorEastAsia" w:cstheme="majorBidi"/>
      <w:i/>
      <w:iCs/>
      <w:caps/>
      <w:color w:val="203864" w:themeColor="accent1" w:themeShade="80"/>
    </w:rPr>
  </w:style>
  <w:style w:type="paragraph" w:styleId="8">
    <w:name w:val="heading 7"/>
    <w:basedOn w:val="1"/>
    <w:next w:val="1"/>
    <w:link w:val="30"/>
    <w:semiHidden/>
    <w:unhideWhenUsed/>
    <w:qFormat/>
    <w:uiPriority w:val="9"/>
    <w:pPr>
      <w:keepNext/>
      <w:keepLines/>
      <w:spacing w:before="40" w:after="0"/>
      <w:outlineLvl w:val="6"/>
    </w:pPr>
    <w:rPr>
      <w:rFonts w:asciiTheme="majorHAnsi" w:hAnsiTheme="majorHAnsi" w:eastAsiaTheme="majorEastAsia" w:cstheme="majorBidi"/>
      <w:b/>
      <w:bCs/>
      <w:color w:val="203864" w:themeColor="accent1" w:themeShade="80"/>
    </w:rPr>
  </w:style>
  <w:style w:type="paragraph" w:styleId="9">
    <w:name w:val="heading 8"/>
    <w:basedOn w:val="1"/>
    <w:next w:val="1"/>
    <w:link w:val="31"/>
    <w:semiHidden/>
    <w:unhideWhenUsed/>
    <w:qFormat/>
    <w:uiPriority w:val="9"/>
    <w:pPr>
      <w:keepNext/>
      <w:keepLines/>
      <w:spacing w:before="40" w:after="0"/>
      <w:outlineLvl w:val="7"/>
    </w:pPr>
    <w:rPr>
      <w:rFonts w:asciiTheme="majorHAnsi" w:hAnsiTheme="majorHAnsi" w:eastAsiaTheme="majorEastAsia" w:cstheme="majorBidi"/>
      <w:b/>
      <w:bCs/>
      <w:i/>
      <w:iCs/>
      <w:color w:val="203864" w:themeColor="accent1" w:themeShade="80"/>
    </w:rPr>
  </w:style>
  <w:style w:type="paragraph" w:styleId="10">
    <w:name w:val="heading 9"/>
    <w:basedOn w:val="1"/>
    <w:next w:val="1"/>
    <w:link w:val="32"/>
    <w:semiHidden/>
    <w:unhideWhenUsed/>
    <w:qFormat/>
    <w:uiPriority w:val="9"/>
    <w:pPr>
      <w:keepNext/>
      <w:keepLines/>
      <w:spacing w:before="40" w:after="0"/>
      <w:outlineLvl w:val="8"/>
    </w:pPr>
    <w:rPr>
      <w:rFonts w:asciiTheme="majorHAnsi" w:hAnsiTheme="majorHAnsi" w:eastAsiaTheme="majorEastAsia" w:cstheme="majorBidi"/>
      <w:i/>
      <w:iCs/>
      <w:color w:val="203864" w:themeColor="accent1" w:themeShade="80"/>
    </w:rPr>
  </w:style>
  <w:style w:type="character" w:default="1" w:styleId="20">
    <w:name w:val="Default Paragraph Font"/>
    <w:semiHidden/>
    <w:unhideWhenUsed/>
    <w:uiPriority w:val="1"/>
  </w:style>
  <w:style w:type="table" w:default="1" w:styleId="19">
    <w:name w:val="Normal Table"/>
    <w:semiHidden/>
    <w:unhideWhenUsed/>
    <w:qFormat/>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smallCaps/>
      <w:color w:val="44546A" w:themeColor="text2"/>
      <w14:textFill>
        <w14:solidFill>
          <w14:schemeClr w14:val="tx2"/>
        </w14:solidFill>
      </w14:textFill>
    </w:rPr>
  </w:style>
  <w:style w:type="paragraph" w:styleId="12">
    <w:name w:val="toc 3"/>
    <w:basedOn w:val="1"/>
    <w:next w:val="1"/>
    <w:unhideWhenUsed/>
    <w:uiPriority w:val="39"/>
    <w:pPr>
      <w:ind w:left="840" w:leftChars="400"/>
    </w:pPr>
  </w:style>
  <w:style w:type="paragraph" w:styleId="13">
    <w:name w:val="footer"/>
    <w:basedOn w:val="1"/>
    <w:link w:val="48"/>
    <w:unhideWhenUsed/>
    <w:uiPriority w:val="99"/>
    <w:pPr>
      <w:tabs>
        <w:tab w:val="center" w:pos="4153"/>
        <w:tab w:val="right" w:pos="8306"/>
      </w:tabs>
      <w:snapToGrid w:val="0"/>
      <w:spacing w:line="240" w:lineRule="auto"/>
    </w:pPr>
    <w:rPr>
      <w:sz w:val="18"/>
      <w:szCs w:val="18"/>
    </w:rPr>
  </w:style>
  <w:style w:type="paragraph" w:styleId="14">
    <w:name w:val="header"/>
    <w:basedOn w:val="1"/>
    <w:link w:val="47"/>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5">
    <w:name w:val="toc 1"/>
    <w:basedOn w:val="1"/>
    <w:next w:val="1"/>
    <w:unhideWhenUsed/>
    <w:uiPriority w:val="39"/>
  </w:style>
  <w:style w:type="paragraph" w:styleId="16">
    <w:name w:val="Subtitle"/>
    <w:basedOn w:val="1"/>
    <w:next w:val="1"/>
    <w:link w:val="34"/>
    <w:qFormat/>
    <w:uiPriority w:val="11"/>
    <w:pPr>
      <w:spacing w:after="240" w:line="240" w:lineRule="auto"/>
    </w:pPr>
    <w:rPr>
      <w:rFonts w:asciiTheme="majorHAnsi" w:hAnsiTheme="majorHAnsi" w:eastAsiaTheme="majorEastAsia" w:cstheme="majorBidi"/>
      <w:color w:val="4472C4" w:themeColor="accent1"/>
      <w:sz w:val="28"/>
      <w:szCs w:val="28"/>
      <w14:textFill>
        <w14:solidFill>
          <w14:schemeClr w14:val="accent1"/>
        </w14:solidFill>
      </w14:textFill>
    </w:rPr>
  </w:style>
  <w:style w:type="paragraph" w:styleId="17">
    <w:name w:val="toc 2"/>
    <w:basedOn w:val="1"/>
    <w:next w:val="1"/>
    <w:unhideWhenUsed/>
    <w:uiPriority w:val="39"/>
    <w:pPr>
      <w:ind w:left="420" w:leftChars="200"/>
    </w:pPr>
  </w:style>
  <w:style w:type="paragraph" w:styleId="18">
    <w:name w:val="Title"/>
    <w:basedOn w:val="1"/>
    <w:next w:val="1"/>
    <w:link w:val="33"/>
    <w:qFormat/>
    <w:uiPriority w:val="10"/>
    <w:pPr>
      <w:spacing w:after="0" w:line="204" w:lineRule="auto"/>
      <w:contextualSpacing/>
    </w:pPr>
    <w:rPr>
      <w:rFonts w:asciiTheme="majorHAnsi" w:hAnsiTheme="majorHAnsi" w:eastAsiaTheme="majorEastAsia" w:cstheme="majorBidi"/>
      <w:caps/>
      <w:color w:val="44546A" w:themeColor="text2"/>
      <w:spacing w:val="-15"/>
      <w:sz w:val="72"/>
      <w:szCs w:val="72"/>
      <w14:textFill>
        <w14:solidFill>
          <w14:schemeClr w14:val="tx2"/>
        </w14:solidFill>
      </w14:textFill>
    </w:rPr>
  </w:style>
  <w:style w:type="character" w:styleId="21">
    <w:name w:val="Strong"/>
    <w:basedOn w:val="20"/>
    <w:qFormat/>
    <w:uiPriority w:val="22"/>
    <w:rPr>
      <w:b/>
      <w:bCs/>
    </w:rPr>
  </w:style>
  <w:style w:type="character" w:styleId="22">
    <w:name w:val="Emphasis"/>
    <w:basedOn w:val="20"/>
    <w:qFormat/>
    <w:uiPriority w:val="20"/>
    <w:rPr>
      <w:i/>
      <w:iCs/>
    </w:rPr>
  </w:style>
  <w:style w:type="character" w:styleId="23">
    <w:name w:val="Hyperlink"/>
    <w:basedOn w:val="20"/>
    <w:unhideWhenUsed/>
    <w:uiPriority w:val="99"/>
    <w:rPr>
      <w:color w:val="0563C1" w:themeColor="hyperlink"/>
      <w:u w:val="single"/>
      <w14:textFill>
        <w14:solidFill>
          <w14:schemeClr w14:val="hlink"/>
        </w14:solidFill>
      </w14:textFill>
    </w:rPr>
  </w:style>
  <w:style w:type="character" w:customStyle="1" w:styleId="24">
    <w:name w:val="标题 1 字符"/>
    <w:basedOn w:val="20"/>
    <w:link w:val="2"/>
    <w:uiPriority w:val="9"/>
    <w:rPr>
      <w:rFonts w:asciiTheme="majorHAnsi" w:hAnsiTheme="majorHAnsi" w:eastAsiaTheme="majorEastAsia" w:cstheme="majorBidi"/>
      <w:color w:val="203864" w:themeColor="accent1" w:themeShade="80"/>
      <w:sz w:val="36"/>
      <w:szCs w:val="36"/>
    </w:rPr>
  </w:style>
  <w:style w:type="character" w:customStyle="1" w:styleId="25">
    <w:name w:val="标题 2 字符"/>
    <w:basedOn w:val="20"/>
    <w:link w:val="3"/>
    <w:qFormat/>
    <w:uiPriority w:val="9"/>
    <w:rPr>
      <w:rFonts w:asciiTheme="majorHAnsi" w:hAnsiTheme="majorHAnsi" w:eastAsiaTheme="majorEastAsia" w:cstheme="majorBidi"/>
      <w:color w:val="2F5597" w:themeColor="accent1" w:themeShade="BF"/>
      <w:sz w:val="32"/>
      <w:szCs w:val="32"/>
    </w:rPr>
  </w:style>
  <w:style w:type="character" w:customStyle="1" w:styleId="26">
    <w:name w:val="标题 3 字符"/>
    <w:basedOn w:val="20"/>
    <w:link w:val="4"/>
    <w:uiPriority w:val="9"/>
    <w:rPr>
      <w:rFonts w:asciiTheme="majorHAnsi" w:hAnsiTheme="majorHAnsi" w:eastAsiaTheme="majorEastAsia" w:cstheme="majorBidi"/>
      <w:color w:val="2F5597" w:themeColor="accent1" w:themeShade="BF"/>
      <w:sz w:val="28"/>
      <w:szCs w:val="28"/>
    </w:rPr>
  </w:style>
  <w:style w:type="character" w:customStyle="1" w:styleId="27">
    <w:name w:val="标题 4 字符"/>
    <w:basedOn w:val="20"/>
    <w:link w:val="5"/>
    <w:semiHidden/>
    <w:uiPriority w:val="9"/>
    <w:rPr>
      <w:rFonts w:asciiTheme="majorHAnsi" w:hAnsiTheme="majorHAnsi" w:eastAsiaTheme="majorEastAsia" w:cstheme="majorBidi"/>
      <w:color w:val="2F5597" w:themeColor="accent1" w:themeShade="BF"/>
      <w:sz w:val="24"/>
      <w:szCs w:val="24"/>
    </w:rPr>
  </w:style>
  <w:style w:type="character" w:customStyle="1" w:styleId="28">
    <w:name w:val="标题 5 字符"/>
    <w:basedOn w:val="20"/>
    <w:link w:val="6"/>
    <w:semiHidden/>
    <w:qFormat/>
    <w:uiPriority w:val="9"/>
    <w:rPr>
      <w:rFonts w:asciiTheme="majorHAnsi" w:hAnsiTheme="majorHAnsi" w:eastAsiaTheme="majorEastAsia" w:cstheme="majorBidi"/>
      <w:caps/>
      <w:color w:val="2F5597" w:themeColor="accent1" w:themeShade="BF"/>
    </w:rPr>
  </w:style>
  <w:style w:type="character" w:customStyle="1" w:styleId="29">
    <w:name w:val="标题 6 字符"/>
    <w:basedOn w:val="20"/>
    <w:link w:val="7"/>
    <w:semiHidden/>
    <w:qFormat/>
    <w:uiPriority w:val="9"/>
    <w:rPr>
      <w:rFonts w:asciiTheme="majorHAnsi" w:hAnsiTheme="majorHAnsi" w:eastAsiaTheme="majorEastAsia" w:cstheme="majorBidi"/>
      <w:i/>
      <w:iCs/>
      <w:caps/>
      <w:color w:val="203864" w:themeColor="accent1" w:themeShade="80"/>
    </w:rPr>
  </w:style>
  <w:style w:type="character" w:customStyle="1" w:styleId="30">
    <w:name w:val="标题 7 字符"/>
    <w:basedOn w:val="20"/>
    <w:link w:val="8"/>
    <w:semiHidden/>
    <w:uiPriority w:val="9"/>
    <w:rPr>
      <w:rFonts w:asciiTheme="majorHAnsi" w:hAnsiTheme="majorHAnsi" w:eastAsiaTheme="majorEastAsia" w:cstheme="majorBidi"/>
      <w:b/>
      <w:bCs/>
      <w:color w:val="203864" w:themeColor="accent1" w:themeShade="80"/>
    </w:rPr>
  </w:style>
  <w:style w:type="character" w:customStyle="1" w:styleId="31">
    <w:name w:val="标题 8 字符"/>
    <w:basedOn w:val="20"/>
    <w:link w:val="9"/>
    <w:semiHidden/>
    <w:qFormat/>
    <w:uiPriority w:val="9"/>
    <w:rPr>
      <w:rFonts w:asciiTheme="majorHAnsi" w:hAnsiTheme="majorHAnsi" w:eastAsiaTheme="majorEastAsia" w:cstheme="majorBidi"/>
      <w:b/>
      <w:bCs/>
      <w:i/>
      <w:iCs/>
      <w:color w:val="203864" w:themeColor="accent1" w:themeShade="80"/>
    </w:rPr>
  </w:style>
  <w:style w:type="character" w:customStyle="1" w:styleId="32">
    <w:name w:val="标题 9 字符"/>
    <w:basedOn w:val="20"/>
    <w:link w:val="10"/>
    <w:semiHidden/>
    <w:qFormat/>
    <w:uiPriority w:val="9"/>
    <w:rPr>
      <w:rFonts w:asciiTheme="majorHAnsi" w:hAnsiTheme="majorHAnsi" w:eastAsiaTheme="majorEastAsia" w:cstheme="majorBidi"/>
      <w:i/>
      <w:iCs/>
      <w:color w:val="203864" w:themeColor="accent1" w:themeShade="80"/>
    </w:rPr>
  </w:style>
  <w:style w:type="character" w:customStyle="1" w:styleId="33">
    <w:name w:val="标题 字符"/>
    <w:basedOn w:val="20"/>
    <w:link w:val="18"/>
    <w:uiPriority w:val="10"/>
    <w:rPr>
      <w:rFonts w:asciiTheme="majorHAnsi" w:hAnsiTheme="majorHAnsi" w:eastAsiaTheme="majorEastAsia" w:cstheme="majorBidi"/>
      <w:caps/>
      <w:color w:val="44546A" w:themeColor="text2"/>
      <w:spacing w:val="-15"/>
      <w:sz w:val="72"/>
      <w:szCs w:val="72"/>
      <w14:textFill>
        <w14:solidFill>
          <w14:schemeClr w14:val="tx2"/>
        </w14:solidFill>
      </w14:textFill>
    </w:rPr>
  </w:style>
  <w:style w:type="character" w:customStyle="1" w:styleId="34">
    <w:name w:val="副标题 字符"/>
    <w:basedOn w:val="20"/>
    <w:link w:val="16"/>
    <w:uiPriority w:val="11"/>
    <w:rPr>
      <w:rFonts w:asciiTheme="majorHAnsi" w:hAnsiTheme="majorHAnsi" w:eastAsiaTheme="majorEastAsia" w:cstheme="majorBidi"/>
      <w:color w:val="4472C4" w:themeColor="accent1"/>
      <w:sz w:val="28"/>
      <w:szCs w:val="28"/>
      <w14:textFill>
        <w14:solidFill>
          <w14:schemeClr w14:val="accent1"/>
        </w14:solidFill>
      </w14:textFill>
    </w:rPr>
  </w:style>
  <w:style w:type="paragraph" w:styleId="35">
    <w:name w:val="No Spacing"/>
    <w:qFormat/>
    <w:uiPriority w:val="1"/>
    <w:pPr>
      <w:spacing w:after="0" w:line="240" w:lineRule="auto"/>
    </w:pPr>
    <w:rPr>
      <w:rFonts w:asciiTheme="minorHAnsi" w:hAnsiTheme="minorHAnsi" w:eastAsiaTheme="minorEastAsia" w:cstheme="minorBidi"/>
      <w:sz w:val="22"/>
      <w:szCs w:val="22"/>
      <w:lang w:val="en-US" w:eastAsia="zh-CN" w:bidi="ar-SA"/>
    </w:rPr>
  </w:style>
  <w:style w:type="paragraph" w:styleId="36">
    <w:name w:val="Quote"/>
    <w:basedOn w:val="1"/>
    <w:next w:val="1"/>
    <w:link w:val="37"/>
    <w:qFormat/>
    <w:uiPriority w:val="29"/>
    <w:pPr>
      <w:spacing w:before="120" w:after="120"/>
      <w:ind w:left="720"/>
    </w:pPr>
    <w:rPr>
      <w:color w:val="44546A" w:themeColor="text2"/>
      <w:sz w:val="24"/>
      <w:szCs w:val="24"/>
      <w14:textFill>
        <w14:solidFill>
          <w14:schemeClr w14:val="tx2"/>
        </w14:solidFill>
      </w14:textFill>
    </w:rPr>
  </w:style>
  <w:style w:type="character" w:customStyle="1" w:styleId="37">
    <w:name w:val="引用 字符"/>
    <w:basedOn w:val="20"/>
    <w:link w:val="36"/>
    <w:uiPriority w:val="29"/>
    <w:rPr>
      <w:color w:val="44546A" w:themeColor="text2"/>
      <w:sz w:val="24"/>
      <w:szCs w:val="24"/>
      <w14:textFill>
        <w14:solidFill>
          <w14:schemeClr w14:val="tx2"/>
        </w14:solidFill>
      </w14:textFill>
    </w:rPr>
  </w:style>
  <w:style w:type="paragraph" w:styleId="38">
    <w:name w:val="Intense Quote"/>
    <w:basedOn w:val="1"/>
    <w:next w:val="1"/>
    <w:link w:val="39"/>
    <w:qFormat/>
    <w:uiPriority w:val="30"/>
    <w:pPr>
      <w:spacing w:before="100" w:beforeAutospacing="1" w:after="240" w:line="240" w:lineRule="auto"/>
      <w:ind w:left="720"/>
      <w:jc w:val="center"/>
    </w:pPr>
    <w:rPr>
      <w:rFonts w:asciiTheme="majorHAnsi" w:hAnsiTheme="majorHAnsi" w:eastAsiaTheme="majorEastAsia" w:cstheme="majorBidi"/>
      <w:color w:val="44546A" w:themeColor="text2"/>
      <w:spacing w:val="-6"/>
      <w:sz w:val="32"/>
      <w:szCs w:val="32"/>
      <w14:textFill>
        <w14:solidFill>
          <w14:schemeClr w14:val="tx2"/>
        </w14:solidFill>
      </w14:textFill>
    </w:rPr>
  </w:style>
  <w:style w:type="character" w:customStyle="1" w:styleId="39">
    <w:name w:val="明显引用 字符"/>
    <w:basedOn w:val="20"/>
    <w:link w:val="38"/>
    <w:uiPriority w:val="30"/>
    <w:rPr>
      <w:rFonts w:asciiTheme="majorHAnsi" w:hAnsiTheme="majorHAnsi" w:eastAsiaTheme="majorEastAsia" w:cstheme="majorBidi"/>
      <w:color w:val="44546A" w:themeColor="text2"/>
      <w:spacing w:val="-6"/>
      <w:sz w:val="32"/>
      <w:szCs w:val="32"/>
      <w14:textFill>
        <w14:solidFill>
          <w14:schemeClr w14:val="tx2"/>
        </w14:solidFill>
      </w14:textFill>
    </w:rPr>
  </w:style>
  <w:style w:type="character" w:customStyle="1" w:styleId="40">
    <w:name w:val="Subtle Emphasis"/>
    <w:basedOn w:val="20"/>
    <w:qFormat/>
    <w:uiPriority w:val="19"/>
    <w:rPr>
      <w:i/>
      <w:iCs/>
      <w:color w:val="595959" w:themeColor="text1" w:themeTint="A6"/>
      <w14:textFill>
        <w14:solidFill>
          <w14:schemeClr w14:val="tx1">
            <w14:lumMod w14:val="65000"/>
            <w14:lumOff w14:val="35000"/>
          </w14:schemeClr>
        </w14:solidFill>
      </w14:textFill>
    </w:rPr>
  </w:style>
  <w:style w:type="character" w:customStyle="1" w:styleId="41">
    <w:name w:val="Intense Emphasis"/>
    <w:basedOn w:val="20"/>
    <w:qFormat/>
    <w:uiPriority w:val="21"/>
    <w:rPr>
      <w:b/>
      <w:bCs/>
      <w:i/>
      <w:iCs/>
    </w:rPr>
  </w:style>
  <w:style w:type="character" w:customStyle="1" w:styleId="42">
    <w:name w:val="Subtle Reference"/>
    <w:basedOn w:val="20"/>
    <w:qFormat/>
    <w:uiPriority w:val="31"/>
    <w:rPr>
      <w:smallCaps/>
      <w:color w:val="595959" w:themeColor="text1" w:themeTint="A6"/>
      <w:u w:val="none" w:color="7E7E7E" w:themeColor="text1" w:themeTint="80"/>
      <w14:textFill>
        <w14:solidFill>
          <w14:schemeClr w14:val="tx1">
            <w14:lumMod w14:val="65000"/>
            <w14:lumOff w14:val="35000"/>
          </w14:schemeClr>
        </w14:solidFill>
      </w14:textFill>
    </w:rPr>
  </w:style>
  <w:style w:type="character" w:customStyle="1" w:styleId="43">
    <w:name w:val="Intense Reference"/>
    <w:basedOn w:val="20"/>
    <w:qFormat/>
    <w:uiPriority w:val="32"/>
    <w:rPr>
      <w:b/>
      <w:bCs/>
      <w:smallCaps/>
      <w:color w:val="44546A" w:themeColor="text2"/>
      <w:u w:val="single"/>
      <w14:textFill>
        <w14:solidFill>
          <w14:schemeClr w14:val="tx2"/>
        </w14:solidFill>
      </w14:textFill>
    </w:rPr>
  </w:style>
  <w:style w:type="character" w:customStyle="1" w:styleId="44">
    <w:name w:val="Book Title"/>
    <w:basedOn w:val="20"/>
    <w:qFormat/>
    <w:uiPriority w:val="33"/>
    <w:rPr>
      <w:b/>
      <w:bCs/>
      <w:smallCaps/>
      <w:spacing w:val="10"/>
    </w:rPr>
  </w:style>
  <w:style w:type="paragraph" w:customStyle="1" w:styleId="45">
    <w:name w:val="TOC Heading"/>
    <w:basedOn w:val="2"/>
    <w:next w:val="1"/>
    <w:unhideWhenUsed/>
    <w:qFormat/>
    <w:uiPriority w:val="39"/>
    <w:pPr>
      <w:outlineLvl w:val="9"/>
    </w:pPr>
  </w:style>
  <w:style w:type="paragraph" w:styleId="46">
    <w:name w:val="List Paragraph"/>
    <w:basedOn w:val="1"/>
    <w:qFormat/>
    <w:uiPriority w:val="34"/>
    <w:pPr>
      <w:ind w:firstLine="420" w:firstLineChars="200"/>
    </w:pPr>
  </w:style>
  <w:style w:type="character" w:customStyle="1" w:styleId="47">
    <w:name w:val="页眉 字符"/>
    <w:basedOn w:val="20"/>
    <w:link w:val="14"/>
    <w:uiPriority w:val="99"/>
    <w:rPr>
      <w:sz w:val="18"/>
      <w:szCs w:val="18"/>
    </w:rPr>
  </w:style>
  <w:style w:type="character" w:customStyle="1" w:styleId="48">
    <w:name w:val="页脚 字符"/>
    <w:basedOn w:val="20"/>
    <w:link w:val="13"/>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footer2.xml.rels><?xml version="1.0" encoding="UTF-8" standalone="yes"?>
<Relationships xmlns="http://schemas.openxmlformats.org/package/2006/relationships"><Relationship Id="rId1" Type="http://schemas.openxmlformats.org/officeDocument/2006/relationships/image" Target="media/image1.bmp"/></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8820B66-268A-442D-A423-4AD28A498ACC}">
  <ds:schemaRefs/>
</ds:datastoreItem>
</file>

<file path=docProps/app.xml><?xml version="1.0" encoding="utf-8"?>
<Properties xmlns="http://schemas.openxmlformats.org/officeDocument/2006/extended-properties" xmlns:vt="http://schemas.openxmlformats.org/officeDocument/2006/docPropsVTypes">
  <Template>Normal</Template>
  <Pages>16</Pages>
  <Words>3378</Words>
  <Characters>19682</Characters>
  <Lines>532</Lines>
  <Paragraphs>149</Paragraphs>
  <TotalTime>207</TotalTime>
  <ScaleCrop>false</ScaleCrop>
  <LinksUpToDate>false</LinksUpToDate>
  <CharactersWithSpaces>23049</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2022-05-01T11:53:00Z</dcterms:created>
  <dc:creator>admin admin</dc:creator>
  <cp:lastModifiedBy>Lenovo</cp:lastModifiedBy>
  <dcterms:modified xsi:type="dcterms:W3CDTF">2022-05-02T21:45:30Z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2052-11.1.0.11636</vt:lpwstr>
  </property>
  <property fmtid="{D5CDD505-2E9C-101B-9397-08002B2CF9AE}" pid="26" name="ICV">
    <vt:lpwstr>B0D0732B416F4750AED570E97F5FB44F</vt:lpwstr>
  </property>
</Properties>
</file>