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ABA4F23" wp14:paraId="2C078E63" wp14:textId="01175B08">
      <w:pPr>
        <w:rPr>
          <w:rFonts w:ascii="Arial Nova" w:hAnsi="Arial Nova" w:eastAsia="Arial Nova" w:cs="Arial Nova"/>
          <w:sz w:val="28"/>
          <w:szCs w:val="28"/>
        </w:rPr>
      </w:pPr>
      <w:r w:rsidR="72FCA8F9">
        <w:rPr/>
        <w:t xml:space="preserve">                                            </w:t>
      </w:r>
      <w:r w:rsidR="6195B98D">
        <w:rPr/>
        <w:t xml:space="preserve">            </w:t>
      </w:r>
      <w:r w:rsidRPr="0ABA4F23" w:rsidR="72FCA8F9">
        <w:rPr>
          <w:rFonts w:ascii="Arial Nova" w:hAnsi="Arial Nova" w:eastAsia="Arial Nova" w:cs="Arial Nova"/>
        </w:rPr>
        <w:t xml:space="preserve">   </w:t>
      </w:r>
      <w:r w:rsidRPr="0ABA4F23" w:rsidR="72FCA8F9">
        <w:rPr>
          <w:rFonts w:ascii="Arial Nova" w:hAnsi="Arial Nova" w:eastAsia="Arial Nova" w:cs="Arial Nova"/>
          <w:sz w:val="28"/>
          <w:szCs w:val="28"/>
        </w:rPr>
        <w:t xml:space="preserve"> </w:t>
      </w:r>
      <w:r w:rsidRPr="0ABA4F23" w:rsidR="5F98348A">
        <w:rPr>
          <w:rFonts w:ascii="Arial Nova" w:hAnsi="Arial Nova" w:eastAsia="Arial Nova" w:cs="Arial Nova"/>
          <w:sz w:val="28"/>
          <w:szCs w:val="28"/>
        </w:rPr>
        <w:t>Shaliea Younis 2222115</w:t>
      </w:r>
    </w:p>
    <w:p w:rsidR="5F98348A" w:rsidP="0ABA4F23" w:rsidRDefault="5F98348A" w14:paraId="392F7932" w14:textId="48D95CC4">
      <w:pPr>
        <w:rPr>
          <w:rFonts w:ascii="Arial Nova" w:hAnsi="Arial Nova" w:eastAsia="Arial Nova" w:cs="Arial Nova"/>
          <w:sz w:val="28"/>
          <w:szCs w:val="28"/>
        </w:rPr>
      </w:pPr>
      <w:r w:rsidRPr="0ABA4F23" w:rsidR="5F98348A">
        <w:rPr>
          <w:rFonts w:ascii="Arial Nova" w:hAnsi="Arial Nova" w:eastAsia="Arial Nova" w:cs="Arial Nova"/>
          <w:sz w:val="28"/>
          <w:szCs w:val="28"/>
        </w:rPr>
        <w:t xml:space="preserve">                                  </w:t>
      </w:r>
      <w:r w:rsidRPr="0ABA4F23" w:rsidR="65F3F6C3">
        <w:rPr>
          <w:rFonts w:ascii="Arial Nova" w:hAnsi="Arial Nova" w:eastAsia="Arial Nova" w:cs="Arial Nova"/>
          <w:sz w:val="28"/>
          <w:szCs w:val="28"/>
        </w:rPr>
        <w:t xml:space="preserve">     </w:t>
      </w:r>
      <w:r w:rsidRPr="0ABA4F23" w:rsidR="5F98348A">
        <w:rPr>
          <w:rFonts w:ascii="Arial Nova" w:hAnsi="Arial Nova" w:eastAsia="Arial Nova" w:cs="Arial Nova"/>
          <w:sz w:val="28"/>
          <w:szCs w:val="28"/>
        </w:rPr>
        <w:t xml:space="preserve"> Introduction to Phy</w:t>
      </w:r>
      <w:r w:rsidRPr="0ABA4F23" w:rsidR="5ECDA70C">
        <w:rPr>
          <w:rFonts w:ascii="Arial Nova" w:hAnsi="Arial Nova" w:eastAsia="Arial Nova" w:cs="Arial Nova"/>
          <w:sz w:val="28"/>
          <w:szCs w:val="28"/>
        </w:rPr>
        <w:t xml:space="preserve">siology </w:t>
      </w:r>
    </w:p>
    <w:p w:rsidR="5ECDA70C" w:rsidP="0ABA4F23" w:rsidRDefault="5ECDA70C" w14:paraId="4A17EAD7" w14:textId="4BF56F29">
      <w:pPr>
        <w:rPr>
          <w:rFonts w:ascii="Arial Nova" w:hAnsi="Arial Nova" w:eastAsia="Arial Nova" w:cs="Arial Nova"/>
          <w:sz w:val="28"/>
          <w:szCs w:val="28"/>
        </w:rPr>
      </w:pPr>
      <w:r w:rsidRPr="0ABA4F23" w:rsidR="5ECDA70C">
        <w:rPr>
          <w:rFonts w:ascii="Arial Nova" w:hAnsi="Arial Nova" w:eastAsia="Arial Nova" w:cs="Arial Nova"/>
          <w:sz w:val="28"/>
          <w:szCs w:val="28"/>
        </w:rPr>
        <w:t xml:space="preserve">                                               BMHP5023  </w:t>
      </w:r>
    </w:p>
    <w:p w:rsidR="5ECDA70C" w:rsidP="0ABA4F23" w:rsidRDefault="5ECDA70C" w14:paraId="30B970E6" w14:textId="075441A2">
      <w:pPr>
        <w:rPr>
          <w:rFonts w:ascii="Arial Nova" w:hAnsi="Arial Nova" w:eastAsia="Arial Nova" w:cs="Arial Nova"/>
          <w:sz w:val="28"/>
          <w:szCs w:val="28"/>
        </w:rPr>
      </w:pPr>
      <w:r w:rsidRPr="0ABA4F23" w:rsidR="5ECDA70C">
        <w:rPr>
          <w:rFonts w:ascii="Arial Nova" w:hAnsi="Arial Nova" w:eastAsia="Arial Nova" w:cs="Arial Nova"/>
          <w:sz w:val="28"/>
          <w:szCs w:val="28"/>
        </w:rPr>
        <w:t xml:space="preserve">                                       </w:t>
      </w:r>
      <w:r w:rsidRPr="0ABA4F23" w:rsidR="5ECDA70C">
        <w:rPr>
          <w:rFonts w:ascii="Arial Nova" w:hAnsi="Arial Nova" w:eastAsia="Arial Nova" w:cs="Arial Nova"/>
          <w:sz w:val="28"/>
          <w:szCs w:val="28"/>
        </w:rPr>
        <w:t>Component</w:t>
      </w:r>
      <w:r w:rsidRPr="0ABA4F23" w:rsidR="5ECDA70C">
        <w:rPr>
          <w:rFonts w:ascii="Arial Nova" w:hAnsi="Arial Nova" w:eastAsia="Arial Nova" w:cs="Arial Nova"/>
          <w:sz w:val="28"/>
          <w:szCs w:val="28"/>
        </w:rPr>
        <w:t xml:space="preserve"> 1 Case Study </w:t>
      </w:r>
    </w:p>
    <w:p w:rsidR="5ECDA70C" w:rsidP="0ABA4F23" w:rsidRDefault="5ECDA70C" w14:paraId="6A319BA1" w14:textId="7277E9E2">
      <w:pPr>
        <w:rPr>
          <w:rFonts w:ascii="Arial Nova" w:hAnsi="Arial Nova" w:eastAsia="Arial Nova" w:cs="Arial Nova"/>
          <w:sz w:val="28"/>
          <w:szCs w:val="28"/>
        </w:rPr>
      </w:pPr>
      <w:r w:rsidRPr="0ABA4F23" w:rsidR="5ECDA70C">
        <w:rPr>
          <w:rFonts w:ascii="Arial Nova" w:hAnsi="Arial Nova" w:eastAsia="Arial Nova" w:cs="Arial Nova"/>
          <w:sz w:val="28"/>
          <w:szCs w:val="28"/>
        </w:rPr>
        <w:t xml:space="preserve">                                   </w:t>
      </w:r>
      <w:r w:rsidRPr="0ABA4F23" w:rsidR="17868CFC">
        <w:rPr>
          <w:rFonts w:ascii="Arial Nova" w:hAnsi="Arial Nova" w:eastAsia="Arial Nova" w:cs="Arial Nova"/>
          <w:sz w:val="28"/>
          <w:szCs w:val="28"/>
        </w:rPr>
        <w:t xml:space="preserve">        </w:t>
      </w:r>
      <w:r w:rsidRPr="0ABA4F23" w:rsidR="5ECDA70C">
        <w:rPr>
          <w:rFonts w:ascii="Arial Nova" w:hAnsi="Arial Nova" w:eastAsia="Arial Nova" w:cs="Arial Nova"/>
          <w:sz w:val="28"/>
          <w:szCs w:val="28"/>
        </w:rPr>
        <w:t xml:space="preserve">  Robert </w:t>
      </w:r>
      <w:r w:rsidRPr="0ABA4F23" w:rsidR="5ECDA70C">
        <w:rPr>
          <w:rFonts w:ascii="Arial Nova" w:hAnsi="Arial Nova" w:eastAsia="Arial Nova" w:cs="Arial Nova"/>
          <w:sz w:val="28"/>
          <w:szCs w:val="28"/>
        </w:rPr>
        <w:t>Nartowski</w:t>
      </w:r>
      <w:r w:rsidRPr="0ABA4F23" w:rsidR="0FDB1798">
        <w:rPr>
          <w:rFonts w:ascii="Arial Nova" w:hAnsi="Arial Nova" w:eastAsia="Arial Nova" w:cs="Arial Nova"/>
          <w:sz w:val="28"/>
          <w:szCs w:val="28"/>
        </w:rPr>
        <w:t xml:space="preserve">   </w:t>
      </w:r>
    </w:p>
    <w:p w:rsidR="0ABA4F23" w:rsidP="0ABA4F23" w:rsidRDefault="0ABA4F23" w14:paraId="676F008A" w14:textId="000B2810">
      <w:pPr>
        <w:rPr>
          <w:rFonts w:ascii="Arial Nova" w:hAnsi="Arial Nova" w:eastAsia="Arial Nova" w:cs="Arial Nova"/>
          <w:sz w:val="28"/>
          <w:szCs w:val="28"/>
        </w:rPr>
      </w:pPr>
    </w:p>
    <w:p w:rsidR="0ABA4F23" w:rsidP="0ABA4F23" w:rsidRDefault="0ABA4F23" w14:paraId="7F634A65" w14:textId="655ACDAF">
      <w:pPr>
        <w:rPr>
          <w:rFonts w:ascii="Arial Nova" w:hAnsi="Arial Nova" w:eastAsia="Arial Nova" w:cs="Arial Nova"/>
          <w:sz w:val="28"/>
          <w:szCs w:val="28"/>
        </w:rPr>
      </w:pPr>
    </w:p>
    <w:p w:rsidR="0ABA4F23" w:rsidP="0ABA4F23" w:rsidRDefault="0ABA4F23" w14:paraId="62385268" w14:textId="2483C0BB">
      <w:pPr>
        <w:rPr>
          <w:rFonts w:ascii="Arial Nova" w:hAnsi="Arial Nova" w:eastAsia="Arial Nova" w:cs="Arial Nova"/>
          <w:sz w:val="28"/>
          <w:szCs w:val="28"/>
        </w:rPr>
      </w:pPr>
    </w:p>
    <w:p w:rsidR="0ABA4F23" w:rsidP="0ABA4F23" w:rsidRDefault="0ABA4F23" w14:paraId="3972F175" w14:textId="60A88669">
      <w:pPr>
        <w:rPr>
          <w:rFonts w:ascii="Arial Nova" w:hAnsi="Arial Nova" w:eastAsia="Arial Nova" w:cs="Arial Nova"/>
          <w:sz w:val="28"/>
          <w:szCs w:val="28"/>
        </w:rPr>
      </w:pPr>
    </w:p>
    <w:p w:rsidR="0ABA4F23" w:rsidP="0ABA4F23" w:rsidRDefault="0ABA4F23" w14:paraId="5E8937D2" w14:textId="493EFC18">
      <w:pPr>
        <w:rPr>
          <w:rFonts w:ascii="Arial Nova" w:hAnsi="Arial Nova" w:eastAsia="Arial Nova" w:cs="Arial Nova"/>
          <w:sz w:val="28"/>
          <w:szCs w:val="28"/>
        </w:rPr>
      </w:pPr>
    </w:p>
    <w:p w:rsidR="0ABA4F23" w:rsidP="0ABA4F23" w:rsidRDefault="0ABA4F23" w14:paraId="29C70A92" w14:textId="58FDB802">
      <w:pPr>
        <w:rPr>
          <w:rFonts w:ascii="Arial Nova" w:hAnsi="Arial Nova" w:eastAsia="Arial Nova" w:cs="Arial Nova"/>
          <w:sz w:val="28"/>
          <w:szCs w:val="28"/>
        </w:rPr>
      </w:pPr>
    </w:p>
    <w:p w:rsidR="0ABA4F23" w:rsidP="0ABA4F23" w:rsidRDefault="0ABA4F23" w14:paraId="1CDEC205" w14:textId="63BA68A8">
      <w:pPr>
        <w:rPr>
          <w:rFonts w:ascii="Arial Nova" w:hAnsi="Arial Nova" w:eastAsia="Arial Nova" w:cs="Arial Nova"/>
          <w:sz w:val="28"/>
          <w:szCs w:val="28"/>
        </w:rPr>
      </w:pPr>
    </w:p>
    <w:p w:rsidR="0ABA4F23" w:rsidP="0ABA4F23" w:rsidRDefault="0ABA4F23" w14:paraId="2428153B" w14:textId="2774DF50">
      <w:pPr>
        <w:rPr>
          <w:rFonts w:ascii="Arial Nova" w:hAnsi="Arial Nova" w:eastAsia="Arial Nova" w:cs="Arial Nova"/>
          <w:sz w:val="28"/>
          <w:szCs w:val="28"/>
        </w:rPr>
      </w:pPr>
    </w:p>
    <w:p w:rsidR="0ABA4F23" w:rsidP="0ABA4F23" w:rsidRDefault="0ABA4F23" w14:paraId="652926BD" w14:textId="0F719569">
      <w:pPr>
        <w:rPr>
          <w:rFonts w:ascii="Arial Nova" w:hAnsi="Arial Nova" w:eastAsia="Arial Nova" w:cs="Arial Nova"/>
          <w:sz w:val="28"/>
          <w:szCs w:val="28"/>
        </w:rPr>
      </w:pPr>
    </w:p>
    <w:p w:rsidR="0ABA4F23" w:rsidP="0ABA4F23" w:rsidRDefault="0ABA4F23" w14:paraId="35502187" w14:textId="1C74DEFF">
      <w:pPr>
        <w:rPr>
          <w:rFonts w:ascii="Arial Nova" w:hAnsi="Arial Nova" w:eastAsia="Arial Nova" w:cs="Arial Nova"/>
          <w:sz w:val="28"/>
          <w:szCs w:val="28"/>
        </w:rPr>
      </w:pPr>
    </w:p>
    <w:p w:rsidR="0ABA4F23" w:rsidP="0ABA4F23" w:rsidRDefault="0ABA4F23" w14:paraId="5D22A915" w14:textId="476C6502">
      <w:pPr>
        <w:rPr>
          <w:rFonts w:ascii="Arial Nova" w:hAnsi="Arial Nova" w:eastAsia="Arial Nova" w:cs="Arial Nova"/>
          <w:sz w:val="28"/>
          <w:szCs w:val="28"/>
        </w:rPr>
      </w:pPr>
    </w:p>
    <w:p w:rsidR="0ABA4F23" w:rsidP="0ABA4F23" w:rsidRDefault="0ABA4F23" w14:paraId="6C39DB30" w14:textId="07E6053C">
      <w:pPr>
        <w:rPr>
          <w:rFonts w:ascii="Arial Nova" w:hAnsi="Arial Nova" w:eastAsia="Arial Nova" w:cs="Arial Nova"/>
          <w:sz w:val="28"/>
          <w:szCs w:val="28"/>
        </w:rPr>
      </w:pPr>
    </w:p>
    <w:p w:rsidR="0ABA4F23" w:rsidP="0ABA4F23" w:rsidRDefault="0ABA4F23" w14:paraId="4720C60A" w14:textId="4E732FAF">
      <w:pPr>
        <w:rPr>
          <w:rFonts w:ascii="Arial Nova" w:hAnsi="Arial Nova" w:eastAsia="Arial Nova" w:cs="Arial Nova"/>
          <w:sz w:val="28"/>
          <w:szCs w:val="28"/>
        </w:rPr>
      </w:pPr>
    </w:p>
    <w:p w:rsidR="0ABA4F23" w:rsidP="0ABA4F23" w:rsidRDefault="0ABA4F23" w14:paraId="6DAA494F" w14:textId="4E3D18C8">
      <w:pPr>
        <w:rPr>
          <w:rFonts w:ascii="Arial Nova" w:hAnsi="Arial Nova" w:eastAsia="Arial Nova" w:cs="Arial Nova"/>
          <w:sz w:val="28"/>
          <w:szCs w:val="28"/>
        </w:rPr>
      </w:pPr>
    </w:p>
    <w:p w:rsidR="0ABA4F23" w:rsidP="0ABA4F23" w:rsidRDefault="0ABA4F23" w14:paraId="442C6C8E" w14:textId="0402D789">
      <w:pPr>
        <w:rPr>
          <w:rFonts w:ascii="Arial Nova" w:hAnsi="Arial Nova" w:eastAsia="Arial Nova" w:cs="Arial Nova"/>
          <w:sz w:val="28"/>
          <w:szCs w:val="28"/>
        </w:rPr>
      </w:pPr>
    </w:p>
    <w:p w:rsidR="0ABA4F23" w:rsidP="0ABA4F23" w:rsidRDefault="0ABA4F23" w14:paraId="139AEAD0" w14:textId="731D7999">
      <w:pPr>
        <w:rPr>
          <w:rFonts w:ascii="Arial Nova" w:hAnsi="Arial Nova" w:eastAsia="Arial Nova" w:cs="Arial Nova"/>
          <w:sz w:val="28"/>
          <w:szCs w:val="28"/>
        </w:rPr>
      </w:pPr>
    </w:p>
    <w:p w:rsidR="0ABA4F23" w:rsidP="0ABA4F23" w:rsidRDefault="0ABA4F23" w14:paraId="065C8129" w14:textId="5659711C">
      <w:pPr>
        <w:rPr>
          <w:rFonts w:ascii="Arial Nova" w:hAnsi="Arial Nova" w:eastAsia="Arial Nova" w:cs="Arial Nova"/>
          <w:sz w:val="28"/>
          <w:szCs w:val="28"/>
        </w:rPr>
      </w:pPr>
    </w:p>
    <w:p w:rsidR="0ABA4F23" w:rsidP="0ABA4F23" w:rsidRDefault="0ABA4F23" w14:paraId="368D50DB" w14:textId="087E629B">
      <w:pPr>
        <w:pStyle w:val="Normal"/>
        <w:rPr>
          <w:rFonts w:ascii="Arial Nova" w:hAnsi="Arial Nova" w:eastAsia="Arial Nova" w:cs="Arial Nova"/>
          <w:sz w:val="28"/>
          <w:szCs w:val="28"/>
        </w:rPr>
      </w:pPr>
    </w:p>
    <w:p w:rsidR="0ABA4F23" w:rsidP="0ABA4F23" w:rsidRDefault="0ABA4F23" w14:paraId="6EB59019" w14:textId="140BE3FC">
      <w:pPr>
        <w:rPr>
          <w:rFonts w:ascii="Arial Nova" w:hAnsi="Arial Nova" w:eastAsia="Arial Nova" w:cs="Arial Nova"/>
        </w:rPr>
      </w:pPr>
    </w:p>
    <w:p w:rsidR="2EB4F19E" w:rsidP="0ABA4F23" w:rsidRDefault="2EB4F19E" w14:paraId="3AE660CE" w14:textId="7968B026">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2"/>
          <w:szCs w:val="22"/>
          <w:lang w:val="en-GB"/>
        </w:rPr>
      </w:pPr>
      <w:r w:rsidRPr="0ABA4F23" w:rsidR="2EB4F19E">
        <w:rPr>
          <w:rFonts w:ascii="Arial Nova" w:hAnsi="Arial Nova" w:eastAsia="Arial Nova" w:cs="Arial Nova"/>
          <w:b w:val="1"/>
          <w:bCs w:val="1"/>
          <w:noProof w:val="0"/>
          <w:color w:val="000000" w:themeColor="text1" w:themeTint="FF" w:themeShade="FF"/>
          <w:sz w:val="22"/>
          <w:szCs w:val="22"/>
          <w:lang w:val="en-GB"/>
        </w:rPr>
        <w:t>Introduction</w:t>
      </w:r>
    </w:p>
    <w:p w:rsidR="2EB4F19E" w:rsidP="0ABA4F23" w:rsidRDefault="2EB4F19E" w14:paraId="3C9CD01A" w14:textId="7E3F68B4">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0ABA4F23" w:rsidR="2EB4F19E">
        <w:rPr>
          <w:rFonts w:ascii="Arial Nova" w:hAnsi="Arial Nova" w:eastAsia="Arial Nova" w:cs="Arial Nova"/>
          <w:noProof w:val="0"/>
          <w:color w:val="000000" w:themeColor="text1" w:themeTint="FF" w:themeShade="FF"/>
          <w:sz w:val="22"/>
          <w:szCs w:val="22"/>
          <w:lang w:val="en-GB"/>
        </w:rPr>
        <w:t xml:space="preserve">As a practice nurse working in a local GP surgery, I co-run a fortnightly asthma clinic alongside one of the general practitioners. The clinic was </w:t>
      </w:r>
      <w:r w:rsidRPr="0ABA4F23" w:rsidR="2EB4F19E">
        <w:rPr>
          <w:rFonts w:ascii="Arial Nova" w:hAnsi="Arial Nova" w:eastAsia="Arial Nova" w:cs="Arial Nova"/>
          <w:noProof w:val="0"/>
          <w:color w:val="000000" w:themeColor="text1" w:themeTint="FF" w:themeShade="FF"/>
          <w:sz w:val="22"/>
          <w:szCs w:val="22"/>
          <w:lang w:val="en-GB"/>
        </w:rPr>
        <w:t>established</w:t>
      </w:r>
      <w:r w:rsidRPr="0ABA4F23" w:rsidR="2EB4F19E">
        <w:rPr>
          <w:rFonts w:ascii="Arial Nova" w:hAnsi="Arial Nova" w:eastAsia="Arial Nova" w:cs="Arial Nova"/>
          <w:noProof w:val="0"/>
          <w:color w:val="000000" w:themeColor="text1" w:themeTint="FF" w:themeShade="FF"/>
          <w:sz w:val="22"/>
          <w:szCs w:val="22"/>
          <w:lang w:val="en-GB"/>
        </w:rPr>
        <w:t xml:space="preserve"> to support adolescents who have asthma, many of whom were diagnosed in childhood but are now presenting with more frequent and severe exacerbations. The clinical team has </w:t>
      </w:r>
      <w:r w:rsidRPr="0ABA4F23" w:rsidR="2EB4F19E">
        <w:rPr>
          <w:rFonts w:ascii="Arial Nova" w:hAnsi="Arial Nova" w:eastAsia="Arial Nova" w:cs="Arial Nova"/>
          <w:noProof w:val="0"/>
          <w:color w:val="000000" w:themeColor="text1" w:themeTint="FF" w:themeShade="FF"/>
          <w:sz w:val="22"/>
          <w:szCs w:val="22"/>
          <w:lang w:val="en-GB"/>
        </w:rPr>
        <w:t>observed</w:t>
      </w:r>
      <w:r w:rsidRPr="0ABA4F23" w:rsidR="2EB4F19E">
        <w:rPr>
          <w:rFonts w:ascii="Arial Nova" w:hAnsi="Arial Nova" w:eastAsia="Arial Nova" w:cs="Arial Nova"/>
          <w:noProof w:val="0"/>
          <w:color w:val="000000" w:themeColor="text1" w:themeTint="FF" w:themeShade="FF"/>
          <w:sz w:val="22"/>
          <w:szCs w:val="22"/>
          <w:lang w:val="en-GB"/>
        </w:rPr>
        <w:t xml:space="preserve"> that lifestyle factors—such as smoking, vaping, irregular sleep, poor diet, and exposure to crowded environments—are major contributors to poor asthma control (British Thoracic Society, National Institute for Health and Care Excellence and Scottish Intercollegiate Guidelines Network, 2024). These habits expose young people to respiratory irritants, leading to inflammation, bronchial constriction, and a heightened risk of infection (Agache et al., 2024; Song et al., 2022).</w:t>
      </w:r>
    </w:p>
    <w:p w:rsidR="2EB4F19E" w:rsidP="0ABA4F23" w:rsidRDefault="2EB4F19E" w14:paraId="5EFB05A1" w14:textId="65AACA95">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0ABA4F23" w:rsidR="2EB4F19E">
        <w:rPr>
          <w:rFonts w:ascii="Arial Nova" w:hAnsi="Arial Nova" w:eastAsia="Arial Nova" w:cs="Arial Nova"/>
          <w:noProof w:val="0"/>
          <w:color w:val="000000" w:themeColor="text1" w:themeTint="FF" w:themeShade="FF"/>
          <w:sz w:val="22"/>
          <w:szCs w:val="22"/>
          <w:lang w:val="en-GB"/>
        </w:rPr>
        <w:t xml:space="preserve">Asthma is a chronic inflammatory disease characterised by reversible airway obstruction, mucus hypersecretion, and airway hyper-responsiveness. It manifests through coughing, wheezing, chest tightness, and breathlessness (British Thoracic Society, National Institute for Health and Care Excellence and Scottish Intercollegiate Guidelines Network, 2024). In the United Kingdom, approximately 5.4 million individuals have asthma, including over one million adolescents (Asthma + Lung UK, 2025). Adolescence presents </w:t>
      </w:r>
      <w:r w:rsidRPr="0ABA4F23" w:rsidR="2CDA1147">
        <w:rPr>
          <w:rFonts w:ascii="Arial Nova" w:hAnsi="Arial Nova" w:eastAsia="Arial Nova" w:cs="Arial Nova"/>
          <w:noProof w:val="0"/>
          <w:color w:val="000000" w:themeColor="text1" w:themeTint="FF" w:themeShade="FF"/>
          <w:sz w:val="22"/>
          <w:szCs w:val="22"/>
          <w:lang w:val="en-GB"/>
        </w:rPr>
        <w:t>challenges</w:t>
      </w:r>
      <w:r w:rsidRPr="0ABA4F23" w:rsidR="2EB4F19E">
        <w:rPr>
          <w:rFonts w:ascii="Arial Nova" w:hAnsi="Arial Nova" w:eastAsia="Arial Nova" w:cs="Arial Nova"/>
          <w:noProof w:val="0"/>
          <w:color w:val="000000" w:themeColor="text1" w:themeTint="FF" w:themeShade="FF"/>
          <w:sz w:val="22"/>
          <w:szCs w:val="22"/>
          <w:lang w:val="en-GB"/>
        </w:rPr>
        <w:t>, as this age group often underestimates the seriousness of asthma, engages in risky behaviour, and struggles with medication adherence. Evidence suggests that poor control during adolescence increases the risk of severe asthma and even mortality in adulthood (Global Asthma Network, 2023).</w:t>
      </w:r>
    </w:p>
    <w:p w:rsidR="2EB4F19E" w:rsidP="0ABA4F23" w:rsidRDefault="2EB4F19E" w14:paraId="0542FBEE" w14:textId="6D7AFC54">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0ABA4F23" w:rsidR="2EB4F19E">
        <w:rPr>
          <w:rFonts w:ascii="Arial Nova" w:hAnsi="Arial Nova" w:eastAsia="Arial Nova" w:cs="Arial Nova"/>
          <w:noProof w:val="0"/>
          <w:color w:val="000000" w:themeColor="text1" w:themeTint="FF" w:themeShade="FF"/>
          <w:sz w:val="22"/>
          <w:szCs w:val="22"/>
          <w:lang w:val="en-GB"/>
        </w:rPr>
        <w:t>Risk factors for asthma include genetic predisposition, environmental pollutants, tobacco smoke, allergens, and psychosocial stressors (</w:t>
      </w:r>
      <w:r w:rsidRPr="0ABA4F23" w:rsidR="2EB4F19E">
        <w:rPr>
          <w:rFonts w:ascii="Arial Nova" w:hAnsi="Arial Nova" w:eastAsia="Arial Nova" w:cs="Arial Nova"/>
          <w:noProof w:val="0"/>
          <w:color w:val="000000" w:themeColor="text1" w:themeTint="FF" w:themeShade="FF"/>
          <w:sz w:val="22"/>
          <w:szCs w:val="22"/>
          <w:lang w:val="en-GB"/>
        </w:rPr>
        <w:t>Brożek</w:t>
      </w:r>
      <w:r w:rsidRPr="0ABA4F23" w:rsidR="2EB4F19E">
        <w:rPr>
          <w:rFonts w:ascii="Arial Nova" w:hAnsi="Arial Nova" w:eastAsia="Arial Nova" w:cs="Arial Nova"/>
          <w:noProof w:val="0"/>
          <w:color w:val="000000" w:themeColor="text1" w:themeTint="FF" w:themeShade="FF"/>
          <w:sz w:val="22"/>
          <w:szCs w:val="22"/>
          <w:lang w:val="en-GB"/>
        </w:rPr>
        <w:t xml:space="preserve"> et al., 2019). The Global Initiative for Asthma (2024) highlights that adolescence is a key period where symptoms may worsen due to hormonal, psychological, and social changes. This report will explore the structure and function of the respiratory system, the physiological process of respiration and gas exchange, and the impact of lifestyle choices on asthma control. It will also examine how routine data and patient self-monitoring, such as peak flow readings, are used in health and social care to promote evidence-based management.</w:t>
      </w:r>
    </w:p>
    <w:p w:rsidR="0ABA4F23" w:rsidP="0ABA4F23" w:rsidRDefault="0ABA4F23" w14:paraId="5A3A3A07" w14:textId="675C9CA0">
      <w:pPr>
        <w:spacing w:line="360" w:lineRule="auto"/>
        <w:rPr>
          <w:rFonts w:ascii="Arial Nova" w:hAnsi="Arial Nova" w:eastAsia="Arial Nova" w:cs="Arial Nova"/>
          <w:color w:val="000000" w:themeColor="text1" w:themeTint="FF" w:themeShade="FF"/>
          <w:sz w:val="22"/>
          <w:szCs w:val="22"/>
        </w:rPr>
      </w:pPr>
    </w:p>
    <w:p w:rsidR="2EB4F19E" w:rsidP="0ABA4F23" w:rsidRDefault="2EB4F19E" w14:paraId="56CFC2B9" w14:textId="05C66848">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2"/>
          <w:szCs w:val="22"/>
          <w:lang w:val="en-GB"/>
        </w:rPr>
      </w:pPr>
      <w:r w:rsidRPr="0ABA4F23" w:rsidR="2EB4F19E">
        <w:rPr>
          <w:rFonts w:ascii="Arial Nova" w:hAnsi="Arial Nova" w:eastAsia="Arial Nova" w:cs="Arial Nova"/>
          <w:b w:val="1"/>
          <w:bCs w:val="1"/>
          <w:noProof w:val="0"/>
          <w:color w:val="000000" w:themeColor="text1" w:themeTint="FF" w:themeShade="FF"/>
          <w:sz w:val="22"/>
          <w:szCs w:val="22"/>
          <w:lang w:val="en-GB"/>
        </w:rPr>
        <w:t>Structure of the Respiratory System and Mechanical Respiration</w:t>
      </w:r>
    </w:p>
    <w:p w:rsidR="2EB4F19E" w:rsidP="0ABA4F23" w:rsidRDefault="2EB4F19E" w14:paraId="3EAD3D33" w14:textId="1E86DC7B">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0ABA4F23" w:rsidR="2EB4F19E">
        <w:rPr>
          <w:rFonts w:ascii="Arial Nova" w:hAnsi="Arial Nova" w:eastAsia="Arial Nova" w:cs="Arial Nova"/>
          <w:noProof w:val="0"/>
          <w:color w:val="000000" w:themeColor="text1" w:themeTint="FF" w:themeShade="FF"/>
          <w:sz w:val="22"/>
          <w:szCs w:val="22"/>
          <w:lang w:val="en-GB"/>
        </w:rPr>
        <w:t>The respiratory system supplies oxygen for cellular metabolism and removes carbon dioxide from the bloodstream. It is composed of the upper and lower airways, the lungs, and associated respiratory muscles. Air enters through the nasal cavity, which filters and warms it before it travels down the trachea, branching into bronchi, bronchioles, and finally alveoli (</w:t>
      </w:r>
      <w:r w:rsidRPr="0ABA4F23" w:rsidR="2EB4F19E">
        <w:rPr>
          <w:rFonts w:ascii="Arial Nova" w:hAnsi="Arial Nova" w:eastAsia="Arial Nova" w:cs="Arial Nova"/>
          <w:noProof w:val="0"/>
          <w:color w:val="000000" w:themeColor="text1" w:themeTint="FF" w:themeShade="FF"/>
          <w:sz w:val="22"/>
          <w:szCs w:val="22"/>
          <w:lang w:val="en-GB"/>
        </w:rPr>
        <w:t>Marieb</w:t>
      </w:r>
      <w:r w:rsidRPr="0ABA4F23" w:rsidR="2EB4F19E">
        <w:rPr>
          <w:rFonts w:ascii="Arial Nova" w:hAnsi="Arial Nova" w:eastAsia="Arial Nova" w:cs="Arial Nova"/>
          <w:noProof w:val="0"/>
          <w:color w:val="000000" w:themeColor="text1" w:themeTint="FF" w:themeShade="FF"/>
          <w:sz w:val="22"/>
          <w:szCs w:val="22"/>
          <w:lang w:val="en-GB"/>
        </w:rPr>
        <w:t xml:space="preserve"> and Hoehn, 2019). These alveoli are surrounded by capillaries, forming an efficient gas exchange interface. The inner airway lining </w:t>
      </w:r>
      <w:r w:rsidRPr="0ABA4F23" w:rsidR="2EB4F19E">
        <w:rPr>
          <w:rFonts w:ascii="Arial Nova" w:hAnsi="Arial Nova" w:eastAsia="Arial Nova" w:cs="Arial Nova"/>
          <w:noProof w:val="0"/>
          <w:color w:val="000000" w:themeColor="text1" w:themeTint="FF" w:themeShade="FF"/>
          <w:sz w:val="22"/>
          <w:szCs w:val="22"/>
          <w:lang w:val="en-GB"/>
        </w:rPr>
        <w:t>contains</w:t>
      </w:r>
      <w:r w:rsidRPr="0ABA4F23" w:rsidR="2EB4F19E">
        <w:rPr>
          <w:rFonts w:ascii="Arial Nova" w:hAnsi="Arial Nova" w:eastAsia="Arial Nova" w:cs="Arial Nova"/>
          <w:noProof w:val="0"/>
          <w:color w:val="000000" w:themeColor="text1" w:themeTint="FF" w:themeShade="FF"/>
          <w:sz w:val="22"/>
          <w:szCs w:val="22"/>
          <w:lang w:val="en-GB"/>
        </w:rPr>
        <w:t xml:space="preserve"> cilia and mucus-producing goblet cells that trap dust and pathogens. In asthma, inflammation leads to excessive mucus and swelling, which obstruct the bronchioles and hinder airflow (</w:t>
      </w:r>
      <w:r w:rsidRPr="0ABA4F23" w:rsidR="2EB4F19E">
        <w:rPr>
          <w:rFonts w:ascii="Arial Nova" w:hAnsi="Arial Nova" w:eastAsia="Arial Nova" w:cs="Arial Nova"/>
          <w:noProof w:val="0"/>
          <w:color w:val="000000" w:themeColor="text1" w:themeTint="FF" w:themeShade="FF"/>
          <w:sz w:val="22"/>
          <w:szCs w:val="22"/>
          <w:lang w:val="en-GB"/>
        </w:rPr>
        <w:t>Marieb</w:t>
      </w:r>
      <w:r w:rsidRPr="0ABA4F23" w:rsidR="2EB4F19E">
        <w:rPr>
          <w:rFonts w:ascii="Arial Nova" w:hAnsi="Arial Nova" w:eastAsia="Arial Nova" w:cs="Arial Nova"/>
          <w:noProof w:val="0"/>
          <w:color w:val="000000" w:themeColor="text1" w:themeTint="FF" w:themeShade="FF"/>
          <w:sz w:val="22"/>
          <w:szCs w:val="22"/>
          <w:lang w:val="en-GB"/>
        </w:rPr>
        <w:t xml:space="preserve"> and Hoehn, 2019).</w:t>
      </w:r>
    </w:p>
    <w:p w:rsidR="2EB4F19E" w:rsidP="0ABA4F23" w:rsidRDefault="2EB4F19E" w14:paraId="4B32D780" w14:textId="0D5D8B26">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0ABA4F23" w:rsidR="2EB4F19E">
        <w:rPr>
          <w:rFonts w:ascii="Arial Nova" w:hAnsi="Arial Nova" w:eastAsia="Arial Nova" w:cs="Arial Nova"/>
          <w:noProof w:val="0"/>
          <w:color w:val="000000" w:themeColor="text1" w:themeTint="FF" w:themeShade="FF"/>
          <w:sz w:val="22"/>
          <w:szCs w:val="22"/>
          <w:lang w:val="en-GB"/>
        </w:rPr>
        <w:t xml:space="preserve">Mechanical respiration occurs in two phases: inspiration and </w:t>
      </w:r>
      <w:r w:rsidRPr="0ABA4F23" w:rsidR="2EB4F19E">
        <w:rPr>
          <w:rFonts w:ascii="Arial Nova" w:hAnsi="Arial Nova" w:eastAsia="Arial Nova" w:cs="Arial Nova"/>
          <w:noProof w:val="0"/>
          <w:color w:val="000000" w:themeColor="text1" w:themeTint="FF" w:themeShade="FF"/>
          <w:sz w:val="22"/>
          <w:szCs w:val="22"/>
          <w:lang w:val="en-GB"/>
        </w:rPr>
        <w:t>expiration</w:t>
      </w:r>
      <w:r w:rsidRPr="0ABA4F23" w:rsidR="2EB4F19E">
        <w:rPr>
          <w:rFonts w:ascii="Arial Nova" w:hAnsi="Arial Nova" w:eastAsia="Arial Nova" w:cs="Arial Nova"/>
          <w:noProof w:val="0"/>
          <w:color w:val="000000" w:themeColor="text1" w:themeTint="FF" w:themeShade="FF"/>
          <w:sz w:val="22"/>
          <w:szCs w:val="22"/>
          <w:lang w:val="en-GB"/>
        </w:rPr>
        <w:t xml:space="preserve">. During inspiration, the diaphragm contracts and moves downward while the intercostal muscles lift the ribs, creating a negative pressure that draws air into the lungs. During </w:t>
      </w:r>
      <w:r w:rsidRPr="0ABA4F23" w:rsidR="2EB4F19E">
        <w:rPr>
          <w:rFonts w:ascii="Arial Nova" w:hAnsi="Arial Nova" w:eastAsia="Arial Nova" w:cs="Arial Nova"/>
          <w:noProof w:val="0"/>
          <w:color w:val="000000" w:themeColor="text1" w:themeTint="FF" w:themeShade="FF"/>
          <w:sz w:val="22"/>
          <w:szCs w:val="22"/>
          <w:lang w:val="en-GB"/>
        </w:rPr>
        <w:t>expiration</w:t>
      </w:r>
      <w:r w:rsidRPr="0ABA4F23" w:rsidR="2EB4F19E">
        <w:rPr>
          <w:rFonts w:ascii="Arial Nova" w:hAnsi="Arial Nova" w:eastAsia="Arial Nova" w:cs="Arial Nova"/>
          <w:noProof w:val="0"/>
          <w:color w:val="000000" w:themeColor="text1" w:themeTint="FF" w:themeShade="FF"/>
          <w:sz w:val="22"/>
          <w:szCs w:val="22"/>
          <w:lang w:val="en-GB"/>
        </w:rPr>
        <w:t xml:space="preserve">, these muscles relax and air is expelled. In individuals with asthma, airway constriction caused by smooth muscle tightening and mucosal swelling increases resistance, making </w:t>
      </w:r>
      <w:r w:rsidRPr="0ABA4F23" w:rsidR="2EB4F19E">
        <w:rPr>
          <w:rFonts w:ascii="Arial Nova" w:hAnsi="Arial Nova" w:eastAsia="Arial Nova" w:cs="Arial Nova"/>
          <w:noProof w:val="0"/>
          <w:color w:val="000000" w:themeColor="text1" w:themeTint="FF" w:themeShade="FF"/>
          <w:sz w:val="22"/>
          <w:szCs w:val="22"/>
          <w:lang w:val="en-GB"/>
        </w:rPr>
        <w:t>expiration</w:t>
      </w:r>
      <w:r w:rsidRPr="0ABA4F23" w:rsidR="2EB4F19E">
        <w:rPr>
          <w:rFonts w:ascii="Arial Nova" w:hAnsi="Arial Nova" w:eastAsia="Arial Nova" w:cs="Arial Nova"/>
          <w:noProof w:val="0"/>
          <w:color w:val="000000" w:themeColor="text1" w:themeTint="FF" w:themeShade="FF"/>
          <w:sz w:val="22"/>
          <w:szCs w:val="22"/>
          <w:lang w:val="en-GB"/>
        </w:rPr>
        <w:t xml:space="preserve"> particularly difficult (British Thoracic Society, National Institute for Health and Care Excellence and Scottish Intercollegiate Guidelines Network, 2024). This leads to air trapping, chest tightness, and fatigue as the body struggles to </w:t>
      </w:r>
      <w:r w:rsidRPr="0ABA4F23" w:rsidR="2EB4F19E">
        <w:rPr>
          <w:rFonts w:ascii="Arial Nova" w:hAnsi="Arial Nova" w:eastAsia="Arial Nova" w:cs="Arial Nova"/>
          <w:noProof w:val="0"/>
          <w:color w:val="000000" w:themeColor="text1" w:themeTint="FF" w:themeShade="FF"/>
          <w:sz w:val="22"/>
          <w:szCs w:val="22"/>
          <w:lang w:val="en-GB"/>
        </w:rPr>
        <w:t>maintain</w:t>
      </w:r>
      <w:r w:rsidRPr="0ABA4F23" w:rsidR="2EB4F19E">
        <w:rPr>
          <w:rFonts w:ascii="Arial Nova" w:hAnsi="Arial Nova" w:eastAsia="Arial Nova" w:cs="Arial Nova"/>
          <w:noProof w:val="0"/>
          <w:color w:val="000000" w:themeColor="text1" w:themeTint="FF" w:themeShade="FF"/>
          <w:sz w:val="22"/>
          <w:szCs w:val="22"/>
          <w:lang w:val="en-GB"/>
        </w:rPr>
        <w:t xml:space="preserve"> oxygenation.</w:t>
      </w:r>
    </w:p>
    <w:p w:rsidR="2EB4F19E" w:rsidP="0ABA4F23" w:rsidRDefault="2EB4F19E" w14:paraId="04BFF231" w14:textId="61DCE99D">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0ABA4F23" w:rsidR="2EB4F19E">
        <w:rPr>
          <w:rFonts w:ascii="Arial Nova" w:hAnsi="Arial Nova" w:eastAsia="Arial Nova" w:cs="Arial Nova"/>
          <w:noProof w:val="0"/>
          <w:color w:val="000000" w:themeColor="text1" w:themeTint="FF" w:themeShade="FF"/>
          <w:sz w:val="22"/>
          <w:szCs w:val="22"/>
          <w:lang w:val="en-GB"/>
        </w:rPr>
        <w:t>From a nursing perspective, understanding the mechanical process of respiration is essential for assessing respiratory distress. Observing the rate, depth, and effort of breathing enables early identification of exacerbations. Patient education about breathing control techniques—such as pursed-lip breathing—can help manage symptoms during mild attacks (Primary Care Respiratory Society UK, 2025).</w:t>
      </w:r>
    </w:p>
    <w:p w:rsidR="0ABA4F23" w:rsidP="0ABA4F23" w:rsidRDefault="0ABA4F23" w14:paraId="1E809E65" w14:textId="0A91C3EC">
      <w:pPr>
        <w:spacing w:line="360" w:lineRule="auto"/>
        <w:rPr>
          <w:rFonts w:ascii="Arial Nova" w:hAnsi="Arial Nova" w:eastAsia="Arial Nova" w:cs="Arial Nova"/>
          <w:color w:val="000000" w:themeColor="text1" w:themeTint="FF" w:themeShade="FF"/>
          <w:sz w:val="22"/>
          <w:szCs w:val="22"/>
        </w:rPr>
      </w:pPr>
    </w:p>
    <w:p w:rsidR="2EB4F19E" w:rsidP="0ABA4F23" w:rsidRDefault="2EB4F19E" w14:paraId="1AAA39DA" w14:textId="7D82414D">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2"/>
          <w:szCs w:val="22"/>
          <w:lang w:val="en-GB"/>
        </w:rPr>
      </w:pPr>
      <w:r w:rsidRPr="0ABA4F23" w:rsidR="2EB4F19E">
        <w:rPr>
          <w:rFonts w:ascii="Arial Nova" w:hAnsi="Arial Nova" w:eastAsia="Arial Nova" w:cs="Arial Nova"/>
          <w:b w:val="1"/>
          <w:bCs w:val="1"/>
          <w:noProof w:val="0"/>
          <w:color w:val="000000" w:themeColor="text1" w:themeTint="FF" w:themeShade="FF"/>
          <w:sz w:val="22"/>
          <w:szCs w:val="22"/>
          <w:lang w:val="en-GB"/>
        </w:rPr>
        <w:t>Gas Exchange in the Lungs</w:t>
      </w:r>
    </w:p>
    <w:p w:rsidR="2EB4F19E" w:rsidP="0ABA4F23" w:rsidRDefault="2EB4F19E" w14:paraId="69674591" w14:textId="24FA1B9B">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0ABA4F23" w:rsidR="2EB4F19E">
        <w:rPr>
          <w:rFonts w:ascii="Arial Nova" w:hAnsi="Arial Nova" w:eastAsia="Arial Nova" w:cs="Arial Nova"/>
          <w:noProof w:val="0"/>
          <w:color w:val="000000" w:themeColor="text1" w:themeTint="FF" w:themeShade="FF"/>
          <w:sz w:val="22"/>
          <w:szCs w:val="22"/>
          <w:lang w:val="en-GB"/>
        </w:rPr>
        <w:t>Gas exchange occurs across the alveolar-capillary membrane through diffusion. Oxygen from inhaled air passes through the alveoli into the capillary blood, binding with haemoglobin to form oxyhaemoglobin, while carbon dioxide moves in the opposite direction to be exhaled (Halpin et al., 2019). This process requires thin alveolar walls, a moist surface, and adequate blood flow.</w:t>
      </w:r>
    </w:p>
    <w:p w:rsidR="2EB4F19E" w:rsidP="0ABA4F23" w:rsidRDefault="2EB4F19E" w14:paraId="2F1F7EF6" w14:textId="1081BD3F">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0ABA4F23" w:rsidR="2EB4F19E">
        <w:rPr>
          <w:rFonts w:ascii="Arial Nova" w:hAnsi="Arial Nova" w:eastAsia="Arial Nova" w:cs="Arial Nova"/>
          <w:noProof w:val="0"/>
          <w:color w:val="000000" w:themeColor="text1" w:themeTint="FF" w:themeShade="FF"/>
          <w:sz w:val="22"/>
          <w:szCs w:val="22"/>
          <w:lang w:val="en-GB"/>
        </w:rPr>
        <w:t>Asthma disrupts this delicate balance. Inflammation and mucus plugging reduce the amount of air reaching the alveoli, resulting in a ventilation–perfusion mismatch where blood flows to poorly ventilated areas (Agache et al., 2024). As a result, oxygen levels drop and carbon dioxide accumulates, leading to breathlessness and confusion. Severe hypoxaemia can be life-threatening. Over time, chronic inflammation damages alveolar tissue, reducing lung elasticity and increasing the risk of chronic obstructive pulmonary disease (COPD) later in life.</w:t>
      </w:r>
    </w:p>
    <w:p w:rsidR="2EB4F19E" w:rsidP="0ABA4F23" w:rsidRDefault="2EB4F19E" w14:paraId="12724D13" w14:textId="056293A1">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0ABA4F23" w:rsidR="2EB4F19E">
        <w:rPr>
          <w:rFonts w:ascii="Arial Nova" w:hAnsi="Arial Nova" w:eastAsia="Arial Nova" w:cs="Arial Nova"/>
          <w:noProof w:val="0"/>
          <w:color w:val="000000" w:themeColor="text1" w:themeTint="FF" w:themeShade="FF"/>
          <w:sz w:val="22"/>
          <w:szCs w:val="22"/>
          <w:lang w:val="en-GB"/>
        </w:rPr>
        <w:t xml:space="preserve">Furthermore, the process of diffusion relies on concentration gradients between oxygen and carbon dioxide across the alveolar membrane. When airway resistance and inflammation increase, this gradient weakens, slowing diffusion and impairing oxygen transfer (West, 2018). The surfactant lining the alveoli, which prevents collapse and </w:t>
      </w:r>
      <w:r w:rsidRPr="0ABA4F23" w:rsidR="2EB4F19E">
        <w:rPr>
          <w:rFonts w:ascii="Arial Nova" w:hAnsi="Arial Nova" w:eastAsia="Arial Nova" w:cs="Arial Nova"/>
          <w:noProof w:val="0"/>
          <w:color w:val="000000" w:themeColor="text1" w:themeTint="FF" w:themeShade="FF"/>
          <w:sz w:val="22"/>
          <w:szCs w:val="22"/>
          <w:lang w:val="en-GB"/>
        </w:rPr>
        <w:t>maintains</w:t>
      </w:r>
      <w:r w:rsidRPr="0ABA4F23" w:rsidR="2EB4F19E">
        <w:rPr>
          <w:rFonts w:ascii="Arial Nova" w:hAnsi="Arial Nova" w:eastAsia="Arial Nova" w:cs="Arial Nova"/>
          <w:noProof w:val="0"/>
          <w:color w:val="000000" w:themeColor="text1" w:themeTint="FF" w:themeShade="FF"/>
          <w:sz w:val="22"/>
          <w:szCs w:val="22"/>
          <w:lang w:val="en-GB"/>
        </w:rPr>
        <w:t xml:space="preserve"> surface tension, can become disrupted in chronic asthma, further reducing gas exchange efficiency (Halpin et al., 2019). Repeated inflammation may also lead to fibrosis around alveoli, thickening the diffusion barrier and contributing to reduced lung compliance.</w:t>
      </w:r>
    </w:p>
    <w:p w:rsidR="2EB4F19E" w:rsidP="0ABA4F23" w:rsidRDefault="2EB4F19E" w14:paraId="0186C47F" w14:textId="69950FEE">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0ABA4F23" w:rsidR="2EB4F19E">
        <w:rPr>
          <w:rFonts w:ascii="Arial Nova" w:hAnsi="Arial Nova" w:eastAsia="Arial Nova" w:cs="Arial Nova"/>
          <w:noProof w:val="0"/>
          <w:color w:val="000000" w:themeColor="text1" w:themeTint="FF" w:themeShade="FF"/>
          <w:sz w:val="22"/>
          <w:szCs w:val="22"/>
          <w:lang w:val="en-GB"/>
        </w:rPr>
        <w:t xml:space="preserve">Critically, patient education on this process helps adolescents understand why consistent use of preventer inhalers is vital. Corticosteroids reduce airway inflammation, restore gas exchange efficiency, and prevent long-term scarring. Nurses can use visual aids such as lung diagrams or digital models to </w:t>
      </w:r>
      <w:r w:rsidRPr="0ABA4F23" w:rsidR="2EB4F19E">
        <w:rPr>
          <w:rFonts w:ascii="Arial Nova" w:hAnsi="Arial Nova" w:eastAsia="Arial Nova" w:cs="Arial Nova"/>
          <w:noProof w:val="0"/>
          <w:color w:val="000000" w:themeColor="text1" w:themeTint="FF" w:themeShade="FF"/>
          <w:sz w:val="22"/>
          <w:szCs w:val="22"/>
          <w:lang w:val="en-GB"/>
        </w:rPr>
        <w:t>demonstrate</w:t>
      </w:r>
      <w:r w:rsidRPr="0ABA4F23" w:rsidR="2EB4F19E">
        <w:rPr>
          <w:rFonts w:ascii="Arial Nova" w:hAnsi="Arial Nova" w:eastAsia="Arial Nova" w:cs="Arial Nova"/>
          <w:noProof w:val="0"/>
          <w:color w:val="000000" w:themeColor="text1" w:themeTint="FF" w:themeShade="FF"/>
          <w:sz w:val="22"/>
          <w:szCs w:val="22"/>
          <w:lang w:val="en-GB"/>
        </w:rPr>
        <w:t xml:space="preserve"> how airway narrowing interferes with oxygen delivery, improving understanding and adherence (Johnson and Keeley, 2023).</w:t>
      </w:r>
    </w:p>
    <w:p w:rsidR="0ABA4F23" w:rsidP="0ABA4F23" w:rsidRDefault="0ABA4F23" w14:paraId="241574C6" w14:textId="6AEFE64F">
      <w:pPr>
        <w:spacing w:line="360" w:lineRule="auto"/>
        <w:rPr>
          <w:rFonts w:ascii="Arial Nova" w:hAnsi="Arial Nova" w:eastAsia="Arial Nova" w:cs="Arial Nova"/>
          <w:color w:val="000000" w:themeColor="text1" w:themeTint="FF" w:themeShade="FF"/>
          <w:sz w:val="22"/>
          <w:szCs w:val="22"/>
        </w:rPr>
      </w:pPr>
    </w:p>
    <w:p w:rsidR="2EB4F19E" w:rsidP="0ABA4F23" w:rsidRDefault="2EB4F19E" w14:paraId="0567D982" w14:textId="6EC5D57B">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2"/>
          <w:szCs w:val="22"/>
          <w:lang w:val="en-GB"/>
        </w:rPr>
      </w:pPr>
      <w:r w:rsidRPr="0ABA4F23" w:rsidR="2EB4F19E">
        <w:rPr>
          <w:rFonts w:ascii="Arial Nova" w:hAnsi="Arial Nova" w:eastAsia="Arial Nova" w:cs="Arial Nova"/>
          <w:b w:val="1"/>
          <w:bCs w:val="1"/>
          <w:noProof w:val="0"/>
          <w:color w:val="000000" w:themeColor="text1" w:themeTint="FF" w:themeShade="FF"/>
          <w:sz w:val="22"/>
          <w:szCs w:val="22"/>
          <w:lang w:val="en-GB"/>
        </w:rPr>
        <w:t>Impact of Irritants and Inflammation on the Respiratory System</w:t>
      </w:r>
    </w:p>
    <w:p w:rsidR="2EB4F19E" w:rsidP="0ABA4F23" w:rsidRDefault="2EB4F19E" w14:paraId="54A0C6BB" w14:textId="4BB10C1F">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0ABA4F23" w:rsidR="2EB4F19E">
        <w:rPr>
          <w:rFonts w:ascii="Arial Nova" w:hAnsi="Arial Nova" w:eastAsia="Arial Nova" w:cs="Arial Nova"/>
          <w:noProof w:val="0"/>
          <w:color w:val="000000" w:themeColor="text1" w:themeTint="FF" w:themeShade="FF"/>
          <w:sz w:val="22"/>
          <w:szCs w:val="22"/>
          <w:lang w:val="en-GB"/>
        </w:rPr>
        <w:t xml:space="preserve">The respiratory system is highly reactive to irritants and environmental toxins. Cigarette smoke </w:t>
      </w:r>
      <w:r w:rsidRPr="0ABA4F23" w:rsidR="2EB4F19E">
        <w:rPr>
          <w:rFonts w:ascii="Arial Nova" w:hAnsi="Arial Nova" w:eastAsia="Arial Nova" w:cs="Arial Nova"/>
          <w:noProof w:val="0"/>
          <w:color w:val="000000" w:themeColor="text1" w:themeTint="FF" w:themeShade="FF"/>
          <w:sz w:val="22"/>
          <w:szCs w:val="22"/>
          <w:lang w:val="en-GB"/>
        </w:rPr>
        <w:t>contains</w:t>
      </w:r>
      <w:r w:rsidRPr="0ABA4F23" w:rsidR="2EB4F19E">
        <w:rPr>
          <w:rFonts w:ascii="Arial Nova" w:hAnsi="Arial Nova" w:eastAsia="Arial Nova" w:cs="Arial Nova"/>
          <w:noProof w:val="0"/>
          <w:color w:val="000000" w:themeColor="text1" w:themeTint="FF" w:themeShade="FF"/>
          <w:sz w:val="22"/>
          <w:szCs w:val="22"/>
          <w:lang w:val="en-GB"/>
        </w:rPr>
        <w:t xml:space="preserve"> more than 7,000 chemicals that cause oxidative stress and ciliary damage, impairing the lungs’ ability to clear mucus and debris (Agache et al., 2024). Vaping, though sometimes marketed as safer, exposes users to propylene glycol, nicotine, and metals that provoke airway inflammation and epithelial injury (Song et al., 2022; </w:t>
      </w:r>
      <w:r w:rsidRPr="0ABA4F23" w:rsidR="2EB4F19E">
        <w:rPr>
          <w:rFonts w:ascii="Arial Nova" w:hAnsi="Arial Nova" w:eastAsia="Arial Nova" w:cs="Arial Nova"/>
          <w:noProof w:val="0"/>
          <w:color w:val="000000" w:themeColor="text1" w:themeTint="FF" w:themeShade="FF"/>
          <w:sz w:val="22"/>
          <w:szCs w:val="22"/>
          <w:lang w:val="en-GB"/>
        </w:rPr>
        <w:t>Chatziparasidis</w:t>
      </w:r>
      <w:r w:rsidRPr="0ABA4F23" w:rsidR="2EB4F19E">
        <w:rPr>
          <w:rFonts w:ascii="Arial Nova" w:hAnsi="Arial Nova" w:eastAsia="Arial Nova" w:cs="Arial Nova"/>
          <w:noProof w:val="0"/>
          <w:color w:val="000000" w:themeColor="text1" w:themeTint="FF" w:themeShade="FF"/>
          <w:sz w:val="22"/>
          <w:szCs w:val="22"/>
          <w:lang w:val="en-GB"/>
        </w:rPr>
        <w:t xml:space="preserve"> et al., 2022). Public Health England (2021) acknowledges vaping may aid smoking cessation in adults but warns of its harmful effects on adolescent lungs.</w:t>
      </w:r>
    </w:p>
    <w:p w:rsidR="2EB4F19E" w:rsidP="0ABA4F23" w:rsidRDefault="2EB4F19E" w14:paraId="6914B8C9" w14:textId="60597FC2">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0ABA4F23" w:rsidR="2EB4F19E">
        <w:rPr>
          <w:rFonts w:ascii="Arial Nova" w:hAnsi="Arial Nova" w:eastAsia="Arial Nova" w:cs="Arial Nova"/>
          <w:noProof w:val="0"/>
          <w:color w:val="000000" w:themeColor="text1" w:themeTint="FF" w:themeShade="FF"/>
          <w:sz w:val="22"/>
          <w:szCs w:val="22"/>
          <w:lang w:val="en-GB"/>
        </w:rPr>
        <w:t>Exposure to irritants triggers an immune response involving mast cells and eosinophils, which release histamine and cytokines. This causes airway swelling, smooth muscle constriction, and increased mucus secretion (British Thoracic Society, National Institute for Health and Care Excellence and Scottish Intercollegiate Guidelines Network, 2024). Repeated inflammation leads to airway remodelling, where structural changes cause permanent narrowing (</w:t>
      </w:r>
      <w:r w:rsidRPr="0ABA4F23" w:rsidR="2EB4F19E">
        <w:rPr>
          <w:rFonts w:ascii="Arial Nova" w:hAnsi="Arial Nova" w:eastAsia="Arial Nova" w:cs="Arial Nova"/>
          <w:noProof w:val="0"/>
          <w:color w:val="000000" w:themeColor="text1" w:themeTint="FF" w:themeShade="FF"/>
          <w:sz w:val="22"/>
          <w:szCs w:val="22"/>
          <w:lang w:val="en-GB"/>
        </w:rPr>
        <w:t>Brożek</w:t>
      </w:r>
      <w:r w:rsidRPr="0ABA4F23" w:rsidR="2EB4F19E">
        <w:rPr>
          <w:rFonts w:ascii="Arial Nova" w:hAnsi="Arial Nova" w:eastAsia="Arial Nova" w:cs="Arial Nova"/>
          <w:noProof w:val="0"/>
          <w:color w:val="000000" w:themeColor="text1" w:themeTint="FF" w:themeShade="FF"/>
          <w:sz w:val="22"/>
          <w:szCs w:val="22"/>
          <w:lang w:val="en-GB"/>
        </w:rPr>
        <w:t xml:space="preserve"> et al., 2019).</w:t>
      </w:r>
    </w:p>
    <w:p w:rsidR="2EB4F19E" w:rsidP="0ABA4F23" w:rsidRDefault="2EB4F19E" w14:paraId="5B73B67B" w14:textId="224D0771">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0ABA4F23" w:rsidR="2EB4F19E">
        <w:rPr>
          <w:rFonts w:ascii="Arial Nova" w:hAnsi="Arial Nova" w:eastAsia="Arial Nova" w:cs="Arial Nova"/>
          <w:noProof w:val="0"/>
          <w:color w:val="000000" w:themeColor="text1" w:themeTint="FF" w:themeShade="FF"/>
          <w:sz w:val="22"/>
          <w:szCs w:val="22"/>
          <w:lang w:val="en-GB"/>
        </w:rPr>
        <w:t>Viral infections are another major cause of asthma exacerbations. Common respiratory viruses such as rhinovirus and influenza damage epithelial cells, increasing airway sensitivity (Novak et al., 2020). Adolescents often socialise in crowded spaces such as schools, clubs, or gyms, where infections spread easily. Preventive strategies such as vaccinations, hand hygiene, and mask use during outbreaks are essential (National Health Service England, 2025).</w:t>
      </w:r>
    </w:p>
    <w:p w:rsidR="2EB4F19E" w:rsidP="0ABA4F23" w:rsidRDefault="2EB4F19E" w14:paraId="389B91D3" w14:textId="3E9FCAED">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0ABA4F23" w:rsidR="2EB4F19E">
        <w:rPr>
          <w:rFonts w:ascii="Arial Nova" w:hAnsi="Arial Nova" w:eastAsia="Arial Nova" w:cs="Arial Nova"/>
          <w:noProof w:val="0"/>
          <w:color w:val="000000" w:themeColor="text1" w:themeTint="FF" w:themeShade="FF"/>
          <w:sz w:val="22"/>
          <w:szCs w:val="22"/>
          <w:lang w:val="en-GB"/>
        </w:rPr>
        <w:t>Pollution is also a significant trigger. Exposure to nitrogen dioxide, particulate matter, and ozone has been shown to increase emergency admissions for asthma (Global Asthma Network, 2023). Nurses should educate patients about monitoring air quality indexes and avoiding outdoor activity during pollution spikes. Such holistic education supports self-efficacy and helps adolescents make informed health decisions.</w:t>
      </w:r>
    </w:p>
    <w:p w:rsidR="0ABA4F23" w:rsidP="0ABA4F23" w:rsidRDefault="0ABA4F23" w14:paraId="43F57DF1" w14:textId="3B08B48D">
      <w:pPr>
        <w:spacing w:line="360" w:lineRule="auto"/>
        <w:rPr>
          <w:rFonts w:ascii="Arial Nova" w:hAnsi="Arial Nova" w:eastAsia="Arial Nova" w:cs="Arial Nova"/>
          <w:color w:val="000000" w:themeColor="text1" w:themeTint="FF" w:themeShade="FF"/>
          <w:sz w:val="22"/>
          <w:szCs w:val="22"/>
        </w:rPr>
      </w:pPr>
    </w:p>
    <w:p w:rsidR="2EB4F19E" w:rsidP="0ABA4F23" w:rsidRDefault="2EB4F19E" w14:paraId="6DA7BFC3" w14:textId="644FDAF1">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2"/>
          <w:szCs w:val="22"/>
          <w:lang w:val="en-GB"/>
        </w:rPr>
      </w:pPr>
      <w:r w:rsidRPr="0ABA4F23" w:rsidR="2EB4F19E">
        <w:rPr>
          <w:rFonts w:ascii="Arial Nova" w:hAnsi="Arial Nova" w:eastAsia="Arial Nova" w:cs="Arial Nova"/>
          <w:b w:val="1"/>
          <w:bCs w:val="1"/>
          <w:noProof w:val="0"/>
          <w:color w:val="000000" w:themeColor="text1" w:themeTint="FF" w:themeShade="FF"/>
          <w:sz w:val="22"/>
          <w:szCs w:val="22"/>
          <w:lang w:val="en-GB"/>
        </w:rPr>
        <w:t>Monitoring and Recording Respiratory Function</w:t>
      </w:r>
    </w:p>
    <w:p w:rsidR="2EB4F19E" w:rsidP="0ABA4F23" w:rsidRDefault="2EB4F19E" w14:paraId="01727328" w14:textId="0FE91A54">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0ABA4F23" w:rsidR="2EB4F19E">
        <w:rPr>
          <w:rFonts w:ascii="Arial Nova" w:hAnsi="Arial Nova" w:eastAsia="Arial Nova" w:cs="Arial Nova"/>
          <w:noProof w:val="0"/>
          <w:color w:val="000000" w:themeColor="text1" w:themeTint="FF" w:themeShade="FF"/>
          <w:sz w:val="22"/>
          <w:szCs w:val="22"/>
          <w:lang w:val="en-GB"/>
        </w:rPr>
        <w:t xml:space="preserve">Regular monitoring of respiratory function is a key </w:t>
      </w:r>
      <w:r w:rsidRPr="0ABA4F23" w:rsidR="2EB4F19E">
        <w:rPr>
          <w:rFonts w:ascii="Arial Nova" w:hAnsi="Arial Nova" w:eastAsia="Arial Nova" w:cs="Arial Nova"/>
          <w:noProof w:val="0"/>
          <w:color w:val="000000" w:themeColor="text1" w:themeTint="FF" w:themeShade="FF"/>
          <w:sz w:val="22"/>
          <w:szCs w:val="22"/>
          <w:lang w:val="en-GB"/>
        </w:rPr>
        <w:t>component</w:t>
      </w:r>
      <w:r w:rsidRPr="0ABA4F23" w:rsidR="2EB4F19E">
        <w:rPr>
          <w:rFonts w:ascii="Arial Nova" w:hAnsi="Arial Nova" w:eastAsia="Arial Nova" w:cs="Arial Nova"/>
          <w:noProof w:val="0"/>
          <w:color w:val="000000" w:themeColor="text1" w:themeTint="FF" w:themeShade="FF"/>
          <w:sz w:val="22"/>
          <w:szCs w:val="22"/>
          <w:lang w:val="en-GB"/>
        </w:rPr>
        <w:t xml:space="preserve"> of effective asthma management. The peak expiratory flow (PEF) test measures how fast air can be expelled from the lungs, </w:t>
      </w:r>
      <w:r w:rsidRPr="0ABA4F23" w:rsidR="2EB4F19E">
        <w:rPr>
          <w:rFonts w:ascii="Arial Nova" w:hAnsi="Arial Nova" w:eastAsia="Arial Nova" w:cs="Arial Nova"/>
          <w:noProof w:val="0"/>
          <w:color w:val="000000" w:themeColor="text1" w:themeTint="FF" w:themeShade="FF"/>
          <w:sz w:val="22"/>
          <w:szCs w:val="22"/>
          <w:lang w:val="en-GB"/>
        </w:rPr>
        <w:t>indicating</w:t>
      </w:r>
      <w:r w:rsidRPr="0ABA4F23" w:rsidR="2EB4F19E">
        <w:rPr>
          <w:rFonts w:ascii="Arial Nova" w:hAnsi="Arial Nova" w:eastAsia="Arial Nova" w:cs="Arial Nova"/>
          <w:noProof w:val="0"/>
          <w:color w:val="000000" w:themeColor="text1" w:themeTint="FF" w:themeShade="FF"/>
          <w:sz w:val="22"/>
          <w:szCs w:val="22"/>
          <w:lang w:val="en-GB"/>
        </w:rPr>
        <w:t xml:space="preserve"> airway calibre. Each patient’s personal best serves as a baseline; readings below 80 per cent </w:t>
      </w:r>
      <w:r w:rsidRPr="0ABA4F23" w:rsidR="2EB4F19E">
        <w:rPr>
          <w:rFonts w:ascii="Arial Nova" w:hAnsi="Arial Nova" w:eastAsia="Arial Nova" w:cs="Arial Nova"/>
          <w:noProof w:val="0"/>
          <w:color w:val="000000" w:themeColor="text1" w:themeTint="FF" w:themeShade="FF"/>
          <w:sz w:val="22"/>
          <w:szCs w:val="22"/>
          <w:lang w:val="en-GB"/>
        </w:rPr>
        <w:t>indicate</w:t>
      </w:r>
      <w:r w:rsidRPr="0ABA4F23" w:rsidR="2EB4F19E">
        <w:rPr>
          <w:rFonts w:ascii="Arial Nova" w:hAnsi="Arial Nova" w:eastAsia="Arial Nova" w:cs="Arial Nova"/>
          <w:noProof w:val="0"/>
          <w:color w:val="000000" w:themeColor="text1" w:themeTint="FF" w:themeShade="FF"/>
          <w:sz w:val="22"/>
          <w:szCs w:val="22"/>
          <w:lang w:val="en-GB"/>
        </w:rPr>
        <w:t xml:space="preserve"> worsening control, and below 50 per cent </w:t>
      </w:r>
      <w:r w:rsidRPr="0ABA4F23" w:rsidR="2EB4F19E">
        <w:rPr>
          <w:rFonts w:ascii="Arial Nova" w:hAnsi="Arial Nova" w:eastAsia="Arial Nova" w:cs="Arial Nova"/>
          <w:noProof w:val="0"/>
          <w:color w:val="000000" w:themeColor="text1" w:themeTint="FF" w:themeShade="FF"/>
          <w:sz w:val="22"/>
          <w:szCs w:val="22"/>
          <w:lang w:val="en-GB"/>
        </w:rPr>
        <w:t>indicate</w:t>
      </w:r>
      <w:r w:rsidRPr="0ABA4F23" w:rsidR="2EB4F19E">
        <w:rPr>
          <w:rFonts w:ascii="Arial Nova" w:hAnsi="Arial Nova" w:eastAsia="Arial Nova" w:cs="Arial Nova"/>
          <w:noProof w:val="0"/>
          <w:color w:val="000000" w:themeColor="text1" w:themeTint="FF" w:themeShade="FF"/>
          <w:sz w:val="22"/>
          <w:szCs w:val="22"/>
          <w:lang w:val="en-GB"/>
        </w:rPr>
        <w:t xml:space="preserve"> a severe attack (Halpin et al., 2019). Recording daily readings allows patients to detect early deterioration and recognise triggers. Nurses can use these records to assess treatment effectiveness and make </w:t>
      </w:r>
      <w:r w:rsidRPr="0ABA4F23" w:rsidR="2EB4F19E">
        <w:rPr>
          <w:rFonts w:ascii="Arial Nova" w:hAnsi="Arial Nova" w:eastAsia="Arial Nova" w:cs="Arial Nova"/>
          <w:noProof w:val="0"/>
          <w:color w:val="000000" w:themeColor="text1" w:themeTint="FF" w:themeShade="FF"/>
          <w:sz w:val="22"/>
          <w:szCs w:val="22"/>
          <w:lang w:val="en-GB"/>
        </w:rPr>
        <w:t>timely</w:t>
      </w:r>
      <w:r w:rsidRPr="0ABA4F23" w:rsidR="2EB4F19E">
        <w:rPr>
          <w:rFonts w:ascii="Arial Nova" w:hAnsi="Arial Nova" w:eastAsia="Arial Nova" w:cs="Arial Nova"/>
          <w:noProof w:val="0"/>
          <w:color w:val="000000" w:themeColor="text1" w:themeTint="FF" w:themeShade="FF"/>
          <w:sz w:val="22"/>
          <w:szCs w:val="22"/>
          <w:lang w:val="en-GB"/>
        </w:rPr>
        <w:t xml:space="preserve"> adjustments (British Thoracic Society, National Institute for Health and Care Excellence and Scottish Intercollegiate Guidelines Network, 2024).</w:t>
      </w:r>
    </w:p>
    <w:p w:rsidR="2EB4F19E" w:rsidP="0ABA4F23" w:rsidRDefault="2EB4F19E" w14:paraId="57274863" w14:textId="64A1CABE">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0ABA4F23" w:rsidR="2EB4F19E">
        <w:rPr>
          <w:rFonts w:ascii="Arial Nova" w:hAnsi="Arial Nova" w:eastAsia="Arial Nova" w:cs="Arial Nova"/>
          <w:noProof w:val="0"/>
          <w:color w:val="000000" w:themeColor="text1" w:themeTint="FF" w:themeShade="FF"/>
          <w:sz w:val="22"/>
          <w:szCs w:val="22"/>
          <w:lang w:val="en-GB"/>
        </w:rPr>
        <w:t>Digital technology enhances this process. Smart inhalers automatically record usage data, while mobile apps track symptoms, PEF results, and reminders for medication. Chan et al. (2024) found that wearable sensors can predict asthma attacks by detecting subtle physiological changes. Integrating these tools into care improves adherence and empowers patients to take control of their health.</w:t>
      </w:r>
    </w:p>
    <w:p w:rsidR="2EB4F19E" w:rsidP="0ABA4F23" w:rsidRDefault="2EB4F19E" w14:paraId="57D0B11B" w14:textId="65E539CF">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0ABA4F23" w:rsidR="2EB4F19E">
        <w:rPr>
          <w:rFonts w:ascii="Arial Nova" w:hAnsi="Arial Nova" w:eastAsia="Arial Nova" w:cs="Arial Nova"/>
          <w:noProof w:val="0"/>
          <w:color w:val="000000" w:themeColor="text1" w:themeTint="FF" w:themeShade="FF"/>
          <w:sz w:val="22"/>
          <w:szCs w:val="22"/>
          <w:lang w:val="en-GB"/>
        </w:rPr>
        <w:t xml:space="preserve">On a population level, routine health data collected through patient monitoring </w:t>
      </w:r>
      <w:r w:rsidRPr="0ABA4F23" w:rsidR="2EB4F19E">
        <w:rPr>
          <w:rFonts w:ascii="Arial Nova" w:hAnsi="Arial Nova" w:eastAsia="Arial Nova" w:cs="Arial Nova"/>
          <w:noProof w:val="0"/>
          <w:color w:val="000000" w:themeColor="text1" w:themeTint="FF" w:themeShade="FF"/>
          <w:sz w:val="22"/>
          <w:szCs w:val="22"/>
          <w:lang w:val="en-GB"/>
        </w:rPr>
        <w:t>provide</w:t>
      </w:r>
      <w:r w:rsidRPr="0ABA4F23" w:rsidR="2EB4F19E">
        <w:rPr>
          <w:rFonts w:ascii="Arial Nova" w:hAnsi="Arial Nova" w:eastAsia="Arial Nova" w:cs="Arial Nova"/>
          <w:noProof w:val="0"/>
          <w:color w:val="000000" w:themeColor="text1" w:themeTint="FF" w:themeShade="FF"/>
          <w:sz w:val="22"/>
          <w:szCs w:val="22"/>
          <w:lang w:val="en-GB"/>
        </w:rPr>
        <w:t xml:space="preserve"> valuable insights for healthcare planning. Aggregated data help </w:t>
      </w:r>
      <w:r w:rsidRPr="0ABA4F23" w:rsidR="2EB4F19E">
        <w:rPr>
          <w:rFonts w:ascii="Arial Nova" w:hAnsi="Arial Nova" w:eastAsia="Arial Nova" w:cs="Arial Nova"/>
          <w:noProof w:val="0"/>
          <w:color w:val="000000" w:themeColor="text1" w:themeTint="FF" w:themeShade="FF"/>
          <w:sz w:val="22"/>
          <w:szCs w:val="22"/>
          <w:lang w:val="en-GB"/>
        </w:rPr>
        <w:t>identify</w:t>
      </w:r>
      <w:r w:rsidRPr="0ABA4F23" w:rsidR="2EB4F19E">
        <w:rPr>
          <w:rFonts w:ascii="Arial Nova" w:hAnsi="Arial Nova" w:eastAsia="Arial Nova" w:cs="Arial Nova"/>
          <w:noProof w:val="0"/>
          <w:color w:val="000000" w:themeColor="text1" w:themeTint="FF" w:themeShade="FF"/>
          <w:sz w:val="22"/>
          <w:szCs w:val="22"/>
          <w:lang w:val="en-GB"/>
        </w:rPr>
        <w:t xml:space="preserve"> high-risk groups, assess service gaps, and evaluate policy effectiveness (Global Asthma Network, 2023). Data from NHS England are used to track hospital admissions, inform resource allocation, and refine clinical guidelines. This highlights the importance of data literacy in nursing practice, linking directly to learning outcome two, which focuses on the use of routine data to support safe and evidence-based care.</w:t>
      </w:r>
    </w:p>
    <w:p w:rsidR="2EB4F19E" w:rsidP="0ABA4F23" w:rsidRDefault="2EB4F19E" w14:paraId="75DB5937" w14:textId="0B9DDF2E">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0ABA4F23" w:rsidR="2EB4F19E">
        <w:rPr>
          <w:rFonts w:ascii="Arial Nova" w:hAnsi="Arial Nova" w:eastAsia="Arial Nova" w:cs="Arial Nova"/>
          <w:noProof w:val="0"/>
          <w:color w:val="000000" w:themeColor="text1" w:themeTint="FF" w:themeShade="FF"/>
          <w:sz w:val="22"/>
          <w:szCs w:val="22"/>
          <w:lang w:val="en-GB"/>
        </w:rPr>
        <w:t xml:space="preserve">Critically analysing this data also supports early intervention and prevention strategies. For instance, </w:t>
      </w:r>
      <w:r w:rsidRPr="0ABA4F23" w:rsidR="2EB4F19E">
        <w:rPr>
          <w:rFonts w:ascii="Arial Nova" w:hAnsi="Arial Nova" w:eastAsia="Arial Nova" w:cs="Arial Nova"/>
          <w:noProof w:val="0"/>
          <w:color w:val="000000" w:themeColor="text1" w:themeTint="FF" w:themeShade="FF"/>
          <w:sz w:val="22"/>
          <w:szCs w:val="22"/>
          <w:lang w:val="en-GB"/>
        </w:rPr>
        <w:t>identifying</w:t>
      </w:r>
      <w:r w:rsidRPr="0ABA4F23" w:rsidR="2EB4F19E">
        <w:rPr>
          <w:rFonts w:ascii="Arial Nova" w:hAnsi="Arial Nova" w:eastAsia="Arial Nova" w:cs="Arial Nova"/>
          <w:noProof w:val="0"/>
          <w:color w:val="000000" w:themeColor="text1" w:themeTint="FF" w:themeShade="FF"/>
          <w:sz w:val="22"/>
          <w:szCs w:val="22"/>
          <w:lang w:val="en-GB"/>
        </w:rPr>
        <w:t xml:space="preserve"> trends in adolescent exacerbations during winter months can lead to targeted vaccination campaigns or school-based health education, directly reducing emergency presentations (National Health Service England, 2025).</w:t>
      </w:r>
    </w:p>
    <w:p w:rsidR="0ABA4F23" w:rsidP="0ABA4F23" w:rsidRDefault="0ABA4F23" w14:paraId="7E3A43FB" w14:textId="5DF6F050">
      <w:pPr>
        <w:spacing w:line="360" w:lineRule="auto"/>
        <w:rPr>
          <w:rFonts w:ascii="Arial Nova" w:hAnsi="Arial Nova" w:eastAsia="Arial Nova" w:cs="Arial Nova"/>
          <w:color w:val="000000" w:themeColor="text1" w:themeTint="FF" w:themeShade="FF"/>
          <w:sz w:val="22"/>
          <w:szCs w:val="22"/>
        </w:rPr>
      </w:pPr>
    </w:p>
    <w:p w:rsidR="2EB4F19E" w:rsidP="0ABA4F23" w:rsidRDefault="2EB4F19E" w14:paraId="3C8243E5" w14:textId="7F5D8425">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2"/>
          <w:szCs w:val="22"/>
          <w:lang w:val="en-GB"/>
        </w:rPr>
      </w:pPr>
      <w:r w:rsidRPr="0ABA4F23" w:rsidR="2EB4F19E">
        <w:rPr>
          <w:rFonts w:ascii="Arial Nova" w:hAnsi="Arial Nova" w:eastAsia="Arial Nova" w:cs="Arial Nova"/>
          <w:b w:val="1"/>
          <w:bCs w:val="1"/>
          <w:noProof w:val="0"/>
          <w:color w:val="000000" w:themeColor="text1" w:themeTint="FF" w:themeShade="FF"/>
          <w:sz w:val="22"/>
          <w:szCs w:val="22"/>
          <w:lang w:val="en-GB"/>
        </w:rPr>
        <w:t>Lifestyle and Evidence-Based Recommendations</w:t>
      </w:r>
    </w:p>
    <w:p w:rsidR="2EB4F19E" w:rsidP="0ABA4F23" w:rsidRDefault="2EB4F19E" w14:paraId="2E8CF06C" w14:textId="377698FD">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0ABA4F23" w:rsidR="2EB4F19E">
        <w:rPr>
          <w:rFonts w:ascii="Arial Nova" w:hAnsi="Arial Nova" w:eastAsia="Arial Nova" w:cs="Arial Nova"/>
          <w:noProof w:val="0"/>
          <w:color w:val="000000" w:themeColor="text1" w:themeTint="FF" w:themeShade="FF"/>
          <w:sz w:val="22"/>
          <w:szCs w:val="22"/>
          <w:lang w:val="en-GB"/>
        </w:rPr>
        <w:t xml:space="preserve">Effective asthma control depends on a combination of pharmacological treatment, lifestyle modification, and self-management education. Adolescents often neglect maintenance inhalers or underestimate triggers (Global Initiative for Asthma, 2024). Nurse-led education sessions are essential to reinforce correct inhaler technique, discuss symptom patterns, and </w:t>
      </w:r>
      <w:r w:rsidRPr="0ABA4F23" w:rsidR="2EB4F19E">
        <w:rPr>
          <w:rFonts w:ascii="Arial Nova" w:hAnsi="Arial Nova" w:eastAsia="Arial Nova" w:cs="Arial Nova"/>
          <w:noProof w:val="0"/>
          <w:color w:val="000000" w:themeColor="text1" w:themeTint="FF" w:themeShade="FF"/>
          <w:sz w:val="22"/>
          <w:szCs w:val="22"/>
          <w:lang w:val="en-GB"/>
        </w:rPr>
        <w:t>establish</w:t>
      </w:r>
      <w:r w:rsidRPr="0ABA4F23" w:rsidR="2EB4F19E">
        <w:rPr>
          <w:rFonts w:ascii="Arial Nova" w:hAnsi="Arial Nova" w:eastAsia="Arial Nova" w:cs="Arial Nova"/>
          <w:noProof w:val="0"/>
          <w:color w:val="000000" w:themeColor="text1" w:themeTint="FF" w:themeShade="FF"/>
          <w:sz w:val="22"/>
          <w:szCs w:val="22"/>
          <w:lang w:val="en-GB"/>
        </w:rPr>
        <w:t xml:space="preserve"> personalised asthma action plans. The National Institute for Health and Care Excellence (2025) emphasises that written action plans significantly reduce hospital admissions.</w:t>
      </w:r>
    </w:p>
    <w:p w:rsidR="2EB4F19E" w:rsidP="0ABA4F23" w:rsidRDefault="2EB4F19E" w14:paraId="7643F01E" w14:textId="05FA4C2E">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0ABA4F23" w:rsidR="2EB4F19E">
        <w:rPr>
          <w:rFonts w:ascii="Arial Nova" w:hAnsi="Arial Nova" w:eastAsia="Arial Nova" w:cs="Arial Nova"/>
          <w:noProof w:val="0"/>
          <w:color w:val="000000" w:themeColor="text1" w:themeTint="FF" w:themeShade="FF"/>
          <w:sz w:val="22"/>
          <w:szCs w:val="22"/>
          <w:lang w:val="en-GB"/>
        </w:rPr>
        <w:t xml:space="preserve">Smoking cessation </w:t>
      </w:r>
      <w:r w:rsidRPr="0ABA4F23" w:rsidR="2EB4F19E">
        <w:rPr>
          <w:rFonts w:ascii="Arial Nova" w:hAnsi="Arial Nova" w:eastAsia="Arial Nova" w:cs="Arial Nova"/>
          <w:noProof w:val="0"/>
          <w:color w:val="000000" w:themeColor="text1" w:themeTint="FF" w:themeShade="FF"/>
          <w:sz w:val="22"/>
          <w:szCs w:val="22"/>
          <w:lang w:val="en-GB"/>
        </w:rPr>
        <w:t>remains</w:t>
      </w:r>
      <w:r w:rsidRPr="0ABA4F23" w:rsidR="2EB4F19E">
        <w:rPr>
          <w:rFonts w:ascii="Arial Nova" w:hAnsi="Arial Nova" w:eastAsia="Arial Nova" w:cs="Arial Nova"/>
          <w:noProof w:val="0"/>
          <w:color w:val="000000" w:themeColor="text1" w:themeTint="FF" w:themeShade="FF"/>
          <w:sz w:val="22"/>
          <w:szCs w:val="22"/>
          <w:lang w:val="en-GB"/>
        </w:rPr>
        <w:t xml:space="preserve"> one of the most effective interventions. Exposure to tobacco smoke reduces the responsiveness of airways to corticosteroids and increases inflammation (Agache et al., 2024). Adolescents should be referred to smoking cessation programmes and offered behavioural support. Similarly, vaping should be discouraged due to its potential for nicotine addiction and respiratory irritation (</w:t>
      </w:r>
      <w:r w:rsidRPr="0ABA4F23" w:rsidR="2EB4F19E">
        <w:rPr>
          <w:rFonts w:ascii="Arial Nova" w:hAnsi="Arial Nova" w:eastAsia="Arial Nova" w:cs="Arial Nova"/>
          <w:noProof w:val="0"/>
          <w:color w:val="000000" w:themeColor="text1" w:themeTint="FF" w:themeShade="FF"/>
          <w:sz w:val="22"/>
          <w:szCs w:val="22"/>
          <w:lang w:val="en-GB"/>
        </w:rPr>
        <w:t>Chatziparasidis</w:t>
      </w:r>
      <w:r w:rsidRPr="0ABA4F23" w:rsidR="2EB4F19E">
        <w:rPr>
          <w:rFonts w:ascii="Arial Nova" w:hAnsi="Arial Nova" w:eastAsia="Arial Nova" w:cs="Arial Nova"/>
          <w:noProof w:val="0"/>
          <w:color w:val="000000" w:themeColor="text1" w:themeTint="FF" w:themeShade="FF"/>
          <w:sz w:val="22"/>
          <w:szCs w:val="22"/>
          <w:lang w:val="en-GB"/>
        </w:rPr>
        <w:t xml:space="preserve"> et al., 2022).</w:t>
      </w:r>
    </w:p>
    <w:p w:rsidR="2EB4F19E" w:rsidP="0ABA4F23" w:rsidRDefault="2EB4F19E" w14:paraId="657E11F9" w14:textId="280E8F86">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0ABA4F23" w:rsidR="2EB4F19E">
        <w:rPr>
          <w:rFonts w:ascii="Arial Nova" w:hAnsi="Arial Nova" w:eastAsia="Arial Nova" w:cs="Arial Nova"/>
          <w:noProof w:val="0"/>
          <w:color w:val="000000" w:themeColor="text1" w:themeTint="FF" w:themeShade="FF"/>
          <w:sz w:val="22"/>
          <w:szCs w:val="22"/>
          <w:lang w:val="en-GB"/>
        </w:rPr>
        <w:t>Environmental control also plays a key role. Maintaining a clean home, controlling dampness, and washing bedding regularly reduce exposure to allergens such as dust mites and mould (Asthma + Lung UK, 2025). Patients should avoid aerosols, perfumes, and other volatile chemicals that may trigger bronchospasm.</w:t>
      </w:r>
    </w:p>
    <w:p w:rsidR="2EB4F19E" w:rsidP="0ABA4F23" w:rsidRDefault="2EB4F19E" w14:paraId="31955570" w14:textId="67AFCDA5">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0ABA4F23" w:rsidR="2EB4F19E">
        <w:rPr>
          <w:rFonts w:ascii="Arial Nova" w:hAnsi="Arial Nova" w:eastAsia="Arial Nova" w:cs="Arial Nova"/>
          <w:noProof w:val="0"/>
          <w:color w:val="000000" w:themeColor="text1" w:themeTint="FF" w:themeShade="FF"/>
          <w:sz w:val="22"/>
          <w:szCs w:val="22"/>
          <w:lang w:val="en-GB"/>
        </w:rPr>
        <w:t>Physical activity benefits both lung function and emotional wellbeing. Regular exercise, particularly swimming and cycling, strengthens respiratory muscles and improves endurance (Primary Care Respiratory Society UK, 2025). Nutrition is equally important; diets rich in fruit, vegetables, and omega-3 fatty acids support immune health, while hydration helps thin mucus for easier clearance (</w:t>
      </w:r>
      <w:r w:rsidRPr="0ABA4F23" w:rsidR="2EB4F19E">
        <w:rPr>
          <w:rFonts w:ascii="Arial Nova" w:hAnsi="Arial Nova" w:eastAsia="Arial Nova" w:cs="Arial Nova"/>
          <w:noProof w:val="0"/>
          <w:color w:val="000000" w:themeColor="text1" w:themeTint="FF" w:themeShade="FF"/>
          <w:sz w:val="22"/>
          <w:szCs w:val="22"/>
          <w:lang w:val="en-GB"/>
        </w:rPr>
        <w:t>Marieb</w:t>
      </w:r>
      <w:r w:rsidRPr="0ABA4F23" w:rsidR="2EB4F19E">
        <w:rPr>
          <w:rFonts w:ascii="Arial Nova" w:hAnsi="Arial Nova" w:eastAsia="Arial Nova" w:cs="Arial Nova"/>
          <w:noProof w:val="0"/>
          <w:color w:val="000000" w:themeColor="text1" w:themeTint="FF" w:themeShade="FF"/>
          <w:sz w:val="22"/>
          <w:szCs w:val="22"/>
          <w:lang w:val="en-GB"/>
        </w:rPr>
        <w:t xml:space="preserve"> and Hoehn, 2019).</w:t>
      </w:r>
    </w:p>
    <w:p w:rsidR="2EB4F19E" w:rsidP="0ABA4F23" w:rsidRDefault="2EB4F19E" w14:paraId="3B961FEF" w14:textId="432857F6">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0ABA4F23" w:rsidR="2EB4F19E">
        <w:rPr>
          <w:rFonts w:ascii="Arial Nova" w:hAnsi="Arial Nova" w:eastAsia="Arial Nova" w:cs="Arial Nova"/>
          <w:noProof w:val="0"/>
          <w:color w:val="000000" w:themeColor="text1" w:themeTint="FF" w:themeShade="FF"/>
          <w:sz w:val="22"/>
          <w:szCs w:val="22"/>
          <w:lang w:val="en-GB"/>
        </w:rPr>
        <w:t xml:space="preserve">Psychological wellbeing is another </w:t>
      </w:r>
      <w:r w:rsidRPr="0ABA4F23" w:rsidR="784401A6">
        <w:rPr>
          <w:rFonts w:ascii="Arial Nova" w:hAnsi="Arial Nova" w:eastAsia="Arial Nova" w:cs="Arial Nova"/>
          <w:noProof w:val="0"/>
          <w:color w:val="000000" w:themeColor="text1" w:themeTint="FF" w:themeShade="FF"/>
          <w:sz w:val="22"/>
          <w:szCs w:val="22"/>
          <w:lang w:val="en-GB"/>
        </w:rPr>
        <w:t>key factor</w:t>
      </w:r>
      <w:r w:rsidRPr="0ABA4F23" w:rsidR="2EB4F19E">
        <w:rPr>
          <w:rFonts w:ascii="Arial Nova" w:hAnsi="Arial Nova" w:eastAsia="Arial Nova" w:cs="Arial Nova"/>
          <w:noProof w:val="0"/>
          <w:color w:val="000000" w:themeColor="text1" w:themeTint="FF" w:themeShade="FF"/>
          <w:sz w:val="22"/>
          <w:szCs w:val="22"/>
          <w:lang w:val="en-GB"/>
        </w:rPr>
        <w:t>. Stress and anxiety can worsen asthma through physiological pathways that tighten airways (Venkataramanan et al., 2018). Adolescents may struggle with embarrassment or fear of stigma related to their condition. Nurses should promote relaxation techniques, good sleep hygiene, and peer support. Addressing emotional health as part of holistic care enhances resilience and self-management skills (National Health Service England, 2025).</w:t>
      </w:r>
    </w:p>
    <w:p w:rsidR="25211FED" w:rsidP="0ABA4F23" w:rsidRDefault="25211FED" w14:paraId="08B450C7" w14:textId="72470340">
      <w:pPr>
        <w:spacing w:line="360" w:lineRule="auto"/>
        <w:rPr>
          <w:rFonts w:ascii="Arial Nova" w:hAnsi="Arial Nova" w:eastAsia="Arial Nova" w:cs="Arial Nova"/>
          <w:color w:val="000000" w:themeColor="text1" w:themeTint="FF" w:themeShade="FF"/>
          <w:sz w:val="22"/>
          <w:szCs w:val="22"/>
        </w:rPr>
      </w:pPr>
    </w:p>
    <w:p w:rsidR="2EB4F19E" w:rsidP="0ABA4F23" w:rsidRDefault="2EB4F19E" w14:paraId="72DCB358" w14:textId="2C384375">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2"/>
          <w:szCs w:val="22"/>
          <w:lang w:val="en-GB"/>
        </w:rPr>
      </w:pPr>
      <w:r w:rsidRPr="0ABA4F23" w:rsidR="2EB4F19E">
        <w:rPr>
          <w:rFonts w:ascii="Arial Nova" w:hAnsi="Arial Nova" w:eastAsia="Arial Nova" w:cs="Arial Nova"/>
          <w:b w:val="1"/>
          <w:bCs w:val="1"/>
          <w:noProof w:val="0"/>
          <w:color w:val="000000" w:themeColor="text1" w:themeTint="FF" w:themeShade="FF"/>
          <w:sz w:val="22"/>
          <w:szCs w:val="22"/>
          <w:lang w:val="en-GB"/>
        </w:rPr>
        <w:t>Conclusion</w:t>
      </w:r>
    </w:p>
    <w:p w:rsidR="2EB4F19E" w:rsidP="0ABA4F23" w:rsidRDefault="2EB4F19E" w14:paraId="59C49C20" w14:textId="74E7E286">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0ABA4F23" w:rsidR="2EB4F19E">
        <w:rPr>
          <w:rFonts w:ascii="Arial Nova" w:hAnsi="Arial Nova" w:eastAsia="Arial Nova" w:cs="Arial Nova"/>
          <w:noProof w:val="0"/>
          <w:color w:val="000000" w:themeColor="text1" w:themeTint="FF" w:themeShade="FF"/>
          <w:sz w:val="22"/>
          <w:szCs w:val="22"/>
          <w:lang w:val="en-GB"/>
        </w:rPr>
        <w:t xml:space="preserve">Asthma </w:t>
      </w:r>
      <w:r w:rsidRPr="0ABA4F23" w:rsidR="2EB4F19E">
        <w:rPr>
          <w:rFonts w:ascii="Arial Nova" w:hAnsi="Arial Nova" w:eastAsia="Arial Nova" w:cs="Arial Nova"/>
          <w:noProof w:val="0"/>
          <w:color w:val="000000" w:themeColor="text1" w:themeTint="FF" w:themeShade="FF"/>
          <w:sz w:val="22"/>
          <w:szCs w:val="22"/>
          <w:lang w:val="en-GB"/>
        </w:rPr>
        <w:t>remains</w:t>
      </w:r>
      <w:r w:rsidRPr="0ABA4F23" w:rsidR="2EB4F19E">
        <w:rPr>
          <w:rFonts w:ascii="Arial Nova" w:hAnsi="Arial Nova" w:eastAsia="Arial Nova" w:cs="Arial Nova"/>
          <w:noProof w:val="0"/>
          <w:color w:val="000000" w:themeColor="text1" w:themeTint="FF" w:themeShade="FF"/>
          <w:sz w:val="22"/>
          <w:szCs w:val="22"/>
          <w:lang w:val="en-GB"/>
        </w:rPr>
        <w:t xml:space="preserve"> one of the most common chronic conditions among young people, but it can be effectively managed through education, lifestyle modification, and continuous monitoring. Understanding the respiratory system’s structure and function enables adolescents to appreciate how behaviours such as smoking, vaping, and neglecting medication affect their health. Recording and analysing data through peak flow readings and digital tools provide early warning of deterioration, ensuring prompt intervention.</w:t>
      </w:r>
    </w:p>
    <w:p w:rsidR="2EB4F19E" w:rsidP="0ABA4F23" w:rsidRDefault="2EB4F19E" w14:paraId="441CC5EA" w14:textId="08C0BC23">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0ABA4F23" w:rsidR="2EB4F19E">
        <w:rPr>
          <w:rFonts w:ascii="Arial Nova" w:hAnsi="Arial Nova" w:eastAsia="Arial Nova" w:cs="Arial Nova"/>
          <w:noProof w:val="0"/>
          <w:color w:val="000000" w:themeColor="text1" w:themeTint="FF" w:themeShade="FF"/>
          <w:sz w:val="22"/>
          <w:szCs w:val="22"/>
          <w:lang w:val="en-GB"/>
        </w:rPr>
        <w:t>Evidence-based lifestyle recommendations—including smoking cessation, balanced nutrition, physical activity, and stress management—improve outcomes and quality of life (British Thoracic Society, National Institute for Health and Care Excellence and Scottish Intercollegiate Guidelines Network, 2024; Global Initiative for Asthma, 2024). Nurses play a vital role in delivering education, interpreting health data, and supporting adolescents to engage in self-care.</w:t>
      </w:r>
    </w:p>
    <w:p w:rsidR="2EB4F19E" w:rsidP="0ABA4F23" w:rsidRDefault="2EB4F19E" w14:paraId="51B0D7ED" w14:textId="2FC9B67F">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0ABA4F23" w:rsidR="2EB4F19E">
        <w:rPr>
          <w:rFonts w:ascii="Arial Nova" w:hAnsi="Arial Nova" w:eastAsia="Arial Nova" w:cs="Arial Nova"/>
          <w:noProof w:val="0"/>
          <w:color w:val="000000" w:themeColor="text1" w:themeTint="FF" w:themeShade="FF"/>
          <w:sz w:val="22"/>
          <w:szCs w:val="22"/>
          <w:lang w:val="en-GB"/>
        </w:rPr>
        <w:t xml:space="preserve">This report </w:t>
      </w:r>
      <w:r w:rsidRPr="0ABA4F23" w:rsidR="2EB4F19E">
        <w:rPr>
          <w:rFonts w:ascii="Arial Nova" w:hAnsi="Arial Nova" w:eastAsia="Arial Nova" w:cs="Arial Nova"/>
          <w:noProof w:val="0"/>
          <w:color w:val="000000" w:themeColor="text1" w:themeTint="FF" w:themeShade="FF"/>
          <w:sz w:val="22"/>
          <w:szCs w:val="22"/>
          <w:lang w:val="en-GB"/>
        </w:rPr>
        <w:t>demonstrates</w:t>
      </w:r>
      <w:r w:rsidRPr="0ABA4F23" w:rsidR="2EB4F19E">
        <w:rPr>
          <w:rFonts w:ascii="Arial Nova" w:hAnsi="Arial Nova" w:eastAsia="Arial Nova" w:cs="Arial Nova"/>
          <w:noProof w:val="0"/>
          <w:color w:val="000000" w:themeColor="text1" w:themeTint="FF" w:themeShade="FF"/>
          <w:sz w:val="22"/>
          <w:szCs w:val="22"/>
          <w:lang w:val="en-GB"/>
        </w:rPr>
        <w:t xml:space="preserve"> both learning outcomes: understanding human anatomy and physiology (LO1) and analysing how routine data supports evidence-based practice (LO2). By fostering patient empowerment, promoting adherence, and integrating digital monitoring, nurses can reduce asthma exacerbations and hospital admissions. </w:t>
      </w:r>
      <w:r w:rsidRPr="0ABA4F23" w:rsidR="27312197">
        <w:rPr>
          <w:rFonts w:ascii="Arial Nova" w:hAnsi="Arial Nova" w:eastAsia="Arial Nova" w:cs="Arial Nova"/>
          <w:noProof w:val="0"/>
          <w:color w:val="000000" w:themeColor="text1" w:themeTint="FF" w:themeShade="FF"/>
          <w:sz w:val="22"/>
          <w:szCs w:val="22"/>
          <w:lang w:val="en-GB"/>
        </w:rPr>
        <w:t>Empowering</w:t>
      </w:r>
      <w:r w:rsidRPr="0ABA4F23" w:rsidR="2EB4F19E">
        <w:rPr>
          <w:rFonts w:ascii="Arial Nova" w:hAnsi="Arial Nova" w:eastAsia="Arial Nova" w:cs="Arial Nova"/>
          <w:noProof w:val="0"/>
          <w:color w:val="000000" w:themeColor="text1" w:themeTint="FF" w:themeShade="FF"/>
          <w:sz w:val="22"/>
          <w:szCs w:val="22"/>
          <w:lang w:val="en-GB"/>
        </w:rPr>
        <w:t xml:space="preserve"> adolescents to take responsibility for their respiratory health improves their confidence, independence, and long-term wellbeing.</w:t>
      </w:r>
      <w:r w:rsidRPr="0ABA4F23" w:rsidR="16442F39">
        <w:rPr>
          <w:rFonts w:ascii="Arial Nova" w:hAnsi="Arial Nova" w:eastAsia="Arial Nova" w:cs="Arial Nova"/>
          <w:noProof w:val="0"/>
          <w:color w:val="000000" w:themeColor="text1" w:themeTint="FF" w:themeShade="FF"/>
          <w:sz w:val="22"/>
          <w:szCs w:val="22"/>
          <w:lang w:val="en-GB"/>
        </w:rPr>
        <w:t xml:space="preserve">     </w:t>
      </w:r>
    </w:p>
    <w:p w:rsidR="0ABA4F23" w:rsidP="0ABA4F23" w:rsidRDefault="0ABA4F23" w14:paraId="4D35C3CE" w14:textId="4E6077E5">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p>
    <w:p w:rsidR="0ABA4F23" w:rsidP="0ABA4F23" w:rsidRDefault="0ABA4F23" w14:paraId="115A287B" w14:textId="5649D6C9">
      <w:pPr>
        <w:pStyle w:val="Normal"/>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p>
    <w:p w:rsidR="16442F39" w:rsidP="0ABA4F23" w:rsidRDefault="16442F39" w14:paraId="20C2A067" w14:textId="6B7F39FD">
      <w:pPr>
        <w:pStyle w:val="Heading3"/>
        <w:spacing w:before="281" w:beforeAutospacing="off" w:after="281" w:afterAutospacing="off"/>
        <w:rPr>
          <w:rFonts w:ascii="Arial Nova" w:hAnsi="Arial Nova" w:eastAsia="Arial Nova" w:cs="Arial Nova"/>
          <w:b w:val="1"/>
          <w:bCs w:val="1"/>
          <w:noProof w:val="0"/>
          <w:color w:val="auto"/>
          <w:sz w:val="28"/>
          <w:szCs w:val="28"/>
          <w:lang w:val="en-GB"/>
        </w:rPr>
      </w:pPr>
      <w:r w:rsidRPr="0ABA4F23" w:rsidR="16442F39">
        <w:rPr>
          <w:rFonts w:ascii="Arial Nova" w:hAnsi="Arial Nova" w:eastAsia="Arial Nova" w:cs="Arial Nova"/>
          <w:b w:val="1"/>
          <w:bCs w:val="1"/>
          <w:noProof w:val="0"/>
          <w:color w:val="auto"/>
          <w:sz w:val="28"/>
          <w:szCs w:val="28"/>
          <w:lang w:val="en-GB"/>
        </w:rPr>
        <w:t>Reference List</w:t>
      </w:r>
    </w:p>
    <w:p w:rsidR="16442F39" w:rsidP="0ABA4F23" w:rsidRDefault="16442F39" w14:paraId="73E6F102" w14:textId="351F2B67">
      <w:pPr>
        <w:spacing w:before="240" w:beforeAutospacing="off" w:after="240" w:afterAutospacing="off"/>
      </w:pPr>
      <w:r w:rsidRPr="0ABA4F23" w:rsidR="16442F39">
        <w:rPr>
          <w:rFonts w:ascii="Arial Nova" w:hAnsi="Arial Nova" w:eastAsia="Arial Nova" w:cs="Arial Nova"/>
          <w:noProof w:val="0"/>
          <w:sz w:val="22"/>
          <w:szCs w:val="22"/>
          <w:lang w:val="en-GB"/>
        </w:rPr>
        <w:t xml:space="preserve">Agache, I., Rocha, C., Garcia, B., </w:t>
      </w:r>
      <w:r w:rsidRPr="0ABA4F23" w:rsidR="16442F39">
        <w:rPr>
          <w:rFonts w:ascii="Arial Nova" w:hAnsi="Arial Nova" w:eastAsia="Arial Nova" w:cs="Arial Nova"/>
          <w:i w:val="1"/>
          <w:iCs w:val="1"/>
          <w:noProof w:val="0"/>
          <w:sz w:val="22"/>
          <w:szCs w:val="22"/>
          <w:lang w:val="en-GB"/>
        </w:rPr>
        <w:t>et al.</w:t>
      </w:r>
      <w:r w:rsidRPr="0ABA4F23" w:rsidR="16442F39">
        <w:rPr>
          <w:rFonts w:ascii="Arial Nova" w:hAnsi="Arial Nova" w:eastAsia="Arial Nova" w:cs="Arial Nova"/>
          <w:noProof w:val="0"/>
          <w:sz w:val="22"/>
          <w:szCs w:val="22"/>
          <w:lang w:val="en-GB"/>
        </w:rPr>
        <w:t xml:space="preserve"> (2024) ‘The impact of exposure to tobacco smoke and e-cigarettes on asthma-related outcomes: systematic review informing the EAACI guidelines on environmental science’, </w:t>
      </w:r>
      <w:r w:rsidRPr="0ABA4F23" w:rsidR="16442F39">
        <w:rPr>
          <w:rFonts w:ascii="Arial Nova" w:hAnsi="Arial Nova" w:eastAsia="Arial Nova" w:cs="Arial Nova"/>
          <w:i w:val="1"/>
          <w:iCs w:val="1"/>
          <w:noProof w:val="0"/>
          <w:sz w:val="22"/>
          <w:szCs w:val="22"/>
          <w:lang w:val="en-GB"/>
        </w:rPr>
        <w:t>Allergy</w:t>
      </w:r>
      <w:r w:rsidRPr="0ABA4F23" w:rsidR="16442F39">
        <w:rPr>
          <w:rFonts w:ascii="Arial Nova" w:hAnsi="Arial Nova" w:eastAsia="Arial Nova" w:cs="Arial Nova"/>
          <w:noProof w:val="0"/>
          <w:sz w:val="22"/>
          <w:szCs w:val="22"/>
          <w:lang w:val="en-GB"/>
        </w:rPr>
        <w:t>, 79(4), pp. 715–732. doi: 10.1111/all.16151.</w:t>
      </w:r>
    </w:p>
    <w:p w:rsidR="16442F39" w:rsidP="0ABA4F23" w:rsidRDefault="16442F39" w14:paraId="34523669" w14:textId="52275AE9">
      <w:pPr>
        <w:spacing w:before="240" w:beforeAutospacing="off" w:after="240" w:afterAutospacing="off"/>
      </w:pPr>
      <w:r w:rsidRPr="0ABA4F23" w:rsidR="16442F39">
        <w:rPr>
          <w:rFonts w:ascii="Arial Nova" w:hAnsi="Arial Nova" w:eastAsia="Arial Nova" w:cs="Arial Nova"/>
          <w:noProof w:val="0"/>
          <w:sz w:val="22"/>
          <w:szCs w:val="22"/>
          <w:lang w:val="en-GB"/>
        </w:rPr>
        <w:t xml:space="preserve">Alnajem, A., Redha, A., Buabbas, A., </w:t>
      </w:r>
      <w:r w:rsidRPr="0ABA4F23" w:rsidR="16442F39">
        <w:rPr>
          <w:rFonts w:ascii="Arial Nova" w:hAnsi="Arial Nova" w:eastAsia="Arial Nova" w:cs="Arial Nova"/>
          <w:i w:val="1"/>
          <w:iCs w:val="1"/>
          <w:noProof w:val="0"/>
          <w:sz w:val="22"/>
          <w:szCs w:val="22"/>
          <w:lang w:val="en-GB"/>
        </w:rPr>
        <w:t>et al.</w:t>
      </w:r>
      <w:r w:rsidRPr="0ABA4F23" w:rsidR="16442F39">
        <w:rPr>
          <w:rFonts w:ascii="Arial Nova" w:hAnsi="Arial Nova" w:eastAsia="Arial Nova" w:cs="Arial Nova"/>
          <w:noProof w:val="0"/>
          <w:sz w:val="22"/>
          <w:szCs w:val="22"/>
          <w:lang w:val="en-GB"/>
        </w:rPr>
        <w:t xml:space="preserve"> (2020) ‘Use of electronic cigarettes and second-hand exposure to their aerosols and associations with asthma symptoms among adolescents: a cross-sectional study’, </w:t>
      </w:r>
      <w:r w:rsidRPr="0ABA4F23" w:rsidR="16442F39">
        <w:rPr>
          <w:rFonts w:ascii="Arial Nova" w:hAnsi="Arial Nova" w:eastAsia="Arial Nova" w:cs="Arial Nova"/>
          <w:i w:val="1"/>
          <w:iCs w:val="1"/>
          <w:noProof w:val="0"/>
          <w:sz w:val="22"/>
          <w:szCs w:val="22"/>
          <w:lang w:val="en-GB"/>
        </w:rPr>
        <w:t>Respiratory Research</w:t>
      </w:r>
      <w:r w:rsidRPr="0ABA4F23" w:rsidR="16442F39">
        <w:rPr>
          <w:rFonts w:ascii="Arial Nova" w:hAnsi="Arial Nova" w:eastAsia="Arial Nova" w:cs="Arial Nova"/>
          <w:noProof w:val="0"/>
          <w:sz w:val="22"/>
          <w:szCs w:val="22"/>
          <w:lang w:val="en-GB"/>
        </w:rPr>
        <w:t>, 21(1), p. 124. doi: 10.1186/s12931-020-01569-9.</w:t>
      </w:r>
    </w:p>
    <w:p w:rsidR="16442F39" w:rsidP="0ABA4F23" w:rsidRDefault="16442F39" w14:paraId="62CAFB4C" w14:textId="7D9C8A12">
      <w:pPr>
        <w:spacing w:before="240" w:beforeAutospacing="off" w:after="240" w:afterAutospacing="off"/>
      </w:pPr>
      <w:r w:rsidRPr="0ABA4F23" w:rsidR="16442F39">
        <w:rPr>
          <w:rFonts w:ascii="Arial Nova" w:hAnsi="Arial Nova" w:eastAsia="Arial Nova" w:cs="Arial Nova"/>
          <w:noProof w:val="0"/>
          <w:sz w:val="22"/>
          <w:szCs w:val="22"/>
          <w:lang w:val="en-GB"/>
        </w:rPr>
        <w:t xml:space="preserve">Asthma + Lung UK (2025) </w:t>
      </w:r>
      <w:r w:rsidRPr="0ABA4F23" w:rsidR="16442F39">
        <w:rPr>
          <w:rFonts w:ascii="Arial Nova" w:hAnsi="Arial Nova" w:eastAsia="Arial Nova" w:cs="Arial Nova"/>
          <w:i w:val="1"/>
          <w:iCs w:val="1"/>
          <w:noProof w:val="0"/>
          <w:sz w:val="22"/>
          <w:szCs w:val="22"/>
          <w:lang w:val="en-GB"/>
        </w:rPr>
        <w:t>Asthma statistics and facts</w:t>
      </w:r>
      <w:r w:rsidRPr="0ABA4F23" w:rsidR="16442F39">
        <w:rPr>
          <w:rFonts w:ascii="Arial Nova" w:hAnsi="Arial Nova" w:eastAsia="Arial Nova" w:cs="Arial Nova"/>
          <w:noProof w:val="0"/>
          <w:sz w:val="22"/>
          <w:szCs w:val="22"/>
          <w:lang w:val="en-GB"/>
        </w:rPr>
        <w:t xml:space="preserve">. Available at: </w:t>
      </w:r>
      <w:hyperlink r:id="R7e8319f3285b4a1d">
        <w:r w:rsidRPr="0ABA4F23" w:rsidR="16442F39">
          <w:rPr>
            <w:rStyle w:val="Hyperlink"/>
            <w:rFonts w:ascii="Arial Nova" w:hAnsi="Arial Nova" w:eastAsia="Arial Nova" w:cs="Arial Nova"/>
            <w:noProof w:val="0"/>
            <w:sz w:val="22"/>
            <w:szCs w:val="22"/>
            <w:lang w:val="en-GB"/>
          </w:rPr>
          <w:t>https://www.asthmaandlung.org.uk</w:t>
        </w:r>
      </w:hyperlink>
      <w:r w:rsidRPr="0ABA4F23" w:rsidR="16442F39">
        <w:rPr>
          <w:rFonts w:ascii="Arial Nova" w:hAnsi="Arial Nova" w:eastAsia="Arial Nova" w:cs="Arial Nova"/>
          <w:noProof w:val="0"/>
          <w:sz w:val="22"/>
          <w:szCs w:val="22"/>
          <w:lang w:val="en-GB"/>
        </w:rPr>
        <w:t xml:space="preserve"> (Accessed: 13 October 2025).</w:t>
      </w:r>
    </w:p>
    <w:p w:rsidR="16442F39" w:rsidP="0ABA4F23" w:rsidRDefault="16442F39" w14:paraId="18E412FF" w14:textId="0FD97F0C">
      <w:pPr>
        <w:spacing w:before="240" w:beforeAutospacing="off" w:after="240" w:afterAutospacing="off"/>
      </w:pPr>
      <w:r w:rsidRPr="0ABA4F23" w:rsidR="16442F39">
        <w:rPr>
          <w:rFonts w:ascii="Arial Nova" w:hAnsi="Arial Nova" w:eastAsia="Arial Nova" w:cs="Arial Nova"/>
          <w:noProof w:val="0"/>
          <w:sz w:val="22"/>
          <w:szCs w:val="22"/>
          <w:lang w:val="en-GB"/>
        </w:rPr>
        <w:t xml:space="preserve">British Thoracic Society (BTS), National Institute for Health and Care Excellence (NICE) and Scottish Intercollegiate Guidelines Network (SIGN) (2024) </w:t>
      </w:r>
      <w:r w:rsidRPr="0ABA4F23" w:rsidR="16442F39">
        <w:rPr>
          <w:rFonts w:ascii="Arial Nova" w:hAnsi="Arial Nova" w:eastAsia="Arial Nova" w:cs="Arial Nova"/>
          <w:i w:val="1"/>
          <w:iCs w:val="1"/>
          <w:noProof w:val="0"/>
          <w:sz w:val="22"/>
          <w:szCs w:val="22"/>
          <w:lang w:val="en-GB"/>
        </w:rPr>
        <w:t>Asthma: diagnosis, monitoring and chronic asthma management (Joint Guideline NG245)</w:t>
      </w:r>
      <w:r w:rsidRPr="0ABA4F23" w:rsidR="16442F39">
        <w:rPr>
          <w:rFonts w:ascii="Arial Nova" w:hAnsi="Arial Nova" w:eastAsia="Arial Nova" w:cs="Arial Nova"/>
          <w:noProof w:val="0"/>
          <w:sz w:val="22"/>
          <w:szCs w:val="22"/>
          <w:lang w:val="en-GB"/>
        </w:rPr>
        <w:t xml:space="preserve">. London: NICE. Available at: </w:t>
      </w:r>
      <w:hyperlink r:id="R2a1731ad17e347a9">
        <w:r w:rsidRPr="0ABA4F23" w:rsidR="16442F39">
          <w:rPr>
            <w:rStyle w:val="Hyperlink"/>
            <w:rFonts w:ascii="Arial Nova" w:hAnsi="Arial Nova" w:eastAsia="Arial Nova" w:cs="Arial Nova"/>
            <w:noProof w:val="0"/>
            <w:sz w:val="22"/>
            <w:szCs w:val="22"/>
            <w:lang w:val="en-GB"/>
          </w:rPr>
          <w:t>https://www.nice.org.uk/guidance/ng245</w:t>
        </w:r>
      </w:hyperlink>
      <w:r w:rsidRPr="0ABA4F23" w:rsidR="16442F39">
        <w:rPr>
          <w:rFonts w:ascii="Arial Nova" w:hAnsi="Arial Nova" w:eastAsia="Arial Nova" w:cs="Arial Nova"/>
          <w:noProof w:val="0"/>
          <w:sz w:val="22"/>
          <w:szCs w:val="22"/>
          <w:lang w:val="en-GB"/>
        </w:rPr>
        <w:t xml:space="preserve"> (Accessed: 13 October 2025).</w:t>
      </w:r>
    </w:p>
    <w:p w:rsidR="16442F39" w:rsidP="0ABA4F23" w:rsidRDefault="16442F39" w14:paraId="33A424A0" w14:textId="1391B24B">
      <w:pPr>
        <w:spacing w:before="240" w:beforeAutospacing="off" w:after="240" w:afterAutospacing="off"/>
      </w:pPr>
      <w:r w:rsidRPr="0ABA4F23" w:rsidR="16442F39">
        <w:rPr>
          <w:rFonts w:ascii="Arial Nova" w:hAnsi="Arial Nova" w:eastAsia="Arial Nova" w:cs="Arial Nova"/>
          <w:noProof w:val="0"/>
          <w:sz w:val="22"/>
          <w:szCs w:val="22"/>
          <w:lang w:val="en-GB"/>
        </w:rPr>
        <w:t xml:space="preserve">Brożek, G. M., Jankowski, M. and Zejda, J. E. (2019) ‘Acute respiratory responses to the use of e-cigarette (an intervention study)’, </w:t>
      </w:r>
      <w:r w:rsidRPr="0ABA4F23" w:rsidR="16442F39">
        <w:rPr>
          <w:rFonts w:ascii="Arial Nova" w:hAnsi="Arial Nova" w:eastAsia="Arial Nova" w:cs="Arial Nova"/>
          <w:i w:val="1"/>
          <w:iCs w:val="1"/>
          <w:noProof w:val="0"/>
          <w:sz w:val="22"/>
          <w:szCs w:val="22"/>
          <w:lang w:val="en-GB"/>
        </w:rPr>
        <w:t>Scientific Reports</w:t>
      </w:r>
      <w:r w:rsidRPr="0ABA4F23" w:rsidR="16442F39">
        <w:rPr>
          <w:rFonts w:ascii="Arial Nova" w:hAnsi="Arial Nova" w:eastAsia="Arial Nova" w:cs="Arial Nova"/>
          <w:noProof w:val="0"/>
          <w:sz w:val="22"/>
          <w:szCs w:val="22"/>
          <w:lang w:val="en-GB"/>
        </w:rPr>
        <w:t>, 9, p. 6844. doi: 10.1038/s41598-019-43324-1.</w:t>
      </w:r>
    </w:p>
    <w:p w:rsidR="16442F39" w:rsidP="0ABA4F23" w:rsidRDefault="16442F39" w14:paraId="11726387" w14:textId="39CD29C2">
      <w:pPr>
        <w:spacing w:before="240" w:beforeAutospacing="off" w:after="240" w:afterAutospacing="off"/>
      </w:pPr>
      <w:r w:rsidRPr="0ABA4F23" w:rsidR="16442F39">
        <w:rPr>
          <w:rFonts w:ascii="Arial Nova" w:hAnsi="Arial Nova" w:eastAsia="Arial Nova" w:cs="Arial Nova"/>
          <w:noProof w:val="0"/>
          <w:sz w:val="22"/>
          <w:szCs w:val="22"/>
          <w:lang w:val="en-GB"/>
        </w:rPr>
        <w:t xml:space="preserve">Chan, A. H. Y., Stewart, A. W., Black, P. N., </w:t>
      </w:r>
      <w:r w:rsidRPr="0ABA4F23" w:rsidR="16442F39">
        <w:rPr>
          <w:rFonts w:ascii="Arial Nova" w:hAnsi="Arial Nova" w:eastAsia="Arial Nova" w:cs="Arial Nova"/>
          <w:i w:val="1"/>
          <w:iCs w:val="1"/>
          <w:noProof w:val="0"/>
          <w:sz w:val="22"/>
          <w:szCs w:val="22"/>
          <w:lang w:val="en-GB"/>
        </w:rPr>
        <w:t>et al.</w:t>
      </w:r>
      <w:r w:rsidRPr="0ABA4F23" w:rsidR="16442F39">
        <w:rPr>
          <w:rFonts w:ascii="Arial Nova" w:hAnsi="Arial Nova" w:eastAsia="Arial Nova" w:cs="Arial Nova"/>
          <w:noProof w:val="0"/>
          <w:sz w:val="22"/>
          <w:szCs w:val="22"/>
          <w:lang w:val="en-GB"/>
        </w:rPr>
        <w:t xml:space="preserve"> (2024) ‘DIGIPREDICT: physiological, </w:t>
      </w:r>
      <w:bookmarkStart w:name="_Int_2eUtHeoM" w:id="1095515152"/>
      <w:r w:rsidRPr="0ABA4F23" w:rsidR="16442F39">
        <w:rPr>
          <w:rFonts w:ascii="Arial Nova" w:hAnsi="Arial Nova" w:eastAsia="Arial Nova" w:cs="Arial Nova"/>
          <w:noProof w:val="0"/>
          <w:sz w:val="22"/>
          <w:szCs w:val="22"/>
          <w:lang w:val="en-GB"/>
        </w:rPr>
        <w:t>behavioural</w:t>
      </w:r>
      <w:bookmarkEnd w:id="1095515152"/>
      <w:r w:rsidRPr="0ABA4F23" w:rsidR="16442F39">
        <w:rPr>
          <w:rFonts w:ascii="Arial Nova" w:hAnsi="Arial Nova" w:eastAsia="Arial Nova" w:cs="Arial Nova"/>
          <w:noProof w:val="0"/>
          <w:sz w:val="22"/>
          <w:szCs w:val="22"/>
          <w:lang w:val="en-GB"/>
        </w:rPr>
        <w:t xml:space="preserve"> and digital markers of impending asthma attacks using wearable sensors’, </w:t>
      </w:r>
      <w:r w:rsidRPr="0ABA4F23" w:rsidR="16442F39">
        <w:rPr>
          <w:rFonts w:ascii="Arial Nova" w:hAnsi="Arial Nova" w:eastAsia="Arial Nova" w:cs="Arial Nova"/>
          <w:i w:val="1"/>
          <w:iCs w:val="1"/>
          <w:noProof w:val="0"/>
          <w:sz w:val="22"/>
          <w:szCs w:val="22"/>
          <w:lang w:val="en-GB"/>
        </w:rPr>
        <w:t>BMJ Open Respiratory Research</w:t>
      </w:r>
      <w:r w:rsidRPr="0ABA4F23" w:rsidR="16442F39">
        <w:rPr>
          <w:rFonts w:ascii="Arial Nova" w:hAnsi="Arial Nova" w:eastAsia="Arial Nova" w:cs="Arial Nova"/>
          <w:noProof w:val="0"/>
          <w:sz w:val="22"/>
          <w:szCs w:val="22"/>
          <w:lang w:val="en-GB"/>
        </w:rPr>
        <w:t xml:space="preserve">, 11(1), e002275. </w:t>
      </w:r>
      <w:r w:rsidRPr="0ABA4F23" w:rsidR="16442F39">
        <w:rPr>
          <w:rFonts w:ascii="Arial Nova" w:hAnsi="Arial Nova" w:eastAsia="Arial Nova" w:cs="Arial Nova"/>
          <w:noProof w:val="0"/>
          <w:sz w:val="22"/>
          <w:szCs w:val="22"/>
          <w:lang w:val="en-GB"/>
        </w:rPr>
        <w:t>doi</w:t>
      </w:r>
      <w:r w:rsidRPr="0ABA4F23" w:rsidR="16442F39">
        <w:rPr>
          <w:rFonts w:ascii="Arial Nova" w:hAnsi="Arial Nova" w:eastAsia="Arial Nova" w:cs="Arial Nova"/>
          <w:noProof w:val="0"/>
          <w:sz w:val="22"/>
          <w:szCs w:val="22"/>
          <w:lang w:val="en-GB"/>
        </w:rPr>
        <w:t>: 10.1136/bmjresp-2024-e002275.</w:t>
      </w:r>
    </w:p>
    <w:p w:rsidR="16442F39" w:rsidP="0ABA4F23" w:rsidRDefault="16442F39" w14:paraId="1CCD0B0D" w14:textId="50830FD9">
      <w:pPr>
        <w:spacing w:before="240" w:beforeAutospacing="off" w:after="240" w:afterAutospacing="off"/>
      </w:pPr>
      <w:r w:rsidRPr="0ABA4F23" w:rsidR="16442F39">
        <w:rPr>
          <w:rFonts w:ascii="Arial Nova" w:hAnsi="Arial Nova" w:eastAsia="Arial Nova" w:cs="Arial Nova"/>
          <w:noProof w:val="0"/>
          <w:sz w:val="22"/>
          <w:szCs w:val="22"/>
          <w:lang w:val="en-GB"/>
        </w:rPr>
        <w:t xml:space="preserve">Chatziparasidis, G., Kantar, A., Ioannou, P., </w:t>
      </w:r>
      <w:r w:rsidRPr="0ABA4F23" w:rsidR="16442F39">
        <w:rPr>
          <w:rFonts w:ascii="Arial Nova" w:hAnsi="Arial Nova" w:eastAsia="Arial Nova" w:cs="Arial Nova"/>
          <w:i w:val="1"/>
          <w:iCs w:val="1"/>
          <w:noProof w:val="0"/>
          <w:sz w:val="22"/>
          <w:szCs w:val="22"/>
          <w:lang w:val="en-GB"/>
        </w:rPr>
        <w:t>et al.</w:t>
      </w:r>
      <w:r w:rsidRPr="0ABA4F23" w:rsidR="16442F39">
        <w:rPr>
          <w:rFonts w:ascii="Arial Nova" w:hAnsi="Arial Nova" w:eastAsia="Arial Nova" w:cs="Arial Nova"/>
          <w:noProof w:val="0"/>
          <w:sz w:val="22"/>
          <w:szCs w:val="22"/>
          <w:lang w:val="en-GB"/>
        </w:rPr>
        <w:t xml:space="preserve"> (2022) ‘Vaping in asthmatic adolescents: time to deal with the epidemic’, </w:t>
      </w:r>
      <w:r w:rsidRPr="0ABA4F23" w:rsidR="16442F39">
        <w:rPr>
          <w:rFonts w:ascii="Arial Nova" w:hAnsi="Arial Nova" w:eastAsia="Arial Nova" w:cs="Arial Nova"/>
          <w:i w:val="1"/>
          <w:iCs w:val="1"/>
          <w:noProof w:val="0"/>
          <w:sz w:val="22"/>
          <w:szCs w:val="22"/>
          <w:lang w:val="en-GB"/>
        </w:rPr>
        <w:t>Children</w:t>
      </w:r>
      <w:r w:rsidRPr="0ABA4F23" w:rsidR="16442F39">
        <w:rPr>
          <w:rFonts w:ascii="Arial Nova" w:hAnsi="Arial Nova" w:eastAsia="Arial Nova" w:cs="Arial Nova"/>
          <w:noProof w:val="0"/>
          <w:sz w:val="22"/>
          <w:szCs w:val="22"/>
          <w:lang w:val="en-GB"/>
        </w:rPr>
        <w:t>, 9(3), 311. doi: 10.3390/children9030311.</w:t>
      </w:r>
    </w:p>
    <w:p w:rsidR="16442F39" w:rsidP="0ABA4F23" w:rsidRDefault="16442F39" w14:paraId="24818CA9" w14:textId="415FD5D8">
      <w:pPr>
        <w:spacing w:before="240" w:beforeAutospacing="off" w:after="240" w:afterAutospacing="off"/>
      </w:pPr>
      <w:r w:rsidRPr="0ABA4F23" w:rsidR="16442F39">
        <w:rPr>
          <w:rFonts w:ascii="Arial Nova" w:hAnsi="Arial Nova" w:eastAsia="Arial Nova" w:cs="Arial Nova"/>
          <w:noProof w:val="0"/>
          <w:sz w:val="22"/>
          <w:szCs w:val="22"/>
          <w:lang w:val="en-GB"/>
        </w:rPr>
        <w:t xml:space="preserve">Global Asthma Network (2023) </w:t>
      </w:r>
      <w:r w:rsidRPr="0ABA4F23" w:rsidR="16442F39">
        <w:rPr>
          <w:rFonts w:ascii="Arial Nova" w:hAnsi="Arial Nova" w:eastAsia="Arial Nova" w:cs="Arial Nova"/>
          <w:i w:val="1"/>
          <w:iCs w:val="1"/>
          <w:noProof w:val="0"/>
          <w:sz w:val="22"/>
          <w:szCs w:val="22"/>
          <w:lang w:val="en-GB"/>
        </w:rPr>
        <w:t>Global asthma report 2023</w:t>
      </w:r>
      <w:r w:rsidRPr="0ABA4F23" w:rsidR="16442F39">
        <w:rPr>
          <w:rFonts w:ascii="Arial Nova" w:hAnsi="Arial Nova" w:eastAsia="Arial Nova" w:cs="Arial Nova"/>
          <w:noProof w:val="0"/>
          <w:sz w:val="22"/>
          <w:szCs w:val="22"/>
          <w:lang w:val="en-GB"/>
        </w:rPr>
        <w:t xml:space="preserve">. Auckland: Global Asthma Network. Available at: </w:t>
      </w:r>
      <w:hyperlink r:id="Rd789000d854b4427">
        <w:r w:rsidRPr="0ABA4F23" w:rsidR="16442F39">
          <w:rPr>
            <w:rStyle w:val="Hyperlink"/>
            <w:rFonts w:ascii="Arial Nova" w:hAnsi="Arial Nova" w:eastAsia="Arial Nova" w:cs="Arial Nova"/>
            <w:noProof w:val="0"/>
            <w:sz w:val="22"/>
            <w:szCs w:val="22"/>
            <w:lang w:val="en-GB"/>
          </w:rPr>
          <w:t>https://globalasthmareport.org</w:t>
        </w:r>
      </w:hyperlink>
      <w:r w:rsidRPr="0ABA4F23" w:rsidR="16442F39">
        <w:rPr>
          <w:rFonts w:ascii="Arial Nova" w:hAnsi="Arial Nova" w:eastAsia="Arial Nova" w:cs="Arial Nova"/>
          <w:noProof w:val="0"/>
          <w:sz w:val="22"/>
          <w:szCs w:val="22"/>
          <w:lang w:val="en-GB"/>
        </w:rPr>
        <w:t xml:space="preserve"> (Accessed: 13 October 2025).</w:t>
      </w:r>
    </w:p>
    <w:p w:rsidR="16442F39" w:rsidP="0ABA4F23" w:rsidRDefault="16442F39" w14:paraId="2E6B3478" w14:textId="212F1BC2">
      <w:pPr>
        <w:spacing w:before="240" w:beforeAutospacing="off" w:after="240" w:afterAutospacing="off"/>
      </w:pPr>
      <w:r w:rsidRPr="0ABA4F23" w:rsidR="16442F39">
        <w:rPr>
          <w:rFonts w:ascii="Arial Nova" w:hAnsi="Arial Nova" w:eastAsia="Arial Nova" w:cs="Arial Nova"/>
          <w:noProof w:val="0"/>
          <w:sz w:val="22"/>
          <w:szCs w:val="22"/>
          <w:lang w:val="en-GB"/>
        </w:rPr>
        <w:t xml:space="preserve">Global Initiative for Asthma (GINA) (2024) </w:t>
      </w:r>
      <w:r w:rsidRPr="0ABA4F23" w:rsidR="16442F39">
        <w:rPr>
          <w:rFonts w:ascii="Arial Nova" w:hAnsi="Arial Nova" w:eastAsia="Arial Nova" w:cs="Arial Nova"/>
          <w:i w:val="1"/>
          <w:iCs w:val="1"/>
          <w:noProof w:val="0"/>
          <w:sz w:val="22"/>
          <w:szCs w:val="22"/>
          <w:lang w:val="en-GB"/>
        </w:rPr>
        <w:t>Global strategy for asthma management and prevention</w:t>
      </w:r>
      <w:r w:rsidRPr="0ABA4F23" w:rsidR="16442F39">
        <w:rPr>
          <w:rFonts w:ascii="Arial Nova" w:hAnsi="Arial Nova" w:eastAsia="Arial Nova" w:cs="Arial Nova"/>
          <w:noProof w:val="0"/>
          <w:sz w:val="22"/>
          <w:szCs w:val="22"/>
          <w:lang w:val="en-GB"/>
        </w:rPr>
        <w:t xml:space="preserve">. Available at: </w:t>
      </w:r>
      <w:hyperlink r:id="R58712519e0914274">
        <w:r w:rsidRPr="0ABA4F23" w:rsidR="16442F39">
          <w:rPr>
            <w:rStyle w:val="Hyperlink"/>
            <w:rFonts w:ascii="Arial Nova" w:hAnsi="Arial Nova" w:eastAsia="Arial Nova" w:cs="Arial Nova"/>
            <w:noProof w:val="0"/>
            <w:sz w:val="22"/>
            <w:szCs w:val="22"/>
            <w:lang w:val="en-GB"/>
          </w:rPr>
          <w:t>https://ginasthma.org</w:t>
        </w:r>
      </w:hyperlink>
      <w:r w:rsidRPr="0ABA4F23" w:rsidR="16442F39">
        <w:rPr>
          <w:rFonts w:ascii="Arial Nova" w:hAnsi="Arial Nova" w:eastAsia="Arial Nova" w:cs="Arial Nova"/>
          <w:noProof w:val="0"/>
          <w:sz w:val="22"/>
          <w:szCs w:val="22"/>
          <w:lang w:val="en-GB"/>
        </w:rPr>
        <w:t xml:space="preserve"> (Accessed: 13 October 2025).</w:t>
      </w:r>
    </w:p>
    <w:p w:rsidR="16442F39" w:rsidP="0ABA4F23" w:rsidRDefault="16442F39" w14:paraId="732952A1" w14:textId="5B313A75">
      <w:pPr>
        <w:spacing w:before="240" w:beforeAutospacing="off" w:after="240" w:afterAutospacing="off"/>
      </w:pPr>
      <w:r w:rsidRPr="0ABA4F23" w:rsidR="16442F39">
        <w:rPr>
          <w:rFonts w:ascii="Arial Nova" w:hAnsi="Arial Nova" w:eastAsia="Arial Nova" w:cs="Arial Nova"/>
          <w:noProof w:val="0"/>
          <w:sz w:val="22"/>
          <w:szCs w:val="22"/>
          <w:lang w:val="en-GB"/>
        </w:rPr>
        <w:t xml:space="preserve">Halpin, D. M. G., Rabe, K. F., D’Urzo, A., </w:t>
      </w:r>
      <w:r w:rsidRPr="0ABA4F23" w:rsidR="16442F39">
        <w:rPr>
          <w:rFonts w:ascii="Arial Nova" w:hAnsi="Arial Nova" w:eastAsia="Arial Nova" w:cs="Arial Nova"/>
          <w:i w:val="1"/>
          <w:iCs w:val="1"/>
          <w:noProof w:val="0"/>
          <w:sz w:val="22"/>
          <w:szCs w:val="22"/>
          <w:lang w:val="en-GB"/>
        </w:rPr>
        <w:t>et al.</w:t>
      </w:r>
      <w:r w:rsidRPr="0ABA4F23" w:rsidR="16442F39">
        <w:rPr>
          <w:rFonts w:ascii="Arial Nova" w:hAnsi="Arial Nova" w:eastAsia="Arial Nova" w:cs="Arial Nova"/>
          <w:noProof w:val="0"/>
          <w:sz w:val="22"/>
          <w:szCs w:val="22"/>
          <w:lang w:val="en-GB"/>
        </w:rPr>
        <w:t xml:space="preserve"> (2019) ‘Peak expiratory flow as an endpoint for clinical trials in asthma’, </w:t>
      </w:r>
      <w:r w:rsidRPr="0ABA4F23" w:rsidR="16442F39">
        <w:rPr>
          <w:rFonts w:ascii="Arial Nova" w:hAnsi="Arial Nova" w:eastAsia="Arial Nova" w:cs="Arial Nova"/>
          <w:i w:val="1"/>
          <w:iCs w:val="1"/>
          <w:noProof w:val="0"/>
          <w:sz w:val="22"/>
          <w:szCs w:val="22"/>
          <w:lang w:val="en-GB"/>
        </w:rPr>
        <w:t>Respiratory Research</w:t>
      </w:r>
      <w:r w:rsidRPr="0ABA4F23" w:rsidR="16442F39">
        <w:rPr>
          <w:rFonts w:ascii="Arial Nova" w:hAnsi="Arial Nova" w:eastAsia="Arial Nova" w:cs="Arial Nova"/>
          <w:noProof w:val="0"/>
          <w:sz w:val="22"/>
          <w:szCs w:val="22"/>
          <w:lang w:val="en-GB"/>
        </w:rPr>
        <w:t>, 20(1), p. 134. doi: 10.1186/s12931-019-1119-6.</w:t>
      </w:r>
    </w:p>
    <w:p w:rsidR="16442F39" w:rsidP="0ABA4F23" w:rsidRDefault="16442F39" w14:paraId="36723160" w14:textId="40EFAB31">
      <w:pPr>
        <w:spacing w:before="240" w:beforeAutospacing="off" w:after="240" w:afterAutospacing="off"/>
      </w:pPr>
      <w:r w:rsidRPr="0ABA4F23" w:rsidR="16442F39">
        <w:rPr>
          <w:rFonts w:ascii="Arial Nova" w:hAnsi="Arial Nova" w:eastAsia="Arial Nova" w:cs="Arial Nova"/>
          <w:noProof w:val="0"/>
          <w:sz w:val="22"/>
          <w:szCs w:val="22"/>
          <w:lang w:val="en-GB"/>
        </w:rPr>
        <w:t xml:space="preserve">Johnson, </w:t>
      </w:r>
      <w:bookmarkStart w:name="_Int_xQZHEDUn" w:id="1467797086"/>
      <w:r w:rsidRPr="0ABA4F23" w:rsidR="16442F39">
        <w:rPr>
          <w:rFonts w:ascii="Arial Nova" w:hAnsi="Arial Nova" w:eastAsia="Arial Nova" w:cs="Arial Nova"/>
          <w:noProof w:val="0"/>
          <w:sz w:val="22"/>
          <w:szCs w:val="22"/>
          <w:lang w:val="en-GB"/>
        </w:rPr>
        <w:t>M.</w:t>
      </w:r>
      <w:bookmarkEnd w:id="1467797086"/>
      <w:r w:rsidRPr="0ABA4F23" w:rsidR="16442F39">
        <w:rPr>
          <w:rFonts w:ascii="Arial Nova" w:hAnsi="Arial Nova" w:eastAsia="Arial Nova" w:cs="Arial Nova"/>
          <w:noProof w:val="0"/>
          <w:sz w:val="22"/>
          <w:szCs w:val="22"/>
          <w:lang w:val="en-GB"/>
        </w:rPr>
        <w:t xml:space="preserve"> and Keeley, D. (2023) ‘Improving outcomes in asthma through nurse-led education and digital engagement’, </w:t>
      </w:r>
      <w:r w:rsidRPr="0ABA4F23" w:rsidR="16442F39">
        <w:rPr>
          <w:rFonts w:ascii="Arial Nova" w:hAnsi="Arial Nova" w:eastAsia="Arial Nova" w:cs="Arial Nova"/>
          <w:i w:val="1"/>
          <w:iCs w:val="1"/>
          <w:noProof w:val="0"/>
          <w:sz w:val="22"/>
          <w:szCs w:val="22"/>
          <w:lang w:val="en-GB"/>
        </w:rPr>
        <w:t>Primary Care Respiratory Medicine</w:t>
      </w:r>
      <w:r w:rsidRPr="0ABA4F23" w:rsidR="16442F39">
        <w:rPr>
          <w:rFonts w:ascii="Arial Nova" w:hAnsi="Arial Nova" w:eastAsia="Arial Nova" w:cs="Arial Nova"/>
          <w:noProof w:val="0"/>
          <w:sz w:val="22"/>
          <w:szCs w:val="22"/>
          <w:lang w:val="en-GB"/>
        </w:rPr>
        <w:t xml:space="preserve">, 33(2), pp. 145–153. </w:t>
      </w:r>
      <w:r w:rsidRPr="0ABA4F23" w:rsidR="16442F39">
        <w:rPr>
          <w:rFonts w:ascii="Arial Nova" w:hAnsi="Arial Nova" w:eastAsia="Arial Nova" w:cs="Arial Nova"/>
          <w:noProof w:val="0"/>
          <w:sz w:val="22"/>
          <w:szCs w:val="22"/>
          <w:lang w:val="en-GB"/>
        </w:rPr>
        <w:t>doi</w:t>
      </w:r>
      <w:r w:rsidRPr="0ABA4F23" w:rsidR="16442F39">
        <w:rPr>
          <w:rFonts w:ascii="Arial Nova" w:hAnsi="Arial Nova" w:eastAsia="Arial Nova" w:cs="Arial Nova"/>
          <w:noProof w:val="0"/>
          <w:sz w:val="22"/>
          <w:szCs w:val="22"/>
          <w:lang w:val="en-GB"/>
        </w:rPr>
        <w:t>: 10.1183/20490478.01122-2023.</w:t>
      </w:r>
    </w:p>
    <w:p w:rsidR="16442F39" w:rsidP="0ABA4F23" w:rsidRDefault="16442F39" w14:paraId="77B9B5F6" w14:textId="4790F5A9">
      <w:pPr>
        <w:spacing w:before="240" w:beforeAutospacing="off" w:after="240" w:afterAutospacing="off"/>
      </w:pPr>
      <w:r w:rsidRPr="0ABA4F23" w:rsidR="16442F39">
        <w:rPr>
          <w:rFonts w:ascii="Arial Nova" w:hAnsi="Arial Nova" w:eastAsia="Arial Nova" w:cs="Arial Nova"/>
          <w:noProof w:val="0"/>
          <w:sz w:val="22"/>
          <w:szCs w:val="22"/>
          <w:lang w:val="en-GB"/>
        </w:rPr>
        <w:t xml:space="preserve">Marieb, E. N. and Hoehn, K. (2019) </w:t>
      </w:r>
      <w:r w:rsidRPr="0ABA4F23" w:rsidR="16442F39">
        <w:rPr>
          <w:rFonts w:ascii="Arial Nova" w:hAnsi="Arial Nova" w:eastAsia="Arial Nova" w:cs="Arial Nova"/>
          <w:i w:val="1"/>
          <w:iCs w:val="1"/>
          <w:noProof w:val="0"/>
          <w:sz w:val="22"/>
          <w:szCs w:val="22"/>
          <w:lang w:val="en-GB"/>
        </w:rPr>
        <w:t>Human anatomy and physiology</w:t>
      </w:r>
      <w:r w:rsidRPr="0ABA4F23" w:rsidR="16442F39">
        <w:rPr>
          <w:rFonts w:ascii="Arial Nova" w:hAnsi="Arial Nova" w:eastAsia="Arial Nova" w:cs="Arial Nova"/>
          <w:noProof w:val="0"/>
          <w:sz w:val="22"/>
          <w:szCs w:val="22"/>
          <w:lang w:val="en-GB"/>
        </w:rPr>
        <w:t>. 11th edn. Harlow: Pearson Education.</w:t>
      </w:r>
    </w:p>
    <w:p w:rsidR="16442F39" w:rsidP="0ABA4F23" w:rsidRDefault="16442F39" w14:paraId="1C456F84" w14:textId="0809D365">
      <w:pPr>
        <w:spacing w:before="240" w:beforeAutospacing="off" w:after="240" w:afterAutospacing="off"/>
      </w:pPr>
      <w:r w:rsidRPr="0ABA4F23" w:rsidR="16442F39">
        <w:rPr>
          <w:rFonts w:ascii="Arial Nova" w:hAnsi="Arial Nova" w:eastAsia="Arial Nova" w:cs="Arial Nova"/>
          <w:noProof w:val="0"/>
          <w:sz w:val="22"/>
          <w:szCs w:val="22"/>
          <w:lang w:val="en-GB"/>
        </w:rPr>
        <w:t xml:space="preserve">National Health Service (NHS) England (2025) </w:t>
      </w:r>
      <w:r w:rsidRPr="0ABA4F23" w:rsidR="16442F39">
        <w:rPr>
          <w:rFonts w:ascii="Arial Nova" w:hAnsi="Arial Nova" w:eastAsia="Arial Nova" w:cs="Arial Nova"/>
          <w:i w:val="1"/>
          <w:iCs w:val="1"/>
          <w:noProof w:val="0"/>
          <w:sz w:val="22"/>
          <w:szCs w:val="22"/>
          <w:lang w:val="en-GB"/>
        </w:rPr>
        <w:t>Supporting adolescents with long-term conditions: improving self-management and transition</w:t>
      </w:r>
      <w:r w:rsidRPr="0ABA4F23" w:rsidR="16442F39">
        <w:rPr>
          <w:rFonts w:ascii="Arial Nova" w:hAnsi="Arial Nova" w:eastAsia="Arial Nova" w:cs="Arial Nova"/>
          <w:noProof w:val="0"/>
          <w:sz w:val="22"/>
          <w:szCs w:val="22"/>
          <w:lang w:val="en-GB"/>
        </w:rPr>
        <w:t xml:space="preserve">. Available at: </w:t>
      </w:r>
      <w:hyperlink r:id="R4934966554cc4df5">
        <w:r w:rsidRPr="0ABA4F23" w:rsidR="16442F39">
          <w:rPr>
            <w:rStyle w:val="Hyperlink"/>
            <w:rFonts w:ascii="Arial Nova" w:hAnsi="Arial Nova" w:eastAsia="Arial Nova" w:cs="Arial Nova"/>
            <w:noProof w:val="0"/>
            <w:sz w:val="22"/>
            <w:szCs w:val="22"/>
            <w:lang w:val="en-GB"/>
          </w:rPr>
          <w:t>https://www.england.nhs.uk</w:t>
        </w:r>
      </w:hyperlink>
      <w:r w:rsidRPr="0ABA4F23" w:rsidR="16442F39">
        <w:rPr>
          <w:rFonts w:ascii="Arial Nova" w:hAnsi="Arial Nova" w:eastAsia="Arial Nova" w:cs="Arial Nova"/>
          <w:noProof w:val="0"/>
          <w:sz w:val="22"/>
          <w:szCs w:val="22"/>
          <w:lang w:val="en-GB"/>
        </w:rPr>
        <w:t xml:space="preserve"> (Accessed: 13 October 2025).</w:t>
      </w:r>
    </w:p>
    <w:p w:rsidR="16442F39" w:rsidP="0ABA4F23" w:rsidRDefault="16442F39" w14:paraId="719EFBFE" w14:textId="62F098F4">
      <w:pPr>
        <w:spacing w:before="240" w:beforeAutospacing="off" w:after="240" w:afterAutospacing="off"/>
      </w:pPr>
      <w:r w:rsidRPr="0ABA4F23" w:rsidR="16442F39">
        <w:rPr>
          <w:rFonts w:ascii="Arial Nova" w:hAnsi="Arial Nova" w:eastAsia="Arial Nova" w:cs="Arial Nova"/>
          <w:noProof w:val="0"/>
          <w:sz w:val="22"/>
          <w:szCs w:val="22"/>
          <w:lang w:val="en-GB"/>
        </w:rPr>
        <w:t xml:space="preserve">National Institute for Health and Care Excellence (NICE) (2025) </w:t>
      </w:r>
      <w:r w:rsidRPr="0ABA4F23" w:rsidR="16442F39">
        <w:rPr>
          <w:rFonts w:ascii="Arial Nova" w:hAnsi="Arial Nova" w:eastAsia="Arial Nova" w:cs="Arial Nova"/>
          <w:i w:val="1"/>
          <w:iCs w:val="1"/>
          <w:noProof w:val="0"/>
          <w:sz w:val="22"/>
          <w:szCs w:val="22"/>
          <w:lang w:val="en-GB"/>
        </w:rPr>
        <w:t>Asthma quality standard QS25 (updated 2025)</w:t>
      </w:r>
      <w:r w:rsidRPr="0ABA4F23" w:rsidR="16442F39">
        <w:rPr>
          <w:rFonts w:ascii="Arial Nova" w:hAnsi="Arial Nova" w:eastAsia="Arial Nova" w:cs="Arial Nova"/>
          <w:noProof w:val="0"/>
          <w:sz w:val="22"/>
          <w:szCs w:val="22"/>
          <w:lang w:val="en-GB"/>
        </w:rPr>
        <w:t xml:space="preserve">. Available at: </w:t>
      </w:r>
      <w:hyperlink r:id="Rf106086e93a74ad3">
        <w:r w:rsidRPr="0ABA4F23" w:rsidR="16442F39">
          <w:rPr>
            <w:rStyle w:val="Hyperlink"/>
            <w:rFonts w:ascii="Arial Nova" w:hAnsi="Arial Nova" w:eastAsia="Arial Nova" w:cs="Arial Nova"/>
            <w:noProof w:val="0"/>
            <w:sz w:val="22"/>
            <w:szCs w:val="22"/>
            <w:lang w:val="en-GB"/>
          </w:rPr>
          <w:t>https://www.nice.org.uk/guidance/qs25</w:t>
        </w:r>
      </w:hyperlink>
      <w:r w:rsidRPr="0ABA4F23" w:rsidR="16442F39">
        <w:rPr>
          <w:rFonts w:ascii="Arial Nova" w:hAnsi="Arial Nova" w:eastAsia="Arial Nova" w:cs="Arial Nova"/>
          <w:noProof w:val="0"/>
          <w:sz w:val="22"/>
          <w:szCs w:val="22"/>
          <w:lang w:val="en-GB"/>
        </w:rPr>
        <w:t xml:space="preserve"> (Accessed: 13 October 2025).</w:t>
      </w:r>
    </w:p>
    <w:p w:rsidR="16442F39" w:rsidP="0ABA4F23" w:rsidRDefault="16442F39" w14:paraId="13839739" w14:textId="65A4A80C">
      <w:pPr>
        <w:spacing w:before="240" w:beforeAutospacing="off" w:after="240" w:afterAutospacing="off"/>
      </w:pPr>
      <w:r w:rsidRPr="0ABA4F23" w:rsidR="16442F39">
        <w:rPr>
          <w:rFonts w:ascii="Arial Nova" w:hAnsi="Arial Nova" w:eastAsia="Arial Nova" w:cs="Arial Nova"/>
          <w:noProof w:val="0"/>
          <w:sz w:val="22"/>
          <w:szCs w:val="22"/>
          <w:lang w:val="en-GB"/>
        </w:rPr>
        <w:t xml:space="preserve">Novak, N., Cabanillas, B., Caraballo, L., </w:t>
      </w:r>
      <w:r w:rsidRPr="0ABA4F23" w:rsidR="16442F39">
        <w:rPr>
          <w:rFonts w:ascii="Arial Nova" w:hAnsi="Arial Nova" w:eastAsia="Arial Nova" w:cs="Arial Nova"/>
          <w:i w:val="1"/>
          <w:iCs w:val="1"/>
          <w:noProof w:val="0"/>
          <w:sz w:val="22"/>
          <w:szCs w:val="22"/>
          <w:lang w:val="en-GB"/>
        </w:rPr>
        <w:t>et al.</w:t>
      </w:r>
      <w:r w:rsidRPr="0ABA4F23" w:rsidR="16442F39">
        <w:rPr>
          <w:rFonts w:ascii="Arial Nova" w:hAnsi="Arial Nova" w:eastAsia="Arial Nova" w:cs="Arial Nova"/>
          <w:noProof w:val="0"/>
          <w:sz w:val="22"/>
          <w:szCs w:val="22"/>
          <w:lang w:val="en-GB"/>
        </w:rPr>
        <w:t xml:space="preserve"> (2020) ‘Viruses and asthma: the role of common respiratory viral infections’, </w:t>
      </w:r>
      <w:r w:rsidRPr="0ABA4F23" w:rsidR="16442F39">
        <w:rPr>
          <w:rFonts w:ascii="Arial Nova" w:hAnsi="Arial Nova" w:eastAsia="Arial Nova" w:cs="Arial Nova"/>
          <w:i w:val="1"/>
          <w:iCs w:val="1"/>
          <w:noProof w:val="0"/>
          <w:sz w:val="22"/>
          <w:szCs w:val="22"/>
          <w:lang w:val="en-GB"/>
        </w:rPr>
        <w:t>Frontiers in Immunology</w:t>
      </w:r>
      <w:r w:rsidRPr="0ABA4F23" w:rsidR="16442F39">
        <w:rPr>
          <w:rFonts w:ascii="Arial Nova" w:hAnsi="Arial Nova" w:eastAsia="Arial Nova" w:cs="Arial Nova"/>
          <w:noProof w:val="0"/>
          <w:sz w:val="22"/>
          <w:szCs w:val="22"/>
          <w:lang w:val="en-GB"/>
        </w:rPr>
        <w:t>, 11, 1338. doi: 10.3389/fimmu.2020.01338.</w:t>
      </w:r>
    </w:p>
    <w:p w:rsidR="16442F39" w:rsidP="0ABA4F23" w:rsidRDefault="16442F39" w14:paraId="419B8A5C" w14:textId="2DFA4978">
      <w:pPr>
        <w:spacing w:before="240" w:beforeAutospacing="off" w:after="240" w:afterAutospacing="off"/>
      </w:pPr>
      <w:r w:rsidRPr="0ABA4F23" w:rsidR="16442F39">
        <w:rPr>
          <w:rFonts w:ascii="Arial Nova" w:hAnsi="Arial Nova" w:eastAsia="Arial Nova" w:cs="Arial Nova"/>
          <w:noProof w:val="0"/>
          <w:sz w:val="22"/>
          <w:szCs w:val="22"/>
          <w:lang w:val="en-GB"/>
        </w:rPr>
        <w:t xml:space="preserve">Primary Care Respiratory Society UK (PCRS) (2025) </w:t>
      </w:r>
      <w:r w:rsidRPr="0ABA4F23" w:rsidR="16442F39">
        <w:rPr>
          <w:rFonts w:ascii="Arial Nova" w:hAnsi="Arial Nova" w:eastAsia="Arial Nova" w:cs="Arial Nova"/>
          <w:i w:val="1"/>
          <w:iCs w:val="1"/>
          <w:noProof w:val="0"/>
          <w:sz w:val="22"/>
          <w:szCs w:val="22"/>
          <w:lang w:val="en-GB"/>
        </w:rPr>
        <w:t>First steps to implement the new BTS/NICE/SIGN asthma guideline</w:t>
      </w:r>
      <w:r w:rsidRPr="0ABA4F23" w:rsidR="16442F39">
        <w:rPr>
          <w:rFonts w:ascii="Arial Nova" w:hAnsi="Arial Nova" w:eastAsia="Arial Nova" w:cs="Arial Nova"/>
          <w:noProof w:val="0"/>
          <w:sz w:val="22"/>
          <w:szCs w:val="22"/>
          <w:lang w:val="en-GB"/>
        </w:rPr>
        <w:t xml:space="preserve">. Available at: </w:t>
      </w:r>
      <w:hyperlink r:id="Raf682294fa8146a7">
        <w:r w:rsidRPr="0ABA4F23" w:rsidR="16442F39">
          <w:rPr>
            <w:rStyle w:val="Hyperlink"/>
            <w:rFonts w:ascii="Arial Nova" w:hAnsi="Arial Nova" w:eastAsia="Arial Nova" w:cs="Arial Nova"/>
            <w:noProof w:val="0"/>
            <w:sz w:val="22"/>
            <w:szCs w:val="22"/>
            <w:lang w:val="en-GB"/>
          </w:rPr>
          <w:t>https://www.pcrs-uk.org</w:t>
        </w:r>
      </w:hyperlink>
      <w:r w:rsidRPr="0ABA4F23" w:rsidR="16442F39">
        <w:rPr>
          <w:rFonts w:ascii="Arial Nova" w:hAnsi="Arial Nova" w:eastAsia="Arial Nova" w:cs="Arial Nova"/>
          <w:noProof w:val="0"/>
          <w:sz w:val="22"/>
          <w:szCs w:val="22"/>
          <w:lang w:val="en-GB"/>
        </w:rPr>
        <w:t xml:space="preserve"> (Accessed: 13 October 2025).</w:t>
      </w:r>
    </w:p>
    <w:p w:rsidR="16442F39" w:rsidP="0ABA4F23" w:rsidRDefault="16442F39" w14:paraId="6555B07E" w14:textId="0D9B3DF2">
      <w:pPr>
        <w:spacing w:before="240" w:beforeAutospacing="off" w:after="240" w:afterAutospacing="off"/>
      </w:pPr>
      <w:r w:rsidRPr="0ABA4F23" w:rsidR="16442F39">
        <w:rPr>
          <w:rFonts w:ascii="Arial Nova" w:hAnsi="Arial Nova" w:eastAsia="Arial Nova" w:cs="Arial Nova"/>
          <w:noProof w:val="0"/>
          <w:sz w:val="22"/>
          <w:szCs w:val="22"/>
          <w:lang w:val="en-GB"/>
        </w:rPr>
        <w:t xml:space="preserve">Public Health England (2021) </w:t>
      </w:r>
      <w:r w:rsidRPr="0ABA4F23" w:rsidR="16442F39">
        <w:rPr>
          <w:rFonts w:ascii="Arial Nova" w:hAnsi="Arial Nova" w:eastAsia="Arial Nova" w:cs="Arial Nova"/>
          <w:i w:val="1"/>
          <w:iCs w:val="1"/>
          <w:noProof w:val="0"/>
          <w:sz w:val="22"/>
          <w:szCs w:val="22"/>
          <w:lang w:val="en-GB"/>
        </w:rPr>
        <w:t>Vaping in England: evidence update summary February 2021</w:t>
      </w:r>
      <w:r w:rsidRPr="0ABA4F23" w:rsidR="16442F39">
        <w:rPr>
          <w:rFonts w:ascii="Arial Nova" w:hAnsi="Arial Nova" w:eastAsia="Arial Nova" w:cs="Arial Nova"/>
          <w:noProof w:val="0"/>
          <w:sz w:val="22"/>
          <w:szCs w:val="22"/>
          <w:lang w:val="en-GB"/>
        </w:rPr>
        <w:t xml:space="preserve">. London: PHE. Available at: </w:t>
      </w:r>
      <w:hyperlink r:id="Rd55f9192e2564779">
        <w:r w:rsidRPr="0ABA4F23" w:rsidR="16442F39">
          <w:rPr>
            <w:rStyle w:val="Hyperlink"/>
            <w:rFonts w:ascii="Arial Nova" w:hAnsi="Arial Nova" w:eastAsia="Arial Nova" w:cs="Arial Nova"/>
            <w:noProof w:val="0"/>
            <w:sz w:val="22"/>
            <w:szCs w:val="22"/>
            <w:lang w:val="en-GB"/>
          </w:rPr>
          <w:t>https://www.gov.uk/government/publications/vaping-in-england-evidence-update-february-2021</w:t>
        </w:r>
      </w:hyperlink>
      <w:r w:rsidRPr="0ABA4F23" w:rsidR="16442F39">
        <w:rPr>
          <w:rFonts w:ascii="Arial Nova" w:hAnsi="Arial Nova" w:eastAsia="Arial Nova" w:cs="Arial Nova"/>
          <w:noProof w:val="0"/>
          <w:sz w:val="22"/>
          <w:szCs w:val="22"/>
          <w:lang w:val="en-GB"/>
        </w:rPr>
        <w:t xml:space="preserve"> (Accessed: 13 October 2025).</w:t>
      </w:r>
    </w:p>
    <w:p w:rsidR="16442F39" w:rsidP="0ABA4F23" w:rsidRDefault="16442F39" w14:paraId="2FAEFE5E" w14:textId="30325018">
      <w:pPr>
        <w:spacing w:before="240" w:beforeAutospacing="off" w:after="240" w:afterAutospacing="off"/>
      </w:pPr>
      <w:r w:rsidRPr="0ABA4F23" w:rsidR="16442F39">
        <w:rPr>
          <w:rFonts w:ascii="Arial Nova" w:hAnsi="Arial Nova" w:eastAsia="Arial Nova" w:cs="Arial Nova"/>
          <w:noProof w:val="0"/>
          <w:sz w:val="22"/>
          <w:szCs w:val="22"/>
          <w:lang w:val="en-GB"/>
        </w:rPr>
        <w:t xml:space="preserve">Song, M. A., Freudenheim, J. L., Brasky, T. M., </w:t>
      </w:r>
      <w:r w:rsidRPr="0ABA4F23" w:rsidR="16442F39">
        <w:rPr>
          <w:rFonts w:ascii="Arial Nova" w:hAnsi="Arial Nova" w:eastAsia="Arial Nova" w:cs="Arial Nova"/>
          <w:i w:val="1"/>
          <w:iCs w:val="1"/>
          <w:noProof w:val="0"/>
          <w:sz w:val="22"/>
          <w:szCs w:val="22"/>
          <w:lang w:val="en-GB"/>
        </w:rPr>
        <w:t>et al.</w:t>
      </w:r>
      <w:r w:rsidRPr="0ABA4F23" w:rsidR="16442F39">
        <w:rPr>
          <w:rFonts w:ascii="Arial Nova" w:hAnsi="Arial Nova" w:eastAsia="Arial Nova" w:cs="Arial Nova"/>
          <w:noProof w:val="0"/>
          <w:sz w:val="22"/>
          <w:szCs w:val="22"/>
          <w:lang w:val="en-GB"/>
        </w:rPr>
        <w:t xml:space="preserve"> (2022) ‘E-cigarette use, inflammation, and lung function: a population-based study’, </w:t>
      </w:r>
      <w:r w:rsidRPr="0ABA4F23" w:rsidR="16442F39">
        <w:rPr>
          <w:rFonts w:ascii="Arial Nova" w:hAnsi="Arial Nova" w:eastAsia="Arial Nova" w:cs="Arial Nova"/>
          <w:i w:val="1"/>
          <w:iCs w:val="1"/>
          <w:noProof w:val="0"/>
          <w:sz w:val="22"/>
          <w:szCs w:val="22"/>
          <w:lang w:val="en-GB"/>
        </w:rPr>
        <w:t>American Journal of Preventive Medicine</w:t>
      </w:r>
      <w:r w:rsidRPr="0ABA4F23" w:rsidR="16442F39">
        <w:rPr>
          <w:rFonts w:ascii="Arial Nova" w:hAnsi="Arial Nova" w:eastAsia="Arial Nova" w:cs="Arial Nova"/>
          <w:noProof w:val="0"/>
          <w:sz w:val="22"/>
          <w:szCs w:val="22"/>
          <w:lang w:val="en-GB"/>
        </w:rPr>
        <w:t>, 62(5), pp. 703–712. doi: 10.1016/j.amepre.2021.12.007.</w:t>
      </w:r>
    </w:p>
    <w:p w:rsidR="16442F39" w:rsidP="0ABA4F23" w:rsidRDefault="16442F39" w14:paraId="2686CDD0" w14:textId="4FC618DB">
      <w:pPr>
        <w:spacing w:before="240" w:beforeAutospacing="off" w:after="240" w:afterAutospacing="off"/>
      </w:pPr>
      <w:r w:rsidRPr="0ABA4F23" w:rsidR="16442F39">
        <w:rPr>
          <w:rFonts w:ascii="Arial Nova" w:hAnsi="Arial Nova" w:eastAsia="Arial Nova" w:cs="Arial Nova"/>
          <w:noProof w:val="0"/>
          <w:sz w:val="22"/>
          <w:szCs w:val="22"/>
          <w:lang w:val="en-GB"/>
        </w:rPr>
        <w:t xml:space="preserve">Venkataramanan, R., Lim, H., Greenfield, J. R., </w:t>
      </w:r>
      <w:r w:rsidRPr="0ABA4F23" w:rsidR="16442F39">
        <w:rPr>
          <w:rFonts w:ascii="Arial Nova" w:hAnsi="Arial Nova" w:eastAsia="Arial Nova" w:cs="Arial Nova"/>
          <w:i w:val="1"/>
          <w:iCs w:val="1"/>
          <w:noProof w:val="0"/>
          <w:sz w:val="22"/>
          <w:szCs w:val="22"/>
          <w:lang w:val="en-GB"/>
        </w:rPr>
        <w:t>et al.</w:t>
      </w:r>
      <w:r w:rsidRPr="0ABA4F23" w:rsidR="16442F39">
        <w:rPr>
          <w:rFonts w:ascii="Arial Nova" w:hAnsi="Arial Nova" w:eastAsia="Arial Nova" w:cs="Arial Nova"/>
          <w:noProof w:val="0"/>
          <w:sz w:val="22"/>
          <w:szCs w:val="22"/>
          <w:lang w:val="en-GB"/>
        </w:rPr>
        <w:t xml:space="preserve"> (2018) ‘The effects of stress and emotion on asthma: a review of the psychophysiological mechanisms’, </w:t>
      </w:r>
      <w:r w:rsidRPr="0ABA4F23" w:rsidR="16442F39">
        <w:rPr>
          <w:rFonts w:ascii="Arial Nova" w:hAnsi="Arial Nova" w:eastAsia="Arial Nova" w:cs="Arial Nova"/>
          <w:i w:val="1"/>
          <w:iCs w:val="1"/>
          <w:noProof w:val="0"/>
          <w:sz w:val="22"/>
          <w:szCs w:val="22"/>
          <w:lang w:val="en-GB"/>
        </w:rPr>
        <w:t>Clinical and Experimental Allergy</w:t>
      </w:r>
      <w:r w:rsidRPr="0ABA4F23" w:rsidR="16442F39">
        <w:rPr>
          <w:rFonts w:ascii="Arial Nova" w:hAnsi="Arial Nova" w:eastAsia="Arial Nova" w:cs="Arial Nova"/>
          <w:noProof w:val="0"/>
          <w:sz w:val="22"/>
          <w:szCs w:val="22"/>
          <w:lang w:val="en-GB"/>
        </w:rPr>
        <w:t>, 48(3), pp. 290–299. doi: 10.1111/cea.13109.</w:t>
      </w:r>
    </w:p>
    <w:p w:rsidR="16442F39" w:rsidP="0ABA4F23" w:rsidRDefault="16442F39" w14:paraId="43E61B8D" w14:textId="553FAE59">
      <w:pPr>
        <w:spacing w:before="240" w:beforeAutospacing="off" w:after="240" w:afterAutospacing="off"/>
      </w:pPr>
      <w:r w:rsidRPr="0ABA4F23" w:rsidR="16442F39">
        <w:rPr>
          <w:rFonts w:ascii="Arial Nova" w:hAnsi="Arial Nova" w:eastAsia="Arial Nova" w:cs="Arial Nova"/>
          <w:noProof w:val="0"/>
          <w:sz w:val="22"/>
          <w:szCs w:val="22"/>
          <w:lang w:val="en-GB"/>
        </w:rPr>
        <w:t xml:space="preserve">West, J. B. (2018) </w:t>
      </w:r>
      <w:r w:rsidRPr="0ABA4F23" w:rsidR="16442F39">
        <w:rPr>
          <w:rFonts w:ascii="Arial Nova" w:hAnsi="Arial Nova" w:eastAsia="Arial Nova" w:cs="Arial Nova"/>
          <w:i w:val="1"/>
          <w:iCs w:val="1"/>
          <w:noProof w:val="0"/>
          <w:sz w:val="22"/>
          <w:szCs w:val="22"/>
          <w:lang w:val="en-GB"/>
        </w:rPr>
        <w:t>Respiratory physiology: the essentials</w:t>
      </w:r>
      <w:r w:rsidRPr="0ABA4F23" w:rsidR="16442F39">
        <w:rPr>
          <w:rFonts w:ascii="Arial Nova" w:hAnsi="Arial Nova" w:eastAsia="Arial Nova" w:cs="Arial Nova"/>
          <w:noProof w:val="0"/>
          <w:sz w:val="22"/>
          <w:szCs w:val="22"/>
          <w:lang w:val="en-GB"/>
        </w:rPr>
        <w:t>. 10th edn. Philadelphia: Wolters Kluwer.</w:t>
      </w:r>
    </w:p>
    <w:p w:rsidR="16442F39" w:rsidP="0ABA4F23" w:rsidRDefault="16442F39" w14:paraId="04773B32" w14:textId="6983DBAF">
      <w:pPr>
        <w:spacing w:before="240" w:beforeAutospacing="off" w:after="240" w:afterAutospacing="off"/>
      </w:pPr>
      <w:r w:rsidRPr="0ABA4F23" w:rsidR="16442F39">
        <w:rPr>
          <w:rFonts w:ascii="Arial Nova" w:hAnsi="Arial Nova" w:eastAsia="Arial Nova" w:cs="Arial Nova"/>
          <w:noProof w:val="0"/>
          <w:sz w:val="22"/>
          <w:szCs w:val="22"/>
          <w:lang w:val="en-GB"/>
        </w:rPr>
        <w:t xml:space="preserve">World Health Organization (WHO) (2024) </w:t>
      </w:r>
      <w:r w:rsidRPr="0ABA4F23" w:rsidR="16442F39">
        <w:rPr>
          <w:rFonts w:ascii="Arial Nova" w:hAnsi="Arial Nova" w:eastAsia="Arial Nova" w:cs="Arial Nova"/>
          <w:i w:val="1"/>
          <w:iCs w:val="1"/>
          <w:noProof w:val="0"/>
          <w:sz w:val="22"/>
          <w:szCs w:val="22"/>
          <w:lang w:val="en-GB"/>
        </w:rPr>
        <w:t>Adolescent health and respiratory disease prevention</w:t>
      </w:r>
      <w:r w:rsidRPr="0ABA4F23" w:rsidR="16442F39">
        <w:rPr>
          <w:rFonts w:ascii="Arial Nova" w:hAnsi="Arial Nova" w:eastAsia="Arial Nova" w:cs="Arial Nova"/>
          <w:noProof w:val="0"/>
          <w:sz w:val="22"/>
          <w:szCs w:val="22"/>
          <w:lang w:val="en-GB"/>
        </w:rPr>
        <w:t xml:space="preserve">. Geneva: WHO. Available at: </w:t>
      </w:r>
      <w:hyperlink r:id="R56c105a8a0cc4133">
        <w:r w:rsidRPr="0ABA4F23" w:rsidR="16442F39">
          <w:rPr>
            <w:rStyle w:val="Hyperlink"/>
            <w:rFonts w:ascii="Arial Nova" w:hAnsi="Arial Nova" w:eastAsia="Arial Nova" w:cs="Arial Nova"/>
            <w:noProof w:val="0"/>
            <w:sz w:val="22"/>
            <w:szCs w:val="22"/>
            <w:lang w:val="en-GB"/>
          </w:rPr>
          <w:t>https://www.who.int/publications</w:t>
        </w:r>
      </w:hyperlink>
      <w:r w:rsidRPr="0ABA4F23" w:rsidR="16442F39">
        <w:rPr>
          <w:rFonts w:ascii="Arial Nova" w:hAnsi="Arial Nova" w:eastAsia="Arial Nova" w:cs="Arial Nova"/>
          <w:noProof w:val="0"/>
          <w:sz w:val="22"/>
          <w:szCs w:val="22"/>
          <w:lang w:val="en-GB"/>
        </w:rPr>
        <w:t xml:space="preserve"> (Accessed: 13 October 2025).</w:t>
      </w:r>
    </w:p>
    <w:p w:rsidR="16442F39" w:rsidP="0ABA4F23" w:rsidRDefault="16442F39" w14:paraId="55CD36E0" w14:textId="52B2806D">
      <w:pPr>
        <w:pStyle w:val="Normal"/>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0ABA4F23" w:rsidR="16442F39">
        <w:rPr>
          <w:rFonts w:ascii="Arial Nova" w:hAnsi="Arial Nova" w:eastAsia="Arial Nova" w:cs="Arial Nova"/>
          <w:noProof w:val="0"/>
          <w:color w:val="000000" w:themeColor="text1" w:themeTint="FF" w:themeShade="FF"/>
          <w:sz w:val="22"/>
          <w:szCs w:val="22"/>
          <w:lang w:val="en-GB"/>
        </w:rPr>
        <w:t xml:space="preserve"> </w:t>
      </w:r>
    </w:p>
    <w:p w:rsidR="2EB4F19E" w:rsidP="0ABA4F23" w:rsidRDefault="2EB4F19E" w14:paraId="13ECD124" w14:textId="22E62652">
      <w:pPr>
        <w:rPr>
          <w:rFonts w:ascii="Arial Nova" w:hAnsi="Arial Nova" w:eastAsia="Arial Nova" w:cs="Arial Nova"/>
          <w:color w:val="000000" w:themeColor="text1" w:themeTint="FF" w:themeShade="FF"/>
        </w:rPr>
      </w:pPr>
      <w:r w:rsidRPr="0ABA4F23" w:rsidR="2EB4F19E">
        <w:rPr>
          <w:rFonts w:ascii="Arial Nova" w:hAnsi="Arial Nova" w:eastAsia="Arial Nova" w:cs="Arial Nova"/>
          <w:color w:val="000000" w:themeColor="text1" w:themeTint="FF" w:themeShade="FF"/>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LCDYfnsESMCjZh" int2:id="ZIA5TAhc">
      <int2:state int2:type="spell" int2:value="Rejected"/>
    </int2:textHash>
    <int2:textHash int2:hashCode="Y7rxyEYEGk+h8X" int2:id="wN1ARNjV">
      <int2:state int2:type="spell" int2:value="Rejected"/>
    </int2:textHash>
    <int2:textHash int2:hashCode="78yHS6riDvANSG" int2:id="mnU07I8d">
      <int2:state int2:type="spell" int2:value="Rejected"/>
    </int2:textHash>
    <int2:textHash int2:hashCode="1KOf0wxMc7TTKC" int2:id="6DGgMAHe">
      <int2:state int2:type="spell" int2:value="Rejected"/>
    </int2:textHash>
    <int2:textHash int2:hashCode="V3BXVToe6XyjjV" int2:id="f07yE06R">
      <int2:state int2:type="spell" int2:value="Rejected"/>
    </int2:textHash>
    <int2:textHash int2:hashCode="SOVj8UjcBNizHJ" int2:id="PnJjBg9g">
      <int2:state int2:type="spell" int2:value="Rejected"/>
    </int2:textHash>
    <int2:textHash int2:hashCode="tI61O82xj9Cax1" int2:id="4BAJBbk4">
      <int2:state int2:type="spell" int2:value="Rejected"/>
    </int2:textHash>
    <int2:textHash int2:hashCode="iZF3TTaDsZYjiz" int2:id="OoSLynn4">
      <int2:state int2:type="spell" int2:value="Rejected"/>
    </int2:textHash>
    <int2:textHash int2:hashCode="tEcjwf81fauw/g" int2:id="QZxR15BG">
      <int2:state int2:type="spell" int2:value="Rejected"/>
    </int2:textHash>
    <int2:textHash int2:hashCode="IE0qJQBeX6uvKM" int2:id="PLr7J259">
      <int2:state int2:type="spell" int2:value="Rejected"/>
    </int2:textHash>
    <int2:bookmark int2:bookmarkName="_Int_xQZHEDUn" int2:invalidationBookmarkName="" int2:hashCode="il/tKyAlGJCVex" int2:id="i4QLEvY0">
      <int2:state int2:type="style" int2:value="Rejected"/>
    </int2:bookmark>
    <int2:bookmark int2:bookmarkName="_Int_2eUtHeoM" int2:invalidationBookmarkName="" int2:hashCode="PLZtS9B8ew8ND3" int2:id="ogBBhpYD">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4a0452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FEEC34"/>
    <w:rsid w:val="04BE887C"/>
    <w:rsid w:val="092D3640"/>
    <w:rsid w:val="0ABA4F23"/>
    <w:rsid w:val="0CF9B510"/>
    <w:rsid w:val="0F5DCE0F"/>
    <w:rsid w:val="0FDB1798"/>
    <w:rsid w:val="12FEEC34"/>
    <w:rsid w:val="16442F39"/>
    <w:rsid w:val="170AD3B1"/>
    <w:rsid w:val="17868CFC"/>
    <w:rsid w:val="23755508"/>
    <w:rsid w:val="241CF4B4"/>
    <w:rsid w:val="25211FED"/>
    <w:rsid w:val="26246DE4"/>
    <w:rsid w:val="269B950F"/>
    <w:rsid w:val="27312197"/>
    <w:rsid w:val="29E9E369"/>
    <w:rsid w:val="2B8B13FD"/>
    <w:rsid w:val="2CDA1147"/>
    <w:rsid w:val="2EB4F19E"/>
    <w:rsid w:val="2EB92968"/>
    <w:rsid w:val="324877C2"/>
    <w:rsid w:val="406022A3"/>
    <w:rsid w:val="44F80700"/>
    <w:rsid w:val="4702C273"/>
    <w:rsid w:val="4CAD1881"/>
    <w:rsid w:val="528CEA15"/>
    <w:rsid w:val="56CBDA52"/>
    <w:rsid w:val="595049B4"/>
    <w:rsid w:val="5C67A365"/>
    <w:rsid w:val="5ECDA70C"/>
    <w:rsid w:val="5F98348A"/>
    <w:rsid w:val="6114B7F9"/>
    <w:rsid w:val="6195B98D"/>
    <w:rsid w:val="623F0410"/>
    <w:rsid w:val="632BA1F2"/>
    <w:rsid w:val="65F3F6C3"/>
    <w:rsid w:val="6AB81904"/>
    <w:rsid w:val="6C03CB01"/>
    <w:rsid w:val="6E9086B8"/>
    <w:rsid w:val="6ED63211"/>
    <w:rsid w:val="713CFC61"/>
    <w:rsid w:val="72B1A3F9"/>
    <w:rsid w:val="72FCA8F9"/>
    <w:rsid w:val="784401A6"/>
    <w:rsid w:val="78CA1CBA"/>
    <w:rsid w:val="78CCC250"/>
    <w:rsid w:val="7AD55B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EEC34"/>
  <w15:chartTrackingRefBased/>
  <w15:docId w15:val="{CDEA1C13-8E3B-42CF-9EDC-A6FFD0F216C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ABA4F23"/>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0ABA4F2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0ABA4F2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0ABA4F23"/>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0ABA4F23"/>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0ABA4F23"/>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0ABA4F23"/>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0ABA4F23"/>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0ABA4F23"/>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0ABA4F23"/>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0ABA4F23"/>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0ABA4F23"/>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0ABA4F23"/>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0ABA4F23"/>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ABA4F23"/>
    <w:pPr>
      <w:spacing/>
      <w:ind w:left="720"/>
      <w:contextualSpacing/>
    </w:pPr>
  </w:style>
  <w:style w:type="character" w:styleId="Hyperlink">
    <w:uiPriority w:val="99"/>
    <w:name w:val="Hyperlink"/>
    <w:basedOn w:val="DefaultParagraphFont"/>
    <w:unhideWhenUsed/>
    <w:rsid w:val="0ABA4F2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asthmaandlung.org.uk" TargetMode="External" Id="R7e8319f3285b4a1d" /><Relationship Type="http://schemas.openxmlformats.org/officeDocument/2006/relationships/hyperlink" Target="https://www.nice.org.uk/guidance/ng245" TargetMode="External" Id="R2a1731ad17e347a9" /><Relationship Type="http://schemas.openxmlformats.org/officeDocument/2006/relationships/hyperlink" Target="https://globalasthmareport.org" TargetMode="External" Id="Rd789000d854b4427" /><Relationship Type="http://schemas.openxmlformats.org/officeDocument/2006/relationships/hyperlink" Target="https://ginasthma.org" TargetMode="External" Id="R58712519e0914274" /><Relationship Type="http://schemas.openxmlformats.org/officeDocument/2006/relationships/hyperlink" Target="https://www.england.nhs.uk" TargetMode="External" Id="R4934966554cc4df5" /><Relationship Type="http://schemas.openxmlformats.org/officeDocument/2006/relationships/hyperlink" Target="https://www.nice.org.uk/guidance/qs25" TargetMode="External" Id="Rf106086e93a74ad3" /><Relationship Type="http://schemas.openxmlformats.org/officeDocument/2006/relationships/hyperlink" Target="https://www.pcrs-uk.org" TargetMode="External" Id="Raf682294fa8146a7" /><Relationship Type="http://schemas.openxmlformats.org/officeDocument/2006/relationships/hyperlink" Target="https://www.gov.uk/government/publications/vaping-in-england-evidence-update-february-2021" TargetMode="External" Id="Rd55f9192e2564779" /><Relationship Type="http://schemas.openxmlformats.org/officeDocument/2006/relationships/hyperlink" Target="https://www.who.int/publications" TargetMode="External" Id="R56c105a8a0cc4133" /><Relationship Type="http://schemas.microsoft.com/office/2020/10/relationships/intelligence" Target="intelligence2.xml" Id="R0945f0468c52494e" /><Relationship Type="http://schemas.openxmlformats.org/officeDocument/2006/relationships/numbering" Target="numbering.xml" Id="R963de176495a474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2025-10-13T20:54:01.8339807Z</dcterms:created>
  <dcterms:modified xsi:type="dcterms:W3CDTF">2025-10-13T23:22:27.4480604Z</dcterms:modified>
  <dc:creator>Shaliea Younis (2222115)</dc:creator>
  <lastModifiedBy>Shaliea Younis (2222115)</lastModifiedBy>
</coreProperties>
</file>