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54EB6" w14:textId="20FC6A08" w:rsidR="00051C38" w:rsidRDefault="00AE1B1E" w:rsidP="00871E63">
      <w:pPr>
        <w:spacing w:line="360" w:lineRule="auto"/>
        <w:rPr>
          <w:b/>
          <w:bCs/>
          <w:sz w:val="36"/>
          <w:szCs w:val="36"/>
        </w:rPr>
      </w:pPr>
      <w:r>
        <w:rPr>
          <w:noProof/>
        </w:rPr>
        <w:drawing>
          <wp:anchor distT="0" distB="0" distL="114300" distR="114300" simplePos="0" relativeHeight="251657728" behindDoc="0" locked="0" layoutInCell="1" allowOverlap="1" wp14:anchorId="01A0B8A7" wp14:editId="503F21B1">
            <wp:simplePos x="0" y="0"/>
            <wp:positionH relativeFrom="column">
              <wp:posOffset>3489960</wp:posOffset>
            </wp:positionH>
            <wp:positionV relativeFrom="paragraph">
              <wp:posOffset>-723900</wp:posOffset>
            </wp:positionV>
            <wp:extent cx="2762250" cy="1104900"/>
            <wp:effectExtent l="0" t="0" r="0" b="0"/>
            <wp:wrapSquare wrapText="bothSides"/>
            <wp:docPr id="3"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62250" cy="1104900"/>
                    </a:xfrm>
                    <a:prstGeom prst="rect">
                      <a:avLst/>
                    </a:prstGeom>
                    <a:noFill/>
                  </pic:spPr>
                </pic:pic>
              </a:graphicData>
            </a:graphic>
            <wp14:sizeRelH relativeFrom="page">
              <wp14:pctWidth>0</wp14:pctWidth>
            </wp14:sizeRelH>
            <wp14:sizeRelV relativeFrom="page">
              <wp14:pctHeight>0</wp14:pctHeight>
            </wp14:sizeRelV>
          </wp:anchor>
        </w:drawing>
      </w:r>
      <w:r w:rsidR="00051C38">
        <w:rPr>
          <w:b/>
          <w:bCs/>
          <w:sz w:val="36"/>
          <w:szCs w:val="36"/>
        </w:rPr>
        <w:t xml:space="preserve"> </w:t>
      </w:r>
    </w:p>
    <w:p w14:paraId="49A229DC" w14:textId="77777777" w:rsidR="00051C38" w:rsidRDefault="00051C38" w:rsidP="00871E63">
      <w:pPr>
        <w:spacing w:line="360" w:lineRule="auto"/>
        <w:rPr>
          <w:b/>
          <w:bCs/>
          <w:sz w:val="36"/>
          <w:szCs w:val="36"/>
        </w:rPr>
      </w:pPr>
    </w:p>
    <w:p w14:paraId="58636F0C" w14:textId="3C4D3782" w:rsidR="00D12DE8" w:rsidRPr="008061AA" w:rsidRDefault="0037151D" w:rsidP="001E148E">
      <w:pPr>
        <w:spacing w:line="360" w:lineRule="auto"/>
        <w:rPr>
          <w:rFonts w:ascii="Amasis MT Pro Medium" w:hAnsi="Amasis MT Pro Medium"/>
          <w:b/>
          <w:bCs/>
          <w:sz w:val="36"/>
          <w:szCs w:val="36"/>
        </w:rPr>
      </w:pPr>
      <w:r w:rsidRPr="008061AA">
        <w:rPr>
          <w:rFonts w:ascii="Amasis MT Pro Medium" w:hAnsi="Amasis MT Pro Medium"/>
          <w:b/>
          <w:bCs/>
          <w:sz w:val="36"/>
          <w:szCs w:val="36"/>
        </w:rPr>
        <w:t xml:space="preserve"> </w:t>
      </w:r>
      <w:r w:rsidR="00051C38" w:rsidRPr="008061AA">
        <w:rPr>
          <w:rFonts w:ascii="Amasis MT Pro Medium" w:hAnsi="Amasis MT Pro Medium"/>
          <w:b/>
          <w:bCs/>
          <w:sz w:val="36"/>
          <w:szCs w:val="36"/>
        </w:rPr>
        <w:t xml:space="preserve"> </w:t>
      </w:r>
      <w:r w:rsidRPr="008061AA">
        <w:rPr>
          <w:rFonts w:ascii="Amasis MT Pro Medium" w:hAnsi="Amasis MT Pro Medium"/>
          <w:b/>
          <w:bCs/>
          <w:sz w:val="36"/>
          <w:szCs w:val="36"/>
        </w:rPr>
        <w:t xml:space="preserve">Name: </w:t>
      </w:r>
      <w:r w:rsidR="00B01C7A" w:rsidRPr="008061AA">
        <w:rPr>
          <w:rFonts w:ascii="Amasis MT Pro Medium" w:hAnsi="Amasis MT Pro Medium"/>
          <w:b/>
          <w:bCs/>
          <w:sz w:val="36"/>
          <w:szCs w:val="36"/>
        </w:rPr>
        <w:t>I</w:t>
      </w:r>
      <w:r w:rsidRPr="008061AA">
        <w:rPr>
          <w:rFonts w:ascii="Amasis MT Pro Medium" w:hAnsi="Amasis MT Pro Medium"/>
          <w:b/>
          <w:bCs/>
          <w:sz w:val="36"/>
          <w:szCs w:val="36"/>
        </w:rPr>
        <w:t xml:space="preserve">rene Baaba </w:t>
      </w:r>
      <w:r w:rsidR="00052736" w:rsidRPr="008061AA">
        <w:rPr>
          <w:rFonts w:ascii="Amasis MT Pro Medium" w:hAnsi="Amasis MT Pro Medium"/>
          <w:b/>
          <w:bCs/>
          <w:sz w:val="36"/>
          <w:szCs w:val="36"/>
        </w:rPr>
        <w:t>Quagraine</w:t>
      </w:r>
    </w:p>
    <w:p w14:paraId="2A85FDDE" w14:textId="4962CD7E" w:rsidR="0037151D" w:rsidRPr="008061AA" w:rsidRDefault="0037151D" w:rsidP="001E148E">
      <w:pPr>
        <w:spacing w:line="360" w:lineRule="auto"/>
        <w:rPr>
          <w:rFonts w:ascii="Amasis MT Pro Medium" w:hAnsi="Amasis MT Pro Medium"/>
          <w:b/>
          <w:bCs/>
          <w:sz w:val="36"/>
          <w:szCs w:val="36"/>
        </w:rPr>
      </w:pPr>
      <w:r w:rsidRPr="008061AA">
        <w:rPr>
          <w:rFonts w:ascii="Amasis MT Pro Medium" w:hAnsi="Amasis MT Pro Medium"/>
          <w:b/>
          <w:bCs/>
          <w:sz w:val="36"/>
          <w:szCs w:val="36"/>
        </w:rPr>
        <w:t xml:space="preserve"> S</w:t>
      </w:r>
      <w:r w:rsidR="00BB2DA5" w:rsidRPr="008061AA">
        <w:rPr>
          <w:rFonts w:ascii="Amasis MT Pro Medium" w:hAnsi="Amasis MT Pro Medium"/>
          <w:b/>
          <w:bCs/>
          <w:sz w:val="36"/>
          <w:szCs w:val="36"/>
        </w:rPr>
        <w:t xml:space="preserve">tudent: </w:t>
      </w:r>
      <w:r w:rsidRPr="008061AA">
        <w:rPr>
          <w:rFonts w:ascii="Amasis MT Pro Medium" w:hAnsi="Amasis MT Pro Medium"/>
          <w:b/>
          <w:bCs/>
          <w:sz w:val="36"/>
          <w:szCs w:val="36"/>
        </w:rPr>
        <w:t>Number: 2434408</w:t>
      </w:r>
    </w:p>
    <w:p w14:paraId="6CFE97AB" w14:textId="65377036" w:rsidR="00B01C7A" w:rsidRPr="008061AA" w:rsidRDefault="0037151D" w:rsidP="001E148E">
      <w:pPr>
        <w:spacing w:line="360" w:lineRule="auto"/>
        <w:rPr>
          <w:rFonts w:ascii="Amasis MT Pro Medium" w:hAnsi="Amasis MT Pro Medium"/>
          <w:b/>
          <w:bCs/>
          <w:sz w:val="36"/>
          <w:szCs w:val="36"/>
        </w:rPr>
      </w:pPr>
      <w:r w:rsidRPr="008061AA">
        <w:rPr>
          <w:rFonts w:ascii="Amasis MT Pro Medium" w:hAnsi="Amasis MT Pro Medium"/>
          <w:b/>
          <w:bCs/>
          <w:sz w:val="36"/>
          <w:szCs w:val="36"/>
        </w:rPr>
        <w:t xml:space="preserve">  Module Code: BMHP5016</w:t>
      </w:r>
    </w:p>
    <w:p w14:paraId="1389E275" w14:textId="77777777" w:rsidR="00DE3193" w:rsidRPr="008061AA" w:rsidRDefault="00B01C7A" w:rsidP="001E148E">
      <w:pPr>
        <w:spacing w:line="360" w:lineRule="auto"/>
        <w:rPr>
          <w:rFonts w:ascii="Amasis MT Pro Medium" w:hAnsi="Amasis MT Pro Medium"/>
          <w:b/>
          <w:bCs/>
          <w:sz w:val="36"/>
          <w:szCs w:val="36"/>
        </w:rPr>
      </w:pPr>
      <w:r w:rsidRPr="008061AA">
        <w:rPr>
          <w:rFonts w:ascii="Amasis MT Pro Medium" w:hAnsi="Amasis MT Pro Medium"/>
          <w:b/>
          <w:bCs/>
          <w:sz w:val="36"/>
          <w:szCs w:val="36"/>
        </w:rPr>
        <w:t xml:space="preserve"> Lecturers Name: Azida Zonal</w:t>
      </w:r>
    </w:p>
    <w:p w14:paraId="5F939A62" w14:textId="76DA7F97" w:rsidR="0037151D" w:rsidRPr="008061AA" w:rsidRDefault="00953B1E" w:rsidP="001E148E">
      <w:pPr>
        <w:spacing w:line="360" w:lineRule="auto"/>
        <w:rPr>
          <w:rFonts w:ascii="Amasis MT Pro Medium" w:hAnsi="Amasis MT Pro Medium"/>
          <w:b/>
          <w:bCs/>
          <w:sz w:val="36"/>
          <w:szCs w:val="36"/>
        </w:rPr>
      </w:pPr>
      <w:r w:rsidRPr="008061AA">
        <w:rPr>
          <w:rFonts w:ascii="Amasis MT Pro Medium" w:hAnsi="Amasis MT Pro Medium"/>
          <w:b/>
          <w:bCs/>
          <w:sz w:val="36"/>
          <w:szCs w:val="36"/>
        </w:rPr>
        <w:t xml:space="preserve">  Module Title</w:t>
      </w:r>
      <w:r w:rsidR="00FB51F1" w:rsidRPr="008061AA">
        <w:rPr>
          <w:rFonts w:ascii="Amasis MT Pro Medium" w:hAnsi="Amasis MT Pro Medium"/>
          <w:b/>
          <w:bCs/>
          <w:sz w:val="36"/>
          <w:szCs w:val="36"/>
        </w:rPr>
        <w:t>:</w:t>
      </w:r>
      <w:r w:rsidR="00871E63" w:rsidRPr="008061AA">
        <w:rPr>
          <w:rFonts w:ascii="Amasis MT Pro Medium" w:hAnsi="Amasis MT Pro Medium"/>
          <w:b/>
          <w:bCs/>
          <w:sz w:val="36"/>
          <w:szCs w:val="36"/>
        </w:rPr>
        <w:t xml:space="preserve"> </w:t>
      </w:r>
      <w:r w:rsidR="0037151D" w:rsidRPr="008061AA">
        <w:rPr>
          <w:rFonts w:ascii="Amasis MT Pro Medium" w:hAnsi="Amasis MT Pro Medium"/>
          <w:b/>
          <w:bCs/>
          <w:sz w:val="36"/>
          <w:szCs w:val="36"/>
        </w:rPr>
        <w:t>Principles of Health and Social Care Practice</w:t>
      </w:r>
    </w:p>
    <w:p w14:paraId="79A7F440" w14:textId="2C5BDED4" w:rsidR="00D12DE8" w:rsidRPr="008061AA" w:rsidRDefault="00DD5462" w:rsidP="001E148E">
      <w:pPr>
        <w:spacing w:line="360" w:lineRule="auto"/>
        <w:rPr>
          <w:rFonts w:ascii="Amasis MT Pro Medium" w:hAnsi="Amasis MT Pro Medium" w:cs="Arial"/>
          <w:sz w:val="40"/>
          <w:szCs w:val="40"/>
        </w:rPr>
      </w:pPr>
      <w:r w:rsidRPr="008061AA">
        <w:rPr>
          <w:rFonts w:ascii="Amasis MT Pro Medium" w:hAnsi="Amasis MT Pro Medium"/>
          <w:b/>
          <w:bCs/>
          <w:sz w:val="36"/>
          <w:szCs w:val="36"/>
        </w:rPr>
        <w:t>Assignment Title: Component 1</w:t>
      </w:r>
      <w:r w:rsidR="00B01C7A" w:rsidRPr="008061AA">
        <w:rPr>
          <w:rFonts w:ascii="Amasis MT Pro Medium" w:hAnsi="Amasis MT Pro Medium"/>
          <w:b/>
          <w:bCs/>
          <w:sz w:val="32"/>
          <w:szCs w:val="32"/>
        </w:rPr>
        <w:t xml:space="preserve">: </w:t>
      </w:r>
      <w:r w:rsidR="00BE3E16" w:rsidRPr="009E751B">
        <w:rPr>
          <w:rFonts w:ascii="Amasis MT Pro Medium" w:hAnsi="Amasis MT Pro Medium" w:cs="Arial"/>
          <w:b/>
          <w:bCs/>
          <w:sz w:val="36"/>
          <w:szCs w:val="36"/>
        </w:rPr>
        <w:t>A Reflective Report</w:t>
      </w:r>
    </w:p>
    <w:p w14:paraId="3B5233BC" w14:textId="77777777" w:rsidR="00D12DE8" w:rsidRPr="00315B63" w:rsidRDefault="00D12DE8" w:rsidP="0076411A">
      <w:pPr>
        <w:spacing w:line="360" w:lineRule="auto"/>
        <w:jc w:val="center"/>
        <w:rPr>
          <w:sz w:val="28"/>
          <w:szCs w:val="28"/>
        </w:rPr>
      </w:pPr>
    </w:p>
    <w:p w14:paraId="67D94408" w14:textId="54194990" w:rsidR="00D12DE8" w:rsidRPr="00315B63" w:rsidRDefault="00D12DE8" w:rsidP="00954320">
      <w:pPr>
        <w:spacing w:line="360" w:lineRule="auto"/>
        <w:jc w:val="center"/>
      </w:pPr>
    </w:p>
    <w:p w14:paraId="1513C6AB" w14:textId="77777777" w:rsidR="00D12DE8" w:rsidRPr="00315B63" w:rsidRDefault="00D12DE8">
      <w:pPr>
        <w:spacing w:line="360" w:lineRule="auto"/>
      </w:pPr>
    </w:p>
    <w:p w14:paraId="32B95DD9" w14:textId="77777777" w:rsidR="00D12DE8" w:rsidRPr="00315B63" w:rsidRDefault="00D12DE8">
      <w:pPr>
        <w:spacing w:line="360" w:lineRule="auto"/>
      </w:pPr>
    </w:p>
    <w:p w14:paraId="0C520B80" w14:textId="77777777" w:rsidR="00D12DE8" w:rsidRPr="00315B63" w:rsidRDefault="00D12DE8">
      <w:pPr>
        <w:spacing w:line="360" w:lineRule="auto"/>
      </w:pPr>
    </w:p>
    <w:p w14:paraId="3682787D" w14:textId="77777777" w:rsidR="001F2D12" w:rsidRPr="00315B63" w:rsidRDefault="001F2D12">
      <w:pPr>
        <w:spacing w:line="360" w:lineRule="auto"/>
      </w:pPr>
    </w:p>
    <w:p w14:paraId="4FDE4E07" w14:textId="77777777" w:rsidR="00052736" w:rsidRPr="00315B63" w:rsidRDefault="00052736">
      <w:pPr>
        <w:pStyle w:val="TOCHeading"/>
      </w:pPr>
      <w:r w:rsidRPr="00315B63">
        <w:lastRenderedPageBreak/>
        <w:t xml:space="preserve"> </w:t>
      </w:r>
    </w:p>
    <w:p w14:paraId="06001231" w14:textId="77777777" w:rsidR="00052736" w:rsidRPr="00315B63" w:rsidRDefault="00052736">
      <w:pPr>
        <w:pStyle w:val="TOCHeading"/>
      </w:pPr>
    </w:p>
    <w:p w14:paraId="1CC111D0" w14:textId="77777777" w:rsidR="00052736" w:rsidRPr="00315B63" w:rsidRDefault="00052736">
      <w:pPr>
        <w:pStyle w:val="TOCHeading"/>
      </w:pPr>
    </w:p>
    <w:p w14:paraId="49EDE549" w14:textId="77777777" w:rsidR="00052736" w:rsidRPr="00315B63" w:rsidRDefault="00052736">
      <w:pPr>
        <w:pStyle w:val="TOCHeading"/>
      </w:pPr>
    </w:p>
    <w:p w14:paraId="170BBAD3" w14:textId="77777777" w:rsidR="00AB20CD" w:rsidRPr="00315B63" w:rsidRDefault="00AB20CD">
      <w:pPr>
        <w:pStyle w:val="TOCHeading"/>
      </w:pPr>
    </w:p>
    <w:p w14:paraId="3FF8ADAB" w14:textId="301E5766" w:rsidR="00D57ABA" w:rsidRPr="00315B63" w:rsidRDefault="00D57ABA">
      <w:pPr>
        <w:pStyle w:val="TOCHeading"/>
      </w:pPr>
      <w:r w:rsidRPr="00315B63">
        <w:t>Table of Contents</w:t>
      </w:r>
    </w:p>
    <w:p w14:paraId="78B6BF79" w14:textId="20EAEE87" w:rsidR="00D57ABA" w:rsidRPr="00315B63" w:rsidRDefault="00D57ABA">
      <w:pPr>
        <w:pStyle w:val="TOC1"/>
        <w:tabs>
          <w:tab w:val="right" w:leader="dot" w:pos="9350"/>
        </w:tabs>
      </w:pPr>
      <w:r w:rsidRPr="00315B63">
        <w:fldChar w:fldCharType="begin"/>
      </w:r>
      <w:r w:rsidRPr="00315B63">
        <w:instrText xml:space="preserve"> TOC \o "1-3" \h \z \u </w:instrText>
      </w:r>
      <w:r w:rsidRPr="00315B63">
        <w:fldChar w:fldCharType="separate"/>
      </w:r>
      <w:hyperlink w:anchor="_Toc233885313" w:history="1">
        <w:r w:rsidRPr="00315B63">
          <w:rPr>
            <w:rStyle w:val="Hyperlink"/>
          </w:rPr>
          <w:t>1. Introduction</w:t>
        </w:r>
        <w:r w:rsidRPr="00315B63">
          <w:rPr>
            <w:webHidden/>
          </w:rPr>
          <w:tab/>
        </w:r>
        <w:r w:rsidRPr="00315B63">
          <w:rPr>
            <w:webHidden/>
          </w:rPr>
          <w:fldChar w:fldCharType="begin"/>
        </w:r>
        <w:r w:rsidRPr="00315B63">
          <w:rPr>
            <w:webHidden/>
          </w:rPr>
          <w:instrText xml:space="preserve"> PAGEREF _Toc233885313 \h </w:instrText>
        </w:r>
        <w:r w:rsidRPr="00315B63">
          <w:rPr>
            <w:webHidden/>
          </w:rPr>
        </w:r>
        <w:r w:rsidRPr="00315B63">
          <w:rPr>
            <w:webHidden/>
          </w:rPr>
          <w:fldChar w:fldCharType="separate"/>
        </w:r>
        <w:r w:rsidRPr="00315B63">
          <w:rPr>
            <w:webHidden/>
          </w:rPr>
          <w:t>3</w:t>
        </w:r>
        <w:r w:rsidRPr="00315B63">
          <w:rPr>
            <w:webHidden/>
          </w:rPr>
          <w:fldChar w:fldCharType="end"/>
        </w:r>
      </w:hyperlink>
    </w:p>
    <w:p w14:paraId="15DC73EE" w14:textId="374B0055" w:rsidR="00D57ABA" w:rsidRPr="00315B63" w:rsidRDefault="00D57ABA">
      <w:pPr>
        <w:pStyle w:val="TOC1"/>
        <w:tabs>
          <w:tab w:val="right" w:leader="dot" w:pos="9350"/>
        </w:tabs>
      </w:pPr>
      <w:hyperlink w:anchor="_Toc233885314" w:history="1">
        <w:r w:rsidRPr="00315B63">
          <w:rPr>
            <w:rStyle w:val="Hyperlink"/>
          </w:rPr>
          <w:t>2. Reflection on Importance of Principles</w:t>
        </w:r>
        <w:r w:rsidRPr="00315B63">
          <w:rPr>
            <w:webHidden/>
          </w:rPr>
          <w:tab/>
        </w:r>
        <w:r w:rsidRPr="00315B63">
          <w:rPr>
            <w:webHidden/>
          </w:rPr>
          <w:fldChar w:fldCharType="begin"/>
        </w:r>
        <w:r w:rsidRPr="00315B63">
          <w:rPr>
            <w:webHidden/>
          </w:rPr>
          <w:instrText xml:space="preserve"> PAGEREF _Toc233885314 \h </w:instrText>
        </w:r>
        <w:r w:rsidRPr="00315B63">
          <w:rPr>
            <w:webHidden/>
          </w:rPr>
        </w:r>
        <w:r w:rsidRPr="00315B63">
          <w:rPr>
            <w:webHidden/>
          </w:rPr>
          <w:fldChar w:fldCharType="separate"/>
        </w:r>
        <w:r w:rsidRPr="00315B63">
          <w:rPr>
            <w:webHidden/>
          </w:rPr>
          <w:t>3</w:t>
        </w:r>
        <w:r w:rsidRPr="00315B63">
          <w:rPr>
            <w:webHidden/>
          </w:rPr>
          <w:fldChar w:fldCharType="end"/>
        </w:r>
      </w:hyperlink>
    </w:p>
    <w:p w14:paraId="45582563" w14:textId="06AC78C3" w:rsidR="00D57ABA" w:rsidRPr="00315B63" w:rsidRDefault="00D57ABA">
      <w:pPr>
        <w:pStyle w:val="TOC2"/>
        <w:tabs>
          <w:tab w:val="right" w:leader="dot" w:pos="9350"/>
        </w:tabs>
      </w:pPr>
      <w:hyperlink w:anchor="_Toc233885315" w:history="1">
        <w:r w:rsidRPr="00315B63">
          <w:rPr>
            <w:rStyle w:val="Hyperlink"/>
          </w:rPr>
          <w:t>2.1 Academic Definitions</w:t>
        </w:r>
        <w:r w:rsidRPr="00315B63">
          <w:rPr>
            <w:webHidden/>
          </w:rPr>
          <w:tab/>
        </w:r>
        <w:r w:rsidRPr="00315B63">
          <w:rPr>
            <w:webHidden/>
          </w:rPr>
          <w:fldChar w:fldCharType="begin"/>
        </w:r>
        <w:r w:rsidRPr="00315B63">
          <w:rPr>
            <w:webHidden/>
          </w:rPr>
          <w:instrText xml:space="preserve"> PAGEREF _Toc233885315 \h </w:instrText>
        </w:r>
        <w:r w:rsidRPr="00315B63">
          <w:rPr>
            <w:webHidden/>
          </w:rPr>
        </w:r>
        <w:r w:rsidRPr="00315B63">
          <w:rPr>
            <w:webHidden/>
          </w:rPr>
          <w:fldChar w:fldCharType="separate"/>
        </w:r>
        <w:r w:rsidRPr="00315B63">
          <w:rPr>
            <w:webHidden/>
          </w:rPr>
          <w:t>3</w:t>
        </w:r>
        <w:r w:rsidRPr="00315B63">
          <w:rPr>
            <w:webHidden/>
          </w:rPr>
          <w:fldChar w:fldCharType="end"/>
        </w:r>
      </w:hyperlink>
    </w:p>
    <w:p w14:paraId="619F1C15" w14:textId="4F0A0A51" w:rsidR="00D57ABA" w:rsidRPr="00315B63" w:rsidRDefault="00D57ABA">
      <w:pPr>
        <w:pStyle w:val="TOC2"/>
        <w:tabs>
          <w:tab w:val="right" w:leader="dot" w:pos="9350"/>
        </w:tabs>
      </w:pPr>
      <w:hyperlink w:anchor="_Toc233885316" w:history="1">
        <w:r w:rsidRPr="00315B63">
          <w:rPr>
            <w:rStyle w:val="Hyperlink"/>
          </w:rPr>
          <w:t>2.2 Significance, Benefits, and Challenges</w:t>
        </w:r>
        <w:r w:rsidRPr="00315B63">
          <w:rPr>
            <w:webHidden/>
          </w:rPr>
          <w:tab/>
        </w:r>
        <w:r w:rsidRPr="00315B63">
          <w:rPr>
            <w:webHidden/>
          </w:rPr>
          <w:fldChar w:fldCharType="begin"/>
        </w:r>
        <w:r w:rsidRPr="00315B63">
          <w:rPr>
            <w:webHidden/>
          </w:rPr>
          <w:instrText xml:space="preserve"> PAGEREF _Toc233885316 \h </w:instrText>
        </w:r>
        <w:r w:rsidRPr="00315B63">
          <w:rPr>
            <w:webHidden/>
          </w:rPr>
        </w:r>
        <w:r w:rsidRPr="00315B63">
          <w:rPr>
            <w:webHidden/>
          </w:rPr>
          <w:fldChar w:fldCharType="separate"/>
        </w:r>
        <w:r w:rsidRPr="00315B63">
          <w:rPr>
            <w:webHidden/>
          </w:rPr>
          <w:t>3</w:t>
        </w:r>
        <w:r w:rsidRPr="00315B63">
          <w:rPr>
            <w:webHidden/>
          </w:rPr>
          <w:fldChar w:fldCharType="end"/>
        </w:r>
      </w:hyperlink>
    </w:p>
    <w:p w14:paraId="300538A8" w14:textId="1969A971" w:rsidR="00D57ABA" w:rsidRPr="00315B63" w:rsidRDefault="00D57ABA">
      <w:pPr>
        <w:pStyle w:val="TOC1"/>
        <w:tabs>
          <w:tab w:val="right" w:leader="dot" w:pos="9350"/>
        </w:tabs>
      </w:pPr>
      <w:hyperlink w:anchor="_Toc233885317" w:history="1">
        <w:r w:rsidRPr="00315B63">
          <w:rPr>
            <w:rStyle w:val="Hyperlink"/>
          </w:rPr>
          <w:t>2.3 Theoretical and Policy Integration</w:t>
        </w:r>
        <w:r w:rsidRPr="00315B63">
          <w:rPr>
            <w:webHidden/>
          </w:rPr>
          <w:tab/>
        </w:r>
        <w:r w:rsidRPr="00315B63">
          <w:rPr>
            <w:webHidden/>
          </w:rPr>
          <w:fldChar w:fldCharType="begin"/>
        </w:r>
        <w:r w:rsidRPr="00315B63">
          <w:rPr>
            <w:webHidden/>
          </w:rPr>
          <w:instrText xml:space="preserve"> PAGEREF _Toc233885317 \h </w:instrText>
        </w:r>
        <w:r w:rsidRPr="00315B63">
          <w:rPr>
            <w:webHidden/>
          </w:rPr>
        </w:r>
        <w:r w:rsidRPr="00315B63">
          <w:rPr>
            <w:webHidden/>
          </w:rPr>
          <w:fldChar w:fldCharType="separate"/>
        </w:r>
        <w:r w:rsidRPr="00315B63">
          <w:rPr>
            <w:webHidden/>
          </w:rPr>
          <w:t>3</w:t>
        </w:r>
        <w:r w:rsidRPr="00315B63">
          <w:rPr>
            <w:webHidden/>
          </w:rPr>
          <w:fldChar w:fldCharType="end"/>
        </w:r>
      </w:hyperlink>
    </w:p>
    <w:p w14:paraId="535B5581" w14:textId="6C2F23B9" w:rsidR="00D57ABA" w:rsidRPr="00315B63" w:rsidRDefault="00D57ABA">
      <w:pPr>
        <w:pStyle w:val="TOC1"/>
        <w:tabs>
          <w:tab w:val="right" w:leader="dot" w:pos="9350"/>
        </w:tabs>
      </w:pPr>
      <w:hyperlink w:anchor="_Toc233885318" w:history="1">
        <w:r w:rsidRPr="00315B63">
          <w:rPr>
            <w:rStyle w:val="Hyperlink"/>
          </w:rPr>
          <w:t>3 3. Practical Example in Practice</w:t>
        </w:r>
        <w:r w:rsidRPr="00315B63">
          <w:rPr>
            <w:webHidden/>
          </w:rPr>
          <w:tab/>
        </w:r>
        <w:r w:rsidRPr="00315B63">
          <w:rPr>
            <w:webHidden/>
          </w:rPr>
          <w:fldChar w:fldCharType="begin"/>
        </w:r>
        <w:r w:rsidRPr="00315B63">
          <w:rPr>
            <w:webHidden/>
          </w:rPr>
          <w:instrText xml:space="preserve"> PAGEREF _Toc233885318 \h </w:instrText>
        </w:r>
        <w:r w:rsidRPr="00315B63">
          <w:rPr>
            <w:webHidden/>
          </w:rPr>
        </w:r>
        <w:r w:rsidRPr="00315B63">
          <w:rPr>
            <w:webHidden/>
          </w:rPr>
          <w:fldChar w:fldCharType="separate"/>
        </w:r>
        <w:r w:rsidRPr="00315B63">
          <w:rPr>
            <w:webHidden/>
          </w:rPr>
          <w:t>4</w:t>
        </w:r>
        <w:r w:rsidRPr="00315B63">
          <w:rPr>
            <w:webHidden/>
          </w:rPr>
          <w:fldChar w:fldCharType="end"/>
        </w:r>
      </w:hyperlink>
    </w:p>
    <w:p w14:paraId="71EC12D9" w14:textId="5E17CAD3" w:rsidR="00D57ABA" w:rsidRPr="00315B63" w:rsidRDefault="00D57ABA">
      <w:pPr>
        <w:pStyle w:val="TOC1"/>
        <w:tabs>
          <w:tab w:val="right" w:leader="dot" w:pos="9350"/>
        </w:tabs>
      </w:pPr>
      <w:hyperlink w:anchor="_Toc233885319" w:history="1">
        <w:r w:rsidRPr="00315B63">
          <w:rPr>
            <w:rStyle w:val="Hyperlink"/>
          </w:rPr>
          <w:t>.1 Case Study: Joan's Story</w:t>
        </w:r>
        <w:r w:rsidRPr="00315B63">
          <w:rPr>
            <w:webHidden/>
          </w:rPr>
          <w:tab/>
        </w:r>
        <w:r w:rsidRPr="00315B63">
          <w:rPr>
            <w:webHidden/>
          </w:rPr>
          <w:fldChar w:fldCharType="begin"/>
        </w:r>
        <w:r w:rsidRPr="00315B63">
          <w:rPr>
            <w:webHidden/>
          </w:rPr>
          <w:instrText xml:space="preserve"> PAGEREF _Toc233885319 \h </w:instrText>
        </w:r>
        <w:r w:rsidRPr="00315B63">
          <w:rPr>
            <w:webHidden/>
          </w:rPr>
        </w:r>
        <w:r w:rsidRPr="00315B63">
          <w:rPr>
            <w:webHidden/>
          </w:rPr>
          <w:fldChar w:fldCharType="separate"/>
        </w:r>
        <w:r w:rsidRPr="00315B63">
          <w:rPr>
            <w:webHidden/>
          </w:rPr>
          <w:t>4</w:t>
        </w:r>
        <w:r w:rsidRPr="00315B63">
          <w:rPr>
            <w:webHidden/>
          </w:rPr>
          <w:fldChar w:fldCharType="end"/>
        </w:r>
      </w:hyperlink>
    </w:p>
    <w:p w14:paraId="089BF8A2" w14:textId="3A658B44" w:rsidR="00D57ABA" w:rsidRPr="00315B63" w:rsidRDefault="00D57ABA">
      <w:pPr>
        <w:pStyle w:val="TOC1"/>
        <w:tabs>
          <w:tab w:val="right" w:leader="dot" w:pos="9350"/>
        </w:tabs>
      </w:pPr>
      <w:hyperlink w:anchor="_Toc233885320" w:history="1">
        <w:r w:rsidRPr="00315B63">
          <w:rPr>
            <w:rStyle w:val="Hyperlink"/>
          </w:rPr>
          <w:t>3.2 Impact Analysis</w:t>
        </w:r>
        <w:r w:rsidRPr="00315B63">
          <w:rPr>
            <w:webHidden/>
          </w:rPr>
          <w:tab/>
        </w:r>
        <w:r w:rsidRPr="00315B63">
          <w:rPr>
            <w:webHidden/>
          </w:rPr>
          <w:fldChar w:fldCharType="begin"/>
        </w:r>
        <w:r w:rsidRPr="00315B63">
          <w:rPr>
            <w:webHidden/>
          </w:rPr>
          <w:instrText xml:space="preserve"> PAGEREF _Toc233885320 \h </w:instrText>
        </w:r>
        <w:r w:rsidRPr="00315B63">
          <w:rPr>
            <w:webHidden/>
          </w:rPr>
        </w:r>
        <w:r w:rsidRPr="00315B63">
          <w:rPr>
            <w:webHidden/>
          </w:rPr>
          <w:fldChar w:fldCharType="separate"/>
        </w:r>
        <w:r w:rsidRPr="00315B63">
          <w:rPr>
            <w:webHidden/>
          </w:rPr>
          <w:t>5</w:t>
        </w:r>
        <w:r w:rsidRPr="00315B63">
          <w:rPr>
            <w:webHidden/>
          </w:rPr>
          <w:fldChar w:fldCharType="end"/>
        </w:r>
      </w:hyperlink>
    </w:p>
    <w:p w14:paraId="629E249C" w14:textId="634FD6EF" w:rsidR="00D57ABA" w:rsidRPr="00315B63" w:rsidRDefault="00D57ABA">
      <w:pPr>
        <w:pStyle w:val="TOC2"/>
        <w:tabs>
          <w:tab w:val="right" w:leader="dot" w:pos="9350"/>
        </w:tabs>
      </w:pPr>
      <w:hyperlink w:anchor="_Toc233885321" w:history="1">
        <w:r w:rsidRPr="00315B63">
          <w:rPr>
            <w:rStyle w:val="Hyperlink"/>
          </w:rPr>
          <w:t>3.3 Overcoming Barriers with Frameworks</w:t>
        </w:r>
        <w:r w:rsidRPr="00315B63">
          <w:rPr>
            <w:webHidden/>
          </w:rPr>
          <w:tab/>
        </w:r>
        <w:r w:rsidRPr="00315B63">
          <w:rPr>
            <w:webHidden/>
          </w:rPr>
          <w:fldChar w:fldCharType="begin"/>
        </w:r>
        <w:r w:rsidRPr="00315B63">
          <w:rPr>
            <w:webHidden/>
          </w:rPr>
          <w:instrText xml:space="preserve"> PAGEREF _Toc233885321 \h </w:instrText>
        </w:r>
        <w:r w:rsidRPr="00315B63">
          <w:rPr>
            <w:webHidden/>
          </w:rPr>
        </w:r>
        <w:r w:rsidRPr="00315B63">
          <w:rPr>
            <w:webHidden/>
          </w:rPr>
          <w:fldChar w:fldCharType="separate"/>
        </w:r>
        <w:r w:rsidRPr="00315B63">
          <w:rPr>
            <w:webHidden/>
          </w:rPr>
          <w:t>5</w:t>
        </w:r>
        <w:r w:rsidRPr="00315B63">
          <w:rPr>
            <w:webHidden/>
          </w:rPr>
          <w:fldChar w:fldCharType="end"/>
        </w:r>
      </w:hyperlink>
    </w:p>
    <w:p w14:paraId="67EF52A1" w14:textId="4E2100DD" w:rsidR="00D57ABA" w:rsidRPr="00315B63" w:rsidRDefault="00D57ABA">
      <w:pPr>
        <w:pStyle w:val="TOC1"/>
        <w:tabs>
          <w:tab w:val="right" w:leader="dot" w:pos="9350"/>
        </w:tabs>
      </w:pPr>
      <w:hyperlink w:anchor="_Toc233885322" w:history="1">
        <w:r w:rsidRPr="00315B63">
          <w:rPr>
            <w:rStyle w:val="Hyperlink"/>
          </w:rPr>
          <w:t>4. Self-Reflection</w:t>
        </w:r>
        <w:r w:rsidRPr="00315B63">
          <w:rPr>
            <w:webHidden/>
          </w:rPr>
          <w:tab/>
        </w:r>
        <w:r w:rsidRPr="00315B63">
          <w:rPr>
            <w:webHidden/>
          </w:rPr>
          <w:fldChar w:fldCharType="begin"/>
        </w:r>
        <w:r w:rsidRPr="00315B63">
          <w:rPr>
            <w:webHidden/>
          </w:rPr>
          <w:instrText xml:space="preserve"> PAGEREF _Toc233885322 \h </w:instrText>
        </w:r>
        <w:r w:rsidRPr="00315B63">
          <w:rPr>
            <w:webHidden/>
          </w:rPr>
        </w:r>
        <w:r w:rsidRPr="00315B63">
          <w:rPr>
            <w:webHidden/>
          </w:rPr>
          <w:fldChar w:fldCharType="separate"/>
        </w:r>
        <w:r w:rsidRPr="00315B63">
          <w:rPr>
            <w:webHidden/>
          </w:rPr>
          <w:t>5</w:t>
        </w:r>
        <w:r w:rsidRPr="00315B63">
          <w:rPr>
            <w:webHidden/>
          </w:rPr>
          <w:fldChar w:fldCharType="end"/>
        </w:r>
      </w:hyperlink>
    </w:p>
    <w:p w14:paraId="6341E226" w14:textId="02699635" w:rsidR="00D57ABA" w:rsidRPr="00315B63" w:rsidRDefault="00D57ABA">
      <w:pPr>
        <w:pStyle w:val="TOC2"/>
        <w:tabs>
          <w:tab w:val="right" w:leader="dot" w:pos="9350"/>
        </w:tabs>
      </w:pPr>
      <w:hyperlink w:anchor="_Toc233885323" w:history="1">
        <w:r w:rsidRPr="00315B63">
          <w:rPr>
            <w:rStyle w:val="Hyperlink"/>
          </w:rPr>
          <w:t>4.1 Gibbs' Reflective Cycle Application</w:t>
        </w:r>
        <w:r w:rsidRPr="00315B63">
          <w:rPr>
            <w:webHidden/>
          </w:rPr>
          <w:tab/>
        </w:r>
        <w:r w:rsidRPr="00315B63">
          <w:rPr>
            <w:webHidden/>
          </w:rPr>
          <w:fldChar w:fldCharType="begin"/>
        </w:r>
        <w:r w:rsidRPr="00315B63">
          <w:rPr>
            <w:webHidden/>
          </w:rPr>
          <w:instrText xml:space="preserve"> PAGEREF _Toc233885323 \h </w:instrText>
        </w:r>
        <w:r w:rsidRPr="00315B63">
          <w:rPr>
            <w:webHidden/>
          </w:rPr>
        </w:r>
        <w:r w:rsidRPr="00315B63">
          <w:rPr>
            <w:webHidden/>
          </w:rPr>
          <w:fldChar w:fldCharType="separate"/>
        </w:r>
        <w:r w:rsidRPr="00315B63">
          <w:rPr>
            <w:webHidden/>
          </w:rPr>
          <w:t>5</w:t>
        </w:r>
        <w:r w:rsidRPr="00315B63">
          <w:rPr>
            <w:webHidden/>
          </w:rPr>
          <w:fldChar w:fldCharType="end"/>
        </w:r>
      </w:hyperlink>
    </w:p>
    <w:p w14:paraId="718DA8B7" w14:textId="4326E2CF" w:rsidR="00D57ABA" w:rsidRPr="00315B63" w:rsidRDefault="00D57ABA">
      <w:pPr>
        <w:pStyle w:val="TOC2"/>
        <w:tabs>
          <w:tab w:val="right" w:leader="dot" w:pos="9350"/>
        </w:tabs>
      </w:pPr>
      <w:hyperlink w:anchor="_Toc233885324" w:history="1">
        <w:r w:rsidRPr="00315B63">
          <w:rPr>
            <w:rStyle w:val="Hyperlink"/>
          </w:rPr>
          <w:t>4.2 Strengths and Gaps Analysis</w:t>
        </w:r>
        <w:r w:rsidRPr="00315B63">
          <w:rPr>
            <w:webHidden/>
          </w:rPr>
          <w:tab/>
        </w:r>
        <w:r w:rsidRPr="00315B63">
          <w:rPr>
            <w:webHidden/>
          </w:rPr>
          <w:fldChar w:fldCharType="begin"/>
        </w:r>
        <w:r w:rsidRPr="00315B63">
          <w:rPr>
            <w:webHidden/>
          </w:rPr>
          <w:instrText xml:space="preserve"> PAGEREF _Toc233885324 \h </w:instrText>
        </w:r>
        <w:r w:rsidRPr="00315B63">
          <w:rPr>
            <w:webHidden/>
          </w:rPr>
        </w:r>
        <w:r w:rsidRPr="00315B63">
          <w:rPr>
            <w:webHidden/>
          </w:rPr>
          <w:fldChar w:fldCharType="separate"/>
        </w:r>
        <w:r w:rsidRPr="00315B63">
          <w:rPr>
            <w:webHidden/>
          </w:rPr>
          <w:t>6</w:t>
        </w:r>
        <w:r w:rsidRPr="00315B63">
          <w:rPr>
            <w:webHidden/>
          </w:rPr>
          <w:fldChar w:fldCharType="end"/>
        </w:r>
      </w:hyperlink>
    </w:p>
    <w:p w14:paraId="628E574F" w14:textId="08C1CE96" w:rsidR="00D57ABA" w:rsidRPr="00315B63" w:rsidRDefault="00D57ABA">
      <w:pPr>
        <w:pStyle w:val="TOC1"/>
        <w:tabs>
          <w:tab w:val="right" w:leader="dot" w:pos="9350"/>
        </w:tabs>
      </w:pPr>
      <w:hyperlink w:anchor="_Toc233885325" w:history="1">
        <w:r w:rsidRPr="00315B63">
          <w:rPr>
            <w:rStyle w:val="Hyperlink"/>
          </w:rPr>
          <w:t>4.3 Future Action Plan and CPD</w:t>
        </w:r>
        <w:r w:rsidRPr="00315B63">
          <w:rPr>
            <w:webHidden/>
          </w:rPr>
          <w:tab/>
        </w:r>
        <w:r w:rsidRPr="00315B63">
          <w:rPr>
            <w:webHidden/>
          </w:rPr>
          <w:fldChar w:fldCharType="begin"/>
        </w:r>
        <w:r w:rsidRPr="00315B63">
          <w:rPr>
            <w:webHidden/>
          </w:rPr>
          <w:instrText xml:space="preserve"> PAGEREF _Toc233885325 \h </w:instrText>
        </w:r>
        <w:r w:rsidRPr="00315B63">
          <w:rPr>
            <w:webHidden/>
          </w:rPr>
        </w:r>
        <w:r w:rsidRPr="00315B63">
          <w:rPr>
            <w:webHidden/>
          </w:rPr>
          <w:fldChar w:fldCharType="separate"/>
        </w:r>
        <w:r w:rsidRPr="00315B63">
          <w:rPr>
            <w:webHidden/>
          </w:rPr>
          <w:t>7</w:t>
        </w:r>
        <w:r w:rsidRPr="00315B63">
          <w:rPr>
            <w:webHidden/>
          </w:rPr>
          <w:fldChar w:fldCharType="end"/>
        </w:r>
      </w:hyperlink>
    </w:p>
    <w:p w14:paraId="09B86205" w14:textId="561EDBD1" w:rsidR="00D57ABA" w:rsidRPr="00315B63" w:rsidRDefault="00D57ABA">
      <w:pPr>
        <w:pStyle w:val="TOC1"/>
        <w:tabs>
          <w:tab w:val="right" w:leader="dot" w:pos="9350"/>
        </w:tabs>
      </w:pPr>
      <w:hyperlink w:anchor="_Toc233885326" w:history="1">
        <w:r w:rsidRPr="00315B63">
          <w:rPr>
            <w:rStyle w:val="Hyperlink"/>
          </w:rPr>
          <w:t>5. Conclusion</w:t>
        </w:r>
        <w:r w:rsidRPr="00315B63">
          <w:rPr>
            <w:webHidden/>
          </w:rPr>
          <w:tab/>
        </w:r>
        <w:r w:rsidRPr="00315B63">
          <w:rPr>
            <w:webHidden/>
          </w:rPr>
          <w:fldChar w:fldCharType="begin"/>
        </w:r>
        <w:r w:rsidRPr="00315B63">
          <w:rPr>
            <w:webHidden/>
          </w:rPr>
          <w:instrText xml:space="preserve"> PAGEREF _Toc233885326 \h </w:instrText>
        </w:r>
        <w:r w:rsidRPr="00315B63">
          <w:rPr>
            <w:webHidden/>
          </w:rPr>
        </w:r>
        <w:r w:rsidRPr="00315B63">
          <w:rPr>
            <w:webHidden/>
          </w:rPr>
          <w:fldChar w:fldCharType="separate"/>
        </w:r>
        <w:r w:rsidRPr="00315B63">
          <w:rPr>
            <w:webHidden/>
          </w:rPr>
          <w:t>7</w:t>
        </w:r>
        <w:r w:rsidRPr="00315B63">
          <w:rPr>
            <w:webHidden/>
          </w:rPr>
          <w:fldChar w:fldCharType="end"/>
        </w:r>
      </w:hyperlink>
    </w:p>
    <w:p w14:paraId="01951803" w14:textId="566C2140" w:rsidR="00D57ABA" w:rsidRPr="00315B63" w:rsidRDefault="00D57ABA">
      <w:pPr>
        <w:pStyle w:val="TOC1"/>
        <w:tabs>
          <w:tab w:val="right" w:leader="dot" w:pos="9350"/>
        </w:tabs>
      </w:pPr>
      <w:hyperlink w:anchor="_Toc233885327" w:history="1">
        <w:r w:rsidRPr="00315B63">
          <w:rPr>
            <w:rStyle w:val="Hyperlink"/>
          </w:rPr>
          <w:t>6. Reference List</w:t>
        </w:r>
        <w:r w:rsidRPr="00315B63">
          <w:rPr>
            <w:webHidden/>
          </w:rPr>
          <w:tab/>
        </w:r>
        <w:r w:rsidRPr="00315B63">
          <w:rPr>
            <w:webHidden/>
          </w:rPr>
          <w:fldChar w:fldCharType="begin"/>
        </w:r>
        <w:r w:rsidRPr="00315B63">
          <w:rPr>
            <w:webHidden/>
          </w:rPr>
          <w:instrText xml:space="preserve"> PAGEREF _Toc233885327 \h </w:instrText>
        </w:r>
        <w:r w:rsidRPr="00315B63">
          <w:rPr>
            <w:webHidden/>
          </w:rPr>
        </w:r>
        <w:r w:rsidRPr="00315B63">
          <w:rPr>
            <w:webHidden/>
          </w:rPr>
          <w:fldChar w:fldCharType="separate"/>
        </w:r>
        <w:r w:rsidRPr="00315B63">
          <w:rPr>
            <w:webHidden/>
          </w:rPr>
          <w:t>7</w:t>
        </w:r>
        <w:r w:rsidRPr="00315B63">
          <w:rPr>
            <w:webHidden/>
          </w:rPr>
          <w:fldChar w:fldCharType="end"/>
        </w:r>
      </w:hyperlink>
    </w:p>
    <w:p w14:paraId="422B46F9" w14:textId="4FC6D56C" w:rsidR="00D57ABA" w:rsidRPr="00315B63" w:rsidRDefault="00D57ABA">
      <w:r w:rsidRPr="00315B63">
        <w:rPr>
          <w:b/>
          <w:bCs/>
        </w:rPr>
        <w:fldChar w:fldCharType="end"/>
      </w:r>
    </w:p>
    <w:p w14:paraId="428FF3C8" w14:textId="77777777" w:rsidR="00D12DE8" w:rsidRPr="00315B63" w:rsidRDefault="00D12DE8">
      <w:pPr>
        <w:spacing w:line="360" w:lineRule="auto"/>
      </w:pPr>
    </w:p>
    <w:p w14:paraId="639F9045" w14:textId="77777777" w:rsidR="001F2D12" w:rsidRPr="00315B63" w:rsidRDefault="001F2D12">
      <w:pPr>
        <w:spacing w:line="360" w:lineRule="auto"/>
      </w:pPr>
    </w:p>
    <w:p w14:paraId="3484B7B4" w14:textId="126D322C" w:rsidR="00D12DE8" w:rsidRPr="00DB7DB6" w:rsidRDefault="00DD5462" w:rsidP="00DB7DB6">
      <w:pPr>
        <w:pStyle w:val="Heading1"/>
        <w:spacing w:line="360" w:lineRule="auto"/>
        <w:rPr>
          <w:rFonts w:ascii="Arial" w:hAnsi="Arial" w:cs="Arial"/>
        </w:rPr>
      </w:pPr>
      <w:r w:rsidRPr="00DB7DB6">
        <w:rPr>
          <w:rFonts w:ascii="Arial" w:hAnsi="Arial" w:cs="Arial"/>
        </w:rPr>
        <w:lastRenderedPageBreak/>
        <w:t xml:space="preserve">  1</w:t>
      </w:r>
      <w:bookmarkStart w:id="0" w:name="_Toc233885313"/>
      <w:r w:rsidRPr="00DB7DB6">
        <w:rPr>
          <w:rFonts w:ascii="Arial" w:hAnsi="Arial" w:cs="Arial"/>
        </w:rPr>
        <w:t>. Introduction</w:t>
      </w:r>
      <w:bookmarkEnd w:id="0"/>
    </w:p>
    <w:p w14:paraId="628830EE" w14:textId="42D6DD58" w:rsidR="00D12DE8" w:rsidRPr="00DB7DB6" w:rsidRDefault="006D7201" w:rsidP="00DB7DB6">
      <w:pPr>
        <w:spacing w:line="360" w:lineRule="auto"/>
        <w:rPr>
          <w:rFonts w:ascii="Arial" w:hAnsi="Arial" w:cs="Arial"/>
        </w:rPr>
      </w:pPr>
      <w:r w:rsidRPr="00DB7DB6">
        <w:rPr>
          <w:rFonts w:ascii="Arial" w:hAnsi="Arial" w:cs="Arial"/>
        </w:rPr>
        <w:t xml:space="preserve">This reflective study critically examines the core ideas that underpin modern health and social care practice in the United Kingdom. </w:t>
      </w:r>
      <w:r w:rsidR="00E4211A" w:rsidRPr="00DB7DB6">
        <w:rPr>
          <w:rFonts w:ascii="Arial" w:hAnsi="Arial" w:cs="Arial"/>
        </w:rPr>
        <w:t>It</w:t>
      </w:r>
      <w:r w:rsidRPr="00DB7DB6">
        <w:rPr>
          <w:rFonts w:ascii="Arial" w:hAnsi="Arial" w:cs="Arial"/>
        </w:rPr>
        <w:t xml:space="preserve"> assesses the operational difficulties, systemic value, and structural implementation of Partnership Working (PW), Person-Centred Care (PCC), and the fundamental ethical underpinnings supporting these paradigms. These pillars serve as the unquestionable cornerstone of contemporary service delivery, ensuring fair, respectable, and secure care across all sectors, as shown by the statutory requirements under the Care Act 2014 and the operational designs of Integrated Care Systems (ICSs).</w:t>
      </w:r>
      <w:r w:rsidR="00F11CDE" w:rsidRPr="00DB7DB6">
        <w:rPr>
          <w:rFonts w:ascii="Arial" w:hAnsi="Arial" w:cs="Arial"/>
        </w:rPr>
        <w:t xml:space="preserve"> This research applies these fundamental ideas to the NHS England case study, Joan's Story, to close the gap between theoretical frameworks and frontline practical reality. This story illustrates how a person's treatment pathway can be significantly altered by switching from a disjointed, paternalistic medical model to an integrated, multi-agency approach. Additionally, the research critically evaluates the ways in which systemic barriers can be mitigated, regional health disparities can be effectively reduced, and holistic patient outcomes can be optimised through focused patient activation, autonomy promotion, and organised multidisciplinary cooperation. In the end, this reflection outlines the shift necessary to become a highly reflective, collaborative practitioner and acts as a vehicle for personal professional development.</w:t>
      </w:r>
      <w:r w:rsidRPr="00DB7DB6">
        <w:rPr>
          <w:rFonts w:ascii="Arial" w:hAnsi="Arial" w:cs="Arial"/>
        </w:rPr>
        <w:t xml:space="preserve"> </w:t>
      </w:r>
    </w:p>
    <w:p w14:paraId="1DCA11AD" w14:textId="24534418" w:rsidR="00D12DE8" w:rsidRPr="00DB7DB6" w:rsidRDefault="00DD5462" w:rsidP="00DB7DB6">
      <w:pPr>
        <w:pStyle w:val="Heading1"/>
        <w:spacing w:line="360" w:lineRule="auto"/>
        <w:rPr>
          <w:rFonts w:ascii="Arial" w:hAnsi="Arial" w:cs="Arial"/>
        </w:rPr>
      </w:pPr>
      <w:r w:rsidRPr="00DB7DB6">
        <w:rPr>
          <w:rFonts w:ascii="Arial" w:hAnsi="Arial" w:cs="Arial"/>
        </w:rPr>
        <w:t xml:space="preserve"> </w:t>
      </w:r>
      <w:bookmarkStart w:id="1" w:name="_Toc233885314"/>
      <w:r w:rsidRPr="00DB7DB6">
        <w:rPr>
          <w:rFonts w:ascii="Arial" w:hAnsi="Arial" w:cs="Arial"/>
        </w:rPr>
        <w:t>2. Reflection on Importance of Principles</w:t>
      </w:r>
      <w:bookmarkEnd w:id="1"/>
    </w:p>
    <w:p w14:paraId="6C14CCF2" w14:textId="6FAA1D2A" w:rsidR="00D12DE8" w:rsidRPr="00DB7DB6" w:rsidRDefault="00DD5462" w:rsidP="00DB7DB6">
      <w:pPr>
        <w:pStyle w:val="Subtitle"/>
        <w:spacing w:line="360" w:lineRule="auto"/>
        <w:jc w:val="left"/>
        <w:rPr>
          <w:rFonts w:ascii="Arial" w:hAnsi="Arial" w:cs="Arial"/>
        </w:rPr>
      </w:pPr>
      <w:r w:rsidRPr="00DB7DB6">
        <w:rPr>
          <w:rFonts w:ascii="Arial" w:hAnsi="Arial" w:cs="Arial"/>
        </w:rPr>
        <w:t xml:space="preserve"> </w:t>
      </w:r>
      <w:bookmarkStart w:id="2" w:name="_Toc233885315"/>
      <w:r w:rsidRPr="00DB7DB6">
        <w:rPr>
          <w:rFonts w:ascii="Arial" w:hAnsi="Arial" w:cs="Arial"/>
        </w:rPr>
        <w:t>2.1 Academic Definitions</w:t>
      </w:r>
      <w:bookmarkEnd w:id="2"/>
    </w:p>
    <w:p w14:paraId="75075B78" w14:textId="1D541EC0" w:rsidR="00D12DE8" w:rsidRPr="00DB7DB6" w:rsidRDefault="00DD5462" w:rsidP="00DB7DB6">
      <w:pPr>
        <w:spacing w:line="360" w:lineRule="auto"/>
        <w:rPr>
          <w:rFonts w:ascii="Arial" w:hAnsi="Arial" w:cs="Arial"/>
        </w:rPr>
      </w:pPr>
      <w:r w:rsidRPr="00DB7DB6">
        <w:rPr>
          <w:rFonts w:ascii="Arial" w:hAnsi="Arial" w:cs="Arial"/>
        </w:rPr>
        <w:t>Here in this section, Definitions pertaining to the report which includes Person-</w:t>
      </w:r>
      <w:r w:rsidR="00CA5605" w:rsidRPr="00DB7DB6">
        <w:rPr>
          <w:rFonts w:ascii="Arial" w:hAnsi="Arial" w:cs="Arial"/>
        </w:rPr>
        <w:t>Centred</w:t>
      </w:r>
      <w:r w:rsidRPr="00DB7DB6">
        <w:rPr>
          <w:rFonts w:ascii="Arial" w:hAnsi="Arial" w:cs="Arial"/>
        </w:rPr>
        <w:t xml:space="preserve"> Care (PCC), Partnership Working (PW) as well as Ethics are explored. </w:t>
      </w:r>
    </w:p>
    <w:p w14:paraId="364CF8AA" w14:textId="279B1FB9" w:rsidR="00D12DE8" w:rsidRPr="00DB7DB6" w:rsidRDefault="00DD5462" w:rsidP="00DB7DB6">
      <w:pPr>
        <w:spacing w:line="360" w:lineRule="auto"/>
        <w:rPr>
          <w:rFonts w:ascii="Arial" w:hAnsi="Arial" w:cs="Arial"/>
        </w:rPr>
      </w:pPr>
      <w:r w:rsidRPr="00DB7DB6">
        <w:rPr>
          <w:rFonts w:ascii="Arial" w:hAnsi="Arial" w:cs="Arial"/>
        </w:rPr>
        <w:t xml:space="preserve"> According to </w:t>
      </w:r>
      <w:r w:rsidR="00B01C7A" w:rsidRPr="00DB7DB6">
        <w:rPr>
          <w:rFonts w:ascii="Arial" w:hAnsi="Arial" w:cs="Arial"/>
        </w:rPr>
        <w:t>the National</w:t>
      </w:r>
      <w:r w:rsidRPr="00DB7DB6">
        <w:rPr>
          <w:rFonts w:ascii="Arial" w:hAnsi="Arial" w:cs="Arial"/>
        </w:rPr>
        <w:t xml:space="preserve"> Institute for Health and Care Excellence [NICE] (2021), Personal-</w:t>
      </w:r>
      <w:r w:rsidR="00CA5605" w:rsidRPr="00DB7DB6">
        <w:rPr>
          <w:rFonts w:ascii="Arial" w:hAnsi="Arial" w:cs="Arial"/>
        </w:rPr>
        <w:t>Centred</w:t>
      </w:r>
      <w:r w:rsidRPr="00DB7DB6">
        <w:rPr>
          <w:rFonts w:ascii="Arial" w:hAnsi="Arial" w:cs="Arial"/>
        </w:rPr>
        <w:t xml:space="preserve"> Care (PCC) is a care delivery guiding principles that moves away from treating patients as passive individuals of medical interventions to positioning them as equal partners in the planning, development, as well as monitoring of their care to meet their specific needs.</w:t>
      </w:r>
    </w:p>
    <w:p w14:paraId="41EC6527" w14:textId="77777777" w:rsidR="00D12DE8" w:rsidRPr="00DB7DB6" w:rsidRDefault="00DD5462" w:rsidP="00DB7DB6">
      <w:pPr>
        <w:spacing w:line="360" w:lineRule="auto"/>
        <w:rPr>
          <w:rFonts w:ascii="Arial" w:hAnsi="Arial" w:cs="Arial"/>
        </w:rPr>
      </w:pPr>
      <w:r w:rsidRPr="00DB7DB6">
        <w:rPr>
          <w:rFonts w:ascii="Arial" w:hAnsi="Arial" w:cs="Arial"/>
        </w:rPr>
        <w:t xml:space="preserve"> In addition, Partnership Working (PW) is the collaborative alliance between distinct professional agencies, multidisciplinary teams, service users, and their carers (Social Care Institute for Excellence [SCIE], 2022). In the contemporary UK landscape, this is structurally unified through Integrated Care Systems (ICSs), which bind NHS bodies, local councils, and voluntary sectors together.</w:t>
      </w:r>
    </w:p>
    <w:p w14:paraId="24F16961" w14:textId="66D8FA7B" w:rsidR="00D12DE8" w:rsidRPr="00DB7DB6" w:rsidRDefault="00DD5462" w:rsidP="00DB7DB6">
      <w:pPr>
        <w:spacing w:line="360" w:lineRule="auto"/>
        <w:rPr>
          <w:rFonts w:ascii="Arial" w:hAnsi="Arial" w:cs="Arial"/>
        </w:rPr>
      </w:pPr>
      <w:r w:rsidRPr="00DB7DB6">
        <w:rPr>
          <w:rFonts w:ascii="Arial" w:hAnsi="Arial" w:cs="Arial"/>
        </w:rPr>
        <w:lastRenderedPageBreak/>
        <w:t xml:space="preserve"> Ethics: The systematized framework of moral principles</w:t>
      </w:r>
      <w:r w:rsidR="00B01C7A" w:rsidRPr="00DB7DB6">
        <w:rPr>
          <w:rFonts w:ascii="Arial" w:hAnsi="Arial" w:cs="Arial"/>
        </w:rPr>
        <w:t xml:space="preserve"> </w:t>
      </w:r>
      <w:r w:rsidRPr="00DB7DB6">
        <w:rPr>
          <w:rFonts w:ascii="Arial" w:hAnsi="Arial" w:cs="Arial"/>
        </w:rPr>
        <w:t>principally autonomy, beneficence, non-maleficence, and justice</w:t>
      </w:r>
      <w:r w:rsidR="00B01C7A" w:rsidRPr="00DB7DB6">
        <w:rPr>
          <w:rFonts w:ascii="Arial" w:hAnsi="Arial" w:cs="Arial"/>
        </w:rPr>
        <w:t xml:space="preserve"> </w:t>
      </w:r>
      <w:r w:rsidRPr="00DB7DB6">
        <w:rPr>
          <w:rFonts w:ascii="Arial" w:hAnsi="Arial" w:cs="Arial"/>
        </w:rPr>
        <w:t>that governs clinical decision-making and safeguards service user rights (Health and Care Professions Council [HCPC], 2024).</w:t>
      </w:r>
    </w:p>
    <w:p w14:paraId="5C646A67" w14:textId="45C2202B" w:rsidR="00D12DE8" w:rsidRPr="00DB7DB6" w:rsidRDefault="00DD5462" w:rsidP="00DB7DB6">
      <w:pPr>
        <w:pStyle w:val="Subtitle"/>
        <w:spacing w:line="360" w:lineRule="auto"/>
        <w:jc w:val="left"/>
        <w:rPr>
          <w:rFonts w:ascii="Arial" w:hAnsi="Arial" w:cs="Arial"/>
        </w:rPr>
      </w:pPr>
      <w:r w:rsidRPr="00DB7DB6">
        <w:rPr>
          <w:rFonts w:ascii="Arial" w:hAnsi="Arial" w:cs="Arial"/>
        </w:rPr>
        <w:t xml:space="preserve"> </w:t>
      </w:r>
      <w:bookmarkStart w:id="3" w:name="_Toc233885316"/>
      <w:r w:rsidRPr="00DB7DB6">
        <w:rPr>
          <w:rFonts w:ascii="Arial" w:hAnsi="Arial" w:cs="Arial"/>
        </w:rPr>
        <w:t>2.2 Significance, Benefits, and Challenges</w:t>
      </w:r>
      <w:bookmarkEnd w:id="3"/>
    </w:p>
    <w:p w14:paraId="1352EC27" w14:textId="77777777" w:rsidR="00D12DE8" w:rsidRPr="00DB7DB6" w:rsidRDefault="00DD5462" w:rsidP="00DB7DB6">
      <w:pPr>
        <w:spacing w:line="360" w:lineRule="auto"/>
        <w:rPr>
          <w:rFonts w:ascii="Arial" w:hAnsi="Arial" w:cs="Arial"/>
        </w:rPr>
      </w:pPr>
      <w:r w:rsidRPr="00DB7DB6">
        <w:rPr>
          <w:rFonts w:ascii="Arial" w:hAnsi="Arial" w:cs="Arial"/>
        </w:rPr>
        <w:t>The integration of these core principles is vital for securing optimal clinical and psychological outcomes. The primary benefits include elevated service user dignity, increased patient adherence to treatment regimens, and the realization of seamless, uninterrupted transitions across different sectors of care.</w:t>
      </w:r>
    </w:p>
    <w:p w14:paraId="6F3A5BDF" w14:textId="67764656" w:rsidR="00D12DE8" w:rsidRPr="00DB7DB6" w:rsidRDefault="00DD5462" w:rsidP="00DB7DB6">
      <w:pPr>
        <w:spacing w:line="360" w:lineRule="auto"/>
        <w:rPr>
          <w:rFonts w:ascii="Arial" w:hAnsi="Arial" w:cs="Arial"/>
        </w:rPr>
      </w:pPr>
      <w:r w:rsidRPr="00DB7DB6">
        <w:rPr>
          <w:rFonts w:ascii="Arial" w:hAnsi="Arial" w:cs="Arial"/>
        </w:rPr>
        <w:t>However, systemic barriers frequently disrupt implementation. Chronic staffing shortages across the NHS and social care sectors limit the time professionals can dedicate to establishing meaningful person-</w:t>
      </w:r>
      <w:r w:rsidR="002E2563" w:rsidRPr="00DB7DB6">
        <w:rPr>
          <w:rFonts w:ascii="Arial" w:hAnsi="Arial" w:cs="Arial"/>
        </w:rPr>
        <w:t>cantered</w:t>
      </w:r>
      <w:r w:rsidRPr="00DB7DB6">
        <w:rPr>
          <w:rFonts w:ascii="Arial" w:hAnsi="Arial" w:cs="Arial"/>
        </w:rPr>
        <w:t xml:space="preserve"> relationships. Furthermore, organizational </w:t>
      </w:r>
      <w:r w:rsidR="00213510" w:rsidRPr="00DB7DB6">
        <w:rPr>
          <w:rFonts w:ascii="Arial" w:hAnsi="Arial" w:cs="Arial"/>
        </w:rPr>
        <w:t>silos</w:t>
      </w:r>
      <w:r w:rsidRPr="00DB7DB6">
        <w:rPr>
          <w:rFonts w:ascii="Arial" w:hAnsi="Arial" w:cs="Arial"/>
        </w:rPr>
        <w:t xml:space="preserve"> and incompatible information technology infrastructures present recurring communication breakdowns across agencies, while strict resource limitations can compromise ethical equity and restrict service access.</w:t>
      </w:r>
    </w:p>
    <w:p w14:paraId="2CE373B2" w14:textId="223DBE50" w:rsidR="00D12DE8" w:rsidRPr="00DB7DB6" w:rsidRDefault="00DD5462" w:rsidP="00DB7DB6">
      <w:pPr>
        <w:pStyle w:val="Heading1"/>
        <w:spacing w:line="360" w:lineRule="auto"/>
        <w:rPr>
          <w:rFonts w:ascii="Arial" w:hAnsi="Arial" w:cs="Arial"/>
        </w:rPr>
      </w:pPr>
      <w:r w:rsidRPr="00DB7DB6">
        <w:rPr>
          <w:rFonts w:ascii="Arial" w:hAnsi="Arial" w:cs="Arial"/>
        </w:rPr>
        <w:t xml:space="preserve"> </w:t>
      </w:r>
      <w:bookmarkStart w:id="4" w:name="_Toc233885317"/>
      <w:r w:rsidRPr="00DB7DB6">
        <w:rPr>
          <w:rFonts w:ascii="Arial" w:hAnsi="Arial" w:cs="Arial"/>
        </w:rPr>
        <w:t>2.3 Theoretical and Policy Integration</w:t>
      </w:r>
      <w:bookmarkEnd w:id="4"/>
    </w:p>
    <w:p w14:paraId="2CDA4CE8" w14:textId="321985C0" w:rsidR="00D12DE8" w:rsidRPr="00DB7DB6" w:rsidRDefault="00DD5462" w:rsidP="00DB7DB6">
      <w:pPr>
        <w:spacing w:line="360" w:lineRule="auto"/>
        <w:rPr>
          <w:rFonts w:ascii="Arial" w:hAnsi="Arial" w:cs="Arial"/>
        </w:rPr>
      </w:pPr>
      <w:r w:rsidRPr="00DB7DB6">
        <w:rPr>
          <w:rFonts w:ascii="Arial" w:hAnsi="Arial" w:cs="Arial"/>
        </w:rPr>
        <w:t>To understand the deep significance of person-</w:t>
      </w:r>
      <w:r w:rsidR="002E2563" w:rsidRPr="00DB7DB6">
        <w:rPr>
          <w:rFonts w:ascii="Arial" w:hAnsi="Arial" w:cs="Arial"/>
        </w:rPr>
        <w:t>cantered</w:t>
      </w:r>
      <w:r w:rsidRPr="00DB7DB6">
        <w:rPr>
          <w:rFonts w:ascii="Arial" w:hAnsi="Arial" w:cs="Arial"/>
        </w:rPr>
        <w:t xml:space="preserve"> care, it can be mapped directly to Maslow’s Hierarchy of Needs (1943), which dictates that clinical recovery is fundamentally hindered if a service user's foundational safety, belonging, and emotional needs are left unmet.</w:t>
      </w:r>
      <w:r w:rsidR="004E63FA" w:rsidRPr="00DB7DB6">
        <w:rPr>
          <w:rFonts w:ascii="Arial" w:hAnsi="Arial" w:cs="Arial"/>
        </w:rPr>
        <w:t xml:space="preserve"> Health care providers create the baseline stability required for people to effectively participate in self-management and collaborative care planning by addressing these fundamental psychological deficiencies.</w:t>
      </w:r>
    </w:p>
    <w:p w14:paraId="4DC52092" w14:textId="3EE390BB" w:rsidR="00D12DE8" w:rsidRPr="00DB7DB6" w:rsidRDefault="00AE1B1E" w:rsidP="00DB7DB6">
      <w:pPr>
        <w:spacing w:line="360" w:lineRule="auto"/>
        <w:rPr>
          <w:rFonts w:ascii="Arial" w:hAnsi="Arial" w:cs="Arial"/>
        </w:rPr>
      </w:pPr>
      <w:r>
        <w:rPr>
          <w:rFonts w:ascii="Arial" w:hAnsi="Arial" w:cs="Arial"/>
          <w:noProof/>
        </w:rPr>
        <w:lastRenderedPageBreak/>
        <w:drawing>
          <wp:inline distT="0" distB="0" distL="0" distR="0" wp14:anchorId="5BD08911" wp14:editId="55BFEC92">
            <wp:extent cx="6126480" cy="2529840"/>
            <wp:effectExtent l="0" t="0" r="0" b="0"/>
            <wp:docPr id="5"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a:picLocks noChangeArrowheads="1"/>
                    </pic:cNvPicPr>
                  </pic:nvPicPr>
                  <pic:blipFill>
                    <a:blip r:embed="rId9">
                      <a:extLst>
                        <a:ext uri="{28A0092B-C50C-407E-A947-70E740481C1C}">
                          <a14:useLocalDpi xmlns:a14="http://schemas.microsoft.com/office/drawing/2010/main" val="0"/>
                        </a:ext>
                      </a:extLst>
                    </a:blip>
                    <a:srcRect t="12547" r="-8333" b="7993"/>
                    <a:stretch>
                      <a:fillRect/>
                    </a:stretch>
                  </pic:blipFill>
                  <pic:spPr bwMode="auto">
                    <a:xfrm>
                      <a:off x="0" y="0"/>
                      <a:ext cx="6126480" cy="2529840"/>
                    </a:xfrm>
                    <a:prstGeom prst="rect">
                      <a:avLst/>
                    </a:prstGeom>
                    <a:noFill/>
                    <a:ln>
                      <a:noFill/>
                    </a:ln>
                  </pic:spPr>
                </pic:pic>
              </a:graphicData>
            </a:graphic>
          </wp:inline>
        </w:drawing>
      </w:r>
      <w:r w:rsidR="00BF7A15" w:rsidRPr="00DB7DB6">
        <w:rPr>
          <w:rFonts w:ascii="Arial" w:hAnsi="Arial" w:cs="Arial"/>
        </w:rPr>
        <w:t xml:space="preserve">                                                                     </w:t>
      </w:r>
    </w:p>
    <w:p w14:paraId="1E7F5509" w14:textId="77777777" w:rsidR="00D12DE8" w:rsidRPr="00DB7DB6" w:rsidRDefault="00DD5462" w:rsidP="00DB7DB6">
      <w:pPr>
        <w:spacing w:line="360" w:lineRule="auto"/>
        <w:rPr>
          <w:rFonts w:ascii="Arial" w:hAnsi="Arial" w:cs="Arial"/>
          <w:b/>
          <w:bCs/>
        </w:rPr>
      </w:pPr>
      <w:r w:rsidRPr="00DB7DB6">
        <w:rPr>
          <w:rFonts w:ascii="Arial" w:hAnsi="Arial" w:cs="Arial"/>
          <w:b/>
          <w:bCs/>
        </w:rPr>
        <w:t>Maslow’s Hierarchy of Needs, Getty Images.</w:t>
      </w:r>
    </w:p>
    <w:p w14:paraId="63B2F411" w14:textId="51C02AC5" w:rsidR="00D40968" w:rsidRPr="00DB7DB6" w:rsidRDefault="00DD5462" w:rsidP="00DB7DB6">
      <w:pPr>
        <w:spacing w:line="360" w:lineRule="auto"/>
        <w:rPr>
          <w:rFonts w:ascii="Arial" w:hAnsi="Arial" w:cs="Arial"/>
        </w:rPr>
      </w:pPr>
      <w:r w:rsidRPr="00DB7DB6">
        <w:rPr>
          <w:rFonts w:ascii="Arial" w:hAnsi="Arial" w:cs="Arial"/>
        </w:rPr>
        <w:t xml:space="preserve">Similarly, partnership working can be </w:t>
      </w:r>
      <w:r w:rsidR="005A3470" w:rsidRPr="00DB7DB6">
        <w:rPr>
          <w:rFonts w:ascii="Arial" w:hAnsi="Arial" w:cs="Arial"/>
        </w:rPr>
        <w:t>analysed</w:t>
      </w:r>
      <w:r w:rsidRPr="00DB7DB6">
        <w:rPr>
          <w:rFonts w:ascii="Arial" w:hAnsi="Arial" w:cs="Arial"/>
        </w:rPr>
        <w:t xml:space="preserve"> using Bronfenbrenner’s Bioecological Systems Theory, which demonstrates how an individual’s well-being is heavily influenced by interacting environmental layers, ranging from immediate clinical interactions (the microsystem) to macro-level health policies (the macrosystem) (University of Wales Trinity Saint David [UWTSD], 2026). Within the legislative landscape, these principles are explicitly mandated by the Care Act 2014, which legally requires local authorities and health providers to promote individual well-being and enforce robust, co-productive safeguarding measures.</w:t>
      </w:r>
      <w:r w:rsidR="00D40968" w:rsidRPr="00DB7DB6">
        <w:rPr>
          <w:rFonts w:ascii="Arial" w:hAnsi="Arial" w:cs="Arial"/>
        </w:rPr>
        <w:t xml:space="preserve"> Crucially, these levels work in concert inside the mesosystem, where frontline care delivery is directly impacted by the calibre of interagency communication. The gap between macro-level administrative policy and the micro-level experiences of the service user is closed when professional boundaries are handled coherently throughout this layer.</w:t>
      </w:r>
    </w:p>
    <w:p w14:paraId="634A1733" w14:textId="77777777" w:rsidR="00D40968" w:rsidRPr="00DB7DB6" w:rsidRDefault="00D40968" w:rsidP="00DB7DB6">
      <w:pPr>
        <w:spacing w:line="360" w:lineRule="auto"/>
        <w:rPr>
          <w:rFonts w:ascii="Arial" w:hAnsi="Arial" w:cs="Arial"/>
        </w:rPr>
      </w:pPr>
    </w:p>
    <w:p w14:paraId="15EE0580" w14:textId="2C68F65D" w:rsidR="00D12DE8" w:rsidRPr="00DB7DB6" w:rsidRDefault="00D40968" w:rsidP="00DB7DB6">
      <w:pPr>
        <w:spacing w:line="360" w:lineRule="auto"/>
        <w:rPr>
          <w:rFonts w:ascii="Arial" w:hAnsi="Arial" w:cs="Arial"/>
        </w:rPr>
      </w:pPr>
      <w:r w:rsidRPr="00DB7DB6">
        <w:rPr>
          <w:rFonts w:ascii="Arial" w:hAnsi="Arial" w:cs="Arial"/>
        </w:rPr>
        <w:t>The Care Act of 2014, which legally requires local authorities and health providers to promote individual well-being and enforce strong, cooperative protective measures, expressly mandates these theoretical principles within the legislative framework. By codifying that holistic, multi-agency integration is not only best practice but also a legal requirement for contemporary care delivery, this statute successfully converts theoretical humanistic principles into legally binding obligations.</w:t>
      </w:r>
    </w:p>
    <w:p w14:paraId="6755C10F" w14:textId="77777777" w:rsidR="00D12DE8" w:rsidRPr="00DB7DB6" w:rsidRDefault="00D12DE8" w:rsidP="00DB7DB6">
      <w:pPr>
        <w:spacing w:line="360" w:lineRule="auto"/>
        <w:rPr>
          <w:rFonts w:ascii="Arial" w:hAnsi="Arial" w:cs="Arial"/>
        </w:rPr>
      </w:pPr>
    </w:p>
    <w:p w14:paraId="5FDC5A2D" w14:textId="77777777" w:rsidR="00D12DE8" w:rsidRPr="00DB7DB6" w:rsidRDefault="00D12DE8" w:rsidP="00DB7DB6">
      <w:pPr>
        <w:spacing w:line="360" w:lineRule="auto"/>
        <w:rPr>
          <w:rFonts w:ascii="Arial" w:hAnsi="Arial" w:cs="Arial"/>
        </w:rPr>
      </w:pPr>
    </w:p>
    <w:p w14:paraId="62930A4E" w14:textId="77777777" w:rsidR="000929B5" w:rsidRPr="00DB7DB6" w:rsidRDefault="00DD5462" w:rsidP="00DB7DB6">
      <w:pPr>
        <w:pStyle w:val="Heading1"/>
        <w:spacing w:line="360" w:lineRule="auto"/>
        <w:rPr>
          <w:rFonts w:ascii="Arial" w:hAnsi="Arial" w:cs="Arial"/>
        </w:rPr>
      </w:pPr>
      <w:bookmarkStart w:id="5" w:name="_Toc233885318"/>
      <w:r w:rsidRPr="00DB7DB6">
        <w:rPr>
          <w:rFonts w:ascii="Arial" w:hAnsi="Arial" w:cs="Arial"/>
        </w:rPr>
        <w:t>3</w:t>
      </w:r>
      <w:r w:rsidR="000929B5" w:rsidRPr="00DB7DB6">
        <w:rPr>
          <w:rFonts w:ascii="Arial" w:hAnsi="Arial" w:cs="Arial"/>
        </w:rPr>
        <w:t xml:space="preserve"> 3. Practical Example in Practice</w:t>
      </w:r>
      <w:bookmarkEnd w:id="5"/>
    </w:p>
    <w:p w14:paraId="76C5F09A" w14:textId="3DFF4E0B" w:rsidR="00D12DE8" w:rsidRPr="00DB7DB6" w:rsidRDefault="00DD5462" w:rsidP="00DB7DB6">
      <w:pPr>
        <w:pStyle w:val="Heading1"/>
        <w:spacing w:line="360" w:lineRule="auto"/>
        <w:rPr>
          <w:rFonts w:ascii="Arial" w:hAnsi="Arial" w:cs="Arial"/>
        </w:rPr>
      </w:pPr>
      <w:bookmarkStart w:id="6" w:name="_Toc233885319"/>
      <w:r w:rsidRPr="00DB7DB6">
        <w:rPr>
          <w:rFonts w:ascii="Arial" w:hAnsi="Arial" w:cs="Arial"/>
        </w:rPr>
        <w:t>.1 Case Study: Joan's Story</w:t>
      </w:r>
      <w:bookmarkEnd w:id="6"/>
    </w:p>
    <w:p w14:paraId="22AC2C2C" w14:textId="77777777" w:rsidR="00D12DE8" w:rsidRPr="00DB7DB6" w:rsidRDefault="00DD5462" w:rsidP="00DB7DB6">
      <w:pPr>
        <w:spacing w:line="360" w:lineRule="auto"/>
        <w:rPr>
          <w:rFonts w:ascii="Arial" w:hAnsi="Arial" w:cs="Arial"/>
        </w:rPr>
      </w:pPr>
      <w:r w:rsidRPr="00DB7DB6">
        <w:rPr>
          <w:rFonts w:ascii="Arial" w:hAnsi="Arial" w:cs="Arial"/>
        </w:rPr>
        <w:t>Joan's Story concerns an individual living with a complex, unpredictable long-term health condition: uncontrolled Crohn’s disease (NHS England, 2023). Due to the psychological and physiological anxiety surrounding sudden bowel symptoms, Joan became entirely housebound, experiencing profound social isolation and a total loss of autonomy (NHS England, 2023). Over a twelve-month period, she missed three out of nine specialized outpatient appointments and suffered two emergency hospital admissions (NHS England, 2023).</w:t>
      </w:r>
    </w:p>
    <w:p w14:paraId="422760F0" w14:textId="77777777" w:rsidR="00D12DE8" w:rsidRPr="00DB7DB6" w:rsidRDefault="00DD5462" w:rsidP="00DB7DB6">
      <w:pPr>
        <w:spacing w:line="360" w:lineRule="auto"/>
        <w:rPr>
          <w:rFonts w:ascii="Arial" w:hAnsi="Arial" w:cs="Arial"/>
        </w:rPr>
      </w:pPr>
      <w:r w:rsidRPr="00DB7DB6">
        <w:rPr>
          <w:rFonts w:ascii="Arial" w:hAnsi="Arial" w:cs="Arial"/>
        </w:rPr>
        <w:t>To break this cycle, an integrated therapy team applied the Patient Activation Measurement (PAM®) toolkit (NHS England, 2023). Joan’s baseline assessment revealed she was at activation level one, indicating she lacked the confidence, knowledge, and self-belief to manage her health or set recovery goals (NHS England, 2023).</w:t>
      </w:r>
    </w:p>
    <w:p w14:paraId="7BBE9F91" w14:textId="02AC2BF2" w:rsidR="00D12DE8" w:rsidRPr="00DB7DB6" w:rsidRDefault="00DD5462" w:rsidP="00DB7DB6">
      <w:pPr>
        <w:pStyle w:val="Heading1"/>
        <w:spacing w:line="360" w:lineRule="auto"/>
        <w:rPr>
          <w:rFonts w:ascii="Arial" w:hAnsi="Arial" w:cs="Arial"/>
        </w:rPr>
      </w:pPr>
      <w:r w:rsidRPr="00DB7DB6">
        <w:rPr>
          <w:rFonts w:ascii="Arial" w:hAnsi="Arial" w:cs="Arial"/>
        </w:rPr>
        <w:t xml:space="preserve"> </w:t>
      </w:r>
      <w:bookmarkStart w:id="7" w:name="_Toc233885320"/>
      <w:r w:rsidRPr="00DB7DB6">
        <w:rPr>
          <w:rFonts w:ascii="Arial" w:hAnsi="Arial" w:cs="Arial"/>
        </w:rPr>
        <w:t>3.2 Impact Analysis</w:t>
      </w:r>
      <w:bookmarkEnd w:id="7"/>
    </w:p>
    <w:p w14:paraId="5AFC6959" w14:textId="77777777" w:rsidR="00D12DE8" w:rsidRPr="00DB7DB6" w:rsidRDefault="00DD5462" w:rsidP="00DB7DB6">
      <w:pPr>
        <w:spacing w:line="360" w:lineRule="auto"/>
        <w:rPr>
          <w:rFonts w:ascii="Arial" w:hAnsi="Arial" w:cs="Arial"/>
        </w:rPr>
      </w:pPr>
      <w:r w:rsidRPr="00DB7DB6">
        <w:rPr>
          <w:rFonts w:ascii="Arial" w:hAnsi="Arial" w:cs="Arial"/>
        </w:rPr>
        <w:t>The structural implementation of PCC, PW, and ethical frameworks yielded highly measurable improvements for both Joan and her multidisciplinary care team:</w:t>
      </w:r>
    </w:p>
    <w:p w14:paraId="206255EC" w14:textId="77777777" w:rsidR="00D12DE8" w:rsidRPr="00DB7DB6" w:rsidRDefault="00DD5462" w:rsidP="00DB7DB6">
      <w:pPr>
        <w:spacing w:line="360" w:lineRule="auto"/>
        <w:rPr>
          <w:rFonts w:ascii="Arial" w:hAnsi="Arial" w:cs="Arial"/>
        </w:rPr>
      </w:pPr>
      <w:r w:rsidRPr="00DB7DB6">
        <w:rPr>
          <w:rFonts w:ascii="Arial" w:hAnsi="Arial" w:cs="Arial"/>
        </w:rPr>
        <w:t xml:space="preserve"> For the Service User: Shifted from a passive recipient to an active self-manager, leading to her independently organizing her community pulmonary rehabilitation and safely going shopping with her daughter (NHS England, 2023). Over a seven-month period, her patient activation score increased by more than 40% (NHS England, 2023).</w:t>
      </w:r>
    </w:p>
    <w:p w14:paraId="7787095C" w14:textId="77777777" w:rsidR="00D12DE8" w:rsidRPr="00DB7DB6" w:rsidRDefault="00DD5462" w:rsidP="00DB7DB6">
      <w:pPr>
        <w:spacing w:line="360" w:lineRule="auto"/>
        <w:rPr>
          <w:rFonts w:ascii="Arial" w:hAnsi="Arial" w:cs="Arial"/>
        </w:rPr>
      </w:pPr>
      <w:r w:rsidRPr="00DB7DB6">
        <w:rPr>
          <w:rFonts w:ascii="Arial" w:hAnsi="Arial" w:cs="Arial"/>
        </w:rPr>
        <w:t xml:space="preserve"> For the Multidisciplinary Professionals: Enhanced inter-agency transparency and significantly reduced systemic strain, resulting in zero missed outpatient appointments and a total elimination of emergency hospital admissions over the intervention period (NHS England, 2023).</w:t>
      </w:r>
    </w:p>
    <w:p w14:paraId="127F0B55" w14:textId="42E23B40" w:rsidR="00D12DE8" w:rsidRPr="00DB7DB6" w:rsidRDefault="00DD5462" w:rsidP="00DB7DB6">
      <w:pPr>
        <w:pStyle w:val="Subtitle"/>
        <w:spacing w:line="360" w:lineRule="auto"/>
        <w:jc w:val="left"/>
        <w:rPr>
          <w:rFonts w:ascii="Arial" w:hAnsi="Arial" w:cs="Arial"/>
        </w:rPr>
      </w:pPr>
      <w:r w:rsidRPr="00DB7DB6">
        <w:rPr>
          <w:rFonts w:ascii="Arial" w:hAnsi="Arial" w:cs="Arial"/>
        </w:rPr>
        <w:t xml:space="preserve"> </w:t>
      </w:r>
      <w:bookmarkStart w:id="8" w:name="_Toc233885321"/>
      <w:r w:rsidRPr="00DB7DB6">
        <w:rPr>
          <w:rFonts w:ascii="Arial" w:hAnsi="Arial" w:cs="Arial"/>
        </w:rPr>
        <w:t>3.3 Overcoming Barriers with Frameworks</w:t>
      </w:r>
      <w:bookmarkEnd w:id="8"/>
    </w:p>
    <w:p w14:paraId="2EE26790" w14:textId="0D26B901" w:rsidR="00D12DE8" w:rsidRPr="00DB7DB6" w:rsidRDefault="00DD5462" w:rsidP="00DB7DB6">
      <w:pPr>
        <w:spacing w:line="360" w:lineRule="auto"/>
        <w:rPr>
          <w:rFonts w:ascii="Arial" w:hAnsi="Arial" w:cs="Arial"/>
        </w:rPr>
      </w:pPr>
      <w:r w:rsidRPr="00DB7DB6">
        <w:rPr>
          <w:rFonts w:ascii="Arial" w:hAnsi="Arial" w:cs="Arial"/>
        </w:rPr>
        <w:t>These and other fundamental problems in Joan’s care</w:t>
      </w:r>
      <w:r w:rsidR="00213510" w:rsidRPr="00DB7DB6">
        <w:rPr>
          <w:rFonts w:ascii="Arial" w:hAnsi="Arial" w:cs="Arial"/>
        </w:rPr>
        <w:t xml:space="preserve"> </w:t>
      </w:r>
      <w:r w:rsidRPr="00DB7DB6">
        <w:rPr>
          <w:rFonts w:ascii="Arial" w:hAnsi="Arial" w:cs="Arial"/>
        </w:rPr>
        <w:t>strident breakdowns in cross-sector communication and the absence of patient agency</w:t>
      </w:r>
      <w:r w:rsidR="00213510" w:rsidRPr="00DB7DB6">
        <w:rPr>
          <w:rFonts w:ascii="Arial" w:hAnsi="Arial" w:cs="Arial"/>
        </w:rPr>
        <w:t xml:space="preserve"> </w:t>
      </w:r>
      <w:r w:rsidRPr="00DB7DB6">
        <w:rPr>
          <w:rFonts w:ascii="Arial" w:hAnsi="Arial" w:cs="Arial"/>
        </w:rPr>
        <w:t xml:space="preserve">were systemically addressed through the adoption of a holistic, preventive model of care rather than a reactive medical model. In their joint working, the profession was able to speak in a unified voice by complying with the statutory </w:t>
      </w:r>
      <w:r w:rsidRPr="00DB7DB6">
        <w:rPr>
          <w:rFonts w:ascii="Arial" w:hAnsi="Arial" w:cs="Arial"/>
        </w:rPr>
        <w:lastRenderedPageBreak/>
        <w:t>requirements in the Health and Care Act 2022, which makes duty-bound integration a requirement for that between the NHS providers and social care.</w:t>
      </w:r>
    </w:p>
    <w:p w14:paraId="3EABD52E" w14:textId="453BFC38" w:rsidR="00D12DE8" w:rsidRPr="00DB7DB6" w:rsidRDefault="00DD5462" w:rsidP="00DB7DB6">
      <w:pPr>
        <w:spacing w:line="360" w:lineRule="auto"/>
        <w:rPr>
          <w:rFonts w:ascii="Arial" w:hAnsi="Arial" w:cs="Arial"/>
        </w:rPr>
      </w:pPr>
      <w:r w:rsidRPr="00DB7DB6">
        <w:rPr>
          <w:rFonts w:ascii="Arial" w:hAnsi="Arial" w:cs="Arial"/>
        </w:rPr>
        <w:t xml:space="preserve">In long-term condition management clinical safety was ensured by compliance with NICE guidelines (2021) while the 6 </w:t>
      </w:r>
      <w:r w:rsidR="00213510" w:rsidRPr="00DB7DB6">
        <w:rPr>
          <w:rFonts w:ascii="Arial" w:hAnsi="Arial" w:cs="Arial"/>
        </w:rPr>
        <w:t>Cs</w:t>
      </w:r>
      <w:r w:rsidRPr="00DB7DB6">
        <w:rPr>
          <w:rFonts w:ascii="Arial" w:hAnsi="Arial" w:cs="Arial"/>
        </w:rPr>
        <w:t xml:space="preserve"> of Nursing (Care, Compassion, Competence, Communication, Courage, and Commitment) reinstated Joan’s dignity in a direct manner. Using the person-</w:t>
      </w:r>
      <w:r w:rsidR="00BC3AF7" w:rsidRPr="00DB7DB6">
        <w:rPr>
          <w:rFonts w:ascii="Arial" w:hAnsi="Arial" w:cs="Arial"/>
        </w:rPr>
        <w:t>cantered</w:t>
      </w:r>
      <w:r w:rsidRPr="00DB7DB6">
        <w:rPr>
          <w:rFonts w:ascii="Arial" w:hAnsi="Arial" w:cs="Arial"/>
        </w:rPr>
        <w:t xml:space="preserve"> care framework, practitioners moved their assessments from ‘What is the matter with you?’ to ‘What matters to you?’ exceeding the Care Quality Commission (CQC) excellence criteria on responsive and effective care. </w:t>
      </w:r>
    </w:p>
    <w:p w14:paraId="611E25B1" w14:textId="3F359B8A" w:rsidR="00D12DE8" w:rsidRPr="00DB7DB6" w:rsidRDefault="00DD5462" w:rsidP="00DB7DB6">
      <w:pPr>
        <w:pStyle w:val="Heading1"/>
        <w:spacing w:line="360" w:lineRule="auto"/>
        <w:rPr>
          <w:rFonts w:ascii="Arial" w:hAnsi="Arial" w:cs="Arial"/>
        </w:rPr>
      </w:pPr>
      <w:r w:rsidRPr="00DB7DB6">
        <w:rPr>
          <w:rFonts w:ascii="Arial" w:hAnsi="Arial" w:cs="Arial"/>
        </w:rPr>
        <w:t xml:space="preserve"> </w:t>
      </w:r>
      <w:bookmarkStart w:id="9" w:name="_Toc233885322"/>
      <w:r w:rsidRPr="00DB7DB6">
        <w:rPr>
          <w:rFonts w:ascii="Arial" w:hAnsi="Arial" w:cs="Arial"/>
        </w:rPr>
        <w:t>4</w:t>
      </w:r>
      <w:r w:rsidR="00213510" w:rsidRPr="00DB7DB6">
        <w:rPr>
          <w:rFonts w:ascii="Arial" w:hAnsi="Arial" w:cs="Arial"/>
        </w:rPr>
        <w:t>. Self</w:t>
      </w:r>
      <w:r w:rsidRPr="00DB7DB6">
        <w:rPr>
          <w:rFonts w:ascii="Arial" w:hAnsi="Arial" w:cs="Arial"/>
        </w:rPr>
        <w:t>-Reflection</w:t>
      </w:r>
      <w:bookmarkEnd w:id="9"/>
    </w:p>
    <w:p w14:paraId="5C98EB4A" w14:textId="78F4052E" w:rsidR="00D12DE8" w:rsidRPr="00DB7DB6" w:rsidRDefault="00DD5462" w:rsidP="00DB7DB6">
      <w:pPr>
        <w:pStyle w:val="Subtitle"/>
        <w:spacing w:line="360" w:lineRule="auto"/>
        <w:jc w:val="left"/>
        <w:rPr>
          <w:rFonts w:ascii="Arial" w:hAnsi="Arial" w:cs="Arial"/>
        </w:rPr>
      </w:pPr>
      <w:bookmarkStart w:id="10" w:name="_Toc233885323"/>
      <w:r w:rsidRPr="00DB7DB6">
        <w:rPr>
          <w:rFonts w:ascii="Arial" w:hAnsi="Arial" w:cs="Arial"/>
        </w:rPr>
        <w:t xml:space="preserve">4.1 </w:t>
      </w:r>
      <w:r w:rsidRPr="00DB7DB6">
        <w:rPr>
          <w:rFonts w:ascii="Arial" w:hAnsi="Arial" w:cs="Arial"/>
          <w:b/>
          <w:bCs/>
        </w:rPr>
        <w:t>Gibbs' Reflective Cycle Application</w:t>
      </w:r>
      <w:bookmarkEnd w:id="10"/>
    </w:p>
    <w:p w14:paraId="7187569D" w14:textId="77777777" w:rsidR="00D12DE8" w:rsidRPr="00DB7DB6" w:rsidRDefault="00DD5462" w:rsidP="00DB7DB6">
      <w:pPr>
        <w:spacing w:line="360" w:lineRule="auto"/>
        <w:rPr>
          <w:rFonts w:ascii="Arial" w:hAnsi="Arial" w:cs="Arial"/>
        </w:rPr>
      </w:pPr>
      <w:r w:rsidRPr="00DB7DB6">
        <w:rPr>
          <w:rFonts w:ascii="Arial" w:hAnsi="Arial" w:cs="Arial"/>
          <w:b/>
          <w:bCs/>
          <w:sz w:val="24"/>
          <w:szCs w:val="24"/>
        </w:rPr>
        <w:t xml:space="preserve"> Description</w:t>
      </w:r>
      <w:r w:rsidRPr="00DB7DB6">
        <w:rPr>
          <w:rFonts w:ascii="Arial" w:hAnsi="Arial" w:cs="Arial"/>
        </w:rPr>
        <w:t>: During my recent practical placement within an integrated community health hub, I engaged with an elderly service user who consistently refused to attend scheduled physical rehabilitation sessions (Gibbs, 1988). Rather than accepting this non-compliance passively, I initiated a private, one-to-one dialogue to understand their underlying perspective.</w:t>
      </w:r>
    </w:p>
    <w:p w14:paraId="7012B1FA" w14:textId="77777777" w:rsidR="00D12DE8" w:rsidRPr="00DB7DB6" w:rsidRDefault="00DD5462" w:rsidP="00DB7DB6">
      <w:pPr>
        <w:spacing w:line="360" w:lineRule="auto"/>
        <w:rPr>
          <w:rFonts w:ascii="Arial" w:hAnsi="Arial" w:cs="Arial"/>
        </w:rPr>
      </w:pPr>
      <w:r w:rsidRPr="00DB7DB6">
        <w:rPr>
          <w:rFonts w:ascii="Arial" w:hAnsi="Arial" w:cs="Arial"/>
          <w:b/>
          <w:bCs/>
          <w:sz w:val="24"/>
          <w:szCs w:val="24"/>
        </w:rPr>
        <w:t xml:space="preserve"> Feelings</w:t>
      </w:r>
      <w:r w:rsidRPr="00DB7DB6">
        <w:rPr>
          <w:rFonts w:ascii="Arial" w:hAnsi="Arial" w:cs="Arial"/>
        </w:rPr>
        <w:t>: Initially, I felt professional anxiety and frustration, worrying that the service user's physical deterioration would reflect poorly on my clinical support capabilities (Gibbs, 1988). However, once the root cause of their anxiety was uncovered, my feelings shifted to deep empathy and a heightened sense of professional accountability.</w:t>
      </w:r>
    </w:p>
    <w:p w14:paraId="1842C839" w14:textId="77777777" w:rsidR="00D12DE8" w:rsidRPr="00DB7DB6" w:rsidRDefault="00DD5462" w:rsidP="00DB7DB6">
      <w:pPr>
        <w:spacing w:line="360" w:lineRule="auto"/>
        <w:rPr>
          <w:rFonts w:ascii="Arial" w:hAnsi="Arial" w:cs="Arial"/>
        </w:rPr>
      </w:pPr>
      <w:r w:rsidRPr="00DB7DB6">
        <w:rPr>
          <w:rFonts w:ascii="Arial" w:hAnsi="Arial" w:cs="Arial"/>
        </w:rPr>
        <w:t xml:space="preserve"> </w:t>
      </w:r>
      <w:r w:rsidRPr="00DB7DB6">
        <w:rPr>
          <w:rFonts w:ascii="Arial" w:hAnsi="Arial" w:cs="Arial"/>
          <w:b/>
          <w:bCs/>
          <w:sz w:val="24"/>
          <w:szCs w:val="24"/>
        </w:rPr>
        <w:t>Evaluation</w:t>
      </w:r>
      <w:r w:rsidRPr="00DB7DB6">
        <w:rPr>
          <w:rFonts w:ascii="Arial" w:hAnsi="Arial" w:cs="Arial"/>
        </w:rPr>
        <w:t>: What worked well was my decision to pause routine clinical tasks and prioritize an unhurried, empathetic conversation, which successfully built mutual trust (Gibbs, 1988). Conversely, what went poorly was my initial reliance on a rigid clinical schedule, which overlooked the service user's unvoiced emotional anxieties.</w:t>
      </w:r>
    </w:p>
    <w:p w14:paraId="5507E4AF" w14:textId="1EC80DF9" w:rsidR="00D12DE8" w:rsidRPr="00DB7DB6" w:rsidRDefault="00DD5462" w:rsidP="00DB7DB6">
      <w:pPr>
        <w:spacing w:line="360" w:lineRule="auto"/>
        <w:rPr>
          <w:rFonts w:ascii="Arial" w:hAnsi="Arial" w:cs="Arial"/>
        </w:rPr>
      </w:pPr>
      <w:r w:rsidRPr="00DB7DB6">
        <w:rPr>
          <w:rFonts w:ascii="Arial" w:hAnsi="Arial" w:cs="Arial"/>
          <w:b/>
          <w:bCs/>
          <w:sz w:val="24"/>
          <w:szCs w:val="24"/>
        </w:rPr>
        <w:t xml:space="preserve"> Analysis</w:t>
      </w:r>
      <w:r w:rsidRPr="00DB7DB6">
        <w:rPr>
          <w:rFonts w:ascii="Arial" w:hAnsi="Arial" w:cs="Arial"/>
        </w:rPr>
        <w:t xml:space="preserve">: This experience highlighted the tension between the Medical Model of Health and the Social Model of Health (UWTSD, 2026). My initial approach focused heavily on biological rehabilitation (the medical model). However, the service user's resistance was </w:t>
      </w:r>
      <w:r w:rsidR="00213510" w:rsidRPr="00DB7DB6">
        <w:rPr>
          <w:rFonts w:ascii="Arial" w:hAnsi="Arial" w:cs="Arial"/>
        </w:rPr>
        <w:t>driven</w:t>
      </w:r>
      <w:r w:rsidRPr="00DB7DB6">
        <w:rPr>
          <w:rFonts w:ascii="Arial" w:hAnsi="Arial" w:cs="Arial"/>
        </w:rPr>
        <w:t xml:space="preserve"> by an intense fear of falling </w:t>
      </w:r>
      <w:r w:rsidR="00213510" w:rsidRPr="00DB7DB6">
        <w:rPr>
          <w:rFonts w:ascii="Arial" w:hAnsi="Arial" w:cs="Arial"/>
        </w:rPr>
        <w:t>in</w:t>
      </w:r>
      <w:r w:rsidRPr="00DB7DB6">
        <w:rPr>
          <w:rFonts w:ascii="Arial" w:hAnsi="Arial" w:cs="Arial"/>
        </w:rPr>
        <w:t xml:space="preserve"> public due to a lack of environmental adjustments (the social model). By focusing on these social and emotional anxieties, I was able to advocate for a more holistic, supportive care strategy (Gibbs, 1988).</w:t>
      </w:r>
    </w:p>
    <w:p w14:paraId="2ADCED56" w14:textId="596A5453" w:rsidR="00D12DE8" w:rsidRPr="00DB7DB6" w:rsidRDefault="00DD5462" w:rsidP="00DB7DB6">
      <w:pPr>
        <w:spacing w:line="360" w:lineRule="auto"/>
        <w:rPr>
          <w:rFonts w:ascii="Arial" w:hAnsi="Arial" w:cs="Arial"/>
        </w:rPr>
      </w:pPr>
      <w:r w:rsidRPr="00DB7DB6">
        <w:rPr>
          <w:rFonts w:ascii="Arial" w:hAnsi="Arial" w:cs="Arial"/>
          <w:b/>
          <w:bCs/>
          <w:sz w:val="24"/>
          <w:szCs w:val="24"/>
        </w:rPr>
        <w:lastRenderedPageBreak/>
        <w:t xml:space="preserve"> Conclusion</w:t>
      </w:r>
      <w:r w:rsidRPr="00DB7DB6">
        <w:rPr>
          <w:rFonts w:ascii="Arial" w:hAnsi="Arial" w:cs="Arial"/>
        </w:rPr>
        <w:t>: I concluded that clinical interventions cannot succeed in isolation (Gibbs, 1988). True person-</w:t>
      </w:r>
      <w:r w:rsidR="00A147B0" w:rsidRPr="00DB7DB6">
        <w:rPr>
          <w:rFonts w:ascii="Arial" w:hAnsi="Arial" w:cs="Arial"/>
        </w:rPr>
        <w:t>cantered</w:t>
      </w:r>
      <w:r w:rsidRPr="00DB7DB6">
        <w:rPr>
          <w:rFonts w:ascii="Arial" w:hAnsi="Arial" w:cs="Arial"/>
        </w:rPr>
        <w:t xml:space="preserve"> care demands that professionals actively listen to a service user's anxieties and address environmental barriers before attempting to enforce standardized treatment plans.</w:t>
      </w:r>
      <w:r w:rsidR="000B3EB3" w:rsidRPr="00DB7DB6">
        <w:rPr>
          <w:rFonts w:ascii="Arial" w:hAnsi="Arial" w:cs="Arial"/>
        </w:rPr>
        <w:t xml:space="preserve"> In the absence of this comprehensive basis, clinical paths continue to be intrinsically disjointed, leading to non-compliance and increased readmission rates. </w:t>
      </w:r>
      <w:r w:rsidR="003E366D" w:rsidRPr="00DB7DB6">
        <w:rPr>
          <w:rFonts w:ascii="Arial" w:hAnsi="Arial" w:cs="Arial"/>
        </w:rPr>
        <w:t>To</w:t>
      </w:r>
      <w:r w:rsidR="000B3EB3" w:rsidRPr="00DB7DB6">
        <w:rPr>
          <w:rFonts w:ascii="Arial" w:hAnsi="Arial" w:cs="Arial"/>
        </w:rPr>
        <w:t xml:space="preserve"> achieve true therapeutic success, biological therapies must be in line with emotional validation.</w:t>
      </w:r>
    </w:p>
    <w:p w14:paraId="7889B4F6" w14:textId="0AF5EBE3" w:rsidR="00D12DE8" w:rsidRPr="00DB7DB6" w:rsidRDefault="00DD5462" w:rsidP="00DB7DB6">
      <w:pPr>
        <w:spacing w:line="360" w:lineRule="auto"/>
        <w:rPr>
          <w:rFonts w:ascii="Arial" w:hAnsi="Arial" w:cs="Arial"/>
        </w:rPr>
      </w:pPr>
      <w:r w:rsidRPr="00DB7DB6">
        <w:rPr>
          <w:rFonts w:ascii="Arial" w:hAnsi="Arial" w:cs="Arial"/>
          <w:b/>
          <w:bCs/>
          <w:sz w:val="24"/>
          <w:szCs w:val="24"/>
        </w:rPr>
        <w:t xml:space="preserve"> Action Plan</w:t>
      </w:r>
      <w:r w:rsidRPr="00DB7DB6">
        <w:rPr>
          <w:rFonts w:ascii="Arial" w:hAnsi="Arial" w:cs="Arial"/>
        </w:rPr>
        <w:t>: If faced with a similar situation in the future, I will immediately incorporate patient-led goal-setting tools into the initial assessment stage, ensuring that emotional comfort and self-management confidence are prioritized alongside physical health needs (Gibbs, 1988</w:t>
      </w:r>
      <w:r w:rsidR="009B7832" w:rsidRPr="00DB7DB6">
        <w:rPr>
          <w:rFonts w:ascii="Arial" w:hAnsi="Arial" w:cs="Arial"/>
        </w:rPr>
        <w:t xml:space="preserve">). </w:t>
      </w:r>
      <w:r w:rsidR="009F1E8B" w:rsidRPr="00DB7DB6">
        <w:rPr>
          <w:rFonts w:ascii="Arial" w:hAnsi="Arial" w:cs="Arial"/>
        </w:rPr>
        <w:t>Additionally,</w:t>
      </w:r>
      <w:r w:rsidR="009B7832" w:rsidRPr="00DB7DB6">
        <w:rPr>
          <w:rFonts w:ascii="Arial" w:hAnsi="Arial" w:cs="Arial"/>
        </w:rPr>
        <w:t xml:space="preserve"> I will also actively include multi-agency partners earlier in the treatment route. This will ensure the establishment of strong community support networks, which will successfully bridge the gap between acute clinical discharge and long-term, sustainable independent living.</w:t>
      </w:r>
    </w:p>
    <w:p w14:paraId="55F02E76" w14:textId="0F533A00" w:rsidR="00D12DE8" w:rsidRPr="00DB7DB6" w:rsidRDefault="00DD5462" w:rsidP="00DB7DB6">
      <w:pPr>
        <w:pStyle w:val="Subtitle"/>
        <w:spacing w:line="360" w:lineRule="auto"/>
        <w:jc w:val="left"/>
        <w:rPr>
          <w:rFonts w:ascii="Arial" w:hAnsi="Arial" w:cs="Arial"/>
        </w:rPr>
      </w:pPr>
      <w:r w:rsidRPr="00DB7DB6">
        <w:rPr>
          <w:rFonts w:ascii="Arial" w:hAnsi="Arial" w:cs="Arial"/>
        </w:rPr>
        <w:t xml:space="preserve"> </w:t>
      </w:r>
      <w:bookmarkStart w:id="11" w:name="_Toc233885324"/>
      <w:r w:rsidRPr="00DB7DB6">
        <w:rPr>
          <w:rFonts w:ascii="Arial" w:hAnsi="Arial" w:cs="Arial"/>
        </w:rPr>
        <w:t xml:space="preserve">4.2 </w:t>
      </w:r>
      <w:r w:rsidRPr="00DB7DB6">
        <w:rPr>
          <w:rFonts w:ascii="Arial" w:hAnsi="Arial" w:cs="Arial"/>
          <w:b/>
          <w:bCs/>
        </w:rPr>
        <w:t>Strengths and Gaps Analysis</w:t>
      </w:r>
      <w:bookmarkEnd w:id="11"/>
    </w:p>
    <w:p w14:paraId="7A3350B0" w14:textId="77777777" w:rsidR="00D12DE8" w:rsidRPr="00DB7DB6" w:rsidRDefault="00DD5462" w:rsidP="00DB7DB6">
      <w:pPr>
        <w:spacing w:line="360" w:lineRule="auto"/>
        <w:rPr>
          <w:rFonts w:ascii="Arial" w:hAnsi="Arial" w:cs="Arial"/>
        </w:rPr>
      </w:pPr>
      <w:r w:rsidRPr="00DB7DB6">
        <w:rPr>
          <w:rFonts w:ascii="Arial" w:hAnsi="Arial" w:cs="Arial"/>
        </w:rPr>
        <w:t>Through this reflective process, I have identified specific areas of my professional practice:</w:t>
      </w:r>
    </w:p>
    <w:p w14:paraId="1DAB5864" w14:textId="7F73EBCC" w:rsidR="00D12DE8" w:rsidRPr="00DB7DB6" w:rsidRDefault="00DD5462" w:rsidP="00DB7DB6">
      <w:pPr>
        <w:spacing w:line="360" w:lineRule="auto"/>
        <w:rPr>
          <w:rFonts w:ascii="Arial" w:hAnsi="Arial" w:cs="Arial"/>
        </w:rPr>
      </w:pPr>
      <w:r w:rsidRPr="00DB7DB6">
        <w:rPr>
          <w:rFonts w:ascii="Arial" w:hAnsi="Arial" w:cs="Arial"/>
        </w:rPr>
        <w:t>&gt; Professional Strengths: Robust active listening skills, a natural capacity to show authentic empathy, and a strong adherence to the ethical pillar of autonomy when working with vulnerable individuals.</w:t>
      </w:r>
      <w:r w:rsidR="00FE1726" w:rsidRPr="00DB7DB6">
        <w:rPr>
          <w:rFonts w:ascii="Arial" w:hAnsi="Arial" w:cs="Arial"/>
        </w:rPr>
        <w:t xml:space="preserve"> With the use of this fundamental skill set, I </w:t>
      </w:r>
      <w:r w:rsidR="001F52E7" w:rsidRPr="00DB7DB6">
        <w:rPr>
          <w:rFonts w:ascii="Arial" w:hAnsi="Arial" w:cs="Arial"/>
        </w:rPr>
        <w:t>can</w:t>
      </w:r>
      <w:r w:rsidR="00FE1726" w:rsidRPr="00DB7DB6">
        <w:rPr>
          <w:rFonts w:ascii="Arial" w:hAnsi="Arial" w:cs="Arial"/>
        </w:rPr>
        <w:t xml:space="preserve"> establish a therapeutic rapport quickly and make sure that the service user's voice is heard during the early stages of assessment and the creation of care plans.</w:t>
      </w:r>
    </w:p>
    <w:p w14:paraId="516AAFE5" w14:textId="72F652E0" w:rsidR="00D12DE8" w:rsidRPr="00DB7DB6" w:rsidRDefault="00DD5462" w:rsidP="00DB7DB6">
      <w:pPr>
        <w:spacing w:line="360" w:lineRule="auto"/>
        <w:rPr>
          <w:rFonts w:ascii="Arial" w:hAnsi="Arial" w:cs="Arial"/>
        </w:rPr>
      </w:pPr>
      <w:r w:rsidRPr="00DB7DB6">
        <w:rPr>
          <w:rFonts w:ascii="Arial" w:hAnsi="Arial" w:cs="Arial"/>
        </w:rPr>
        <w:t>&gt; Developmental Gaps: A recurring tendency to default to task-oriented routines under high-pressure conditions, which can inadvertently compromise the depth of person-</w:t>
      </w:r>
      <w:r w:rsidR="00A075BE" w:rsidRPr="00DB7DB6">
        <w:rPr>
          <w:rFonts w:ascii="Arial" w:hAnsi="Arial" w:cs="Arial"/>
        </w:rPr>
        <w:t>cantered</w:t>
      </w:r>
      <w:r w:rsidRPr="00DB7DB6">
        <w:rPr>
          <w:rFonts w:ascii="Arial" w:hAnsi="Arial" w:cs="Arial"/>
        </w:rPr>
        <w:t xml:space="preserve"> engagement.</w:t>
      </w:r>
      <w:r w:rsidR="00686F46" w:rsidRPr="00DB7DB6">
        <w:rPr>
          <w:rFonts w:ascii="Arial" w:hAnsi="Arial" w:cs="Arial"/>
        </w:rPr>
        <w:t xml:space="preserve"> Sometimes, when there is a lot of activity on the ward or a significant staffing shortage, I prioritise completing the checklist over providing comprehensive care. The service user's story may be marginalised within the larger multidisciplinary team </w:t>
      </w:r>
      <w:r w:rsidR="009F1E8B" w:rsidRPr="00DB7DB6">
        <w:rPr>
          <w:rFonts w:ascii="Arial" w:hAnsi="Arial" w:cs="Arial"/>
        </w:rPr>
        <w:t>because of</w:t>
      </w:r>
      <w:r w:rsidR="00686F46" w:rsidRPr="00DB7DB6">
        <w:rPr>
          <w:rFonts w:ascii="Arial" w:hAnsi="Arial" w:cs="Arial"/>
        </w:rPr>
        <w:t xml:space="preserve"> this defensive practice approach, which also reduces the amount of time available for collaborative decision-making.</w:t>
      </w:r>
    </w:p>
    <w:p w14:paraId="04EACD8B" w14:textId="1AFA6991" w:rsidR="00D12DE8" w:rsidRPr="00DB7DB6" w:rsidRDefault="00DD5462" w:rsidP="00DB7DB6">
      <w:pPr>
        <w:pStyle w:val="Heading1"/>
        <w:spacing w:line="360" w:lineRule="auto"/>
        <w:rPr>
          <w:rFonts w:ascii="Arial" w:hAnsi="Arial" w:cs="Arial"/>
        </w:rPr>
      </w:pPr>
      <w:r w:rsidRPr="00DB7DB6">
        <w:rPr>
          <w:rFonts w:ascii="Arial" w:hAnsi="Arial" w:cs="Arial"/>
        </w:rPr>
        <w:t xml:space="preserve"> </w:t>
      </w:r>
      <w:bookmarkStart w:id="12" w:name="_Toc233885325"/>
      <w:r w:rsidRPr="00DB7DB6">
        <w:rPr>
          <w:rFonts w:ascii="Arial" w:hAnsi="Arial" w:cs="Arial"/>
        </w:rPr>
        <w:t>4.3 Future Action Plan and CPD</w:t>
      </w:r>
      <w:bookmarkEnd w:id="12"/>
    </w:p>
    <w:p w14:paraId="3EDC0FCF" w14:textId="0738EEA4" w:rsidR="00D12DE8" w:rsidRPr="00DB7DB6" w:rsidRDefault="00DD5462" w:rsidP="00DB7DB6">
      <w:pPr>
        <w:spacing w:line="360" w:lineRule="auto"/>
        <w:rPr>
          <w:rFonts w:ascii="Arial" w:hAnsi="Arial" w:cs="Arial"/>
        </w:rPr>
      </w:pPr>
      <w:r w:rsidRPr="00DB7DB6">
        <w:rPr>
          <w:rFonts w:ascii="Arial" w:hAnsi="Arial" w:cs="Arial"/>
        </w:rPr>
        <w:t xml:space="preserve">To bridge my current practice gaps, I will undertake targeted Continuous Professional Development (CPD) activities over the next twelve months. I intend to register for advanced training modules focused on shared decision-making models and patient activation toolkits. </w:t>
      </w:r>
      <w:r w:rsidRPr="00DB7DB6">
        <w:rPr>
          <w:rFonts w:ascii="Arial" w:hAnsi="Arial" w:cs="Arial"/>
        </w:rPr>
        <w:lastRenderedPageBreak/>
        <w:t xml:space="preserve">Furthermore, I will seek structured mentorship from senior practitioners within my placement organization to observe advanced partnership working techniques across health and social care </w:t>
      </w:r>
      <w:r w:rsidR="005D21E1" w:rsidRPr="00DB7DB6">
        <w:rPr>
          <w:rFonts w:ascii="Arial" w:hAnsi="Arial" w:cs="Arial"/>
        </w:rPr>
        <w:t>sectors.</w:t>
      </w:r>
      <w:r w:rsidR="004B4601" w:rsidRPr="00DB7DB6">
        <w:rPr>
          <w:rFonts w:ascii="Arial" w:hAnsi="Arial" w:cs="Arial"/>
        </w:rPr>
        <w:t xml:space="preserve"> </w:t>
      </w:r>
      <w:r w:rsidR="005D21E1" w:rsidRPr="00DB7DB6">
        <w:rPr>
          <w:rFonts w:ascii="Arial" w:hAnsi="Arial" w:cs="Arial"/>
        </w:rPr>
        <w:t>To</w:t>
      </w:r>
      <w:r w:rsidR="004B4601" w:rsidRPr="00DB7DB6">
        <w:rPr>
          <w:rFonts w:ascii="Arial" w:hAnsi="Arial" w:cs="Arial"/>
        </w:rPr>
        <w:t xml:space="preserve"> observe cutting-edge partnership working approaches in the health and social care sectors, I will also look for within my placement </w:t>
      </w:r>
      <w:r w:rsidR="00C70F2C" w:rsidRPr="00DB7DB6">
        <w:rPr>
          <w:rFonts w:ascii="Arial" w:hAnsi="Arial" w:cs="Arial"/>
        </w:rPr>
        <w:t>organization</w:t>
      </w:r>
      <w:r w:rsidR="00BC5860" w:rsidRPr="00DB7DB6">
        <w:rPr>
          <w:rFonts w:ascii="Arial" w:hAnsi="Arial" w:cs="Arial"/>
        </w:rPr>
        <w:t xml:space="preserve"> to observe sophisticated methods of collaboration</w:t>
      </w:r>
      <w:r w:rsidR="004B4601" w:rsidRPr="00DB7DB6">
        <w:rPr>
          <w:rFonts w:ascii="Arial" w:hAnsi="Arial" w:cs="Arial"/>
        </w:rPr>
        <w:t>.</w:t>
      </w:r>
      <w:r w:rsidR="00713E18" w:rsidRPr="00DB7DB6">
        <w:rPr>
          <w:rFonts w:ascii="Arial" w:hAnsi="Arial" w:cs="Arial"/>
        </w:rPr>
        <w:t xml:space="preserve"> I will use Gibbs' Reflective Cycle (1988) to methodically assess my developing competencies during monthly supervision to make sure this learning is successfully applied in clinical situations. I will be able to actively address communication hurdles within multidisciplinary teams and critically analyse difficult inter-agency problems thanks to this methodical methodology. </w:t>
      </w:r>
      <w:r w:rsidR="00DF1242" w:rsidRPr="00DB7DB6">
        <w:rPr>
          <w:rFonts w:ascii="Arial" w:hAnsi="Arial" w:cs="Arial"/>
        </w:rPr>
        <w:t>To</w:t>
      </w:r>
      <w:r w:rsidR="00713E18" w:rsidRPr="00DB7DB6">
        <w:rPr>
          <w:rFonts w:ascii="Arial" w:hAnsi="Arial" w:cs="Arial"/>
        </w:rPr>
        <w:t xml:space="preserve"> better support service user autonomy when resource constraints jeopardise fair care, I will also concentrate on honing my assertive advocacy skills. I hope to eliminate task-focused prejudices and adopt a systems-wide viewpoint by participating in these interprofessional events.</w:t>
      </w:r>
    </w:p>
    <w:p w14:paraId="1B574886" w14:textId="77777777" w:rsidR="00D12DE8" w:rsidRPr="00DB7DB6" w:rsidRDefault="00DD5462" w:rsidP="00DB7DB6">
      <w:pPr>
        <w:spacing w:line="360" w:lineRule="auto"/>
        <w:rPr>
          <w:rFonts w:ascii="Arial" w:hAnsi="Arial" w:cs="Arial"/>
        </w:rPr>
      </w:pPr>
      <w:r w:rsidRPr="00DB7DB6">
        <w:rPr>
          <w:rFonts w:ascii="Arial" w:hAnsi="Arial" w:cs="Arial"/>
        </w:rPr>
        <w:t>These proactive developmental steps will ensure that my practice consistently aligns with the professional codes of conduct set out by the Health and Care Professions Council (HCPC, 2024) and the Nursing and Midwifery Council (NMC, 2018), specifically regarding the delivery of safe, non-discriminatory, and compassionate care.</w:t>
      </w:r>
    </w:p>
    <w:p w14:paraId="7E860BBA" w14:textId="3CA42088" w:rsidR="00D12DE8" w:rsidRPr="00DB7DB6" w:rsidRDefault="00DD5462" w:rsidP="00DB7DB6">
      <w:pPr>
        <w:pStyle w:val="Heading1"/>
        <w:spacing w:line="360" w:lineRule="auto"/>
        <w:rPr>
          <w:rFonts w:ascii="Arial" w:hAnsi="Arial" w:cs="Arial"/>
        </w:rPr>
      </w:pPr>
      <w:r w:rsidRPr="00DB7DB6">
        <w:rPr>
          <w:rFonts w:ascii="Arial" w:hAnsi="Arial" w:cs="Arial"/>
        </w:rPr>
        <w:t xml:space="preserve"> </w:t>
      </w:r>
      <w:bookmarkStart w:id="13" w:name="_Toc233885326"/>
      <w:r w:rsidRPr="00DB7DB6">
        <w:rPr>
          <w:rFonts w:ascii="Arial" w:hAnsi="Arial" w:cs="Arial"/>
        </w:rPr>
        <w:t>5. Conclusion</w:t>
      </w:r>
      <w:bookmarkEnd w:id="13"/>
    </w:p>
    <w:p w14:paraId="777CD09C" w14:textId="46C5C46B" w:rsidR="00D12DE8" w:rsidRPr="00DB7DB6" w:rsidRDefault="00DD5462" w:rsidP="00DB7DB6">
      <w:pPr>
        <w:spacing w:line="360" w:lineRule="auto"/>
        <w:rPr>
          <w:rFonts w:ascii="Arial" w:hAnsi="Arial" w:cs="Arial"/>
        </w:rPr>
      </w:pPr>
      <w:r w:rsidRPr="00DB7DB6">
        <w:rPr>
          <w:rFonts w:ascii="Arial" w:hAnsi="Arial" w:cs="Arial"/>
        </w:rPr>
        <w:t>To conclude, this report shows that person-</w:t>
      </w:r>
      <w:r w:rsidR="007A529A" w:rsidRPr="00DB7DB6">
        <w:rPr>
          <w:rFonts w:ascii="Arial" w:hAnsi="Arial" w:cs="Arial"/>
        </w:rPr>
        <w:t>cantered</w:t>
      </w:r>
      <w:r w:rsidRPr="00DB7DB6">
        <w:rPr>
          <w:rFonts w:ascii="Arial" w:hAnsi="Arial" w:cs="Arial"/>
        </w:rPr>
        <w:t xml:space="preserve"> care, collaborative practice and firm ethical principles are not just aspirational concepts within healthcare, they are indispensable structural elements of safe and effective care delivery. As Joan’s Story illustrates, shifting from piecemeal clinical interventions to coordinated, supportive care approaches can lead to dramatic gains in patient outcomes, greater autonomy, and reduced emergency re-hospitalization.</w:t>
      </w:r>
      <w:r w:rsidR="002D7AD4" w:rsidRPr="00DB7DB6">
        <w:rPr>
          <w:rFonts w:ascii="Arial" w:hAnsi="Arial" w:cs="Arial"/>
        </w:rPr>
        <w:t xml:space="preserve"> Additionally, ensuring that local practices comply with the Care Act of 2014's statutory requirements guarantees that the primary focus of intricate Integrated Care Systems continues to be individual well-being. Systematically integrating these ideas into routine operating procedures is vital for my own professional growth. I will be able to overcome systemic obstacles, close communication gaps amongst interagency partners, and effectively transition from a task-focused worker into a fully holistic, independent, and reflective practitioner by embracing ongoing critical reflection.</w:t>
      </w:r>
      <w:r w:rsidRPr="00DB7DB6">
        <w:rPr>
          <w:rFonts w:ascii="Arial" w:hAnsi="Arial" w:cs="Arial"/>
        </w:rPr>
        <w:t xml:space="preserve"> </w:t>
      </w:r>
    </w:p>
    <w:p w14:paraId="4EA87E86" w14:textId="77777777" w:rsidR="00911084" w:rsidRPr="00DB7DB6" w:rsidRDefault="00911084" w:rsidP="00DB7DB6">
      <w:pPr>
        <w:pStyle w:val="Heading1"/>
        <w:spacing w:line="360" w:lineRule="auto"/>
        <w:rPr>
          <w:rFonts w:ascii="Arial" w:hAnsi="Arial" w:cs="Arial"/>
        </w:rPr>
      </w:pPr>
    </w:p>
    <w:p w14:paraId="4A9D7B84" w14:textId="4CAAC499" w:rsidR="00A976B3" w:rsidRPr="00D27896" w:rsidRDefault="00A976B3" w:rsidP="00D27896">
      <w:pPr>
        <w:pStyle w:val="Heading1"/>
        <w:spacing w:line="360" w:lineRule="auto"/>
        <w:rPr>
          <w:rFonts w:ascii="Arial" w:hAnsi="Arial" w:cs="Arial"/>
        </w:rPr>
      </w:pPr>
      <w:r w:rsidRPr="00D27896">
        <w:rPr>
          <w:rFonts w:ascii="Arial" w:hAnsi="Arial" w:cs="Arial"/>
        </w:rPr>
        <w:t>6 Reference List</w:t>
      </w:r>
    </w:p>
    <w:p w14:paraId="16984BC6" w14:textId="77777777" w:rsidR="00A976B3" w:rsidRPr="00D27896" w:rsidRDefault="00A976B3" w:rsidP="00D27896">
      <w:pPr>
        <w:spacing w:line="360" w:lineRule="auto"/>
        <w:rPr>
          <w:rFonts w:ascii="Arial" w:hAnsi="Arial" w:cs="Arial"/>
        </w:rPr>
      </w:pPr>
      <w:r w:rsidRPr="00D27896">
        <w:rPr>
          <w:rFonts w:ascii="Arial" w:hAnsi="Arial" w:cs="Arial"/>
        </w:rPr>
        <w:t xml:space="preserve">  Care Act 2014, c. 23. London: The Stationery Office.</w:t>
      </w:r>
    </w:p>
    <w:p w14:paraId="0C12C2CD" w14:textId="2848B65F" w:rsidR="00D12DE8" w:rsidRPr="00D27896" w:rsidRDefault="00DD5462" w:rsidP="00D27896">
      <w:pPr>
        <w:spacing w:line="360" w:lineRule="auto"/>
        <w:rPr>
          <w:rFonts w:ascii="Arial" w:hAnsi="Arial" w:cs="Arial"/>
        </w:rPr>
      </w:pPr>
      <w:r w:rsidRPr="00D27896">
        <w:rPr>
          <w:rFonts w:ascii="Arial" w:hAnsi="Arial" w:cs="Arial"/>
        </w:rPr>
        <w:t xml:space="preserve"> Gibbs, G., 1988. Learning by Doing: A Guide to Teaching and Learning Methods. Further Education Unit. Oxford: Oxford Polytechnic.</w:t>
      </w:r>
    </w:p>
    <w:p w14:paraId="46C7E1E7" w14:textId="77777777" w:rsidR="00D12DE8" w:rsidRPr="00D27896" w:rsidRDefault="00DD5462" w:rsidP="00D27896">
      <w:pPr>
        <w:spacing w:line="360" w:lineRule="auto"/>
        <w:rPr>
          <w:rFonts w:ascii="Arial" w:hAnsi="Arial" w:cs="Arial"/>
        </w:rPr>
      </w:pPr>
      <w:r w:rsidRPr="00D27896">
        <w:rPr>
          <w:rFonts w:ascii="Arial" w:hAnsi="Arial" w:cs="Arial"/>
        </w:rPr>
        <w:t xml:space="preserve">  Health and Care Act 2022, c. 31. London: The Stationery Office.</w:t>
      </w:r>
    </w:p>
    <w:p w14:paraId="7D323F6E" w14:textId="77777777" w:rsidR="00D12DE8" w:rsidRPr="00D27896" w:rsidRDefault="00DD5462" w:rsidP="00D27896">
      <w:pPr>
        <w:spacing w:line="360" w:lineRule="auto"/>
        <w:rPr>
          <w:rFonts w:ascii="Arial" w:hAnsi="Arial" w:cs="Arial"/>
        </w:rPr>
      </w:pPr>
      <w:r w:rsidRPr="00D27896">
        <w:rPr>
          <w:rFonts w:ascii="Arial" w:hAnsi="Arial" w:cs="Arial"/>
        </w:rPr>
        <w:t xml:space="preserve">  Health and Care Professions Council (HCPC), 2024. Standards of Conduct, Performance and Ethics. London: HCPC.</w:t>
      </w:r>
    </w:p>
    <w:p w14:paraId="0BB865AF" w14:textId="77777777" w:rsidR="00D12DE8" w:rsidRPr="00D27896" w:rsidRDefault="00DD5462" w:rsidP="00D27896">
      <w:pPr>
        <w:spacing w:line="360" w:lineRule="auto"/>
        <w:rPr>
          <w:rFonts w:ascii="Arial" w:hAnsi="Arial" w:cs="Arial"/>
        </w:rPr>
      </w:pPr>
      <w:r w:rsidRPr="00D27896">
        <w:rPr>
          <w:rFonts w:ascii="Arial" w:hAnsi="Arial" w:cs="Arial"/>
        </w:rPr>
        <w:t xml:space="preserve">  Maslow, A.H., 1943. A theory of human motivation. Psychological Review, 50(4), pp. 370-396.</w:t>
      </w:r>
    </w:p>
    <w:p w14:paraId="3C21B4D4" w14:textId="77777777" w:rsidR="00D12DE8" w:rsidRPr="00D27896" w:rsidRDefault="00DD5462" w:rsidP="00D27896">
      <w:pPr>
        <w:spacing w:line="360" w:lineRule="auto"/>
        <w:rPr>
          <w:rFonts w:ascii="Arial" w:hAnsi="Arial" w:cs="Arial"/>
        </w:rPr>
      </w:pPr>
      <w:r w:rsidRPr="00D27896">
        <w:rPr>
          <w:rFonts w:ascii="Arial" w:hAnsi="Arial" w:cs="Arial"/>
        </w:rPr>
        <w:t xml:space="preserve">  NHS England, 2023. Personalised Care Case Studies: Joan's Story. London: NHS England. Available at: https://www.england.nhs.uk/personalisedcare/comprehensive-model/case-studies/joans-story/ [Accessed 29 June 2026].</w:t>
      </w:r>
    </w:p>
    <w:p w14:paraId="74230314" w14:textId="77777777" w:rsidR="00D12DE8" w:rsidRPr="00D27896" w:rsidRDefault="00DD5462" w:rsidP="00D27896">
      <w:pPr>
        <w:spacing w:line="360" w:lineRule="auto"/>
        <w:rPr>
          <w:rFonts w:ascii="Arial" w:hAnsi="Arial" w:cs="Arial"/>
        </w:rPr>
      </w:pPr>
      <w:r w:rsidRPr="00D27896">
        <w:rPr>
          <w:rFonts w:ascii="Arial" w:hAnsi="Arial" w:cs="Arial"/>
        </w:rPr>
        <w:t xml:space="preserve">  National Institute for Health and Care Excellence (NICE), 2021. Shared Decision Making (NG197). London: NICE.</w:t>
      </w:r>
    </w:p>
    <w:p w14:paraId="7E39FCD7" w14:textId="77777777" w:rsidR="00D12DE8" w:rsidRPr="00D27896" w:rsidRDefault="00DD5462" w:rsidP="00D27896">
      <w:pPr>
        <w:spacing w:line="360" w:lineRule="auto"/>
        <w:rPr>
          <w:rFonts w:ascii="Arial" w:hAnsi="Arial" w:cs="Arial"/>
        </w:rPr>
      </w:pPr>
      <w:r w:rsidRPr="00D27896">
        <w:rPr>
          <w:rFonts w:ascii="Arial" w:hAnsi="Arial" w:cs="Arial"/>
        </w:rPr>
        <w:t xml:space="preserve">  Nursing and Midwifery Council (NMC), 2018. The Code: Professional Standards of Practice and Behaviour for Nurses, Midwives and Nursing Associates. London: NMC.</w:t>
      </w:r>
    </w:p>
    <w:p w14:paraId="11A5B793" w14:textId="77777777" w:rsidR="00D12DE8" w:rsidRPr="00D27896" w:rsidRDefault="00DD5462" w:rsidP="00D27896">
      <w:pPr>
        <w:spacing w:line="360" w:lineRule="auto"/>
        <w:rPr>
          <w:rFonts w:ascii="Arial" w:hAnsi="Arial" w:cs="Arial"/>
        </w:rPr>
      </w:pPr>
      <w:r w:rsidRPr="00D27896">
        <w:rPr>
          <w:rFonts w:ascii="Arial" w:hAnsi="Arial" w:cs="Arial"/>
        </w:rPr>
        <w:t xml:space="preserve">  Social Care Institute for Excellence (SCIE), 2022. Co-production: Setting the Context. London: SCIE.</w:t>
      </w:r>
    </w:p>
    <w:p w14:paraId="1D80326F" w14:textId="758E4288" w:rsidR="00D12DE8" w:rsidRPr="00D27896" w:rsidRDefault="00DD5462" w:rsidP="00D27896">
      <w:pPr>
        <w:spacing w:line="360" w:lineRule="auto"/>
        <w:rPr>
          <w:rFonts w:ascii="Arial" w:hAnsi="Arial" w:cs="Arial"/>
        </w:rPr>
      </w:pPr>
      <w:r w:rsidRPr="00D27896">
        <w:rPr>
          <w:rFonts w:ascii="Arial" w:hAnsi="Arial" w:cs="Arial"/>
        </w:rPr>
        <w:t xml:space="preserve">  University of Wales Trinity Saint David (UWTSD), 2026. BMHP5016 Principles of Health &amp; Social Care: Core Models and Frameworks. </w:t>
      </w:r>
      <w:r w:rsidR="00C5183D" w:rsidRPr="00D27896">
        <w:rPr>
          <w:rFonts w:ascii="Arial" w:hAnsi="Arial" w:cs="Arial"/>
        </w:rPr>
        <w:t>Lecture PowerPoint Slides</w:t>
      </w:r>
      <w:r w:rsidRPr="00D27896">
        <w:rPr>
          <w:rFonts w:ascii="Arial" w:hAnsi="Arial" w:cs="Arial"/>
        </w:rPr>
        <w:t xml:space="preserve"> delivered June 2026.</w:t>
      </w:r>
    </w:p>
    <w:p w14:paraId="5A1B905C" w14:textId="77777777" w:rsidR="00D12DE8" w:rsidRPr="00D27896" w:rsidRDefault="00D12DE8" w:rsidP="00D27896">
      <w:pPr>
        <w:spacing w:line="360" w:lineRule="auto"/>
        <w:rPr>
          <w:rFonts w:ascii="Arial" w:hAnsi="Arial" w:cs="Arial"/>
        </w:rPr>
      </w:pPr>
    </w:p>
    <w:sectPr w:rsidR="00D12DE8" w:rsidRPr="00D2789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masis MT Pro Medium">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ShadeFormData/>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DE8"/>
    <w:rsid w:val="00003664"/>
    <w:rsid w:val="0004250F"/>
    <w:rsid w:val="00051C38"/>
    <w:rsid w:val="00052736"/>
    <w:rsid w:val="00082F78"/>
    <w:rsid w:val="000929B5"/>
    <w:rsid w:val="000B3053"/>
    <w:rsid w:val="000B3EB3"/>
    <w:rsid w:val="001276AA"/>
    <w:rsid w:val="001B4999"/>
    <w:rsid w:val="001E148E"/>
    <w:rsid w:val="001F0D8B"/>
    <w:rsid w:val="001F2D12"/>
    <w:rsid w:val="001F52E7"/>
    <w:rsid w:val="00213510"/>
    <w:rsid w:val="002138EC"/>
    <w:rsid w:val="00225622"/>
    <w:rsid w:val="002704EF"/>
    <w:rsid w:val="00292D76"/>
    <w:rsid w:val="002D7AD4"/>
    <w:rsid w:val="002E2563"/>
    <w:rsid w:val="002E5B72"/>
    <w:rsid w:val="003146F0"/>
    <w:rsid w:val="00315B63"/>
    <w:rsid w:val="0035796D"/>
    <w:rsid w:val="00365AB9"/>
    <w:rsid w:val="0037151D"/>
    <w:rsid w:val="003E366D"/>
    <w:rsid w:val="00470107"/>
    <w:rsid w:val="00492420"/>
    <w:rsid w:val="004B4601"/>
    <w:rsid w:val="004C0226"/>
    <w:rsid w:val="004D73ED"/>
    <w:rsid w:val="004E17D4"/>
    <w:rsid w:val="004E63FA"/>
    <w:rsid w:val="005A3470"/>
    <w:rsid w:val="005B1E8F"/>
    <w:rsid w:val="005C1B1D"/>
    <w:rsid w:val="005D21E1"/>
    <w:rsid w:val="006048C3"/>
    <w:rsid w:val="00650675"/>
    <w:rsid w:val="006650A9"/>
    <w:rsid w:val="00680DFA"/>
    <w:rsid w:val="00686F46"/>
    <w:rsid w:val="006B26DD"/>
    <w:rsid w:val="006D7201"/>
    <w:rsid w:val="006E36A1"/>
    <w:rsid w:val="00704BEF"/>
    <w:rsid w:val="0071006E"/>
    <w:rsid w:val="00713E18"/>
    <w:rsid w:val="007503AE"/>
    <w:rsid w:val="0076411A"/>
    <w:rsid w:val="007676D3"/>
    <w:rsid w:val="00771EF7"/>
    <w:rsid w:val="00774E04"/>
    <w:rsid w:val="007A529A"/>
    <w:rsid w:val="007F1258"/>
    <w:rsid w:val="007F796E"/>
    <w:rsid w:val="008061AA"/>
    <w:rsid w:val="0081078C"/>
    <w:rsid w:val="008533ED"/>
    <w:rsid w:val="00871E63"/>
    <w:rsid w:val="00884638"/>
    <w:rsid w:val="008E5FD9"/>
    <w:rsid w:val="00911084"/>
    <w:rsid w:val="00916046"/>
    <w:rsid w:val="0092309B"/>
    <w:rsid w:val="00943556"/>
    <w:rsid w:val="00953B1E"/>
    <w:rsid w:val="00954320"/>
    <w:rsid w:val="009759BC"/>
    <w:rsid w:val="009A3605"/>
    <w:rsid w:val="009A5667"/>
    <w:rsid w:val="009B7832"/>
    <w:rsid w:val="009E751B"/>
    <w:rsid w:val="009F1E8B"/>
    <w:rsid w:val="00A075BE"/>
    <w:rsid w:val="00A147B0"/>
    <w:rsid w:val="00A35ED0"/>
    <w:rsid w:val="00A37E3F"/>
    <w:rsid w:val="00A50AC7"/>
    <w:rsid w:val="00A76C6C"/>
    <w:rsid w:val="00A976B3"/>
    <w:rsid w:val="00AB20CD"/>
    <w:rsid w:val="00AE1B1E"/>
    <w:rsid w:val="00AE56CA"/>
    <w:rsid w:val="00B01C7A"/>
    <w:rsid w:val="00B30576"/>
    <w:rsid w:val="00B6173F"/>
    <w:rsid w:val="00B62FBD"/>
    <w:rsid w:val="00B66DE2"/>
    <w:rsid w:val="00BA4CA0"/>
    <w:rsid w:val="00BB2DA5"/>
    <w:rsid w:val="00BC3AF7"/>
    <w:rsid w:val="00BC5860"/>
    <w:rsid w:val="00BE20BB"/>
    <w:rsid w:val="00BE2F00"/>
    <w:rsid w:val="00BE3E16"/>
    <w:rsid w:val="00BF7A15"/>
    <w:rsid w:val="00C12278"/>
    <w:rsid w:val="00C168C1"/>
    <w:rsid w:val="00C5183D"/>
    <w:rsid w:val="00C6188D"/>
    <w:rsid w:val="00C70F2C"/>
    <w:rsid w:val="00CA5605"/>
    <w:rsid w:val="00CA5682"/>
    <w:rsid w:val="00D12DE8"/>
    <w:rsid w:val="00D27896"/>
    <w:rsid w:val="00D32C8C"/>
    <w:rsid w:val="00D40968"/>
    <w:rsid w:val="00D57ABA"/>
    <w:rsid w:val="00D91682"/>
    <w:rsid w:val="00DA7AEA"/>
    <w:rsid w:val="00DB7DB6"/>
    <w:rsid w:val="00DD5462"/>
    <w:rsid w:val="00DE3193"/>
    <w:rsid w:val="00DF1242"/>
    <w:rsid w:val="00E02F93"/>
    <w:rsid w:val="00E4211A"/>
    <w:rsid w:val="00E53663"/>
    <w:rsid w:val="00EA44BB"/>
    <w:rsid w:val="00EC0B88"/>
    <w:rsid w:val="00ED7AD3"/>
    <w:rsid w:val="00F11CDE"/>
    <w:rsid w:val="00F76706"/>
    <w:rsid w:val="00FA7ADF"/>
    <w:rsid w:val="00FB51F1"/>
    <w:rsid w:val="00FC2178"/>
    <w:rsid w:val="00FE172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7A2FFB2"/>
  <w15:docId w15:val="{4958524C-18AD-4286-82F3-ED303E199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SimSu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zh-CN"/>
    </w:rPr>
  </w:style>
  <w:style w:type="paragraph" w:styleId="Heading1">
    <w:name w:val="heading 1"/>
    <w:basedOn w:val="Normal"/>
    <w:next w:val="Normal"/>
    <w:link w:val="Heading1Char"/>
    <w:uiPriority w:val="9"/>
    <w:qFormat/>
    <w:rsid w:val="0004250F"/>
    <w:pPr>
      <w:keepNext/>
      <w:spacing w:before="240" w:after="60"/>
      <w:outlineLvl w:val="0"/>
    </w:pPr>
    <w:rPr>
      <w:rFonts w:ascii="Cambria" w:hAnsi="Cambria"/>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04250F"/>
    <w:rPr>
      <w:rFonts w:ascii="Cambria" w:eastAsia="SimSun" w:hAnsi="Cambria" w:cs="Times New Roman"/>
      <w:b/>
      <w:bCs/>
      <w:kern w:val="32"/>
      <w:sz w:val="32"/>
      <w:szCs w:val="32"/>
      <w:lang w:val="en-US" w:eastAsia="zh-CN"/>
    </w:rPr>
  </w:style>
  <w:style w:type="paragraph" w:styleId="Subtitle">
    <w:name w:val="Subtitle"/>
    <w:basedOn w:val="Normal"/>
    <w:next w:val="Normal"/>
    <w:link w:val="SubtitleChar"/>
    <w:uiPriority w:val="11"/>
    <w:qFormat/>
    <w:rsid w:val="00ED7AD3"/>
    <w:pPr>
      <w:spacing w:after="60"/>
      <w:jc w:val="center"/>
      <w:outlineLvl w:val="1"/>
    </w:pPr>
    <w:rPr>
      <w:rFonts w:ascii="Cambria" w:hAnsi="Cambria"/>
      <w:sz w:val="24"/>
      <w:szCs w:val="24"/>
    </w:rPr>
  </w:style>
  <w:style w:type="character" w:customStyle="1" w:styleId="SubtitleChar">
    <w:name w:val="Subtitle Char"/>
    <w:link w:val="Subtitle"/>
    <w:uiPriority w:val="11"/>
    <w:rsid w:val="00ED7AD3"/>
    <w:rPr>
      <w:rFonts w:ascii="Cambria" w:eastAsia="SimSun" w:hAnsi="Cambria" w:cs="Times New Roman"/>
      <w:sz w:val="24"/>
      <w:szCs w:val="24"/>
      <w:lang w:val="en-US" w:eastAsia="zh-CN"/>
    </w:rPr>
  </w:style>
  <w:style w:type="paragraph" w:styleId="TOCHeading">
    <w:name w:val="TOC Heading"/>
    <w:basedOn w:val="Heading1"/>
    <w:next w:val="Normal"/>
    <w:uiPriority w:val="39"/>
    <w:unhideWhenUsed/>
    <w:qFormat/>
    <w:rsid w:val="00D57ABA"/>
    <w:pPr>
      <w:keepLines/>
      <w:spacing w:after="0" w:line="259" w:lineRule="auto"/>
      <w:outlineLvl w:val="9"/>
    </w:pPr>
    <w:rPr>
      <w:b w:val="0"/>
      <w:bCs w:val="0"/>
      <w:color w:val="0F4761"/>
      <w:kern w:val="0"/>
      <w:lang w:eastAsia="en-GB"/>
    </w:rPr>
  </w:style>
  <w:style w:type="paragraph" w:styleId="TOC1">
    <w:name w:val="toc 1"/>
    <w:basedOn w:val="Normal"/>
    <w:next w:val="Normal"/>
    <w:autoRedefine/>
    <w:uiPriority w:val="39"/>
    <w:unhideWhenUsed/>
    <w:rsid w:val="00D57ABA"/>
  </w:style>
  <w:style w:type="paragraph" w:styleId="TOC2">
    <w:name w:val="toc 2"/>
    <w:basedOn w:val="Normal"/>
    <w:next w:val="Normal"/>
    <w:autoRedefine/>
    <w:uiPriority w:val="39"/>
    <w:unhideWhenUsed/>
    <w:rsid w:val="00D57ABA"/>
    <w:pPr>
      <w:ind w:left="220"/>
    </w:pPr>
  </w:style>
  <w:style w:type="character" w:styleId="Hyperlink">
    <w:name w:val="Hyperlink"/>
    <w:uiPriority w:val="99"/>
    <w:unhideWhenUsed/>
    <w:rsid w:val="00D57AB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5" ma:contentTypeDescription="Create a new document." ma:contentTypeScope="" ma:versionID="ef467671b99180ab52468d3c16d9ebc6">
  <xsd:schema xmlns:xsd="http://www.w3.org/2001/XMLSchema" xmlns:xs="http://www.w3.org/2001/XMLSchema" xmlns:p="http://schemas.microsoft.com/office/2006/metadata/properties" xmlns:ns3="c1d1778d-a818-455a-8cd4-46a2d86b45f1" targetNamespace="http://schemas.microsoft.com/office/2006/metadata/properties" ma:root="true" ma:fieldsID="2f066275d7b1eed4205147493345b90d"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1d1778d-a818-455a-8cd4-46a2d86b45f1" xsi:nil="true"/>
  </documentManagement>
</p:properties>
</file>

<file path=customXml/itemProps1.xml><?xml version="1.0" encoding="utf-8"?>
<ds:datastoreItem xmlns:ds="http://schemas.openxmlformats.org/officeDocument/2006/customXml" ds:itemID="{BD2A2433-1B84-466F-9AE0-B0E9EC18F749}">
  <ds:schemaRefs>
    <ds:schemaRef ds:uri="http://schemas.openxmlformats.org/officeDocument/2006/bibliography"/>
  </ds:schemaRefs>
</ds:datastoreItem>
</file>

<file path=customXml/itemProps2.xml><?xml version="1.0" encoding="utf-8"?>
<ds:datastoreItem xmlns:ds="http://schemas.openxmlformats.org/officeDocument/2006/customXml" ds:itemID="{E6BDF72A-BD09-488B-8D81-A872C52374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d1778d-a818-455a-8cd4-46a2d86b4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6D90E9-4EA7-46EA-B7B2-94D7E15110DD}">
  <ds:schemaRefs>
    <ds:schemaRef ds:uri="http://schemas.microsoft.com/sharepoint/v3/contenttype/forms"/>
  </ds:schemaRefs>
</ds:datastoreItem>
</file>

<file path=customXml/itemProps4.xml><?xml version="1.0" encoding="utf-8"?>
<ds:datastoreItem xmlns:ds="http://schemas.openxmlformats.org/officeDocument/2006/customXml" ds:itemID="{A9A4E92F-58AD-430B-9693-23F4365F6104}">
  <ds:schemaRefs>
    <ds:schemaRef ds:uri="http://schemas.microsoft.com/office/2006/metadata/properties"/>
    <ds:schemaRef ds:uri="http://schemas.microsoft.com/office/infopath/2007/PartnerControls"/>
    <ds:schemaRef ds:uri="c1d1778d-a818-455a-8cd4-46a2d86b45f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2677</Words>
  <Characters>15263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SM-A145F</dc:creator>
  <cp:lastModifiedBy>Irene Baaba Quagraine (2434408)</cp:lastModifiedBy>
  <cp:revision>2</cp:revision>
  <dcterms:created xsi:type="dcterms:W3CDTF">2026-07-10T13:32:00Z</dcterms:created>
  <dcterms:modified xsi:type="dcterms:W3CDTF">2026-07-10T13:32:00Z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1cbed888a2f24e1da01788c90b32903c</vt:lpwstr>
  </property>
  <property fmtid="{D5CDD505-2E9C-101B-9397-08002B2CF9AE}" pid="3" name="ContentTypeId">
    <vt:lpwstr>0x0101007AF7A81DB2712C44963F24CDB781C727</vt:lpwstr>
  </property>
</Properties>
</file>