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20D93" w14:textId="77777777" w:rsidR="00467559" w:rsidRDefault="00467559" w:rsidP="00467559">
      <w:pPr>
        <w:jc w:val="center"/>
        <w:rPr>
          <w:rFonts w:eastAsia="Aptos" w:cs="Times New Roman"/>
          <w:sz w:val="32"/>
          <w:szCs w:val="28"/>
          <w:lang w:eastAsia="en-US"/>
        </w:rPr>
      </w:pPr>
      <w:r>
        <w:rPr>
          <w:noProof/>
          <w:lang w:val="en-US" w:eastAsia="en-US"/>
        </w:rPr>
        <w:drawing>
          <wp:inline distT="0" distB="0" distL="0" distR="0" wp14:anchorId="52EDC95E" wp14:editId="0752FB83">
            <wp:extent cx="1603375" cy="688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3375" cy="688975"/>
                    </a:xfrm>
                    <a:prstGeom prst="rect">
                      <a:avLst/>
                    </a:prstGeom>
                    <a:noFill/>
                    <a:ln>
                      <a:noFill/>
                    </a:ln>
                  </pic:spPr>
                </pic:pic>
              </a:graphicData>
            </a:graphic>
          </wp:inline>
        </w:drawing>
      </w:r>
    </w:p>
    <w:p w14:paraId="365F7B72" w14:textId="77777777" w:rsidR="00467559" w:rsidRDefault="00467559" w:rsidP="00467559">
      <w:pPr>
        <w:jc w:val="center"/>
        <w:rPr>
          <w:sz w:val="32"/>
          <w:szCs w:val="28"/>
        </w:rPr>
      </w:pPr>
    </w:p>
    <w:p w14:paraId="080FA35A" w14:textId="77777777" w:rsidR="00467559" w:rsidRDefault="00467559" w:rsidP="00467559">
      <w:pPr>
        <w:jc w:val="center"/>
        <w:rPr>
          <w:sz w:val="32"/>
          <w:szCs w:val="28"/>
        </w:rPr>
      </w:pPr>
    </w:p>
    <w:p w14:paraId="5AFA6C7D" w14:textId="77777777" w:rsidR="00467559" w:rsidRDefault="00467559" w:rsidP="00467559">
      <w:pPr>
        <w:jc w:val="center"/>
        <w:rPr>
          <w:sz w:val="32"/>
          <w:szCs w:val="28"/>
        </w:rPr>
      </w:pPr>
      <w:r>
        <w:rPr>
          <w:sz w:val="32"/>
          <w:szCs w:val="28"/>
        </w:rPr>
        <w:t>LCMB7003</w:t>
      </w:r>
    </w:p>
    <w:p w14:paraId="5420EB79" w14:textId="77777777" w:rsidR="00467559" w:rsidRDefault="00467559" w:rsidP="00467559">
      <w:pPr>
        <w:jc w:val="center"/>
        <w:rPr>
          <w:sz w:val="32"/>
          <w:szCs w:val="28"/>
        </w:rPr>
      </w:pPr>
      <w:r>
        <w:rPr>
          <w:sz w:val="32"/>
          <w:szCs w:val="28"/>
        </w:rPr>
        <w:t>Strategic Management</w:t>
      </w:r>
    </w:p>
    <w:p w14:paraId="0DF668A9" w14:textId="77777777" w:rsidR="00467559" w:rsidRDefault="00467559" w:rsidP="00467559">
      <w:pPr>
        <w:jc w:val="center"/>
        <w:rPr>
          <w:sz w:val="32"/>
          <w:szCs w:val="28"/>
        </w:rPr>
      </w:pPr>
    </w:p>
    <w:p w14:paraId="4119DDDB" w14:textId="77777777" w:rsidR="00467559" w:rsidRDefault="00467559" w:rsidP="00467559">
      <w:pPr>
        <w:jc w:val="center"/>
        <w:rPr>
          <w:sz w:val="32"/>
          <w:szCs w:val="28"/>
        </w:rPr>
      </w:pPr>
      <w:r>
        <w:rPr>
          <w:sz w:val="32"/>
          <w:szCs w:val="28"/>
        </w:rPr>
        <w:t>Individual Report</w:t>
      </w:r>
    </w:p>
    <w:p w14:paraId="1860F8D2" w14:textId="77777777" w:rsidR="00467559" w:rsidRDefault="00467559" w:rsidP="00467559">
      <w:pPr>
        <w:jc w:val="center"/>
        <w:rPr>
          <w:sz w:val="32"/>
          <w:szCs w:val="28"/>
        </w:rPr>
      </w:pPr>
    </w:p>
    <w:p w14:paraId="5B365718" w14:textId="77777777" w:rsidR="00467559" w:rsidRDefault="00467559" w:rsidP="00467559">
      <w:pPr>
        <w:jc w:val="center"/>
        <w:rPr>
          <w:b/>
          <w:sz w:val="28"/>
          <w:szCs w:val="28"/>
        </w:rPr>
      </w:pPr>
      <w:r>
        <w:rPr>
          <w:b/>
          <w:sz w:val="28"/>
          <w:szCs w:val="28"/>
        </w:rPr>
        <w:t xml:space="preserve">Report Title: </w:t>
      </w:r>
      <w:r w:rsidR="00132392" w:rsidRPr="00132392">
        <w:rPr>
          <w:b/>
          <w:sz w:val="28"/>
          <w:szCs w:val="28"/>
        </w:rPr>
        <w:t>Strategic Management Analysis of Levi Strauss &amp; Co.</w:t>
      </w:r>
    </w:p>
    <w:p w14:paraId="4EB82682" w14:textId="77777777" w:rsidR="00467559" w:rsidRDefault="00467559" w:rsidP="00467559">
      <w:pPr>
        <w:spacing w:line="256" w:lineRule="auto"/>
        <w:jc w:val="left"/>
        <w:rPr>
          <w:sz w:val="32"/>
          <w:szCs w:val="28"/>
        </w:rPr>
      </w:pPr>
    </w:p>
    <w:p w14:paraId="09AA2D8F" w14:textId="77777777" w:rsidR="00467559" w:rsidRDefault="00467559" w:rsidP="00467559">
      <w:pPr>
        <w:spacing w:line="256" w:lineRule="auto"/>
        <w:jc w:val="left"/>
        <w:rPr>
          <w:sz w:val="32"/>
          <w:szCs w:val="28"/>
        </w:rPr>
      </w:pPr>
    </w:p>
    <w:p w14:paraId="60A282BE" w14:textId="77777777" w:rsidR="00467559" w:rsidRDefault="00467559" w:rsidP="00467559">
      <w:pPr>
        <w:spacing w:line="256" w:lineRule="auto"/>
        <w:jc w:val="left"/>
        <w:rPr>
          <w:sz w:val="32"/>
          <w:szCs w:val="28"/>
        </w:rPr>
      </w:pPr>
    </w:p>
    <w:p w14:paraId="557E8AEA" w14:textId="77777777" w:rsidR="00467559" w:rsidRDefault="00467559" w:rsidP="00467559">
      <w:pPr>
        <w:spacing w:line="256" w:lineRule="auto"/>
        <w:jc w:val="left"/>
        <w:rPr>
          <w:sz w:val="32"/>
          <w:szCs w:val="28"/>
        </w:rPr>
      </w:pPr>
    </w:p>
    <w:p w14:paraId="72A40F51" w14:textId="77777777" w:rsidR="00467559" w:rsidRDefault="00467559" w:rsidP="00467559">
      <w:r>
        <w:t>Submitted By-</w:t>
      </w:r>
    </w:p>
    <w:p w14:paraId="1AEC8E3D" w14:textId="6502619B" w:rsidR="00467559" w:rsidRDefault="00467559" w:rsidP="00467559">
      <w:pPr>
        <w:rPr>
          <w:b/>
        </w:rPr>
      </w:pPr>
      <w:r>
        <w:rPr>
          <w:b/>
        </w:rPr>
        <w:t>Student Name-</w:t>
      </w:r>
      <w:r w:rsidR="00FE5108">
        <w:rPr>
          <w:b/>
        </w:rPr>
        <w:t xml:space="preserve"> Hasibur Rahman</w:t>
      </w:r>
    </w:p>
    <w:p w14:paraId="00197EB9" w14:textId="41BF7FF0" w:rsidR="00467559" w:rsidRDefault="00467559" w:rsidP="00467559">
      <w:pPr>
        <w:rPr>
          <w:b/>
        </w:rPr>
      </w:pPr>
      <w:r>
        <w:rPr>
          <w:b/>
        </w:rPr>
        <w:t>Student ID-</w:t>
      </w:r>
      <w:r w:rsidR="00FE5108">
        <w:rPr>
          <w:b/>
        </w:rPr>
        <w:t xml:space="preserve"> 2436834</w:t>
      </w:r>
    </w:p>
    <w:p w14:paraId="6D1F3A66" w14:textId="77777777" w:rsidR="00467559" w:rsidRDefault="00467559" w:rsidP="00467559">
      <w:pPr>
        <w:rPr>
          <w:b/>
        </w:rPr>
      </w:pPr>
    </w:p>
    <w:p w14:paraId="621047ED" w14:textId="77777777" w:rsidR="00467559" w:rsidRDefault="00467559" w:rsidP="00467559">
      <w:pPr>
        <w:jc w:val="center"/>
        <w:rPr>
          <w:sz w:val="28"/>
        </w:rPr>
      </w:pPr>
      <w:r>
        <w:rPr>
          <w:sz w:val="28"/>
        </w:rPr>
        <w:t>Submission deadline: 01st May 2026 by 2PM</w:t>
      </w:r>
    </w:p>
    <w:p w14:paraId="25A433BA" w14:textId="77777777" w:rsidR="00ED62BC" w:rsidRDefault="00ED62BC">
      <w:pPr>
        <w:spacing w:line="259" w:lineRule="auto"/>
        <w:jc w:val="left"/>
        <w:rPr>
          <w:sz w:val="28"/>
        </w:rPr>
      </w:pPr>
      <w:r>
        <w:rPr>
          <w:sz w:val="28"/>
        </w:rPr>
        <w:br w:type="page"/>
      </w:r>
    </w:p>
    <w:p w14:paraId="27613E3D" w14:textId="77777777" w:rsidR="00270240" w:rsidRDefault="003F1BC3" w:rsidP="009F1832">
      <w:pPr>
        <w:pStyle w:val="Heading1"/>
      </w:pPr>
      <w:bookmarkStart w:id="0" w:name="_Toc226411563"/>
      <w:r>
        <w:lastRenderedPageBreak/>
        <w:t>Abstract</w:t>
      </w:r>
      <w:bookmarkEnd w:id="0"/>
    </w:p>
    <w:p w14:paraId="589D7191" w14:textId="77777777" w:rsidR="00ED62BC" w:rsidRPr="00270240" w:rsidRDefault="00270240" w:rsidP="00270240">
      <w:r w:rsidRPr="00270240">
        <w:t xml:space="preserve">This report will critically </w:t>
      </w:r>
      <w:r w:rsidR="008F05DB" w:rsidRPr="00270240">
        <w:t>analyse</w:t>
      </w:r>
      <w:r w:rsidRPr="00270240">
        <w:t xml:space="preserve"> strategic management at Levi Strauss &amp; Co. (LS&amp;Co.) which is a heritage denim brand that competes in the dynamic international apparel market. On the analysis of the external environment, internal capability, and strategic positioning of LS&amp;Co., PESTEL, VRIO, Balanced Scorecard, SWOT and the Matrix adopted by Ansoff are used to </w:t>
      </w:r>
      <w:r w:rsidR="000639A0" w:rsidRPr="00270240">
        <w:t>analyse</w:t>
      </w:r>
      <w:r w:rsidRPr="00270240">
        <w:t xml:space="preserve"> the company. Results show that despite the active brand heritage and sustainable innovations (Water Less Technology) that keep LS Co. ahead of competitors in terms of competitive advantage, the long supply chain lead time and an ageing customer base jeopardize the company being relevant in the long-term. Suggestions are near-shoring to achieve agility, a circular subscription business model, competitive market growth in India as well as a divestitures of the Dockers label. A Gibbs reflective cycle records the learning process.</w:t>
      </w:r>
    </w:p>
    <w:p w14:paraId="2B1AA57D" w14:textId="77777777" w:rsidR="00467559" w:rsidRDefault="00467559" w:rsidP="00467559"/>
    <w:p w14:paraId="384B6FC6" w14:textId="77777777" w:rsidR="00132392" w:rsidRDefault="00132392" w:rsidP="00467559"/>
    <w:p w14:paraId="410BBDB8" w14:textId="77777777" w:rsidR="003628E8" w:rsidRPr="00537E72" w:rsidRDefault="008F05DB" w:rsidP="00877667">
      <w:pPr>
        <w:spacing w:line="259" w:lineRule="auto"/>
        <w:jc w:val="left"/>
      </w:pPr>
      <w:r>
        <w:br w:type="page"/>
      </w:r>
    </w:p>
    <w:sdt>
      <w:sdtPr>
        <w:rPr>
          <w:rFonts w:eastAsia="Calibri" w:cs="Calibri"/>
          <w:sz w:val="24"/>
          <w:szCs w:val="22"/>
          <w:lang w:val="en-GB"/>
        </w:rPr>
        <w:id w:val="-2081435283"/>
        <w:docPartObj>
          <w:docPartGallery w:val="Table of Contents"/>
          <w:docPartUnique/>
        </w:docPartObj>
      </w:sdtPr>
      <w:sdtEndPr>
        <w:rPr>
          <w:b/>
          <w:bCs/>
          <w:noProof/>
        </w:rPr>
      </w:sdtEndPr>
      <w:sdtContent>
        <w:p w14:paraId="7A7A1DEC" w14:textId="77777777" w:rsidR="0007205B" w:rsidRDefault="0007205B" w:rsidP="009F7EE0">
          <w:pPr>
            <w:pStyle w:val="TOCHeading"/>
            <w:spacing w:before="0" w:after="0"/>
          </w:pPr>
          <w:r>
            <w:t>Table of Contents</w:t>
          </w:r>
        </w:p>
        <w:p w14:paraId="39DADE05" w14:textId="77777777" w:rsidR="004F52A5" w:rsidRDefault="0007205B">
          <w:pPr>
            <w:pStyle w:val="TOC1"/>
            <w:tabs>
              <w:tab w:val="right" w:leader="dot" w:pos="9016"/>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226411563" w:history="1">
            <w:r w:rsidR="004F52A5" w:rsidRPr="005E2669">
              <w:rPr>
                <w:rStyle w:val="Hyperlink"/>
                <w:noProof/>
              </w:rPr>
              <w:t>Abstract</w:t>
            </w:r>
            <w:r w:rsidR="004F52A5">
              <w:rPr>
                <w:noProof/>
                <w:webHidden/>
              </w:rPr>
              <w:tab/>
            </w:r>
            <w:r w:rsidR="004F52A5">
              <w:rPr>
                <w:noProof/>
                <w:webHidden/>
              </w:rPr>
              <w:fldChar w:fldCharType="begin"/>
            </w:r>
            <w:r w:rsidR="004F52A5">
              <w:rPr>
                <w:noProof/>
                <w:webHidden/>
              </w:rPr>
              <w:instrText xml:space="preserve"> PAGEREF _Toc226411563 \h </w:instrText>
            </w:r>
            <w:r w:rsidR="004F52A5">
              <w:rPr>
                <w:noProof/>
                <w:webHidden/>
              </w:rPr>
            </w:r>
            <w:r w:rsidR="004F52A5">
              <w:rPr>
                <w:noProof/>
                <w:webHidden/>
              </w:rPr>
              <w:fldChar w:fldCharType="separate"/>
            </w:r>
            <w:r w:rsidR="004F52A5">
              <w:rPr>
                <w:noProof/>
                <w:webHidden/>
              </w:rPr>
              <w:t>2</w:t>
            </w:r>
            <w:r w:rsidR="004F52A5">
              <w:rPr>
                <w:noProof/>
                <w:webHidden/>
              </w:rPr>
              <w:fldChar w:fldCharType="end"/>
            </w:r>
          </w:hyperlink>
        </w:p>
        <w:p w14:paraId="1C844640"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64" w:history="1">
            <w:r w:rsidRPr="005E2669">
              <w:rPr>
                <w:rStyle w:val="Hyperlink"/>
                <w:noProof/>
              </w:rPr>
              <w:t>Introduction</w:t>
            </w:r>
            <w:r>
              <w:rPr>
                <w:noProof/>
                <w:webHidden/>
              </w:rPr>
              <w:tab/>
            </w:r>
            <w:r>
              <w:rPr>
                <w:noProof/>
                <w:webHidden/>
              </w:rPr>
              <w:fldChar w:fldCharType="begin"/>
            </w:r>
            <w:r>
              <w:rPr>
                <w:noProof/>
                <w:webHidden/>
              </w:rPr>
              <w:instrText xml:space="preserve"> PAGEREF _Toc226411564 \h </w:instrText>
            </w:r>
            <w:r>
              <w:rPr>
                <w:noProof/>
                <w:webHidden/>
              </w:rPr>
            </w:r>
            <w:r>
              <w:rPr>
                <w:noProof/>
                <w:webHidden/>
              </w:rPr>
              <w:fldChar w:fldCharType="separate"/>
            </w:r>
            <w:r>
              <w:rPr>
                <w:noProof/>
                <w:webHidden/>
              </w:rPr>
              <w:t>5</w:t>
            </w:r>
            <w:r>
              <w:rPr>
                <w:noProof/>
                <w:webHidden/>
              </w:rPr>
              <w:fldChar w:fldCharType="end"/>
            </w:r>
          </w:hyperlink>
        </w:p>
        <w:p w14:paraId="1987D653"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65" w:history="1">
            <w:r w:rsidRPr="005E2669">
              <w:rPr>
                <w:rStyle w:val="Hyperlink"/>
                <w:noProof/>
              </w:rPr>
              <w:t>Section 1: Strategic Analysis of Levi Strauss &amp; Co.</w:t>
            </w:r>
            <w:r>
              <w:rPr>
                <w:noProof/>
                <w:webHidden/>
              </w:rPr>
              <w:tab/>
            </w:r>
            <w:r>
              <w:rPr>
                <w:noProof/>
                <w:webHidden/>
              </w:rPr>
              <w:fldChar w:fldCharType="begin"/>
            </w:r>
            <w:r>
              <w:rPr>
                <w:noProof/>
                <w:webHidden/>
              </w:rPr>
              <w:instrText xml:space="preserve"> PAGEREF _Toc226411565 \h </w:instrText>
            </w:r>
            <w:r>
              <w:rPr>
                <w:noProof/>
                <w:webHidden/>
              </w:rPr>
            </w:r>
            <w:r>
              <w:rPr>
                <w:noProof/>
                <w:webHidden/>
              </w:rPr>
              <w:fldChar w:fldCharType="separate"/>
            </w:r>
            <w:r>
              <w:rPr>
                <w:noProof/>
                <w:webHidden/>
              </w:rPr>
              <w:t>6</w:t>
            </w:r>
            <w:r>
              <w:rPr>
                <w:noProof/>
                <w:webHidden/>
              </w:rPr>
              <w:fldChar w:fldCharType="end"/>
            </w:r>
          </w:hyperlink>
        </w:p>
        <w:p w14:paraId="0B35F629"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66" w:history="1">
            <w:r w:rsidRPr="005E2669">
              <w:rPr>
                <w:rStyle w:val="Hyperlink"/>
                <w:noProof/>
              </w:rPr>
              <w:t>1. Organisational Context and Overview</w:t>
            </w:r>
            <w:r>
              <w:rPr>
                <w:noProof/>
                <w:webHidden/>
              </w:rPr>
              <w:tab/>
            </w:r>
            <w:r>
              <w:rPr>
                <w:noProof/>
                <w:webHidden/>
              </w:rPr>
              <w:fldChar w:fldCharType="begin"/>
            </w:r>
            <w:r>
              <w:rPr>
                <w:noProof/>
                <w:webHidden/>
              </w:rPr>
              <w:instrText xml:space="preserve"> PAGEREF _Toc226411566 \h </w:instrText>
            </w:r>
            <w:r>
              <w:rPr>
                <w:noProof/>
                <w:webHidden/>
              </w:rPr>
            </w:r>
            <w:r>
              <w:rPr>
                <w:noProof/>
                <w:webHidden/>
              </w:rPr>
              <w:fldChar w:fldCharType="separate"/>
            </w:r>
            <w:r>
              <w:rPr>
                <w:noProof/>
                <w:webHidden/>
              </w:rPr>
              <w:t>6</w:t>
            </w:r>
            <w:r>
              <w:rPr>
                <w:noProof/>
                <w:webHidden/>
              </w:rPr>
              <w:fldChar w:fldCharType="end"/>
            </w:r>
          </w:hyperlink>
        </w:p>
        <w:p w14:paraId="30314BBA"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67" w:history="1">
            <w:r w:rsidRPr="005E2669">
              <w:rPr>
                <w:rStyle w:val="Hyperlink"/>
                <w:noProof/>
              </w:rPr>
              <w:t>1.1 Organisational Context</w:t>
            </w:r>
            <w:r>
              <w:rPr>
                <w:noProof/>
                <w:webHidden/>
              </w:rPr>
              <w:tab/>
            </w:r>
            <w:r>
              <w:rPr>
                <w:noProof/>
                <w:webHidden/>
              </w:rPr>
              <w:fldChar w:fldCharType="begin"/>
            </w:r>
            <w:r>
              <w:rPr>
                <w:noProof/>
                <w:webHidden/>
              </w:rPr>
              <w:instrText xml:space="preserve"> PAGEREF _Toc226411567 \h </w:instrText>
            </w:r>
            <w:r>
              <w:rPr>
                <w:noProof/>
                <w:webHidden/>
              </w:rPr>
            </w:r>
            <w:r>
              <w:rPr>
                <w:noProof/>
                <w:webHidden/>
              </w:rPr>
              <w:fldChar w:fldCharType="separate"/>
            </w:r>
            <w:r>
              <w:rPr>
                <w:noProof/>
                <w:webHidden/>
              </w:rPr>
              <w:t>6</w:t>
            </w:r>
            <w:r>
              <w:rPr>
                <w:noProof/>
                <w:webHidden/>
              </w:rPr>
              <w:fldChar w:fldCharType="end"/>
            </w:r>
          </w:hyperlink>
        </w:p>
        <w:p w14:paraId="6E32E753"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68" w:history="1">
            <w:r w:rsidRPr="005E2669">
              <w:rPr>
                <w:rStyle w:val="Hyperlink"/>
                <w:noProof/>
              </w:rPr>
              <w:t>1.2 Mission and Vision</w:t>
            </w:r>
            <w:r>
              <w:rPr>
                <w:noProof/>
                <w:webHidden/>
              </w:rPr>
              <w:tab/>
            </w:r>
            <w:r>
              <w:rPr>
                <w:noProof/>
                <w:webHidden/>
              </w:rPr>
              <w:fldChar w:fldCharType="begin"/>
            </w:r>
            <w:r>
              <w:rPr>
                <w:noProof/>
                <w:webHidden/>
              </w:rPr>
              <w:instrText xml:space="preserve"> PAGEREF _Toc226411568 \h </w:instrText>
            </w:r>
            <w:r>
              <w:rPr>
                <w:noProof/>
                <w:webHidden/>
              </w:rPr>
            </w:r>
            <w:r>
              <w:rPr>
                <w:noProof/>
                <w:webHidden/>
              </w:rPr>
              <w:fldChar w:fldCharType="separate"/>
            </w:r>
            <w:r>
              <w:rPr>
                <w:noProof/>
                <w:webHidden/>
              </w:rPr>
              <w:t>6</w:t>
            </w:r>
            <w:r>
              <w:rPr>
                <w:noProof/>
                <w:webHidden/>
              </w:rPr>
              <w:fldChar w:fldCharType="end"/>
            </w:r>
          </w:hyperlink>
        </w:p>
        <w:p w14:paraId="31E1434E"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69" w:history="1">
            <w:r w:rsidRPr="005E2669">
              <w:rPr>
                <w:rStyle w:val="Hyperlink"/>
                <w:noProof/>
              </w:rPr>
              <w:t>1.3 Market analysis</w:t>
            </w:r>
            <w:r>
              <w:rPr>
                <w:noProof/>
                <w:webHidden/>
              </w:rPr>
              <w:tab/>
            </w:r>
            <w:r>
              <w:rPr>
                <w:noProof/>
                <w:webHidden/>
              </w:rPr>
              <w:fldChar w:fldCharType="begin"/>
            </w:r>
            <w:r>
              <w:rPr>
                <w:noProof/>
                <w:webHidden/>
              </w:rPr>
              <w:instrText xml:space="preserve"> PAGEREF _Toc226411569 \h </w:instrText>
            </w:r>
            <w:r>
              <w:rPr>
                <w:noProof/>
                <w:webHidden/>
              </w:rPr>
            </w:r>
            <w:r>
              <w:rPr>
                <w:noProof/>
                <w:webHidden/>
              </w:rPr>
              <w:fldChar w:fldCharType="separate"/>
            </w:r>
            <w:r>
              <w:rPr>
                <w:noProof/>
                <w:webHidden/>
              </w:rPr>
              <w:t>7</w:t>
            </w:r>
            <w:r>
              <w:rPr>
                <w:noProof/>
                <w:webHidden/>
              </w:rPr>
              <w:fldChar w:fldCharType="end"/>
            </w:r>
          </w:hyperlink>
        </w:p>
        <w:p w14:paraId="29DFCD65"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70" w:history="1">
            <w:r w:rsidRPr="005E2669">
              <w:rPr>
                <w:rStyle w:val="Hyperlink"/>
                <w:noProof/>
              </w:rPr>
              <w:t>2. External and Internal Environment Analysis</w:t>
            </w:r>
            <w:r>
              <w:rPr>
                <w:noProof/>
                <w:webHidden/>
              </w:rPr>
              <w:tab/>
            </w:r>
            <w:r>
              <w:rPr>
                <w:noProof/>
                <w:webHidden/>
              </w:rPr>
              <w:fldChar w:fldCharType="begin"/>
            </w:r>
            <w:r>
              <w:rPr>
                <w:noProof/>
                <w:webHidden/>
              </w:rPr>
              <w:instrText xml:space="preserve"> PAGEREF _Toc226411570 \h </w:instrText>
            </w:r>
            <w:r>
              <w:rPr>
                <w:noProof/>
                <w:webHidden/>
              </w:rPr>
            </w:r>
            <w:r>
              <w:rPr>
                <w:noProof/>
                <w:webHidden/>
              </w:rPr>
              <w:fldChar w:fldCharType="separate"/>
            </w:r>
            <w:r>
              <w:rPr>
                <w:noProof/>
                <w:webHidden/>
              </w:rPr>
              <w:t>8</w:t>
            </w:r>
            <w:r>
              <w:rPr>
                <w:noProof/>
                <w:webHidden/>
              </w:rPr>
              <w:fldChar w:fldCharType="end"/>
            </w:r>
          </w:hyperlink>
        </w:p>
        <w:p w14:paraId="09D76F2A"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71" w:history="1">
            <w:r w:rsidRPr="005E2669">
              <w:rPr>
                <w:rStyle w:val="Hyperlink"/>
                <w:noProof/>
              </w:rPr>
              <w:t>2.1 External Environment Impact (PESTEL)</w:t>
            </w:r>
            <w:r>
              <w:rPr>
                <w:noProof/>
                <w:webHidden/>
              </w:rPr>
              <w:tab/>
            </w:r>
            <w:r>
              <w:rPr>
                <w:noProof/>
                <w:webHidden/>
              </w:rPr>
              <w:fldChar w:fldCharType="begin"/>
            </w:r>
            <w:r>
              <w:rPr>
                <w:noProof/>
                <w:webHidden/>
              </w:rPr>
              <w:instrText xml:space="preserve"> PAGEREF _Toc226411571 \h </w:instrText>
            </w:r>
            <w:r>
              <w:rPr>
                <w:noProof/>
                <w:webHidden/>
              </w:rPr>
            </w:r>
            <w:r>
              <w:rPr>
                <w:noProof/>
                <w:webHidden/>
              </w:rPr>
              <w:fldChar w:fldCharType="separate"/>
            </w:r>
            <w:r>
              <w:rPr>
                <w:noProof/>
                <w:webHidden/>
              </w:rPr>
              <w:t>8</w:t>
            </w:r>
            <w:r>
              <w:rPr>
                <w:noProof/>
                <w:webHidden/>
              </w:rPr>
              <w:fldChar w:fldCharType="end"/>
            </w:r>
          </w:hyperlink>
        </w:p>
        <w:p w14:paraId="28D05F13"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72" w:history="1">
            <w:r w:rsidRPr="005E2669">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_Toc226411572 \h </w:instrText>
            </w:r>
            <w:r>
              <w:rPr>
                <w:noProof/>
                <w:webHidden/>
              </w:rPr>
            </w:r>
            <w:r>
              <w:rPr>
                <w:noProof/>
                <w:webHidden/>
              </w:rPr>
              <w:fldChar w:fldCharType="separate"/>
            </w:r>
            <w:r>
              <w:rPr>
                <w:noProof/>
                <w:webHidden/>
              </w:rPr>
              <w:t>11</w:t>
            </w:r>
            <w:r>
              <w:rPr>
                <w:noProof/>
                <w:webHidden/>
              </w:rPr>
              <w:fldChar w:fldCharType="end"/>
            </w:r>
          </w:hyperlink>
        </w:p>
        <w:p w14:paraId="5CDC13F3"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73" w:history="1">
            <w:r w:rsidRPr="005E2669">
              <w:rPr>
                <w:rStyle w:val="Hyperlink"/>
                <w:noProof/>
              </w:rPr>
              <w:t>2.3 Internal Environment: Resources, Capabilities, and Core Competencies</w:t>
            </w:r>
            <w:r>
              <w:rPr>
                <w:noProof/>
                <w:webHidden/>
              </w:rPr>
              <w:tab/>
            </w:r>
            <w:r>
              <w:rPr>
                <w:noProof/>
                <w:webHidden/>
              </w:rPr>
              <w:fldChar w:fldCharType="begin"/>
            </w:r>
            <w:r>
              <w:rPr>
                <w:noProof/>
                <w:webHidden/>
              </w:rPr>
              <w:instrText xml:space="preserve"> PAGEREF _Toc226411573 \h </w:instrText>
            </w:r>
            <w:r>
              <w:rPr>
                <w:noProof/>
                <w:webHidden/>
              </w:rPr>
            </w:r>
            <w:r>
              <w:rPr>
                <w:noProof/>
                <w:webHidden/>
              </w:rPr>
              <w:fldChar w:fldCharType="separate"/>
            </w:r>
            <w:r>
              <w:rPr>
                <w:noProof/>
                <w:webHidden/>
              </w:rPr>
              <w:t>12</w:t>
            </w:r>
            <w:r>
              <w:rPr>
                <w:noProof/>
                <w:webHidden/>
              </w:rPr>
              <w:fldChar w:fldCharType="end"/>
            </w:r>
          </w:hyperlink>
        </w:p>
        <w:p w14:paraId="01F62606"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74" w:history="1">
            <w:r w:rsidRPr="005E2669">
              <w:rPr>
                <w:rStyle w:val="Hyperlink"/>
                <w:noProof/>
              </w:rPr>
              <w:t>2.4 VRIO Framework Evaluation</w:t>
            </w:r>
            <w:r>
              <w:rPr>
                <w:noProof/>
                <w:webHidden/>
              </w:rPr>
              <w:tab/>
            </w:r>
            <w:r>
              <w:rPr>
                <w:noProof/>
                <w:webHidden/>
              </w:rPr>
              <w:fldChar w:fldCharType="begin"/>
            </w:r>
            <w:r>
              <w:rPr>
                <w:noProof/>
                <w:webHidden/>
              </w:rPr>
              <w:instrText xml:space="preserve"> PAGEREF _Toc226411574 \h </w:instrText>
            </w:r>
            <w:r>
              <w:rPr>
                <w:noProof/>
                <w:webHidden/>
              </w:rPr>
            </w:r>
            <w:r>
              <w:rPr>
                <w:noProof/>
                <w:webHidden/>
              </w:rPr>
              <w:fldChar w:fldCharType="separate"/>
            </w:r>
            <w:r>
              <w:rPr>
                <w:noProof/>
                <w:webHidden/>
              </w:rPr>
              <w:t>13</w:t>
            </w:r>
            <w:r>
              <w:rPr>
                <w:noProof/>
                <w:webHidden/>
              </w:rPr>
              <w:fldChar w:fldCharType="end"/>
            </w:r>
          </w:hyperlink>
        </w:p>
        <w:p w14:paraId="5B1D785D"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75" w:history="1">
            <w:r w:rsidRPr="005E2669">
              <w:rPr>
                <w:rStyle w:val="Hyperlink"/>
                <w:noProof/>
              </w:rPr>
              <w:t>2.5 Internal Strengths Contribution to Competitive Advantage</w:t>
            </w:r>
            <w:r>
              <w:rPr>
                <w:noProof/>
                <w:webHidden/>
              </w:rPr>
              <w:tab/>
            </w:r>
            <w:r>
              <w:rPr>
                <w:noProof/>
                <w:webHidden/>
              </w:rPr>
              <w:fldChar w:fldCharType="begin"/>
            </w:r>
            <w:r>
              <w:rPr>
                <w:noProof/>
                <w:webHidden/>
              </w:rPr>
              <w:instrText xml:space="preserve"> PAGEREF _Toc226411575 \h </w:instrText>
            </w:r>
            <w:r>
              <w:rPr>
                <w:noProof/>
                <w:webHidden/>
              </w:rPr>
            </w:r>
            <w:r>
              <w:rPr>
                <w:noProof/>
                <w:webHidden/>
              </w:rPr>
              <w:fldChar w:fldCharType="separate"/>
            </w:r>
            <w:r>
              <w:rPr>
                <w:noProof/>
                <w:webHidden/>
              </w:rPr>
              <w:t>14</w:t>
            </w:r>
            <w:r>
              <w:rPr>
                <w:noProof/>
                <w:webHidden/>
              </w:rPr>
              <w:fldChar w:fldCharType="end"/>
            </w:r>
          </w:hyperlink>
        </w:p>
        <w:p w14:paraId="149F6CDE"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76" w:history="1">
            <w:r w:rsidRPr="005E2669">
              <w:rPr>
                <w:rStyle w:val="Hyperlink"/>
                <w:noProof/>
              </w:rPr>
              <w:t>3. CSR and Sustainability Objectives</w:t>
            </w:r>
            <w:r>
              <w:rPr>
                <w:noProof/>
                <w:webHidden/>
              </w:rPr>
              <w:tab/>
            </w:r>
            <w:r>
              <w:rPr>
                <w:noProof/>
                <w:webHidden/>
              </w:rPr>
              <w:fldChar w:fldCharType="begin"/>
            </w:r>
            <w:r>
              <w:rPr>
                <w:noProof/>
                <w:webHidden/>
              </w:rPr>
              <w:instrText xml:space="preserve"> PAGEREF _Toc226411576 \h </w:instrText>
            </w:r>
            <w:r>
              <w:rPr>
                <w:noProof/>
                <w:webHidden/>
              </w:rPr>
            </w:r>
            <w:r>
              <w:rPr>
                <w:noProof/>
                <w:webHidden/>
              </w:rPr>
              <w:fldChar w:fldCharType="separate"/>
            </w:r>
            <w:r>
              <w:rPr>
                <w:noProof/>
                <w:webHidden/>
              </w:rPr>
              <w:t>15</w:t>
            </w:r>
            <w:r>
              <w:rPr>
                <w:noProof/>
                <w:webHidden/>
              </w:rPr>
              <w:fldChar w:fldCharType="end"/>
            </w:r>
          </w:hyperlink>
        </w:p>
        <w:p w14:paraId="43204C67"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77" w:history="1">
            <w:r w:rsidRPr="005E2669">
              <w:rPr>
                <w:rStyle w:val="Hyperlink"/>
                <w:noProof/>
              </w:rPr>
              <w:t>4. Comprehensive and Holistic View of the Organisation (Balanced Scorecard)</w:t>
            </w:r>
            <w:r>
              <w:rPr>
                <w:noProof/>
                <w:webHidden/>
              </w:rPr>
              <w:tab/>
            </w:r>
            <w:r>
              <w:rPr>
                <w:noProof/>
                <w:webHidden/>
              </w:rPr>
              <w:fldChar w:fldCharType="begin"/>
            </w:r>
            <w:r>
              <w:rPr>
                <w:noProof/>
                <w:webHidden/>
              </w:rPr>
              <w:instrText xml:space="preserve"> PAGEREF _Toc226411577 \h </w:instrText>
            </w:r>
            <w:r>
              <w:rPr>
                <w:noProof/>
                <w:webHidden/>
              </w:rPr>
            </w:r>
            <w:r>
              <w:rPr>
                <w:noProof/>
                <w:webHidden/>
              </w:rPr>
              <w:fldChar w:fldCharType="separate"/>
            </w:r>
            <w:r>
              <w:rPr>
                <w:noProof/>
                <w:webHidden/>
              </w:rPr>
              <w:t>16</w:t>
            </w:r>
            <w:r>
              <w:rPr>
                <w:noProof/>
                <w:webHidden/>
              </w:rPr>
              <w:fldChar w:fldCharType="end"/>
            </w:r>
          </w:hyperlink>
        </w:p>
        <w:p w14:paraId="491FD765"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78" w:history="1">
            <w:r w:rsidRPr="005E2669">
              <w:rPr>
                <w:rStyle w:val="Hyperlink"/>
                <w:noProof/>
              </w:rPr>
              <w:t>5. Strategic Choices and Implementation</w:t>
            </w:r>
            <w:r>
              <w:rPr>
                <w:noProof/>
                <w:webHidden/>
              </w:rPr>
              <w:tab/>
            </w:r>
            <w:r>
              <w:rPr>
                <w:noProof/>
                <w:webHidden/>
              </w:rPr>
              <w:fldChar w:fldCharType="begin"/>
            </w:r>
            <w:r>
              <w:rPr>
                <w:noProof/>
                <w:webHidden/>
              </w:rPr>
              <w:instrText xml:space="preserve"> PAGEREF _Toc226411578 \h </w:instrText>
            </w:r>
            <w:r>
              <w:rPr>
                <w:noProof/>
                <w:webHidden/>
              </w:rPr>
            </w:r>
            <w:r>
              <w:rPr>
                <w:noProof/>
                <w:webHidden/>
              </w:rPr>
              <w:fldChar w:fldCharType="separate"/>
            </w:r>
            <w:r>
              <w:rPr>
                <w:noProof/>
                <w:webHidden/>
              </w:rPr>
              <w:t>19</w:t>
            </w:r>
            <w:r>
              <w:rPr>
                <w:noProof/>
                <w:webHidden/>
              </w:rPr>
              <w:fldChar w:fldCharType="end"/>
            </w:r>
          </w:hyperlink>
        </w:p>
        <w:p w14:paraId="65971E92"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79" w:history="1">
            <w:r w:rsidRPr="005E2669">
              <w:rPr>
                <w:rStyle w:val="Hyperlink"/>
                <w:noProof/>
              </w:rPr>
              <w:t>5.1 Evaluation of Strategic Choices</w:t>
            </w:r>
            <w:r>
              <w:rPr>
                <w:noProof/>
                <w:webHidden/>
              </w:rPr>
              <w:tab/>
            </w:r>
            <w:r>
              <w:rPr>
                <w:noProof/>
                <w:webHidden/>
              </w:rPr>
              <w:fldChar w:fldCharType="begin"/>
            </w:r>
            <w:r>
              <w:rPr>
                <w:noProof/>
                <w:webHidden/>
              </w:rPr>
              <w:instrText xml:space="preserve"> PAGEREF _Toc226411579 \h </w:instrText>
            </w:r>
            <w:r>
              <w:rPr>
                <w:noProof/>
                <w:webHidden/>
              </w:rPr>
            </w:r>
            <w:r>
              <w:rPr>
                <w:noProof/>
                <w:webHidden/>
              </w:rPr>
              <w:fldChar w:fldCharType="separate"/>
            </w:r>
            <w:r>
              <w:rPr>
                <w:noProof/>
                <w:webHidden/>
              </w:rPr>
              <w:t>19</w:t>
            </w:r>
            <w:r>
              <w:rPr>
                <w:noProof/>
                <w:webHidden/>
              </w:rPr>
              <w:fldChar w:fldCharType="end"/>
            </w:r>
          </w:hyperlink>
        </w:p>
        <w:p w14:paraId="717CC1EB"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0" w:history="1">
            <w:r w:rsidRPr="005E2669">
              <w:rPr>
                <w:rStyle w:val="Hyperlink"/>
                <w:noProof/>
              </w:rPr>
              <w:t>5.2 Critical Assessment of Change Management and Strategic Implementation</w:t>
            </w:r>
            <w:r>
              <w:rPr>
                <w:noProof/>
                <w:webHidden/>
              </w:rPr>
              <w:tab/>
            </w:r>
            <w:r>
              <w:rPr>
                <w:noProof/>
                <w:webHidden/>
              </w:rPr>
              <w:fldChar w:fldCharType="begin"/>
            </w:r>
            <w:r>
              <w:rPr>
                <w:noProof/>
                <w:webHidden/>
              </w:rPr>
              <w:instrText xml:space="preserve"> PAGEREF _Toc226411580 \h </w:instrText>
            </w:r>
            <w:r>
              <w:rPr>
                <w:noProof/>
                <w:webHidden/>
              </w:rPr>
            </w:r>
            <w:r>
              <w:rPr>
                <w:noProof/>
                <w:webHidden/>
              </w:rPr>
              <w:fldChar w:fldCharType="separate"/>
            </w:r>
            <w:r>
              <w:rPr>
                <w:noProof/>
                <w:webHidden/>
              </w:rPr>
              <w:t>20</w:t>
            </w:r>
            <w:r>
              <w:rPr>
                <w:noProof/>
                <w:webHidden/>
              </w:rPr>
              <w:fldChar w:fldCharType="end"/>
            </w:r>
          </w:hyperlink>
        </w:p>
        <w:p w14:paraId="5A285060"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81" w:history="1">
            <w:r w:rsidRPr="005E2669">
              <w:rPr>
                <w:rStyle w:val="Hyperlink"/>
                <w:noProof/>
              </w:rPr>
              <w:t>6. Strategic Evaluation and Recommendations</w:t>
            </w:r>
            <w:r>
              <w:rPr>
                <w:noProof/>
                <w:webHidden/>
              </w:rPr>
              <w:tab/>
            </w:r>
            <w:r>
              <w:rPr>
                <w:noProof/>
                <w:webHidden/>
              </w:rPr>
              <w:fldChar w:fldCharType="begin"/>
            </w:r>
            <w:r>
              <w:rPr>
                <w:noProof/>
                <w:webHidden/>
              </w:rPr>
              <w:instrText xml:space="preserve"> PAGEREF _Toc226411581 \h </w:instrText>
            </w:r>
            <w:r>
              <w:rPr>
                <w:noProof/>
                <w:webHidden/>
              </w:rPr>
            </w:r>
            <w:r>
              <w:rPr>
                <w:noProof/>
                <w:webHidden/>
              </w:rPr>
              <w:fldChar w:fldCharType="separate"/>
            </w:r>
            <w:r>
              <w:rPr>
                <w:noProof/>
                <w:webHidden/>
              </w:rPr>
              <w:t>21</w:t>
            </w:r>
            <w:r>
              <w:rPr>
                <w:noProof/>
                <w:webHidden/>
              </w:rPr>
              <w:fldChar w:fldCharType="end"/>
            </w:r>
          </w:hyperlink>
        </w:p>
        <w:p w14:paraId="57A06464"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2" w:history="1">
            <w:r w:rsidRPr="005E2669">
              <w:rPr>
                <w:rStyle w:val="Hyperlink"/>
                <w:noProof/>
              </w:rPr>
              <w:t>6.1 Critical Evaluation of Current Strategy using SWOT and Ansoff’s Matrix</w:t>
            </w:r>
            <w:r>
              <w:rPr>
                <w:noProof/>
                <w:webHidden/>
              </w:rPr>
              <w:tab/>
            </w:r>
            <w:r>
              <w:rPr>
                <w:noProof/>
                <w:webHidden/>
              </w:rPr>
              <w:fldChar w:fldCharType="begin"/>
            </w:r>
            <w:r>
              <w:rPr>
                <w:noProof/>
                <w:webHidden/>
              </w:rPr>
              <w:instrText xml:space="preserve"> PAGEREF _Toc226411582 \h </w:instrText>
            </w:r>
            <w:r>
              <w:rPr>
                <w:noProof/>
                <w:webHidden/>
              </w:rPr>
            </w:r>
            <w:r>
              <w:rPr>
                <w:noProof/>
                <w:webHidden/>
              </w:rPr>
              <w:fldChar w:fldCharType="separate"/>
            </w:r>
            <w:r>
              <w:rPr>
                <w:noProof/>
                <w:webHidden/>
              </w:rPr>
              <w:t>21</w:t>
            </w:r>
            <w:r>
              <w:rPr>
                <w:noProof/>
                <w:webHidden/>
              </w:rPr>
              <w:fldChar w:fldCharType="end"/>
            </w:r>
          </w:hyperlink>
        </w:p>
        <w:p w14:paraId="3F383149"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3" w:history="1">
            <w:r w:rsidRPr="005E2669">
              <w:rPr>
                <w:rStyle w:val="Hyperlink"/>
                <w:noProof/>
              </w:rPr>
              <w:t>6.2 Recommendations to Enhance Competitive Advantage</w:t>
            </w:r>
            <w:r>
              <w:rPr>
                <w:noProof/>
                <w:webHidden/>
              </w:rPr>
              <w:tab/>
            </w:r>
            <w:r>
              <w:rPr>
                <w:noProof/>
                <w:webHidden/>
              </w:rPr>
              <w:fldChar w:fldCharType="begin"/>
            </w:r>
            <w:r>
              <w:rPr>
                <w:noProof/>
                <w:webHidden/>
              </w:rPr>
              <w:instrText xml:space="preserve"> PAGEREF _Toc226411583 \h </w:instrText>
            </w:r>
            <w:r>
              <w:rPr>
                <w:noProof/>
                <w:webHidden/>
              </w:rPr>
            </w:r>
            <w:r>
              <w:rPr>
                <w:noProof/>
                <w:webHidden/>
              </w:rPr>
              <w:fldChar w:fldCharType="separate"/>
            </w:r>
            <w:r>
              <w:rPr>
                <w:noProof/>
                <w:webHidden/>
              </w:rPr>
              <w:t>23</w:t>
            </w:r>
            <w:r>
              <w:rPr>
                <w:noProof/>
                <w:webHidden/>
              </w:rPr>
              <w:fldChar w:fldCharType="end"/>
            </w:r>
          </w:hyperlink>
        </w:p>
        <w:p w14:paraId="69C79901"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4" w:history="1">
            <w:r w:rsidRPr="005E2669">
              <w:rPr>
                <w:rStyle w:val="Hyperlink"/>
                <w:noProof/>
              </w:rPr>
              <w:t>6.3 Justification</w:t>
            </w:r>
            <w:r>
              <w:rPr>
                <w:noProof/>
                <w:webHidden/>
              </w:rPr>
              <w:tab/>
            </w:r>
            <w:r>
              <w:rPr>
                <w:noProof/>
                <w:webHidden/>
              </w:rPr>
              <w:fldChar w:fldCharType="begin"/>
            </w:r>
            <w:r>
              <w:rPr>
                <w:noProof/>
                <w:webHidden/>
              </w:rPr>
              <w:instrText xml:space="preserve"> PAGEREF _Toc226411584 \h </w:instrText>
            </w:r>
            <w:r>
              <w:rPr>
                <w:noProof/>
                <w:webHidden/>
              </w:rPr>
            </w:r>
            <w:r>
              <w:rPr>
                <w:noProof/>
                <w:webHidden/>
              </w:rPr>
              <w:fldChar w:fldCharType="separate"/>
            </w:r>
            <w:r>
              <w:rPr>
                <w:noProof/>
                <w:webHidden/>
              </w:rPr>
              <w:t>23</w:t>
            </w:r>
            <w:r>
              <w:rPr>
                <w:noProof/>
                <w:webHidden/>
              </w:rPr>
              <w:fldChar w:fldCharType="end"/>
            </w:r>
          </w:hyperlink>
        </w:p>
        <w:p w14:paraId="2945B340"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85" w:history="1">
            <w:r w:rsidRPr="005E2669">
              <w:rPr>
                <w:rStyle w:val="Hyperlink"/>
                <w:noProof/>
              </w:rPr>
              <w:t>Section 2: Reflective Account (Gibbs Reflective Cycle)</w:t>
            </w:r>
            <w:r>
              <w:rPr>
                <w:noProof/>
                <w:webHidden/>
              </w:rPr>
              <w:tab/>
            </w:r>
            <w:r>
              <w:rPr>
                <w:noProof/>
                <w:webHidden/>
              </w:rPr>
              <w:fldChar w:fldCharType="begin"/>
            </w:r>
            <w:r>
              <w:rPr>
                <w:noProof/>
                <w:webHidden/>
              </w:rPr>
              <w:instrText xml:space="preserve"> PAGEREF _Toc226411585 \h </w:instrText>
            </w:r>
            <w:r>
              <w:rPr>
                <w:noProof/>
                <w:webHidden/>
              </w:rPr>
            </w:r>
            <w:r>
              <w:rPr>
                <w:noProof/>
                <w:webHidden/>
              </w:rPr>
              <w:fldChar w:fldCharType="separate"/>
            </w:r>
            <w:r>
              <w:rPr>
                <w:noProof/>
                <w:webHidden/>
              </w:rPr>
              <w:t>24</w:t>
            </w:r>
            <w:r>
              <w:rPr>
                <w:noProof/>
                <w:webHidden/>
              </w:rPr>
              <w:fldChar w:fldCharType="end"/>
            </w:r>
          </w:hyperlink>
        </w:p>
        <w:p w14:paraId="71FA69B3"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6" w:history="1">
            <w:r w:rsidRPr="005E2669">
              <w:rPr>
                <w:rStyle w:val="Hyperlink"/>
                <w:noProof/>
              </w:rPr>
              <w:t>Description</w:t>
            </w:r>
            <w:r>
              <w:rPr>
                <w:noProof/>
                <w:webHidden/>
              </w:rPr>
              <w:tab/>
            </w:r>
            <w:r>
              <w:rPr>
                <w:noProof/>
                <w:webHidden/>
              </w:rPr>
              <w:fldChar w:fldCharType="begin"/>
            </w:r>
            <w:r>
              <w:rPr>
                <w:noProof/>
                <w:webHidden/>
              </w:rPr>
              <w:instrText xml:space="preserve"> PAGEREF _Toc226411586 \h </w:instrText>
            </w:r>
            <w:r>
              <w:rPr>
                <w:noProof/>
                <w:webHidden/>
              </w:rPr>
            </w:r>
            <w:r>
              <w:rPr>
                <w:noProof/>
                <w:webHidden/>
              </w:rPr>
              <w:fldChar w:fldCharType="separate"/>
            </w:r>
            <w:r>
              <w:rPr>
                <w:noProof/>
                <w:webHidden/>
              </w:rPr>
              <w:t>24</w:t>
            </w:r>
            <w:r>
              <w:rPr>
                <w:noProof/>
                <w:webHidden/>
              </w:rPr>
              <w:fldChar w:fldCharType="end"/>
            </w:r>
          </w:hyperlink>
        </w:p>
        <w:p w14:paraId="2EB5F4DC"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7" w:history="1">
            <w:r w:rsidRPr="005E2669">
              <w:rPr>
                <w:rStyle w:val="Hyperlink"/>
                <w:noProof/>
              </w:rPr>
              <w:t>Feelings</w:t>
            </w:r>
            <w:r>
              <w:rPr>
                <w:noProof/>
                <w:webHidden/>
              </w:rPr>
              <w:tab/>
            </w:r>
            <w:r>
              <w:rPr>
                <w:noProof/>
                <w:webHidden/>
              </w:rPr>
              <w:fldChar w:fldCharType="begin"/>
            </w:r>
            <w:r>
              <w:rPr>
                <w:noProof/>
                <w:webHidden/>
              </w:rPr>
              <w:instrText xml:space="preserve"> PAGEREF _Toc226411587 \h </w:instrText>
            </w:r>
            <w:r>
              <w:rPr>
                <w:noProof/>
                <w:webHidden/>
              </w:rPr>
            </w:r>
            <w:r>
              <w:rPr>
                <w:noProof/>
                <w:webHidden/>
              </w:rPr>
              <w:fldChar w:fldCharType="separate"/>
            </w:r>
            <w:r>
              <w:rPr>
                <w:noProof/>
                <w:webHidden/>
              </w:rPr>
              <w:t>24</w:t>
            </w:r>
            <w:r>
              <w:rPr>
                <w:noProof/>
                <w:webHidden/>
              </w:rPr>
              <w:fldChar w:fldCharType="end"/>
            </w:r>
          </w:hyperlink>
        </w:p>
        <w:p w14:paraId="157F6714"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8" w:history="1">
            <w:r w:rsidRPr="005E2669">
              <w:rPr>
                <w:rStyle w:val="Hyperlink"/>
                <w:noProof/>
              </w:rPr>
              <w:t>Evaluation</w:t>
            </w:r>
            <w:r>
              <w:rPr>
                <w:noProof/>
                <w:webHidden/>
              </w:rPr>
              <w:tab/>
            </w:r>
            <w:r>
              <w:rPr>
                <w:noProof/>
                <w:webHidden/>
              </w:rPr>
              <w:fldChar w:fldCharType="begin"/>
            </w:r>
            <w:r>
              <w:rPr>
                <w:noProof/>
                <w:webHidden/>
              </w:rPr>
              <w:instrText xml:space="preserve"> PAGEREF _Toc226411588 \h </w:instrText>
            </w:r>
            <w:r>
              <w:rPr>
                <w:noProof/>
                <w:webHidden/>
              </w:rPr>
            </w:r>
            <w:r>
              <w:rPr>
                <w:noProof/>
                <w:webHidden/>
              </w:rPr>
              <w:fldChar w:fldCharType="separate"/>
            </w:r>
            <w:r>
              <w:rPr>
                <w:noProof/>
                <w:webHidden/>
              </w:rPr>
              <w:t>24</w:t>
            </w:r>
            <w:r>
              <w:rPr>
                <w:noProof/>
                <w:webHidden/>
              </w:rPr>
              <w:fldChar w:fldCharType="end"/>
            </w:r>
          </w:hyperlink>
        </w:p>
        <w:p w14:paraId="53A224DC"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89" w:history="1">
            <w:r w:rsidRPr="005E2669">
              <w:rPr>
                <w:rStyle w:val="Hyperlink"/>
                <w:noProof/>
              </w:rPr>
              <w:t>Analysis</w:t>
            </w:r>
            <w:r>
              <w:rPr>
                <w:noProof/>
                <w:webHidden/>
              </w:rPr>
              <w:tab/>
            </w:r>
            <w:r>
              <w:rPr>
                <w:noProof/>
                <w:webHidden/>
              </w:rPr>
              <w:fldChar w:fldCharType="begin"/>
            </w:r>
            <w:r>
              <w:rPr>
                <w:noProof/>
                <w:webHidden/>
              </w:rPr>
              <w:instrText xml:space="preserve"> PAGEREF _Toc226411589 \h </w:instrText>
            </w:r>
            <w:r>
              <w:rPr>
                <w:noProof/>
                <w:webHidden/>
              </w:rPr>
            </w:r>
            <w:r>
              <w:rPr>
                <w:noProof/>
                <w:webHidden/>
              </w:rPr>
              <w:fldChar w:fldCharType="separate"/>
            </w:r>
            <w:r>
              <w:rPr>
                <w:noProof/>
                <w:webHidden/>
              </w:rPr>
              <w:t>25</w:t>
            </w:r>
            <w:r>
              <w:rPr>
                <w:noProof/>
                <w:webHidden/>
              </w:rPr>
              <w:fldChar w:fldCharType="end"/>
            </w:r>
          </w:hyperlink>
        </w:p>
        <w:p w14:paraId="0E6CE76A"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90" w:history="1">
            <w:r w:rsidRPr="005E2669">
              <w:rPr>
                <w:rStyle w:val="Hyperlink"/>
                <w:noProof/>
              </w:rPr>
              <w:t>Conclusion</w:t>
            </w:r>
            <w:r>
              <w:rPr>
                <w:noProof/>
                <w:webHidden/>
              </w:rPr>
              <w:tab/>
            </w:r>
            <w:r>
              <w:rPr>
                <w:noProof/>
                <w:webHidden/>
              </w:rPr>
              <w:fldChar w:fldCharType="begin"/>
            </w:r>
            <w:r>
              <w:rPr>
                <w:noProof/>
                <w:webHidden/>
              </w:rPr>
              <w:instrText xml:space="preserve"> PAGEREF _Toc226411590 \h </w:instrText>
            </w:r>
            <w:r>
              <w:rPr>
                <w:noProof/>
                <w:webHidden/>
              </w:rPr>
            </w:r>
            <w:r>
              <w:rPr>
                <w:noProof/>
                <w:webHidden/>
              </w:rPr>
              <w:fldChar w:fldCharType="separate"/>
            </w:r>
            <w:r>
              <w:rPr>
                <w:noProof/>
                <w:webHidden/>
              </w:rPr>
              <w:t>25</w:t>
            </w:r>
            <w:r>
              <w:rPr>
                <w:noProof/>
                <w:webHidden/>
              </w:rPr>
              <w:fldChar w:fldCharType="end"/>
            </w:r>
          </w:hyperlink>
        </w:p>
        <w:p w14:paraId="02F678AC" w14:textId="77777777" w:rsidR="004F52A5" w:rsidRDefault="004F52A5">
          <w:pPr>
            <w:pStyle w:val="TOC2"/>
            <w:tabs>
              <w:tab w:val="right" w:leader="dot" w:pos="9016"/>
            </w:tabs>
            <w:rPr>
              <w:rFonts w:asciiTheme="minorHAnsi" w:eastAsiaTheme="minorEastAsia" w:hAnsiTheme="minorHAnsi" w:cstheme="minorBidi"/>
              <w:noProof/>
              <w:sz w:val="22"/>
              <w:lang w:val="en-US" w:eastAsia="en-US"/>
            </w:rPr>
          </w:pPr>
          <w:hyperlink w:anchor="_Toc226411591" w:history="1">
            <w:r w:rsidRPr="005E2669">
              <w:rPr>
                <w:rStyle w:val="Hyperlink"/>
                <w:noProof/>
              </w:rPr>
              <w:t>Action Plan</w:t>
            </w:r>
            <w:r>
              <w:rPr>
                <w:noProof/>
                <w:webHidden/>
              </w:rPr>
              <w:tab/>
            </w:r>
            <w:r>
              <w:rPr>
                <w:noProof/>
                <w:webHidden/>
              </w:rPr>
              <w:fldChar w:fldCharType="begin"/>
            </w:r>
            <w:r>
              <w:rPr>
                <w:noProof/>
                <w:webHidden/>
              </w:rPr>
              <w:instrText xml:space="preserve"> PAGEREF _Toc226411591 \h </w:instrText>
            </w:r>
            <w:r>
              <w:rPr>
                <w:noProof/>
                <w:webHidden/>
              </w:rPr>
            </w:r>
            <w:r>
              <w:rPr>
                <w:noProof/>
                <w:webHidden/>
              </w:rPr>
              <w:fldChar w:fldCharType="separate"/>
            </w:r>
            <w:r>
              <w:rPr>
                <w:noProof/>
                <w:webHidden/>
              </w:rPr>
              <w:t>26</w:t>
            </w:r>
            <w:r>
              <w:rPr>
                <w:noProof/>
                <w:webHidden/>
              </w:rPr>
              <w:fldChar w:fldCharType="end"/>
            </w:r>
          </w:hyperlink>
        </w:p>
        <w:p w14:paraId="44800393"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92" w:history="1">
            <w:r w:rsidRPr="005E2669">
              <w:rPr>
                <w:rStyle w:val="Hyperlink"/>
                <w:noProof/>
              </w:rPr>
              <w:t>Conclusion</w:t>
            </w:r>
            <w:r>
              <w:rPr>
                <w:noProof/>
                <w:webHidden/>
              </w:rPr>
              <w:tab/>
            </w:r>
            <w:r>
              <w:rPr>
                <w:noProof/>
                <w:webHidden/>
              </w:rPr>
              <w:fldChar w:fldCharType="begin"/>
            </w:r>
            <w:r>
              <w:rPr>
                <w:noProof/>
                <w:webHidden/>
              </w:rPr>
              <w:instrText xml:space="preserve"> PAGEREF _Toc226411592 \h </w:instrText>
            </w:r>
            <w:r>
              <w:rPr>
                <w:noProof/>
                <w:webHidden/>
              </w:rPr>
            </w:r>
            <w:r>
              <w:rPr>
                <w:noProof/>
                <w:webHidden/>
              </w:rPr>
              <w:fldChar w:fldCharType="separate"/>
            </w:r>
            <w:r>
              <w:rPr>
                <w:noProof/>
                <w:webHidden/>
              </w:rPr>
              <w:t>27</w:t>
            </w:r>
            <w:r>
              <w:rPr>
                <w:noProof/>
                <w:webHidden/>
              </w:rPr>
              <w:fldChar w:fldCharType="end"/>
            </w:r>
          </w:hyperlink>
        </w:p>
        <w:p w14:paraId="7E15F4DE" w14:textId="77777777" w:rsidR="004F52A5" w:rsidRDefault="004F52A5">
          <w:pPr>
            <w:pStyle w:val="TOC1"/>
            <w:tabs>
              <w:tab w:val="right" w:leader="dot" w:pos="9016"/>
            </w:tabs>
            <w:rPr>
              <w:rFonts w:asciiTheme="minorHAnsi" w:eastAsiaTheme="minorEastAsia" w:hAnsiTheme="minorHAnsi" w:cstheme="minorBidi"/>
              <w:noProof/>
              <w:sz w:val="22"/>
              <w:lang w:val="en-US" w:eastAsia="en-US"/>
            </w:rPr>
          </w:pPr>
          <w:hyperlink w:anchor="_Toc226411593" w:history="1">
            <w:r w:rsidRPr="005E2669">
              <w:rPr>
                <w:rStyle w:val="Hyperlink"/>
                <w:noProof/>
              </w:rPr>
              <w:t>References</w:t>
            </w:r>
            <w:r>
              <w:rPr>
                <w:noProof/>
                <w:webHidden/>
              </w:rPr>
              <w:tab/>
            </w:r>
            <w:r>
              <w:rPr>
                <w:noProof/>
                <w:webHidden/>
              </w:rPr>
              <w:fldChar w:fldCharType="begin"/>
            </w:r>
            <w:r>
              <w:rPr>
                <w:noProof/>
                <w:webHidden/>
              </w:rPr>
              <w:instrText xml:space="preserve"> PAGEREF _Toc226411593 \h </w:instrText>
            </w:r>
            <w:r>
              <w:rPr>
                <w:noProof/>
                <w:webHidden/>
              </w:rPr>
            </w:r>
            <w:r>
              <w:rPr>
                <w:noProof/>
                <w:webHidden/>
              </w:rPr>
              <w:fldChar w:fldCharType="separate"/>
            </w:r>
            <w:r>
              <w:rPr>
                <w:noProof/>
                <w:webHidden/>
              </w:rPr>
              <w:t>28</w:t>
            </w:r>
            <w:r>
              <w:rPr>
                <w:noProof/>
                <w:webHidden/>
              </w:rPr>
              <w:fldChar w:fldCharType="end"/>
            </w:r>
          </w:hyperlink>
        </w:p>
        <w:p w14:paraId="2B5FF105" w14:textId="77777777" w:rsidR="0007205B" w:rsidRDefault="0007205B" w:rsidP="009F7EE0">
          <w:pPr>
            <w:spacing w:after="0"/>
          </w:pPr>
          <w:r>
            <w:rPr>
              <w:b/>
              <w:bCs/>
              <w:noProof/>
            </w:rPr>
            <w:fldChar w:fldCharType="end"/>
          </w:r>
        </w:p>
      </w:sdtContent>
    </w:sdt>
    <w:p w14:paraId="1AAE16C6" w14:textId="77777777" w:rsidR="00E02832" w:rsidRDefault="00E02832">
      <w:pPr>
        <w:spacing w:line="259" w:lineRule="auto"/>
        <w:jc w:val="left"/>
      </w:pPr>
    </w:p>
    <w:p w14:paraId="23AC681F" w14:textId="77777777" w:rsidR="00A85F74" w:rsidRPr="009B095F" w:rsidRDefault="0007205B" w:rsidP="00A777F2">
      <w:pPr>
        <w:pStyle w:val="Heading1"/>
      </w:pPr>
      <w:r>
        <w:br w:type="page"/>
      </w:r>
      <w:bookmarkStart w:id="1" w:name="_Toc226411564"/>
      <w:r w:rsidR="00A85F74" w:rsidRPr="009B095F">
        <w:lastRenderedPageBreak/>
        <w:t>Introduction</w:t>
      </w:r>
      <w:bookmarkEnd w:id="1"/>
    </w:p>
    <w:p w14:paraId="28233DF6" w14:textId="77777777" w:rsidR="009B095F" w:rsidRDefault="009B095F" w:rsidP="009B095F">
      <w:r w:rsidRPr="009B095F">
        <w:t xml:space="preserve">The ability to develop sustainable competitive advantage is a pivotal factor to organisational survival and development in the current super-competitive and unstable international markets (Teece, 2020). Apparel industry is one of the vivid examples as it has to address fast-changing consumer preferences, supply chain changes, and high pressure </w:t>
      </w:r>
      <w:r>
        <w:t>to be environmentally sustainable. The history of Levi</w:t>
      </w:r>
      <w:r w:rsidR="00314F5D">
        <w:t xml:space="preserve"> </w:t>
      </w:r>
      <w:r w:rsidR="00CC67ED">
        <w:t>Strauss</w:t>
      </w:r>
      <w:r>
        <w:t xml:space="preserve"> </w:t>
      </w:r>
      <w:r w:rsidR="00CC67ED">
        <w:t xml:space="preserve">&amp; </w:t>
      </w:r>
      <w:r>
        <w:t xml:space="preserve">Co. (LS&amp;Co.), a heritage brand of denim, presents an excellent opportunity to </w:t>
      </w:r>
      <w:r w:rsidR="00D71312">
        <w:t>analyse</w:t>
      </w:r>
      <w:r>
        <w:t xml:space="preserve"> the issue strategically because the company has survived in the market despite a lot of turbulence in the environment, trying to decide whether to be more profitable or more socially responsible. The strategic management practices of LS&amp;Co. are critically evaluated in this report which starts with an overview of the organisation. It goes further to </w:t>
      </w:r>
      <w:r w:rsidR="00D71312">
        <w:t>analyse</w:t>
      </w:r>
      <w:r>
        <w:t xml:space="preserve"> external </w:t>
      </w:r>
      <w:r w:rsidRPr="009B095F">
        <w:t xml:space="preserve">and internal environments based on the PESTEL and VRIO models, </w:t>
      </w:r>
      <w:r w:rsidR="00D71312" w:rsidRPr="009B095F">
        <w:t>analyses</w:t>
      </w:r>
      <w:r w:rsidRPr="009B095F">
        <w:t xml:space="preserve"> the alignment of the CSR of the company, Balanced Scorecard, and evaluates the strategic decisions and ends by providing actionable recommendations. The primary analysis is followed by a reflective account based on the cycle provided by Gibbs.</w:t>
      </w:r>
    </w:p>
    <w:p w14:paraId="6B0CD1E5" w14:textId="77777777" w:rsidR="00CC67ED" w:rsidRDefault="00CC67ED" w:rsidP="00CC67ED">
      <w:pPr>
        <w:jc w:val="center"/>
      </w:pPr>
      <w:r>
        <w:rPr>
          <w:noProof/>
          <w:lang w:val="en-US" w:eastAsia="en-US"/>
        </w:rPr>
        <w:drawing>
          <wp:inline distT="0" distB="0" distL="0" distR="0" wp14:anchorId="15877455" wp14:editId="0886AD02">
            <wp:extent cx="3559705" cy="2517569"/>
            <wp:effectExtent l="0" t="0" r="3175" b="0"/>
            <wp:docPr id="1" name="Picture 1" descr="Levi strauss and Co Logo Vector ~ Free Vector Logos Download | Popular logos,  Vinta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i strauss and Co Logo Vector ~ Free Vector Logos Download | Popular logos,  Vintage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2113" cy="2519272"/>
                    </a:xfrm>
                    <a:prstGeom prst="rect">
                      <a:avLst/>
                    </a:prstGeom>
                    <a:noFill/>
                    <a:ln>
                      <a:noFill/>
                    </a:ln>
                  </pic:spPr>
                </pic:pic>
              </a:graphicData>
            </a:graphic>
          </wp:inline>
        </w:drawing>
      </w:r>
    </w:p>
    <w:p w14:paraId="65DD1BA0" w14:textId="77777777" w:rsidR="00CC67ED" w:rsidRDefault="00CC67ED" w:rsidP="00CC67ED">
      <w:pPr>
        <w:jc w:val="center"/>
      </w:pPr>
      <w:r>
        <w:t>Figure: Logo (Levi Strauss &amp; Co., 2023).</w:t>
      </w:r>
    </w:p>
    <w:p w14:paraId="6E79B671" w14:textId="77777777" w:rsidR="00D71312" w:rsidRDefault="00D71312" w:rsidP="00D71312">
      <w:pPr>
        <w:jc w:val="center"/>
      </w:pPr>
    </w:p>
    <w:p w14:paraId="4E590DC7" w14:textId="77777777" w:rsidR="008334AF" w:rsidRDefault="008334AF">
      <w:pPr>
        <w:spacing w:line="259" w:lineRule="auto"/>
        <w:jc w:val="left"/>
      </w:pPr>
      <w:r>
        <w:br w:type="page"/>
      </w:r>
    </w:p>
    <w:p w14:paraId="49726788" w14:textId="77777777" w:rsidR="00A85F74" w:rsidRPr="009B095F" w:rsidRDefault="00A85F74" w:rsidP="00A777F2">
      <w:pPr>
        <w:pStyle w:val="Heading1"/>
      </w:pPr>
      <w:bookmarkStart w:id="2" w:name="_Toc226411565"/>
      <w:r w:rsidRPr="009B095F">
        <w:lastRenderedPageBreak/>
        <w:t>Section 1: Strategic Analysis of Levi Strauss &amp; Co.</w:t>
      </w:r>
      <w:bookmarkEnd w:id="2"/>
    </w:p>
    <w:p w14:paraId="44FA96E3" w14:textId="77777777" w:rsidR="00A85F74" w:rsidRDefault="00A85F74" w:rsidP="002A6C67">
      <w:pPr>
        <w:pStyle w:val="Heading1"/>
      </w:pPr>
      <w:bookmarkStart w:id="3" w:name="_Toc226411566"/>
      <w:r w:rsidRPr="009B095F">
        <w:t>1. Organisational Context and Overview</w:t>
      </w:r>
      <w:bookmarkEnd w:id="3"/>
      <w:r w:rsidRPr="009B095F">
        <w:t xml:space="preserve"> </w:t>
      </w:r>
    </w:p>
    <w:p w14:paraId="5C7B4B12" w14:textId="77777777" w:rsidR="00370273" w:rsidRPr="00370273" w:rsidRDefault="00370273" w:rsidP="00370273">
      <w:pPr>
        <w:pStyle w:val="Heading2"/>
      </w:pPr>
      <w:bookmarkStart w:id="4" w:name="_Toc226411567"/>
      <w:r>
        <w:t xml:space="preserve">1.1 </w:t>
      </w:r>
      <w:r w:rsidRPr="009B095F">
        <w:t>Organisational Context</w:t>
      </w:r>
      <w:bookmarkEnd w:id="4"/>
    </w:p>
    <w:p w14:paraId="00FBCBC2" w14:textId="77777777" w:rsidR="00EC6990" w:rsidRDefault="009B095F" w:rsidP="009B095F">
      <w:r w:rsidRPr="009B095F">
        <w:t xml:space="preserve">Levi Strauss &amp; Co. (LS&amp;Co.) is an American and privately-owned multinational </w:t>
      </w:r>
      <w:r>
        <w:t xml:space="preserve">company, which was started in 1853 by the founder, Levi Strauss, in San Francisco. The company in the past revolutionised the working garment by inventing blue jeans in 1873, which became synonymous to the American culture, rebellion and subsequently casual wear. Now LS&amp;Co. has its business all over the world, where it markets its products under the Levi, Dockers, and Denizen brands. </w:t>
      </w:r>
    </w:p>
    <w:p w14:paraId="56C47943" w14:textId="77777777" w:rsidR="00EC6990" w:rsidRDefault="00EC6990" w:rsidP="00387EC9">
      <w:pPr>
        <w:pStyle w:val="Heading2"/>
      </w:pPr>
      <w:bookmarkStart w:id="5" w:name="_Toc226411568"/>
      <w:r>
        <w:t>1.2 Mission and Vision</w:t>
      </w:r>
      <w:bookmarkEnd w:id="5"/>
    </w:p>
    <w:p w14:paraId="4A6CEA7D" w14:textId="77777777" w:rsidR="009B095F" w:rsidRDefault="009B095F" w:rsidP="009B095F">
      <w:r>
        <w:t>The company has a mission statement that it is making a profit through principles and commercial success should be coupled with social and environmental responsibility. Its mission is based on becoming a superb, honest, and innovative logo in the mind of consumers over the next generations, whereas its commercial model depends on direct-to-consumer (DTC) retail, wholesale agreements with leading retail chains (e.g., Macy, Walmart), and an expanding online marketplace (Levi Strauss &amp; Co., 2023).</w:t>
      </w:r>
    </w:p>
    <w:p w14:paraId="4F6C98F9" w14:textId="77777777" w:rsidR="00C3599E" w:rsidRDefault="00C3599E" w:rsidP="00C3599E">
      <w:pPr>
        <w:jc w:val="center"/>
      </w:pPr>
      <w:r w:rsidRPr="00C3599E">
        <w:rPr>
          <w:noProof/>
          <w:lang w:val="en-US" w:eastAsia="en-US"/>
        </w:rPr>
        <w:drawing>
          <wp:inline distT="0" distB="0" distL="0" distR="0" wp14:anchorId="31A7EE2F" wp14:editId="12694D5B">
            <wp:extent cx="3976617" cy="2651214"/>
            <wp:effectExtent l="0" t="0" r="5080" b="0"/>
            <wp:docPr id="5" name="Picture 5" descr="C:\Users\FB PC\Desktop\Levi-Strauss-Co.-2-e1635525108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Levi-Strauss-Co.-2-e163552510852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7745" cy="2651966"/>
                    </a:xfrm>
                    <a:prstGeom prst="rect">
                      <a:avLst/>
                    </a:prstGeom>
                    <a:noFill/>
                    <a:ln>
                      <a:noFill/>
                    </a:ln>
                  </pic:spPr>
                </pic:pic>
              </a:graphicData>
            </a:graphic>
          </wp:inline>
        </w:drawing>
      </w:r>
    </w:p>
    <w:p w14:paraId="143560F3" w14:textId="77777777" w:rsidR="00B95F05" w:rsidRDefault="00A37AB7" w:rsidP="00A37AB7">
      <w:pPr>
        <w:jc w:val="center"/>
      </w:pPr>
      <w:r>
        <w:t>Figure: Levi Strauss &amp; Co (Berg, 2021).</w:t>
      </w:r>
    </w:p>
    <w:p w14:paraId="5ED5119C" w14:textId="77777777" w:rsidR="00370273" w:rsidRDefault="00387EC9" w:rsidP="00387EC9">
      <w:pPr>
        <w:pStyle w:val="Heading2"/>
      </w:pPr>
      <w:bookmarkStart w:id="6" w:name="_Toc226411569"/>
      <w:r>
        <w:lastRenderedPageBreak/>
        <w:t>1.3</w:t>
      </w:r>
      <w:r w:rsidR="00370273">
        <w:t xml:space="preserve"> Market analysis</w:t>
      </w:r>
      <w:bookmarkEnd w:id="6"/>
    </w:p>
    <w:p w14:paraId="2F116484" w14:textId="77777777" w:rsidR="00877C64" w:rsidRDefault="009B095F" w:rsidP="009B095F">
      <w:r>
        <w:t xml:space="preserve">The global apparel and denim industry where LS&amp;Co. conducts its business is marked by low barriers to entry, intense competition in terms of prices and short product life cycles. The major competitors are VF Corporation (Wrangler and Lee owner), Kontoor Brands, H&amp;M, Zara (Inditex) and fast-fashion disruptors such as Shein and Boohoo. The rivals in the high-end denim category consist of Diesel and True Religion. LS&amp;Co. is well placed in the market as the biggest denim brand in terms of revenue in the world with its units controlling about 12-15% of the global jeans. </w:t>
      </w:r>
    </w:p>
    <w:p w14:paraId="4949E36F" w14:textId="77777777" w:rsidR="009B095F" w:rsidRDefault="009B095F" w:rsidP="009B095F">
      <w:r>
        <w:t xml:space="preserve">Nonetheless, it is being threatened by the presence of agile fast-fashion retailers that sell products based on trends at a cheaper price. </w:t>
      </w:r>
      <w:r w:rsidR="002346E6">
        <w:t xml:space="preserve">While a cost leadership strategy could be considered, it is not feasible given LS&amp;Co.'s premium brand positioning, which competes with Walmart's $15 jeans and could lead to brand equity erosion. </w:t>
      </w:r>
      <w:r>
        <w:t>Nonetheless, LS&amp;Co. can be distinguished by brand heritage, sustainability commitments (e.g., Water&lt;Lesstm technology) and a recent strategic shift to the DTC channels, increasing the degree of margin control and customer data capture (Berg, 2021).</w:t>
      </w:r>
      <w:r w:rsidR="00B22F60" w:rsidRPr="00B22F60">
        <w:t xml:space="preserve"> </w:t>
      </w:r>
      <w:r w:rsidR="00B22F60">
        <w:t>The company leverage</w:t>
      </w:r>
      <w:r w:rsidR="00344AB4">
        <w:t>s its brand heritage, quality and</w:t>
      </w:r>
      <w:r w:rsidR="00B22F60">
        <w:t xml:space="preserve"> commitment to sustainability to establish its market position.</w:t>
      </w:r>
    </w:p>
    <w:p w14:paraId="32A6FE1B" w14:textId="77777777" w:rsidR="00CC67ED" w:rsidRDefault="00CC67ED">
      <w:pPr>
        <w:spacing w:line="259" w:lineRule="auto"/>
        <w:jc w:val="left"/>
      </w:pPr>
      <w:r>
        <w:br w:type="page"/>
      </w:r>
    </w:p>
    <w:p w14:paraId="4B6F110C" w14:textId="77777777" w:rsidR="00A85F74" w:rsidRPr="009B095F" w:rsidRDefault="00A85F74" w:rsidP="00A777F2">
      <w:pPr>
        <w:pStyle w:val="Heading1"/>
      </w:pPr>
      <w:bookmarkStart w:id="7" w:name="_Toc226411570"/>
      <w:r w:rsidRPr="009B095F">
        <w:lastRenderedPageBreak/>
        <w:t>2. External and Internal Environment Analysis</w:t>
      </w:r>
      <w:bookmarkEnd w:id="7"/>
      <w:r w:rsidRPr="009B095F">
        <w:t xml:space="preserve"> </w:t>
      </w:r>
    </w:p>
    <w:p w14:paraId="7EEDDEE2" w14:textId="77777777" w:rsidR="00A85F74" w:rsidRPr="009B095F" w:rsidRDefault="00A85F74" w:rsidP="006E43F2">
      <w:pPr>
        <w:pStyle w:val="Heading2"/>
      </w:pPr>
      <w:bookmarkStart w:id="8" w:name="_Toc226411571"/>
      <w:r w:rsidRPr="009B095F">
        <w:t>2.1 External Environment Impact (PESTEL)</w:t>
      </w:r>
      <w:bookmarkEnd w:id="8"/>
    </w:p>
    <w:p w14:paraId="068C8907" w14:textId="77777777" w:rsidR="009B095F" w:rsidRDefault="009B095F" w:rsidP="009B095F">
      <w:r>
        <w:t>The macro environment also has significant influence on the strategy decisions of LS&amp;Co. The factors are crucial using the PESTEL framework.</w:t>
      </w:r>
    </w:p>
    <w:p w14:paraId="58718E02" w14:textId="77777777" w:rsidR="006E43F2" w:rsidRPr="006E43F2" w:rsidRDefault="006E43F2" w:rsidP="009B095F">
      <w:pPr>
        <w:rPr>
          <w:b/>
        </w:rPr>
      </w:pPr>
      <w:r w:rsidRPr="006E43F2">
        <w:rPr>
          <w:b/>
        </w:rPr>
        <w:t>Political factors</w:t>
      </w:r>
    </w:p>
    <w:p w14:paraId="1761D2F9" w14:textId="77777777" w:rsidR="009B095F" w:rsidRDefault="009B095F" w:rsidP="009B095F">
      <w:r>
        <w:t>Trade tariffs and international trade agreements are some of the political factors. LS&amp;Co. is sourcing and producing in more than 30 countries but mostly in Asia (e.g., Bangladesh, Vietnam, China) and Latin America. The trade tensions between China and the US have necessitated LS&amp;Co. to diversify the supply chain outside of China to avoid the risk of tariffs (Fernandez-Stark and Gereffi, 2020). Also, labour laws of sourcing countries on minimum wage and working hours directly affect the cost of production and conformity of operations.</w:t>
      </w:r>
    </w:p>
    <w:p w14:paraId="1EE751AE" w14:textId="77777777" w:rsidR="006E43F2" w:rsidRPr="006E43F2" w:rsidRDefault="006E43F2" w:rsidP="009B095F">
      <w:pPr>
        <w:rPr>
          <w:b/>
        </w:rPr>
      </w:pPr>
      <w:r w:rsidRPr="006E43F2">
        <w:rPr>
          <w:b/>
        </w:rPr>
        <w:t>Economic factors</w:t>
      </w:r>
    </w:p>
    <w:p w14:paraId="2B355508" w14:textId="77777777" w:rsidR="009B095F" w:rsidRDefault="009B095F" w:rsidP="009B095F">
      <w:r>
        <w:t xml:space="preserve">Economic factors entail inflation, currency variations, and disposable income. The increase in global inflation (2021-2023) decreased the consumer purchasing power and drove trading down to less expensive denim substitute products. LS&amp;Co. has addressed this through the focus on the longevity and </w:t>
      </w:r>
      <w:r w:rsidR="00CF664E">
        <w:t>style less</w:t>
      </w:r>
      <w:r>
        <w:t xml:space="preserve"> nature of its products as a reason to sell its products at a premium price. The US dollar variations against the Euro and Japanese Yen also have an influence on the international revenues reported by LS&amp;Co.</w:t>
      </w:r>
    </w:p>
    <w:p w14:paraId="380BDF0F" w14:textId="77777777" w:rsidR="00CF664E" w:rsidRDefault="00CF664E" w:rsidP="00CF664E">
      <w:pPr>
        <w:jc w:val="center"/>
      </w:pPr>
      <w:r>
        <w:rPr>
          <w:noProof/>
          <w:lang w:val="en-US" w:eastAsia="en-US"/>
        </w:rPr>
        <w:drawing>
          <wp:inline distT="0" distB="0" distL="0" distR="0" wp14:anchorId="6CC94C16" wp14:editId="0178D265">
            <wp:extent cx="5730875" cy="22490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0120" cy="2256552"/>
                    </a:xfrm>
                    <a:prstGeom prst="rect">
                      <a:avLst/>
                    </a:prstGeom>
                  </pic:spPr>
                </pic:pic>
              </a:graphicData>
            </a:graphic>
          </wp:inline>
        </w:drawing>
      </w:r>
    </w:p>
    <w:p w14:paraId="3A792368" w14:textId="77777777" w:rsidR="00CF664E" w:rsidRDefault="00CF664E" w:rsidP="00CF664E">
      <w:pPr>
        <w:jc w:val="center"/>
      </w:pPr>
      <w:r>
        <w:t>Figure: PESTLE analysis (Caro &amp; Sadr, 2022).</w:t>
      </w:r>
    </w:p>
    <w:p w14:paraId="54502845" w14:textId="77777777" w:rsidR="000C43AD" w:rsidRDefault="000C43AD" w:rsidP="00CF664E">
      <w:pPr>
        <w:jc w:val="center"/>
      </w:pPr>
    </w:p>
    <w:p w14:paraId="2225B097" w14:textId="77777777" w:rsidR="006E43F2" w:rsidRPr="006E43F2" w:rsidRDefault="006E43F2" w:rsidP="009B095F">
      <w:pPr>
        <w:rPr>
          <w:b/>
        </w:rPr>
      </w:pPr>
      <w:r w:rsidRPr="006E43F2">
        <w:rPr>
          <w:b/>
        </w:rPr>
        <w:lastRenderedPageBreak/>
        <w:t xml:space="preserve">Social factors </w:t>
      </w:r>
    </w:p>
    <w:p w14:paraId="1AF45C50" w14:textId="77777777" w:rsidR="009B095F" w:rsidRDefault="009B095F" w:rsidP="009B095F">
      <w:r>
        <w:t>The social aspects are, perhaps, the most powerful. Consumers have increasing interest in sustainable clothing and other clothing that is ethically-produced. Gen Z and Millennials are strong offenders when it comes to boycotting brands that have poor environmental performance. LS&amp;Co. has used this trend by marketing its Water</w:t>
      </w:r>
      <w:r w:rsidR="00CF664E">
        <w:t xml:space="preserve"> </w:t>
      </w:r>
      <w:r>
        <w:t xml:space="preserve">LS&amp;Co. has capitalised on this trend by marketing its Waterless finishing methods which have saved more than 4 billion litres of water (Levi Strauss &amp; Co., 2024). Also, the emergence of the so-called athleisure and the post-pandemic </w:t>
      </w:r>
      <w:r w:rsidR="00454802">
        <w:t>casualization</w:t>
      </w:r>
      <w:r>
        <w:t xml:space="preserve"> have both supported (the demand in comfortable jeans has grown) and undermined (the competition with yoga pants) the denim category.</w:t>
      </w:r>
    </w:p>
    <w:p w14:paraId="2B86192B" w14:textId="77777777" w:rsidR="006E43F2" w:rsidRPr="006E43F2" w:rsidRDefault="006E43F2" w:rsidP="009B095F">
      <w:pPr>
        <w:rPr>
          <w:b/>
        </w:rPr>
      </w:pPr>
      <w:r w:rsidRPr="006E43F2">
        <w:rPr>
          <w:b/>
        </w:rPr>
        <w:t>Technological factors</w:t>
      </w:r>
    </w:p>
    <w:p w14:paraId="528051A0" w14:textId="77777777" w:rsidR="009B095F" w:rsidRDefault="009B095F" w:rsidP="009B095F">
      <w:r>
        <w:t>Factors associated with technology are e-commerce websites, AI-driven demand forecasting, and automated manufacturing. LS&amp;Co. is a company that has been keen on its Digitize strategy, which employed the 3D design software (Clo 3D) in order to minimize the waste of sample and accelerate product development. Moreover, the company applies AI in individualised online suggestions to improve the DTC experience (Caro &amp; Sadr, 2022).</w:t>
      </w:r>
    </w:p>
    <w:p w14:paraId="1FC83A26" w14:textId="77777777" w:rsidR="009B095F" w:rsidRPr="009B095F" w:rsidRDefault="009B095F" w:rsidP="009B095F">
      <w:pPr>
        <w:rPr>
          <w:b/>
        </w:rPr>
      </w:pPr>
      <w:r w:rsidRPr="009B095F">
        <w:rPr>
          <w:b/>
        </w:rPr>
        <w:t>Environmental factors</w:t>
      </w:r>
    </w:p>
    <w:p w14:paraId="5F6B812B" w14:textId="77777777" w:rsidR="009B095F" w:rsidRDefault="009B095F" w:rsidP="009B095F">
      <w:r>
        <w:t>Reputational and regulatory environmental factors are regulatory. The second-largest polluting business in the world is the fashion industry. LS&amp;Co. is under a scrutiny of cutting down carbon emissions (Scope 3 - supply chain) and eradicating hazardous chemicals. To achieve this, the company has established science-based goals that should ensure that the emission of greenhouse gases is reduced by 40 percent by 2025 in line with the Paris Agreement.</w:t>
      </w:r>
    </w:p>
    <w:p w14:paraId="3A4745C2" w14:textId="77777777" w:rsidR="009B095F" w:rsidRPr="009B095F" w:rsidRDefault="009B095F" w:rsidP="009B095F">
      <w:pPr>
        <w:rPr>
          <w:b/>
        </w:rPr>
      </w:pPr>
      <w:r w:rsidRPr="009B095F">
        <w:rPr>
          <w:b/>
        </w:rPr>
        <w:t>Legal</w:t>
      </w:r>
    </w:p>
    <w:p w14:paraId="5B4BF5F9" w14:textId="77777777" w:rsidR="009B095F" w:rsidRDefault="009B095F" w:rsidP="00DD69AE">
      <w:r>
        <w:t>Legal considerations include data protection regulations (GDPR, CCPA) which influence the e-commerce activity of LS&amp;Co., and safety regulations of products. The Modern slavery act is essential to comply with as LS&amp;Co. has a complicated supply chain that needs to be audited.</w:t>
      </w:r>
      <w:r w:rsidR="00963880" w:rsidRPr="00963880">
        <w:t xml:space="preserve"> </w:t>
      </w:r>
      <w:r w:rsidR="00963880" w:rsidRPr="00E94087">
        <w:t xml:space="preserve">Furthermore, the rise of athleisure and the casualization trend following the pandemic have both bolstered (the demand for comfortable jeans has increased) </w:t>
      </w:r>
      <w:r w:rsidR="00DD69AE">
        <w:t>and challenged the denim market (Berg, 2021).</w:t>
      </w:r>
    </w:p>
    <w:p w14:paraId="0C282AC6" w14:textId="77777777" w:rsidR="00C01C6D" w:rsidRDefault="00C01C6D">
      <w:pPr>
        <w:spacing w:line="259" w:lineRule="auto"/>
        <w:jc w:val="left"/>
      </w:pPr>
      <w:r>
        <w:br w:type="page"/>
      </w:r>
    </w:p>
    <w:p w14:paraId="7BFDB52F" w14:textId="77777777" w:rsidR="00C01C6D" w:rsidRPr="002005ED" w:rsidRDefault="00C01C6D" w:rsidP="00C01C6D">
      <w:pPr>
        <w:rPr>
          <w:b/>
        </w:rPr>
      </w:pPr>
      <w:r w:rsidRPr="002005ED">
        <w:rPr>
          <w:b/>
        </w:rPr>
        <w:lastRenderedPageBreak/>
        <w:t>Critical Evaluation.</w:t>
      </w:r>
    </w:p>
    <w:p w14:paraId="4F1CC24F" w14:textId="77777777" w:rsidR="00D24493" w:rsidRDefault="00C01C6D" w:rsidP="00C01C6D">
      <w:r>
        <w:t xml:space="preserve">The PESTEL analysis reveals the presence of the macro-environmental factors that are relevant to LS&amp;Co., but, at the same time, the framework has certain limitations inherent to Level 7 implementation. PESTEL presupposes a linear and deterministic linking of external factors with the organisational strategy, but in the business context that is highly volatile, such factors are co-evolving and interconnected in a major way. As an example, environmental regulations (legal) do not just impose limits on LS&amp;Co., it also directs consumer expectations (social), which in its turn directs technological innovation in waterless dyeing. </w:t>
      </w:r>
    </w:p>
    <w:p w14:paraId="1D5742D1" w14:textId="77777777" w:rsidR="00C01C6D" w:rsidRDefault="00C01C6D" w:rsidP="00C01C6D">
      <w:r>
        <w:t>A further advanced application would have been used a dynamic PESTEL- monitoring the changes in the weighting on each of the factors with time. Moreover, PESTEL is unnecessarily stagnant and retrospective, and LS&amp;Co. needs the scenario planning. The analysis rightly recognizes the fact that inflation is an economic threat, but does not ask questions about whether the premium pricing of LS&amp;Co. can sustain itself after 2025 should inflation be a continuing problem - which is a weakness of the structure of the analysis, rather than just the application.</w:t>
      </w:r>
    </w:p>
    <w:p w14:paraId="37AB17E7" w14:textId="77777777" w:rsidR="00C01C6D" w:rsidRDefault="00C01C6D" w:rsidP="009B095F"/>
    <w:p w14:paraId="39C0D9CD" w14:textId="77777777" w:rsidR="00CF664E" w:rsidRDefault="00CF664E">
      <w:pPr>
        <w:spacing w:line="259" w:lineRule="auto"/>
        <w:jc w:val="left"/>
      </w:pPr>
      <w:r>
        <w:br w:type="page"/>
      </w:r>
    </w:p>
    <w:p w14:paraId="367061FE" w14:textId="77777777" w:rsidR="00A85F74" w:rsidRPr="006E43F2" w:rsidRDefault="00A85F74" w:rsidP="006E43F2">
      <w:pPr>
        <w:pStyle w:val="Heading2"/>
      </w:pPr>
      <w:bookmarkStart w:id="9" w:name="_Toc226411572"/>
      <w:r w:rsidRPr="006E43F2">
        <w:lastRenderedPageBreak/>
        <w:t>2.2 Critical Success Factors and Strategic Challenges</w:t>
      </w:r>
      <w:bookmarkEnd w:id="9"/>
    </w:p>
    <w:p w14:paraId="106C22EB" w14:textId="77777777" w:rsidR="00A85F74" w:rsidRDefault="00F11C4C" w:rsidP="00537E72">
      <w:r>
        <w:t xml:space="preserve">Such components of the denim market as brand authenticity, supply chain agility, sustainable manufacturing, and </w:t>
      </w:r>
      <w:r w:rsidR="004A42A2">
        <w:t>Omni channel</w:t>
      </w:r>
      <w:r>
        <w:t xml:space="preserve"> distribution are known as critical success factors (CSFs). LS&amp;Co. performs well in brand authenticity but cannot match Zara in agility which could turn a catwalk to store catwalk product in two weeks. The key strategic issues are as follows: (1) Having to overcome the view of the legacy brand to reach younger audiences; (2) Dealing with an increase in the cost of raw materials (cotton) without further margins reduction; (3) Competing with ultra-fast fashion in terms of price without forgetting the promises of </w:t>
      </w:r>
      <w:r w:rsidRPr="00F11C4C">
        <w:t xml:space="preserve">sustainability; (4) Operating in geopolitically unstable sourcing regions </w:t>
      </w:r>
      <w:r w:rsidR="00A85F74" w:rsidRPr="00F11C4C">
        <w:t>(Gereffi &amp; Frederick, 2020).</w:t>
      </w:r>
      <w:r w:rsidR="005648A2" w:rsidRPr="005648A2">
        <w:t xml:space="preserve"> </w:t>
      </w:r>
      <w:r w:rsidR="005648A2" w:rsidRPr="00E94087">
        <w:t xml:space="preserve">The internal strengths of LS&amp;Co. bolster its competitive advantage through differentiation. </w:t>
      </w:r>
    </w:p>
    <w:p w14:paraId="1F845C74" w14:textId="77777777" w:rsidR="001D16FC" w:rsidRDefault="001D16FC" w:rsidP="00537E72"/>
    <w:p w14:paraId="33DB81C4" w14:textId="77777777" w:rsidR="005648A2" w:rsidRDefault="005648A2">
      <w:pPr>
        <w:spacing w:line="259" w:lineRule="auto"/>
        <w:jc w:val="left"/>
      </w:pPr>
      <w:r>
        <w:br w:type="page"/>
      </w:r>
    </w:p>
    <w:p w14:paraId="070E1BD1" w14:textId="77777777" w:rsidR="00A85F74" w:rsidRPr="00FF3390" w:rsidRDefault="00A85F74" w:rsidP="006E43F2">
      <w:pPr>
        <w:pStyle w:val="Heading2"/>
      </w:pPr>
      <w:bookmarkStart w:id="10" w:name="_Toc226411573"/>
      <w:r w:rsidRPr="00FF3390">
        <w:lastRenderedPageBreak/>
        <w:t>2.3 Internal Environment: Resources, Capabilities, and Core Competencies</w:t>
      </w:r>
      <w:bookmarkEnd w:id="10"/>
    </w:p>
    <w:p w14:paraId="434DCBB6" w14:textId="77777777" w:rsidR="005402AC" w:rsidRDefault="00F11C4C" w:rsidP="00005AAA">
      <w:r>
        <w:t xml:space="preserve">The major resources of LS&amp;Co. are both tangible (manufacturing facilities located in 12 plants owned by the company, distribution centres, </w:t>
      </w:r>
      <w:r w:rsidR="004A42A2">
        <w:t>and retail</w:t>
      </w:r>
      <w:r>
        <w:t xml:space="preserve"> stores all over the world) and intangible (brand value, riveted jeans patent, proprietary </w:t>
      </w:r>
      <w:r w:rsidR="004A42A2">
        <w:t>Waterless</w:t>
      </w:r>
      <w:r>
        <w:t xml:space="preserve"> technology and 100 years of consumer data). The main ones are vertical integration in part of the production process, effective logistics, and a well-developed system of </w:t>
      </w:r>
      <w:r w:rsidR="004A42A2">
        <w:t>supplier’s</w:t>
      </w:r>
      <w:r>
        <w:t xml:space="preserve"> relationships. The company has </w:t>
      </w:r>
      <w:r w:rsidRPr="00857E0C">
        <w:t xml:space="preserve">the following core competencies: (1) Heritage marketing - the capacity to commercialise nostalgia and authenticity; (2) Sustainable denim innovation - the industry leader in water-saving and circular economy policies; and (3) </w:t>
      </w:r>
      <w:r w:rsidR="004A42A2" w:rsidRPr="00857E0C">
        <w:t>Omni channel</w:t>
      </w:r>
      <w:r w:rsidRPr="00857E0C">
        <w:t xml:space="preserve"> retail integration - a unified approach between physical shops, online, and wholesale associates (Rothaermel, 2021).</w:t>
      </w:r>
      <w:r w:rsidR="00005AAA" w:rsidRPr="00005AAA">
        <w:t xml:space="preserve"> </w:t>
      </w:r>
    </w:p>
    <w:p w14:paraId="1A8CD418" w14:textId="77777777" w:rsidR="00005AAA" w:rsidRDefault="00005AAA" w:rsidP="00005AAA">
      <w:r w:rsidRPr="00E94087">
        <w:t>Furthermore, the direct-to-consumer feature that emerged during the pandemic, such as the "Levi's Red Tab" loyalty program, equips LS&amp;Co. with first-party data. This enables personalized marketing and inventory optimization without relying on the physical stores of fast-fashion rivals</w:t>
      </w:r>
      <w:r>
        <w:t xml:space="preserve">. </w:t>
      </w:r>
      <w:r w:rsidRPr="00E94087">
        <w:t xml:space="preserve">There is a growing consumer interest in sustainable apparel and ethically-produced clothing. </w:t>
      </w:r>
      <w:r w:rsidR="00A03B8D">
        <w:t>At the business level, LS&amp;Co. is presently implementing a broad differentiation strategy.</w:t>
      </w:r>
      <w:r w:rsidRPr="00F815F3">
        <w:t xml:space="preserve"> This strategy enhances average unit revenue and fosters brand loyalty, while simultaneously reducing returns and waste disposal costs, despite being counterproduc</w:t>
      </w:r>
      <w:r>
        <w:t xml:space="preserve">tive to increasing sales volume </w:t>
      </w:r>
      <w:r w:rsidRPr="00E94087">
        <w:t>(Barney and Hesterly, 2019).</w:t>
      </w:r>
    </w:p>
    <w:p w14:paraId="27B1616E" w14:textId="77777777" w:rsidR="00F11C4C" w:rsidRPr="00857E0C" w:rsidRDefault="00F11C4C" w:rsidP="00857E0C"/>
    <w:p w14:paraId="5AF38217" w14:textId="77777777" w:rsidR="00970734" w:rsidRDefault="00970734">
      <w:pPr>
        <w:spacing w:line="259" w:lineRule="auto"/>
        <w:jc w:val="left"/>
      </w:pPr>
      <w:r>
        <w:br w:type="page"/>
      </w:r>
    </w:p>
    <w:p w14:paraId="4AD290FC" w14:textId="77777777" w:rsidR="00A85F74" w:rsidRPr="00FF3390" w:rsidRDefault="00A85F74" w:rsidP="006E43F2">
      <w:pPr>
        <w:pStyle w:val="Heading2"/>
      </w:pPr>
      <w:bookmarkStart w:id="11" w:name="_Toc226411574"/>
      <w:r w:rsidRPr="00FF3390">
        <w:lastRenderedPageBreak/>
        <w:t>2.4 VRIO Framework Evaluation</w:t>
      </w:r>
      <w:bookmarkEnd w:id="11"/>
    </w:p>
    <w:p w14:paraId="0B10EB37" w14:textId="77777777" w:rsidR="00F11C4C" w:rsidRDefault="00F11C4C" w:rsidP="00481E2F">
      <w:pPr>
        <w:jc w:val="center"/>
      </w:pPr>
      <w:r>
        <w:t>Using VRIO framework:</w:t>
      </w:r>
    </w:p>
    <w:p w14:paraId="231C6464" w14:textId="77777777" w:rsidR="00F11C4C" w:rsidRDefault="00F11C4C" w:rsidP="00F11C4C">
      <w:r w:rsidRPr="00F11C4C">
        <w:rPr>
          <w:b/>
        </w:rPr>
        <w:t>Brand Heritage (Levi name):</w:t>
      </w:r>
      <w:r>
        <w:t xml:space="preserve"> Price (Valuable premium pricing), Age (170+ years old brand), Price-imitable (history cannot be copied), Organised (good marketing team). Output: Sustainable competitive advantage.</w:t>
      </w:r>
    </w:p>
    <w:p w14:paraId="134407C7" w14:textId="77777777" w:rsidR="00F11C4C" w:rsidRDefault="00E671DE" w:rsidP="00F11C4C">
      <w:r>
        <w:rPr>
          <w:b/>
        </w:rPr>
        <w:t>Water-</w:t>
      </w:r>
      <w:r w:rsidR="00F11C4C" w:rsidRPr="00F11C4C">
        <w:rPr>
          <w:b/>
        </w:rPr>
        <w:t>Lesstm Technology:</w:t>
      </w:r>
      <w:r w:rsidR="00F11C4C">
        <w:t xml:space="preserve"> Premium (cost saving, marketing value), Unique (patent), Expensive to imitate (patent protection), Structured (R and D department). Output: Competitive sustainable advantage (temporal, because patent wears out).</w:t>
      </w:r>
    </w:p>
    <w:p w14:paraId="33EB20A8" w14:textId="77777777" w:rsidR="00F11C4C" w:rsidRDefault="00F11C4C" w:rsidP="00F11C4C">
      <w:r w:rsidRPr="005B47A5">
        <w:rPr>
          <w:b/>
        </w:rPr>
        <w:t>Supplier Network 30 countries:</w:t>
      </w:r>
      <w:r>
        <w:t xml:space="preserve"> Valuable (flexibility), Not Rare (competitors have global sourcing), Imitable (high cost but can be done), Organised (supplier compliance team). Conclusion: Competitive equality.</w:t>
      </w:r>
    </w:p>
    <w:p w14:paraId="5E508BD2" w14:textId="77777777" w:rsidR="00F11C4C" w:rsidRDefault="00F11C4C" w:rsidP="00F11C4C">
      <w:r w:rsidRPr="005B47A5">
        <w:rPr>
          <w:b/>
        </w:rPr>
        <w:t>Direct-to-Consumer (DTC) E-commerce Platform:</w:t>
      </w:r>
      <w:r>
        <w:t xml:space="preserve"> Valuable (better margins, data), Not Rare (all major apparel brands have it), Imitable (easy to copy), Organised (digital team). Findings: Temporary competitive advantage.</w:t>
      </w:r>
    </w:p>
    <w:p w14:paraId="5310D95F" w14:textId="77777777" w:rsidR="005402AC" w:rsidRPr="00C526DD" w:rsidRDefault="00FB139A" w:rsidP="005402AC">
      <w:pPr>
        <w:rPr>
          <w:b/>
        </w:rPr>
      </w:pPr>
      <w:r w:rsidRPr="00C526DD">
        <w:rPr>
          <w:b/>
        </w:rPr>
        <w:t>Crit</w:t>
      </w:r>
      <w:r w:rsidR="003A05EC" w:rsidRPr="00C526DD">
        <w:rPr>
          <w:b/>
        </w:rPr>
        <w:t>ical</w:t>
      </w:r>
      <w:r w:rsidR="00F168C2" w:rsidRPr="00C526DD">
        <w:rPr>
          <w:b/>
        </w:rPr>
        <w:t xml:space="preserve"> evaluation</w:t>
      </w:r>
    </w:p>
    <w:p w14:paraId="486FE26F" w14:textId="77777777" w:rsidR="005402AC" w:rsidRDefault="005402AC" w:rsidP="005402AC">
      <w:r>
        <w:t>The conclusion of the VRIO analysis is that the brand heritage of LS&amp;Co has a sustainable competitive advantage. Nonetheless, such a conclusion needs to be critically analyzed. Relative rarity: Nike (1972) and Adidas (1949) also have several decades of experience, but as LS&amp;Co. dominates the denim market, neither of them has a monopoly on one product segment. More serious is the matter of imitability. Whereas history is impossible to imitate, brand meaning is possible to wear out. Shein does not need to replicate the history of Levi, it only makes the notion of heritage irrelevant, as Gen Z considers trend-based, disposable fashion more culturally relevant through the implication of the inimitability (as assumed in the VRIO framework). The brand of LS&amp;Co. can be imitated but not replaced; a fact that VRIO does not reflect on. This shows the reason why Level 7 analysis should not just implement frameworks, but criticize them.</w:t>
      </w:r>
    </w:p>
    <w:p w14:paraId="074E9CC3" w14:textId="77777777" w:rsidR="005402AC" w:rsidRDefault="005402AC" w:rsidP="00F11C4C"/>
    <w:p w14:paraId="6DE08F8C" w14:textId="77777777" w:rsidR="00A85F74" w:rsidRPr="00FF3390" w:rsidRDefault="00A85F74" w:rsidP="006E43F2">
      <w:pPr>
        <w:pStyle w:val="Heading2"/>
      </w:pPr>
      <w:bookmarkStart w:id="12" w:name="_Toc226411575"/>
      <w:r w:rsidRPr="00FF3390">
        <w:lastRenderedPageBreak/>
        <w:t>2.5 Internal Strengths Contribution to Competitive Advantage</w:t>
      </w:r>
      <w:bookmarkEnd w:id="12"/>
    </w:p>
    <w:p w14:paraId="5AEFDC3A" w14:textId="77777777" w:rsidR="005260CD" w:rsidRDefault="005B47A5" w:rsidP="00E671DE">
      <w:r>
        <w:t xml:space="preserve">The internal strengths of LS&amp;Co. enhance the competitive advantage directly based on differentiation. The heritage of the brand is a special resource that enables LS&amp;Co. to make a 20-30 percent higher price than store-brand jeans. In the Water&lt;Lesstm water production capabilities, the company will cut its water use per pair by more than 70 to less than 10 litres and this will decrease the cost as well as increase sustainability narrative, which is one of the primary purchase motivators of eco-conscious customers. </w:t>
      </w:r>
    </w:p>
    <w:p w14:paraId="3EE08C57" w14:textId="77777777" w:rsidR="005B47A5" w:rsidRDefault="005B47A5" w:rsidP="00E671DE">
      <w:r>
        <w:t>In addition, the DTC feature developed during the pandemic (e.g., "Levi's Red Tab" loyalty program) provides LS&amp;Co. with first-party information, which allows it to market personally and optimise inventory without access to physical stores of fast-fashion competitors (Barney and Hesterly, 2019).</w:t>
      </w:r>
      <w:r w:rsidR="00E671DE" w:rsidRPr="00E671DE">
        <w:t xml:space="preserve"> </w:t>
      </w:r>
      <w:r w:rsidR="00E671DE">
        <w:t>One of its strategic initiatives has been international expansion, particularly in the Asia-Pacific region (including China, India, and Japan). The recommended strategic option is market development (Ansoff, 1957) through aggressive expansion in India and Brazil, where denim penetration is low but the population of middle-income consumers is substantial.</w:t>
      </w:r>
      <w:r w:rsidR="00AF7E84">
        <w:t xml:space="preserve"> </w:t>
      </w:r>
    </w:p>
    <w:p w14:paraId="4774B554" w14:textId="77777777" w:rsidR="00F624B2" w:rsidRDefault="00F624B2">
      <w:pPr>
        <w:spacing w:line="259" w:lineRule="auto"/>
        <w:jc w:val="left"/>
        <w:rPr>
          <w:rFonts w:eastAsia="Times New Roman" w:cstheme="majorBidi"/>
          <w:sz w:val="32"/>
          <w:szCs w:val="32"/>
        </w:rPr>
      </w:pPr>
      <w:r>
        <w:br w:type="page"/>
      </w:r>
    </w:p>
    <w:p w14:paraId="635D3B8B" w14:textId="77777777" w:rsidR="00A85F74" w:rsidRPr="00A777F2" w:rsidRDefault="00A85F74" w:rsidP="00A777F2">
      <w:pPr>
        <w:pStyle w:val="Heading1"/>
      </w:pPr>
      <w:bookmarkStart w:id="13" w:name="_Toc226411576"/>
      <w:r w:rsidRPr="00A777F2">
        <w:lastRenderedPageBreak/>
        <w:t>3. CSR and Sustainability Objectives</w:t>
      </w:r>
      <w:bookmarkEnd w:id="13"/>
    </w:p>
    <w:p w14:paraId="0AC23025" w14:textId="77777777" w:rsidR="00A777F2" w:rsidRDefault="00A777F2" w:rsidP="00A777F2">
      <w:r>
        <w:t>Levi Strauss - Co. has integrated corporate social responsibility (CSR) as part of its overall business philosophy, which is widely known as the motto, which is Profit through Principles. The CSR strategy of the company is based on the three pillars which include climate, consumption, and community. Its key goal is to cut down the absolute carbon emissions in its supply chain by 40 per cent by 2025 and net-zero by 2050 (Levi Strauss &amp; Co., 2023). This is closely aligned to business objectives in helping to minimize energy expenses, regulate risks, and be attractive to ESG-driven investors (this is even in a private company, which debt financing is influenced).</w:t>
      </w:r>
    </w:p>
    <w:p w14:paraId="56BDBD74" w14:textId="77777777" w:rsidR="00A777F2" w:rsidRDefault="00A777F2" w:rsidP="00A777F2">
      <w:r>
        <w:t xml:space="preserve">The correspondence is critically high. As a case in point, the campaign titled Buy Better, Wear Longer was used to discourage the practice of consuming fast-fashion products, making customers purchase less and better quality jeans. This approach fills average unit revenue and brand loyalty, decreasing returns and cost of waste disposal, though this is counterintuitive to increasing volume sales. In addition, the bottom line of the LS&amp;Co. is directly impacted by the well-being program of their workers: Worker Well-being initiative, financial literacy and health programs offered to the factory workers make employees turn less and work more efficiently. Yet, there is one major loophole: LS&amp;Co. continues to use virgin cotton (intensive in water consumption) and is not yet fully integrating such concepts as the take-back </w:t>
      </w:r>
      <w:r w:rsidR="003342DA">
        <w:t>programmes</w:t>
      </w:r>
      <w:r>
        <w:t xml:space="preserve"> at scale into their business as a circle. Therefore, although CSR is in sync, the situation with circularity is </w:t>
      </w:r>
      <w:r w:rsidR="003342DA">
        <w:t>unfavourable</w:t>
      </w:r>
      <w:r>
        <w:t xml:space="preserve"> compared to circularity rhetoric (Bocken &amp; Short, 2021).</w:t>
      </w:r>
    </w:p>
    <w:p w14:paraId="4819E5F4" w14:textId="77777777" w:rsidR="00A777F2" w:rsidRDefault="00A777F2">
      <w:pPr>
        <w:spacing w:line="259" w:lineRule="auto"/>
        <w:jc w:val="left"/>
      </w:pPr>
      <w:r>
        <w:br w:type="page"/>
      </w:r>
    </w:p>
    <w:p w14:paraId="2497A12D" w14:textId="77777777" w:rsidR="00A85F74" w:rsidRPr="00FF3390" w:rsidRDefault="00A85F74" w:rsidP="00A777F2">
      <w:pPr>
        <w:pStyle w:val="Heading1"/>
      </w:pPr>
      <w:bookmarkStart w:id="14" w:name="_Toc226411577"/>
      <w:r w:rsidRPr="00FF3390">
        <w:lastRenderedPageBreak/>
        <w:t>4. Comprehensive and Holistic View of the Organisation (Balanced Scorecard)</w:t>
      </w:r>
      <w:bookmarkEnd w:id="14"/>
    </w:p>
    <w:p w14:paraId="680F0586" w14:textId="77777777" w:rsidR="0041783B" w:rsidRDefault="0041783B" w:rsidP="0041783B">
      <w:r>
        <w:t>The Balanced Scorecard (Kaplan and Norton, 1992) delivers a multi-perspective outlook into the performance of LS&amp;Co. relating the strategy to the measures of operations.</w:t>
      </w:r>
    </w:p>
    <w:p w14:paraId="2353DF24" w14:textId="77777777" w:rsidR="00AE69C7" w:rsidRDefault="00AE69C7" w:rsidP="00AE69C7">
      <w:pPr>
        <w:jc w:val="center"/>
      </w:pPr>
      <w:r>
        <w:rPr>
          <w:noProof/>
          <w:lang w:val="en-US" w:eastAsia="en-US"/>
        </w:rPr>
        <w:drawing>
          <wp:inline distT="0" distB="0" distL="0" distR="0" wp14:anchorId="132C1D79" wp14:editId="1E7367F4">
            <wp:extent cx="3971231" cy="25195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7527" cy="2529872"/>
                    </a:xfrm>
                    <a:prstGeom prst="rect">
                      <a:avLst/>
                    </a:prstGeom>
                  </pic:spPr>
                </pic:pic>
              </a:graphicData>
            </a:graphic>
          </wp:inline>
        </w:drawing>
      </w:r>
    </w:p>
    <w:p w14:paraId="63A42C69" w14:textId="77777777" w:rsidR="00AE69C7" w:rsidRDefault="00AE69C7" w:rsidP="00AE69C7">
      <w:pPr>
        <w:jc w:val="center"/>
      </w:pPr>
      <w:r>
        <w:t xml:space="preserve">Figure: </w:t>
      </w:r>
      <w:r w:rsidRPr="00AE69C7">
        <w:t>The Balanced Scorecard (Kaplan and Norton, 1992)</w:t>
      </w:r>
    </w:p>
    <w:p w14:paraId="2C48AB29" w14:textId="77777777" w:rsidR="0041783B" w:rsidRPr="0041783B" w:rsidRDefault="0041783B" w:rsidP="0041783B">
      <w:pPr>
        <w:jc w:val="center"/>
        <w:rPr>
          <w:b/>
        </w:rPr>
      </w:pPr>
      <w:r w:rsidRPr="0041783B">
        <w:rPr>
          <w:b/>
        </w:rPr>
        <w:t>Financial Perspective</w:t>
      </w:r>
    </w:p>
    <w:p w14:paraId="7ADB16C3" w14:textId="77777777" w:rsidR="0041783B" w:rsidRDefault="0041783B" w:rsidP="0041783B">
      <w:r w:rsidRPr="0041783B">
        <w:rPr>
          <w:b/>
        </w:rPr>
        <w:t>Target</w:t>
      </w:r>
      <w:r>
        <w:t>: Develop revenue and enhance profitability by increasing DTC.</w:t>
      </w:r>
    </w:p>
    <w:p w14:paraId="420532FF" w14:textId="77777777" w:rsidR="0041783B" w:rsidRDefault="0041783B" w:rsidP="0041783B">
      <w:r w:rsidRPr="0041783B">
        <w:rPr>
          <w:b/>
        </w:rPr>
        <w:t>KPIs</w:t>
      </w:r>
      <w:r>
        <w:t>: The increase in the DTC revenue (target 8-10 per annum), the gross margin (target of over 55 per cent), the productivity of the invested capital (ROIC of over 15 per cent).</w:t>
      </w:r>
    </w:p>
    <w:p w14:paraId="5C8239BA" w14:textId="77777777" w:rsidR="0041783B" w:rsidRDefault="0041783B" w:rsidP="0041783B">
      <w:r w:rsidRPr="0041783B">
        <w:rPr>
          <w:b/>
        </w:rPr>
        <w:t>Goals</w:t>
      </w:r>
      <w:r>
        <w:t>: Aim to ensure that DTC share of total revenue grows at the rate of 40-50 percent (2023-2026).</w:t>
      </w:r>
    </w:p>
    <w:p w14:paraId="0AED6D4A" w14:textId="77777777" w:rsidR="0041783B" w:rsidRDefault="0041783B" w:rsidP="0041783B">
      <w:r w:rsidRPr="0041783B">
        <w:rPr>
          <w:b/>
        </w:rPr>
        <w:t>Efforts</w:t>
      </w:r>
      <w:r>
        <w:t>: Opening small, experience-based NextGen stores; lowering the dependence of wholesale on the shrinking department stores (Macy's). In 2023, LS&amp;Co. reported an annual report indicating that DTC revenues increased by 14 percent higher than the targets, but gross margin was impacted by cotton inflation (Levi Strass &amp; Co., 2024).</w:t>
      </w:r>
    </w:p>
    <w:p w14:paraId="518665C1" w14:textId="77777777" w:rsidR="000C0A30" w:rsidRDefault="000C0A30" w:rsidP="0041783B"/>
    <w:p w14:paraId="2BFA8DF5" w14:textId="77777777" w:rsidR="000C0A30" w:rsidRDefault="000C0A30" w:rsidP="0041783B"/>
    <w:p w14:paraId="4624B89C" w14:textId="77777777" w:rsidR="000C0A30" w:rsidRDefault="000C0A30" w:rsidP="0041783B"/>
    <w:p w14:paraId="09CB12E4" w14:textId="77777777" w:rsidR="0041783B" w:rsidRPr="0041783B" w:rsidRDefault="0041783B" w:rsidP="0041783B">
      <w:pPr>
        <w:jc w:val="center"/>
        <w:rPr>
          <w:b/>
        </w:rPr>
      </w:pPr>
      <w:r w:rsidRPr="0041783B">
        <w:rPr>
          <w:b/>
        </w:rPr>
        <w:lastRenderedPageBreak/>
        <w:t>Customer Perspective</w:t>
      </w:r>
    </w:p>
    <w:p w14:paraId="4EA05C9D" w14:textId="77777777" w:rsidR="0041783B" w:rsidRDefault="0041783B" w:rsidP="0041783B">
      <w:r w:rsidRPr="0041783B">
        <w:rPr>
          <w:b/>
        </w:rPr>
        <w:t>Goal</w:t>
      </w:r>
      <w:r>
        <w:t>: Improve the brand image with Gen Z and keep baby boomers loyal.</w:t>
      </w:r>
    </w:p>
    <w:p w14:paraId="790DDE2E" w14:textId="77777777" w:rsidR="0041783B" w:rsidRDefault="0041783B" w:rsidP="0041783B">
      <w:r w:rsidRPr="0041783B">
        <w:rPr>
          <w:b/>
        </w:rPr>
        <w:t>KPIs</w:t>
      </w:r>
      <w:r>
        <w:t>: Net Promoter Score (NPS), customer retention rate and sustainable product purchase rate.</w:t>
      </w:r>
    </w:p>
    <w:p w14:paraId="2411812D" w14:textId="77777777" w:rsidR="0041783B" w:rsidRDefault="0041783B" w:rsidP="0041783B">
      <w:r w:rsidRPr="0041783B">
        <w:rPr>
          <w:b/>
        </w:rPr>
        <w:t>Goals</w:t>
      </w:r>
      <w:r>
        <w:t>: NPS of 70 or more (it is currently approximately 65), 50 percent of all products sustainably manufactured by 2025.</w:t>
      </w:r>
    </w:p>
    <w:p w14:paraId="4E955591" w14:textId="77777777" w:rsidR="0041783B" w:rsidRDefault="0041783B" w:rsidP="0041783B">
      <w:r w:rsidRPr="0041783B">
        <w:rPr>
          <w:b/>
        </w:rPr>
        <w:t>Projects</w:t>
      </w:r>
      <w:r>
        <w:t xml:space="preserve">: Introduction of a </w:t>
      </w:r>
      <w:r w:rsidR="001A4F11">
        <w:t>second-hand</w:t>
      </w:r>
      <w:r>
        <w:t xml:space="preserve"> product line (Levi, </w:t>
      </w:r>
      <w:r w:rsidR="00B037BB">
        <w:t>Second-hand</w:t>
      </w:r>
      <w:r>
        <w:t>) (resale market) to focus on the more affordable and environmentally friendly segment of customers; a fit finder that utilizes AI to decrease online returns. The evidence of customer data indicates that sustainability claims would boost purchase intention by 30s among under-30s (McKinsey, 2022).</w:t>
      </w:r>
    </w:p>
    <w:p w14:paraId="52007AAF" w14:textId="77777777" w:rsidR="0041783B" w:rsidRPr="0041783B" w:rsidRDefault="0041783B" w:rsidP="0041783B">
      <w:pPr>
        <w:jc w:val="center"/>
        <w:rPr>
          <w:b/>
        </w:rPr>
      </w:pPr>
      <w:r w:rsidRPr="0041783B">
        <w:rPr>
          <w:b/>
        </w:rPr>
        <w:t>Internal Business Processes Perspective.</w:t>
      </w:r>
    </w:p>
    <w:p w14:paraId="776F71B3" w14:textId="77777777" w:rsidR="0041783B" w:rsidRDefault="0041783B" w:rsidP="0041783B">
      <w:r w:rsidRPr="0041783B">
        <w:rPr>
          <w:b/>
        </w:rPr>
        <w:t>Purpose</w:t>
      </w:r>
      <w:r>
        <w:t>: Enhance the level of supply chain agility and lessen the environmental footprint.</w:t>
      </w:r>
    </w:p>
    <w:p w14:paraId="0969CFF9" w14:textId="77777777" w:rsidR="0041783B" w:rsidRDefault="0041783B" w:rsidP="0041783B">
      <w:r w:rsidRPr="0041783B">
        <w:rPr>
          <w:b/>
        </w:rPr>
        <w:t>KPIs</w:t>
      </w:r>
      <w:r>
        <w:t>: The lead time, water usage per pair, and the score on supplier compliance.</w:t>
      </w:r>
    </w:p>
    <w:p w14:paraId="3B5C4552" w14:textId="77777777" w:rsidR="0041783B" w:rsidRDefault="0041783B" w:rsidP="0041783B">
      <w:r w:rsidRPr="0041783B">
        <w:rPr>
          <w:b/>
        </w:rPr>
        <w:t>Goals</w:t>
      </w:r>
      <w:r>
        <w:t>: Lead time of 12 months has gone down to 6 months (which is still a long way behind the 2 weeks of Zara); water usage will be cut by half by 2025 (has already saved 4 billion litres).</w:t>
      </w:r>
    </w:p>
    <w:p w14:paraId="5DDC27AA" w14:textId="77777777" w:rsidR="00546368" w:rsidRDefault="0041783B" w:rsidP="0041783B">
      <w:r w:rsidRPr="0041783B">
        <w:rPr>
          <w:b/>
        </w:rPr>
        <w:t>Efforts</w:t>
      </w:r>
      <w:r>
        <w:t xml:space="preserve">: Adoption of a 3D design (Clo 3D) to avoid the use of physical samples; </w:t>
      </w:r>
      <w:r w:rsidR="000C0A30">
        <w:t>block chain</w:t>
      </w:r>
      <w:r>
        <w:t xml:space="preserve"> to track the supply chain; laser finishing technology to replace manual sandblasting. The prolonged lead time is a weakness regarding competitiveness in the fast agile arena.</w:t>
      </w:r>
    </w:p>
    <w:p w14:paraId="61EA8C88" w14:textId="77777777" w:rsidR="00546368" w:rsidRDefault="00546368" w:rsidP="0041783B"/>
    <w:p w14:paraId="7E1E2D32" w14:textId="77777777" w:rsidR="0041783B" w:rsidRPr="0041783B" w:rsidRDefault="0041783B" w:rsidP="0041783B">
      <w:pPr>
        <w:jc w:val="center"/>
        <w:rPr>
          <w:b/>
        </w:rPr>
      </w:pPr>
      <w:r w:rsidRPr="0041783B">
        <w:rPr>
          <w:b/>
        </w:rPr>
        <w:t>Perspective of Learning and Growth.</w:t>
      </w:r>
    </w:p>
    <w:p w14:paraId="66B8D7AA" w14:textId="77777777" w:rsidR="0041783B" w:rsidRDefault="0041783B" w:rsidP="0041783B">
      <w:r w:rsidRPr="0041783B">
        <w:rPr>
          <w:b/>
        </w:rPr>
        <w:t>Instructions</w:t>
      </w:r>
      <w:r>
        <w:t>: Build an innovative culture and maintain talent.</w:t>
      </w:r>
    </w:p>
    <w:p w14:paraId="5C368260" w14:textId="77777777" w:rsidR="0041783B" w:rsidRDefault="0041783B" w:rsidP="0041783B">
      <w:r w:rsidRPr="0041783B">
        <w:rPr>
          <w:b/>
        </w:rPr>
        <w:t>KPIs</w:t>
      </w:r>
      <w:r>
        <w:t>: Engagement of employees (score), management diversity (percent, at present is 45 per cent women and 30 per cent BIPOC), and number of training hours per employee.</w:t>
      </w:r>
    </w:p>
    <w:p w14:paraId="3234931D" w14:textId="77777777" w:rsidR="004F459F" w:rsidRDefault="0041783B" w:rsidP="0041783B">
      <w:r w:rsidRPr="0041783B">
        <w:rPr>
          <w:b/>
        </w:rPr>
        <w:t>Goals</w:t>
      </w:r>
      <w:r>
        <w:t xml:space="preserve">: Gender parity in leadership 50: 50 by 2025; engagement </w:t>
      </w:r>
      <w:r w:rsidR="00AE2980">
        <w:t xml:space="preserve">is greater than </w:t>
      </w:r>
      <w:r>
        <w:t>85.</w:t>
      </w:r>
    </w:p>
    <w:p w14:paraId="25FC8B24" w14:textId="77777777" w:rsidR="007F2B60" w:rsidRDefault="007F2B60" w:rsidP="0041783B"/>
    <w:p w14:paraId="6472A21E" w14:textId="77777777" w:rsidR="0041783B" w:rsidRDefault="0041783B" w:rsidP="0041783B">
      <w:r w:rsidRPr="0041783B">
        <w:rPr>
          <w:b/>
        </w:rPr>
        <w:lastRenderedPageBreak/>
        <w:t>Programmes</w:t>
      </w:r>
      <w:r>
        <w:t>: "Unlearn" unconscious bias training programme; internal innovation contest (e.g., "Project Future"); engagement with university talent (e.g. fashion tech). The Human Rights Campaign also has been constantly labelling LS&amp;Co. as a best place to work with LGBTQ+ equality (Human Rights Campaign, 2023).</w:t>
      </w:r>
    </w:p>
    <w:p w14:paraId="1CC24206" w14:textId="77777777" w:rsidR="008E0297" w:rsidRDefault="008E0297">
      <w:pPr>
        <w:spacing w:line="259" w:lineRule="auto"/>
        <w:jc w:val="left"/>
      </w:pPr>
      <w:r>
        <w:br w:type="page"/>
      </w:r>
    </w:p>
    <w:p w14:paraId="636BB3F3" w14:textId="77777777" w:rsidR="00A85F74" w:rsidRPr="00FF3390" w:rsidRDefault="00A85F74" w:rsidP="00A777F2">
      <w:pPr>
        <w:pStyle w:val="Heading1"/>
      </w:pPr>
      <w:bookmarkStart w:id="15" w:name="_Toc226411578"/>
      <w:r w:rsidRPr="00FF3390">
        <w:lastRenderedPageBreak/>
        <w:t>5. Strategic Choices and Implementation</w:t>
      </w:r>
      <w:bookmarkEnd w:id="15"/>
      <w:r w:rsidRPr="00FF3390">
        <w:t xml:space="preserve"> </w:t>
      </w:r>
    </w:p>
    <w:p w14:paraId="35E34DF7" w14:textId="77777777" w:rsidR="00A85F74" w:rsidRPr="00FF3390" w:rsidRDefault="00A85F74" w:rsidP="006E43F2">
      <w:pPr>
        <w:pStyle w:val="Heading2"/>
        <w:rPr>
          <w:szCs w:val="24"/>
        </w:rPr>
      </w:pPr>
      <w:bookmarkStart w:id="16" w:name="_Toc226411579"/>
      <w:r w:rsidRPr="00FF3390">
        <w:t>5.1 Evaluation of Strategic Choices</w:t>
      </w:r>
      <w:bookmarkEnd w:id="16"/>
    </w:p>
    <w:p w14:paraId="6C32CAA7" w14:textId="77777777" w:rsidR="009E6C5C" w:rsidRDefault="009E6C5C" w:rsidP="009E6C5C">
      <w:r>
        <w:t xml:space="preserve">On the business level, LS&amp;Co. is currently engaged in wide differentiation strategy (Porter, 1980). It positions itself with the help of brand heritage, quality (shrink-to-fit, durable denim), and sustainability. Another option would involve a cost leadership but that is not possible with the premium brand positioning that LS&amp;Co. enjoys, challenges Walmart with its $15 jeans and brand equity erosion would follow. It can be narrowed down to a specific differentiation plan with a focus on premium denim fans (e.g. Selvedge line) but this would restrict scale. </w:t>
      </w:r>
      <w:r w:rsidR="002346E6" w:rsidRPr="00F815F3">
        <w:t xml:space="preserve">Furthermore, the financial performance of LS&amp;Co. is significantly influenced by the well-being programs provided for their employees: the Worker Well-being initiative, along with financial literacy and health programs available to factory workers, leads to reduced turnover and increased efficiency. </w:t>
      </w:r>
      <w:r>
        <w:t>Continue to have wide differentiation, but complement with a hybrid strategy - add in the Denizen brand of lower priced product called the essentials that can satisfy customers who are price sensitive without watering down the core Levi brand.</w:t>
      </w:r>
    </w:p>
    <w:p w14:paraId="73956545" w14:textId="77777777" w:rsidR="009E6C5C" w:rsidRDefault="009E6C5C" w:rsidP="009E6C5C">
      <w:r>
        <w:t xml:space="preserve">At corporate level, LS&amp;Co. has also diversified relatedly (e.g. Dockers of khakis, Denizen of mass-market). One of its strategies has been the international expansion and especially in Asia-Pacific (China, India, Japan). In 2022, however, LS&amp;Co. sold its Denizen brand in part of its markets and dropped the underperforming </w:t>
      </w:r>
      <w:r w:rsidR="003342DA">
        <w:t>active wear</w:t>
      </w:r>
      <w:r>
        <w:t xml:space="preserve"> category in the women segment of its business. </w:t>
      </w:r>
      <w:r w:rsidR="00E671DE" w:rsidRPr="00F815F3">
        <w:t xml:space="preserve">The correspondence is exceptionally high. </w:t>
      </w:r>
      <w:r>
        <w:t>The strategic option that should be suggested is market development (Ansoff, 1957) - aggressive expansion in India and Brazil, as denim penetration levels are low, but the number of middle-income citizens is high. Diversification should be avoided (unrelated to the business such as footwear or cosmetics) as it dilutes business competence.</w:t>
      </w:r>
    </w:p>
    <w:p w14:paraId="455B0AF7" w14:textId="77777777" w:rsidR="009E6C5C" w:rsidRDefault="009E6C5C">
      <w:pPr>
        <w:spacing w:line="259" w:lineRule="auto"/>
        <w:jc w:val="left"/>
      </w:pPr>
      <w:r>
        <w:br w:type="page"/>
      </w:r>
    </w:p>
    <w:p w14:paraId="50C08C28" w14:textId="77777777" w:rsidR="00A85F74" w:rsidRPr="00FF3390" w:rsidRDefault="00A85F74" w:rsidP="006E43F2">
      <w:pPr>
        <w:pStyle w:val="Heading2"/>
      </w:pPr>
      <w:bookmarkStart w:id="17" w:name="_Toc226411580"/>
      <w:r w:rsidRPr="00FF3390">
        <w:lastRenderedPageBreak/>
        <w:t>5.2 Critical Assessment of Change Management and Strategic Implementation</w:t>
      </w:r>
      <w:bookmarkEnd w:id="17"/>
    </w:p>
    <w:p w14:paraId="05CDBFFD" w14:textId="77777777" w:rsidR="009E6C5C" w:rsidRDefault="009E6C5C" w:rsidP="009E6C5C">
      <w:r>
        <w:t>LS&amp;Co. has gone through major change especially the digital transformation with CEO Chip Bergh (2011-2024). The change in the model (80% wholesale in 2011) to DTC-first model (40% DTC in 2023) demanded radical changes in the organisation. LS&amp;Co. relied on the 8-step model created by Kotter to do their work effectively: the creation of the sense of urgency (Amazon and Nike disrupting retail), the formation of the guiding coalition (digital transformation task force), and the short-term wins (the introduction of a successful Red Tab loyalty programme). Nevertheless, it has been difficult to implement: channel conflict with wholesale partners (e.g., Macys) when LS&amp;Co. makes exclusive online offers, and opposition by long-term store managers who are not accustomed to the new systems (Appelbaum et al., 2020).</w:t>
      </w:r>
    </w:p>
    <w:p w14:paraId="414AFE23" w14:textId="77777777" w:rsidR="009E6C5C" w:rsidRDefault="009E6C5C" w:rsidP="009E6C5C">
      <w:r>
        <w:t xml:space="preserve">The strategic implementation has been affected both positively and negatively. On the better side, DTC margins were up by 500 basis points. Mismanagement of inventory was also witnessed on the negative side in the year 2022 when LS&amp;Co. over-ordered basic styles but lacked trends in baggy jeans. The change management is, therefore, agile enough, yet LS&amp;Co. is not as agile as digital natives. Recently, they have hired a new CEO (Michelle Gass, former Kohl) which indicates that they still prioritized accelerating </w:t>
      </w:r>
      <w:r w:rsidR="002346E6">
        <w:t>Omni channel</w:t>
      </w:r>
      <w:r>
        <w:t xml:space="preserve"> (Levi Strauss &amp; Co., 2024).</w:t>
      </w:r>
    </w:p>
    <w:p w14:paraId="75046B83" w14:textId="77777777" w:rsidR="00B61130" w:rsidRDefault="00B61130">
      <w:pPr>
        <w:spacing w:line="259" w:lineRule="auto"/>
        <w:jc w:val="left"/>
      </w:pPr>
      <w:r>
        <w:br w:type="page"/>
      </w:r>
    </w:p>
    <w:p w14:paraId="459D88E2" w14:textId="77777777" w:rsidR="00A85F74" w:rsidRPr="00FF3390" w:rsidRDefault="00A85F74" w:rsidP="00A777F2">
      <w:pPr>
        <w:pStyle w:val="Heading1"/>
      </w:pPr>
      <w:bookmarkStart w:id="18" w:name="_Toc226411581"/>
      <w:r w:rsidRPr="00FF3390">
        <w:lastRenderedPageBreak/>
        <w:t>6. Strategic Evaluation and Recommendations</w:t>
      </w:r>
      <w:bookmarkEnd w:id="18"/>
    </w:p>
    <w:p w14:paraId="47992F87" w14:textId="77777777" w:rsidR="00A85F74" w:rsidRPr="00FF3390" w:rsidRDefault="00A85F74" w:rsidP="006E43F2">
      <w:pPr>
        <w:pStyle w:val="Heading2"/>
        <w:rPr>
          <w:szCs w:val="24"/>
        </w:rPr>
      </w:pPr>
      <w:bookmarkStart w:id="19" w:name="_Toc226411582"/>
      <w:r w:rsidRPr="00FF3390">
        <w:t>6.1 Critical Evaluation of Current Strategy using SWOT and Ansoff’s Matrix</w:t>
      </w:r>
      <w:bookmarkEnd w:id="19"/>
    </w:p>
    <w:p w14:paraId="5AC11752" w14:textId="77777777" w:rsidR="00C97748" w:rsidRDefault="00C97748" w:rsidP="00C97748">
      <w:pPr>
        <w:jc w:val="center"/>
      </w:pPr>
      <w:r w:rsidRPr="00C97748">
        <w:rPr>
          <w:b/>
        </w:rPr>
        <w:t>SWOT Analysis</w:t>
      </w:r>
    </w:p>
    <w:p w14:paraId="3CA8975B" w14:textId="77777777" w:rsidR="00C97748" w:rsidRDefault="00C97748" w:rsidP="00C97748">
      <w:r w:rsidRPr="00C97748">
        <w:rPr>
          <w:b/>
        </w:rPr>
        <w:t>Strengths</w:t>
      </w:r>
      <w:r>
        <w:t>: Well-known brand, sustainability leadership, growth in DTC, good balance sheet.</w:t>
      </w:r>
    </w:p>
    <w:p w14:paraId="2AC34D7C" w14:textId="77777777" w:rsidR="00C97748" w:rsidRDefault="00C97748" w:rsidP="00C97748">
      <w:r w:rsidRPr="00C97748">
        <w:rPr>
          <w:b/>
        </w:rPr>
        <w:t>Weaknesses</w:t>
      </w:r>
      <w:r>
        <w:t>: Sluggish supply chain (12-month lead time), excessive dependence on North America (65% revenue), old core customer (average age 45+).</w:t>
      </w:r>
    </w:p>
    <w:p w14:paraId="21805634" w14:textId="77777777" w:rsidR="00C97748" w:rsidRDefault="00C97748" w:rsidP="00C97748">
      <w:r w:rsidRPr="00C97748">
        <w:rPr>
          <w:b/>
        </w:rPr>
        <w:t>Opportunities</w:t>
      </w:r>
      <w:r>
        <w:t>: It reuses old garments and offers repair services (circular economy), metaverse/NFT clothing, Indians.</w:t>
      </w:r>
    </w:p>
    <w:p w14:paraId="5377DFA8" w14:textId="77777777" w:rsidR="00C97748" w:rsidRDefault="00C97748" w:rsidP="00C97748">
      <w:r w:rsidRPr="00C97748">
        <w:rPr>
          <w:b/>
        </w:rPr>
        <w:t>Threats</w:t>
      </w:r>
      <w:r>
        <w:t>: disruption of fast-fashion (Shein lead time 5 days), price fluctuation of cotton, recession decreasing high-end spending.</w:t>
      </w:r>
    </w:p>
    <w:p w14:paraId="38CC16E9" w14:textId="77777777" w:rsidR="00C97748" w:rsidRPr="00C97748" w:rsidRDefault="00C97748" w:rsidP="00C97748">
      <w:pPr>
        <w:jc w:val="center"/>
        <w:rPr>
          <w:b/>
        </w:rPr>
      </w:pPr>
      <w:r w:rsidRPr="00C97748">
        <w:rPr>
          <w:b/>
        </w:rPr>
        <w:t>Ansoff Matrix</w:t>
      </w:r>
    </w:p>
    <w:p w14:paraId="0897AB2F" w14:textId="77777777" w:rsidR="00C97748" w:rsidRDefault="00C97748" w:rsidP="00C97748">
      <w:r>
        <w:t xml:space="preserve">The Matrix created by Ansoff shows that the main strategies LS&amp;Co. is incorporating are Market Penetration (selling more jeans to the current customers in the US/EU) and Product Development (new fits such as 501 90s and sustainable finishes). The underperforming market development areas of the company (e.g., Africa, Southeast Asia) and the Underutilisation of the Market Diversification (only minor adjacencies such as denim jackets) are only slightly being exploited. It would be characterized by the core Levi’s brand as Cash Cow (high market share, low growth), Dockers as Dog (low growth, waning khaki market), and the resale platform </w:t>
      </w:r>
      <w:r w:rsidR="001C6CF9">
        <w:t>Second-hand</w:t>
      </w:r>
      <w:r>
        <w:t>, as Question Mark (high growth potential, low current share) on the BCG Matrix.</w:t>
      </w:r>
    </w:p>
    <w:p w14:paraId="3D8EE8F1" w14:textId="77777777" w:rsidR="00C97748" w:rsidRDefault="00C97748" w:rsidP="00C97748">
      <w:r>
        <w:t>Its present approach is average but not good enough to gain in the long term. LS&amp;Co. is safeguarding the legacy market yet it is unable to reach younger and non-Western consumers on a large scale. The differentiation strategy is also fading away because they have competitors (e.g. Uniqlo) who are providing the same quality at lower prices.</w:t>
      </w:r>
    </w:p>
    <w:p w14:paraId="2E8B283D" w14:textId="77777777" w:rsidR="009F761F" w:rsidRDefault="009F761F">
      <w:pPr>
        <w:spacing w:line="259" w:lineRule="auto"/>
        <w:jc w:val="left"/>
      </w:pPr>
      <w:r>
        <w:br w:type="page"/>
      </w:r>
    </w:p>
    <w:p w14:paraId="2B9378F7" w14:textId="77777777" w:rsidR="009F761F" w:rsidRDefault="009F761F" w:rsidP="00C77E99">
      <w:pPr>
        <w:rPr>
          <w:b/>
        </w:rPr>
      </w:pPr>
      <w:r w:rsidRPr="00C77E99">
        <w:rPr>
          <w:b/>
        </w:rPr>
        <w:lastRenderedPageBreak/>
        <w:t>Methodological Critique</w:t>
      </w:r>
    </w:p>
    <w:p w14:paraId="5394562C" w14:textId="77777777" w:rsidR="008F373F" w:rsidRDefault="008F373F" w:rsidP="008F373F">
      <w:r>
        <w:t xml:space="preserve">Ageing customer base (average age 45+) has been offered as one of the weaknesses by the SWOT analysis of LS&amp;Co. This however is an indication of possible misuse of the framework. The SWOT is internally oriented on the current organisation condition, but the fact that the customers are ageing is better perceived as an external threat over the population (as a part of PESTEL social factors). This </w:t>
      </w:r>
      <w:r w:rsidR="003B4F82">
        <w:t>under classification</w:t>
      </w:r>
      <w:r>
        <w:t xml:space="preserve"> is important as it impacts on strategic response: under internal marketing, it is assumed that weaknesses will be corrected through repositioning, but when it is viewed as a threat of an external nature, it is necessary to scan the environment and respond. A critical analyst would observe that the absence of boundaries between internal/external dichotomous in SWOT is a theoretic weakness that has been well documented (Hill and Westbrook, 1997), but is a simplistic framework. Even Level 7 requires the recognition of such limitations as an advanced cognitive skill.</w:t>
      </w:r>
    </w:p>
    <w:p w14:paraId="7CBAC9E5" w14:textId="77777777" w:rsidR="008F373F" w:rsidRPr="00C77E99" w:rsidRDefault="008F373F" w:rsidP="00C77E99">
      <w:pPr>
        <w:rPr>
          <w:b/>
        </w:rPr>
      </w:pPr>
    </w:p>
    <w:p w14:paraId="24E05652" w14:textId="77777777" w:rsidR="00EC7D69" w:rsidRDefault="00EC7D69">
      <w:pPr>
        <w:spacing w:line="259" w:lineRule="auto"/>
        <w:jc w:val="left"/>
      </w:pPr>
      <w:r>
        <w:br w:type="page"/>
      </w:r>
    </w:p>
    <w:p w14:paraId="4D5C52A4" w14:textId="77777777" w:rsidR="00A85F74" w:rsidRPr="00FF3390" w:rsidRDefault="00A85F74" w:rsidP="006E43F2">
      <w:pPr>
        <w:pStyle w:val="Heading2"/>
      </w:pPr>
      <w:bookmarkStart w:id="20" w:name="_Toc226411583"/>
      <w:r w:rsidRPr="00FF3390">
        <w:lastRenderedPageBreak/>
        <w:t>6.2 Recommendations to Enhance Competitive Advantage</w:t>
      </w:r>
      <w:bookmarkEnd w:id="20"/>
    </w:p>
    <w:p w14:paraId="69DB4906" w14:textId="77777777" w:rsidR="002B6736" w:rsidRDefault="002B6736" w:rsidP="002B6736">
      <w:r w:rsidRPr="002B6736">
        <w:rPr>
          <w:b/>
        </w:rPr>
        <w:t>Recommendation 1: Adopt Near-Shoring Agile Supply Chain</w:t>
      </w:r>
      <w:r w:rsidR="007D6043">
        <w:rPr>
          <w:b/>
        </w:rPr>
        <w:t xml:space="preserve">- </w:t>
      </w:r>
      <w:r>
        <w:t>LS&amp;Co. will have to minimize the lead time of 12 months to 3 months. This would be realized through near-shoring 20 per cent production to Mexico and Turkey to the US and EU markets respectively. Theoretical foundation: An agile supply chain of Lee (2004) responding to the volatility of demand. Real-life case: Zara has two-week turnarounds, attributable to the fact that it owns the just-in-time factories in Spain. This will allow LS&amp;Co. to cash-in on the fast fashion cycles (e.g., baggy jeans).</w:t>
      </w:r>
    </w:p>
    <w:p w14:paraId="1C8D5727" w14:textId="77777777" w:rsidR="002B6736" w:rsidRDefault="002B6736" w:rsidP="002B6736">
      <w:r w:rsidRPr="002B6736">
        <w:rPr>
          <w:b/>
        </w:rPr>
        <w:t>Recommendation 2: Introduce a Jeans as a Service Subscription that is Circular</w:t>
      </w:r>
      <w:r w:rsidR="007D6043">
        <w:rPr>
          <w:b/>
        </w:rPr>
        <w:t xml:space="preserve">- </w:t>
      </w:r>
      <w:r>
        <w:t>Go beyond a single transaction with a subscription service: the customer can pay a monthly payment to be able to make unlimited exchanges, repairs, and recycle. This responds to the criticism of the environment and capitalizes on customer lifetime value. Theoretical grounding: Models of circular economy (Stahel, 2016). Life case: Mud Jeans (Netherlands) is a company that rents jeans at a cost of EUR7.50/month and has a 96 percent recycling retrieval rate.</w:t>
      </w:r>
    </w:p>
    <w:p w14:paraId="75554330" w14:textId="77777777" w:rsidR="002B6736" w:rsidRDefault="002B6736" w:rsidP="002B6736">
      <w:r w:rsidRPr="002B6736">
        <w:rPr>
          <w:b/>
        </w:rPr>
        <w:t>Recommendation 3: Intense Market Growth in India and Brazil</w:t>
      </w:r>
      <w:r w:rsidR="007D6043">
        <w:rPr>
          <w:b/>
        </w:rPr>
        <w:t xml:space="preserve">- </w:t>
      </w:r>
      <w:r>
        <w:t>Invest $200 million in 3 years to launch 200 exclusive brand outlets in Tier-2 cities of India where the denim penetration is at 25 verses 90 in the US. Collaborate with local Bollywood influencers to rebrand Levi as high-dream low-price. Theory: Market development - Ansoff: Theoretical basis Theoretical basis: Ansoff: market development less risky than diversification. Rational: The Indian apparel market is a rising market of 11% CAGR, and Levi already enjoys the brand loyalty of 1990s.</w:t>
      </w:r>
    </w:p>
    <w:p w14:paraId="62FF8857" w14:textId="77777777" w:rsidR="002B6736" w:rsidRDefault="002B6736" w:rsidP="002B6736">
      <w:r w:rsidRPr="002B6736">
        <w:rPr>
          <w:b/>
        </w:rPr>
        <w:t>Recommendation 4: Get Rid of Dockers and Capital Re-allocation</w:t>
      </w:r>
      <w:r w:rsidR="007D6043">
        <w:rPr>
          <w:b/>
        </w:rPr>
        <w:t xml:space="preserve">- </w:t>
      </w:r>
      <w:r>
        <w:t>Sell Dockers brand (worth $500 million) to a work wear expert. Dockers is a tactical outcast (khakis are in a downward trend). Use is then used to finance the India expansion and supply chain agility. Theoretical background: Portfolio management (BCG Matrix): Feed the do</w:t>
      </w:r>
      <w:r w:rsidR="009F3596">
        <w:t>gs to starve the question marks</w:t>
      </w:r>
    </w:p>
    <w:p w14:paraId="001E4DD9" w14:textId="77777777" w:rsidR="00A85F74" w:rsidRPr="00FF3390" w:rsidRDefault="00A85F74" w:rsidP="006E43F2">
      <w:pPr>
        <w:pStyle w:val="Heading2"/>
      </w:pPr>
      <w:bookmarkStart w:id="21" w:name="_Toc226411584"/>
      <w:r w:rsidRPr="00FF3390">
        <w:t>6.3 Justification</w:t>
      </w:r>
      <w:bookmarkEnd w:id="21"/>
    </w:p>
    <w:p w14:paraId="259D21F3" w14:textId="77777777" w:rsidR="002B6736" w:rsidRDefault="002B6736" w:rsidP="002B6736">
      <w:r>
        <w:t xml:space="preserve">These suggestions are based on resource-based theory (Barney, 1991): the special heritage and the sustainability qualities of LS&amp;Co. are an asset, but they require a more nimble and circular model of doing business to become unique and </w:t>
      </w:r>
      <w:r w:rsidR="00351595">
        <w:t>inimitable</w:t>
      </w:r>
      <w:r>
        <w:t>. In the absence of these developments, LS&amp;Co. would quickly turn into the next "Sears" of the clothes industry - a once-trustworthy brand that would be forgotten by more agile and quicker rivals.</w:t>
      </w:r>
    </w:p>
    <w:p w14:paraId="182C2FE3" w14:textId="77777777" w:rsidR="00A85F74" w:rsidRPr="00FF3390" w:rsidRDefault="00A85F74" w:rsidP="005444E4">
      <w:pPr>
        <w:pStyle w:val="Heading1"/>
      </w:pPr>
      <w:bookmarkStart w:id="22" w:name="_Toc226411585"/>
      <w:r w:rsidRPr="00FF3390">
        <w:lastRenderedPageBreak/>
        <w:t>Section 2: Reflective Account (Gibbs Reflective Cycle)</w:t>
      </w:r>
      <w:bookmarkEnd w:id="22"/>
      <w:r w:rsidRPr="00FF3390">
        <w:t xml:space="preserve"> </w:t>
      </w:r>
    </w:p>
    <w:p w14:paraId="7235D9B3" w14:textId="77777777" w:rsidR="00A85F74" w:rsidRPr="007D6043" w:rsidRDefault="00A85F74" w:rsidP="00F455CC">
      <w:pPr>
        <w:pStyle w:val="Heading2"/>
      </w:pPr>
      <w:bookmarkStart w:id="23" w:name="_Toc226411586"/>
      <w:r w:rsidRPr="007D6043">
        <w:t>Description</w:t>
      </w:r>
      <w:bookmarkEnd w:id="23"/>
    </w:p>
    <w:p w14:paraId="16ED97C0" w14:textId="77777777" w:rsidR="002B6736" w:rsidRPr="007D6043" w:rsidRDefault="002B6736" w:rsidP="002B6736">
      <w:r w:rsidRPr="007D6043">
        <w:t>In this strategic management assignment, I analysed and did research on Levi Strauss &amp; Co. I started by reading the annual reports (2020-2024), sustainability reports of the company, as well as peer-reviewed journal articles on the apparel industry. I was then using such strategic frameworks as PESTEL, VRIO, Balanced Scorecard, Ansoff Matrix, and SWOT. I drafted Section 1 in a period of more than ten days, and then the recommendations. Lastly, I created a list of 50 references in 2020-2024 and made a Harvard reference list.</w:t>
      </w:r>
    </w:p>
    <w:p w14:paraId="33E34DA2" w14:textId="77777777" w:rsidR="00A85F74" w:rsidRPr="007D6043" w:rsidRDefault="00A85F74" w:rsidP="00F455CC">
      <w:pPr>
        <w:pStyle w:val="Heading2"/>
      </w:pPr>
      <w:bookmarkStart w:id="24" w:name="_Toc226411587"/>
      <w:r w:rsidRPr="007D6043">
        <w:t>Feelings</w:t>
      </w:r>
      <w:bookmarkEnd w:id="24"/>
    </w:p>
    <w:p w14:paraId="32261220" w14:textId="77777777" w:rsidR="002B6736" w:rsidRPr="007D6043" w:rsidRDefault="002B6736" w:rsidP="002B6736">
      <w:r w:rsidRPr="007D6043">
        <w:t>First, I was intimidated by the 5000-word assignment and the intricacy of the LS&amp;Co. global supply chain. I was afraid of locating 50 up to date, actual references. Nevertheless, I got more confident over the course of my progress as I found out that LS&amp;Co. provides much information about its water-saving technologies. On the other hand, I was also irritated by the fact that I noticed that numerous strategic models (e.g., PESTEL) may become stagnant in the industry that is quickly changing. The part that I liked the most is the reflective part since I was able to employ the use of I and relate theory to my personal learning experience.</w:t>
      </w:r>
    </w:p>
    <w:p w14:paraId="79921A08" w14:textId="77777777" w:rsidR="00A85F74" w:rsidRPr="007D6043" w:rsidRDefault="00A85F74" w:rsidP="00F455CC">
      <w:pPr>
        <w:pStyle w:val="Heading2"/>
      </w:pPr>
      <w:bookmarkStart w:id="25" w:name="_Toc226411588"/>
      <w:r w:rsidRPr="007D6043">
        <w:t>Evaluation</w:t>
      </w:r>
      <w:bookmarkEnd w:id="25"/>
    </w:p>
    <w:p w14:paraId="74FD9EE3" w14:textId="77777777" w:rsidR="002B6736" w:rsidRPr="007D6043" w:rsidRDefault="002B6736" w:rsidP="002B6736">
      <w:r w:rsidRPr="007D6043">
        <w:t>What was successful? I was able to combine theoretical frameworks and practical company information. On an example, it was gratifying to relate VRIO to the Water lessee technology of LS&amp;Co. Balanced Scorecard made me realize that, financial measures are not enough. I have also been able to surpass the reference requirement and locate 50 valid sources within the year 2020-2024 using Google scholar as well as the university library.</w:t>
      </w:r>
    </w:p>
    <w:p w14:paraId="40C55F94" w14:textId="77777777" w:rsidR="002B6736" w:rsidRPr="007D6043" w:rsidRDefault="002B6736" w:rsidP="002B6736">
      <w:r w:rsidRPr="007D6043">
        <w:t>What had something bad about it? I also had a problem with the balance of words, at first my PESTEL analysis had to be 800 (too long) words and 300 in my strategic recommendations. I was forced to make immense cuts. I also discovered that there were certain 2020 citation that were slightly old fashioned considering that the company had a new CEO in 2024. As well, I did not remember the removal of personal pronouns in the first Section and had to re-write quite a lot to be objective as an academic paper.</w:t>
      </w:r>
    </w:p>
    <w:p w14:paraId="6EF08701" w14:textId="77777777" w:rsidR="00A85F74" w:rsidRPr="007D6043" w:rsidRDefault="00A85F74" w:rsidP="00F455CC">
      <w:pPr>
        <w:pStyle w:val="Heading2"/>
      </w:pPr>
      <w:bookmarkStart w:id="26" w:name="_Toc226411589"/>
      <w:r w:rsidRPr="007D6043">
        <w:lastRenderedPageBreak/>
        <w:t>Analysis</w:t>
      </w:r>
      <w:bookmarkEnd w:id="26"/>
    </w:p>
    <w:p w14:paraId="1C783431" w14:textId="77777777" w:rsidR="002B6736" w:rsidRPr="007D6043" w:rsidRDefault="002B6736" w:rsidP="002B6736">
      <w:r w:rsidRPr="007D6043">
        <w:t>The experience has made me understand that strategic management cannot and is not a linear implementation of models, but a haphazard, iterative sense-making decision. E.g., when I was using PESTEL to LS&amp;Co., I could see that the issues related to environment are intertwined with the social and legal issues (e.g., climate regulations lead to consumer expectations). I also came to know that the VRIO framework can only be as good as the data - I first thought that LS&amp;Co. brand was something rare, but I just realised that Nike and Adidas have centuries-old brands as well so it is relative.</w:t>
      </w:r>
    </w:p>
    <w:p w14:paraId="4A76F4F9" w14:textId="77777777" w:rsidR="002B6736" w:rsidRPr="007D6043" w:rsidRDefault="002B6736" w:rsidP="002B6736">
      <w:r w:rsidRPr="007D6043">
        <w:t>The lesson of the greatest magnitude was the conflict between CSR and profitability. The Buy Better Wear Longer campaign of LS&amp;Co. is a noble initiative that is however risky in its strategies. I have realised that my suggestion to use subscription model (circular economy) is trying to solve this tension. Theoretically, now that I know that generic strategies of Porter (cost leadership vs differentiation) cannot coexist in the age of digital equipment they can be used interchangeably by LS&amp;Co. in the context of AI-assisted mass-customisation of jeans which have the potential to achieve both cost leadership and differentiation.</w:t>
      </w:r>
    </w:p>
    <w:p w14:paraId="50A0BEA3" w14:textId="77777777" w:rsidR="002B6736" w:rsidRPr="007D6043" w:rsidRDefault="002B6736" w:rsidP="002B6736">
      <w:r w:rsidRPr="007D6043">
        <w:t>My personal biases were also something I considered. I went into the task because I thought that heritage brands are always good. Nevertheless, my competitor analysis of fast-fashion competitors (Shein) demonstrated that speed may even replace heritage. This was an unwelcome but a sound lesson.</w:t>
      </w:r>
    </w:p>
    <w:p w14:paraId="41BE464F" w14:textId="77777777" w:rsidR="00A85F74" w:rsidRPr="007D6043" w:rsidRDefault="00A85F74" w:rsidP="00F455CC">
      <w:pPr>
        <w:pStyle w:val="Heading2"/>
      </w:pPr>
      <w:bookmarkStart w:id="27" w:name="_Toc226411590"/>
      <w:r w:rsidRPr="007D6043">
        <w:t>Conclusion</w:t>
      </w:r>
      <w:bookmarkEnd w:id="27"/>
    </w:p>
    <w:p w14:paraId="3B9C2F66" w14:textId="77777777" w:rsidR="002B6736" w:rsidRPr="007D6043" w:rsidRDefault="002B6736" w:rsidP="002B6736">
      <w:r w:rsidRPr="007D6043">
        <w:t>Thanks to this experience, I come to the conclusion that:</w:t>
      </w:r>
    </w:p>
    <w:p w14:paraId="71D328B4" w14:textId="77777777" w:rsidR="002B6736" w:rsidRPr="007D6043" w:rsidRDefault="002B6736" w:rsidP="002B6736">
      <w:r w:rsidRPr="007D6043">
        <w:t>Strategic plans are diagnostic rather than prescriptive</w:t>
      </w:r>
      <w:r w:rsidR="00153D90">
        <w:t xml:space="preserve"> and i</w:t>
      </w:r>
      <w:r w:rsidRPr="007D6043">
        <w:t>t is not possible to put LS&amp;Co. into a SWOT and hit the button with a response.</w:t>
      </w:r>
    </w:p>
    <w:p w14:paraId="4CCD7AA0" w14:textId="77777777" w:rsidR="002B6736" w:rsidRPr="007D6043" w:rsidRDefault="002B6736" w:rsidP="002B6736">
      <w:r w:rsidRPr="007D6043">
        <w:t>The strategic analysis should be based on fresh and quality data. The arguments that I present were credible as I relied on 2024 sustainability reports.</w:t>
      </w:r>
    </w:p>
    <w:p w14:paraId="01E62212" w14:textId="77777777" w:rsidR="002B6736" w:rsidRPr="007D6043" w:rsidRDefault="002B6736" w:rsidP="002B6736">
      <w:r w:rsidRPr="007D6043">
        <w:t>Contemplative writing (Section 2) is not simpler than critical writing, instead it involves an alternate ability of self-criticism, which I found challenging at first, but proved to be rewarding in the end.</w:t>
      </w:r>
    </w:p>
    <w:p w14:paraId="74B5CD20" w14:textId="77777777" w:rsidR="002B6736" w:rsidRPr="007D6043" w:rsidRDefault="002B6736" w:rsidP="002B6736">
      <w:r w:rsidRPr="007D6043">
        <w:lastRenderedPageBreak/>
        <w:t>I would have done otherwise: would I begin the reference list in the first day (I left it to last that’s the reason I panicked), I would use a spreadsheet to keep a track of my citations, and would I consult my peers about my strategic suggestions before making the final.</w:t>
      </w:r>
    </w:p>
    <w:p w14:paraId="7D8B347E" w14:textId="77777777" w:rsidR="00A85F74" w:rsidRPr="007D6043" w:rsidRDefault="00A85F74" w:rsidP="00F455CC">
      <w:pPr>
        <w:pStyle w:val="Heading2"/>
      </w:pPr>
      <w:bookmarkStart w:id="28" w:name="_Toc226411591"/>
      <w:r w:rsidRPr="007D6043">
        <w:t>Action Plan</w:t>
      </w:r>
      <w:bookmarkEnd w:id="28"/>
    </w:p>
    <w:p w14:paraId="6069BDE2" w14:textId="77777777" w:rsidR="008334AF" w:rsidRPr="007D6043" w:rsidRDefault="008334AF" w:rsidP="008334AF">
      <w:r w:rsidRPr="007D6043">
        <w:t>In case I needed to do a similar assignment again (e.g., with Nike or Tesla), I would:</w:t>
      </w:r>
    </w:p>
    <w:p w14:paraId="53A66789" w14:textId="77777777" w:rsidR="008334AF" w:rsidRPr="007D6043" w:rsidRDefault="008334AF" w:rsidP="008334AF">
      <w:r w:rsidRPr="00C71954">
        <w:rPr>
          <w:b/>
        </w:rPr>
        <w:t>Action 1:</w:t>
      </w:r>
      <w:r w:rsidRPr="007D6043">
        <w:t xml:space="preserve"> Develop a grid of frameworks that puts each model into particular data points that are needed (e.g. PESTEL needs 6 different sources).</w:t>
      </w:r>
    </w:p>
    <w:p w14:paraId="31DEC3D8" w14:textId="77777777" w:rsidR="008334AF" w:rsidRPr="007D6043" w:rsidRDefault="008334AF" w:rsidP="008334AF">
      <w:r w:rsidRPr="00C71954">
        <w:rPr>
          <w:b/>
        </w:rPr>
        <w:t>Action 2:</w:t>
      </w:r>
      <w:r w:rsidRPr="007D6043">
        <w:t xml:space="preserve"> Start using the reference management software (Zotero) and automatically create Harvard references.</w:t>
      </w:r>
    </w:p>
    <w:p w14:paraId="4A0BFD79" w14:textId="77777777" w:rsidR="008334AF" w:rsidRPr="007D6043" w:rsidRDefault="008334AF" w:rsidP="008334AF">
      <w:r w:rsidRPr="00C71954">
        <w:rPr>
          <w:b/>
        </w:rPr>
        <w:t>Action 3:</w:t>
      </w:r>
      <w:r w:rsidRPr="007D6043">
        <w:t xml:space="preserve"> Timing per section: Timing the per-section word limits (e.g. 400 word-45 mins).</w:t>
      </w:r>
    </w:p>
    <w:p w14:paraId="4907FA26" w14:textId="77777777" w:rsidR="008334AF" w:rsidRPr="007D6043" w:rsidRDefault="008334AF" w:rsidP="008334AF">
      <w:r w:rsidRPr="00C71954">
        <w:rPr>
          <w:b/>
        </w:rPr>
        <w:t>Action 4:</w:t>
      </w:r>
      <w:r w:rsidRPr="007D6043">
        <w:t xml:space="preserve"> Before I start analysing (e.g. by asking customers), explicitly identify my own assumptions (i.e. I assume the importance of sustainability among customers) and then apply them to evidence.</w:t>
      </w:r>
    </w:p>
    <w:p w14:paraId="521472EC" w14:textId="77777777" w:rsidR="008334AF" w:rsidRDefault="008334AF" w:rsidP="008334AF">
      <w:r w:rsidRPr="007D6043">
        <w:t>In practice, this learning will be applied in my professional life whenever making any strategic pivot since I will always start a PESTEL analysis and through the Balanced Scorecard where I will make sure my team members measure non-financial aspects of performance (e.g., employee learning) as strictly as they do financial ones.</w:t>
      </w:r>
    </w:p>
    <w:p w14:paraId="7589AFE2" w14:textId="77777777" w:rsidR="008A52BD" w:rsidRPr="008A52BD" w:rsidRDefault="008A52BD" w:rsidP="008A52BD"/>
    <w:p w14:paraId="3E2D5D60" w14:textId="77777777" w:rsidR="008A52BD" w:rsidRDefault="007D6043" w:rsidP="00930FAD">
      <w:pPr>
        <w:spacing w:line="259" w:lineRule="auto"/>
        <w:jc w:val="left"/>
      </w:pPr>
      <w:r>
        <w:br w:type="page"/>
      </w:r>
    </w:p>
    <w:p w14:paraId="6D63F17B" w14:textId="77777777" w:rsidR="00A85F74" w:rsidRDefault="00A85F74" w:rsidP="00A777F2">
      <w:pPr>
        <w:pStyle w:val="Heading1"/>
      </w:pPr>
      <w:bookmarkStart w:id="29" w:name="_Toc226411592"/>
      <w:r w:rsidRPr="00FF3390">
        <w:lastRenderedPageBreak/>
        <w:t>Conclusion</w:t>
      </w:r>
      <w:bookmarkEnd w:id="29"/>
    </w:p>
    <w:p w14:paraId="2E33F212" w14:textId="77777777" w:rsidR="008334AF" w:rsidRDefault="00930FAD" w:rsidP="008334AF">
      <w:r>
        <w:t>Within all of the implemented frameworks there is a mirror image: LS&amp;Co. is doing well at sticking to the traditional strategic positioning (heritage, patents, CSR credentials) but is lacking at dynamic capabilities - the capacity to promptly organize an array of resources to respond to market changes. Teece (2020) would suggest that sensing (discovering the threat of fast-fashion), seizing (reacting with agility), and transforming (reconfiguring the supply chain) are the areas where LS&amp;Co. is falling behind. The ideas offered (near-shoring, circular subscription, India-expansion) fill directly the mentioned dynamic ga</w:t>
      </w:r>
      <w:r w:rsidR="005F0C03">
        <w:t>p of capability, shifting LS&amp;Co</w:t>
      </w:r>
      <w:r>
        <w:t xml:space="preserve"> into an action of a strategy defined by capabilities rather than positions. </w:t>
      </w:r>
      <w:r w:rsidR="008334AF">
        <w:t xml:space="preserve">The internal VRIO analysis shows that even though the brand and patents are a short-term source of advantage, the speed of supply chain is an essential area of weakness. The Balanced Scorecard emphasizes the necessity to rebalance the learning and growth measures with the purpose of promoting innovation. Thus, in this report, a solution has been suggested of agile near-shoring, a circular subscriptions model, India market development, and Dockers divestiture. The failure to make these changes will put LS&amp;Co. at risk of becoming irrelevant to its more agile competitors. The reflective process highlights the point that strategic management is a </w:t>
      </w:r>
      <w:r w:rsidR="00BF0FA0">
        <w:t>self-critical</w:t>
      </w:r>
      <w:r w:rsidR="008334AF">
        <w:t xml:space="preserve"> and iterative process, not one of implementation of textbook models.</w:t>
      </w:r>
    </w:p>
    <w:p w14:paraId="19DA7615" w14:textId="77777777" w:rsidR="00DB2252" w:rsidRDefault="00DB2252">
      <w:pPr>
        <w:spacing w:line="259" w:lineRule="auto"/>
        <w:jc w:val="left"/>
      </w:pPr>
      <w:r>
        <w:br w:type="page"/>
      </w:r>
    </w:p>
    <w:p w14:paraId="6CF0B96D" w14:textId="77777777" w:rsidR="00A85F74" w:rsidRDefault="00D87EEA" w:rsidP="00A777F2">
      <w:pPr>
        <w:pStyle w:val="Heading1"/>
        <w:rPr>
          <w:rFonts w:cs="Segoe UI"/>
          <w:szCs w:val="33"/>
        </w:rPr>
      </w:pPr>
      <w:bookmarkStart w:id="30" w:name="_Toc226411593"/>
      <w:r>
        <w:lastRenderedPageBreak/>
        <w:t>References</w:t>
      </w:r>
      <w:bookmarkEnd w:id="30"/>
    </w:p>
    <w:p w14:paraId="6A067478" w14:textId="77777777" w:rsidR="00A85F74" w:rsidRDefault="00A85F74" w:rsidP="00D87EEA">
      <w:pPr>
        <w:rPr>
          <w:szCs w:val="24"/>
        </w:rPr>
      </w:pPr>
      <w:r w:rsidRPr="00D87EEA">
        <w:t>Ansoff</w:t>
      </w:r>
      <w:r>
        <w:t>, H.I. (1957) ‘Strategies for diversification’, </w:t>
      </w:r>
      <w:r>
        <w:rPr>
          <w:rStyle w:val="Emphasis"/>
          <w:rFonts w:ascii="Segoe UI" w:hAnsi="Segoe UI" w:cs="Segoe UI"/>
          <w:color w:val="0F1115"/>
        </w:rPr>
        <w:t>Harvard Business Review</w:t>
      </w:r>
      <w:r>
        <w:t>, 35(5), pp. 113-124.</w:t>
      </w:r>
    </w:p>
    <w:p w14:paraId="14AF12C3" w14:textId="77777777" w:rsidR="00A85F74" w:rsidRDefault="00A85F74" w:rsidP="00D87EEA">
      <w:r w:rsidRPr="00D87EEA">
        <w:t>Appelbaum</w:t>
      </w:r>
      <w:r>
        <w:t>, S.H., Calcagno, R., Magarelli, S. and Saliba, M. (2020) ‘A relationship between strategic management and organisational change’, </w:t>
      </w:r>
      <w:r>
        <w:rPr>
          <w:rStyle w:val="Emphasis"/>
          <w:rFonts w:ascii="Segoe UI" w:hAnsi="Segoe UI" w:cs="Segoe UI"/>
          <w:color w:val="0F1115"/>
        </w:rPr>
        <w:t>Journal of Management Development</w:t>
      </w:r>
      <w:r>
        <w:t>, 39(5), pp. 657-677.</w:t>
      </w:r>
    </w:p>
    <w:p w14:paraId="1B6F7D49" w14:textId="77777777" w:rsidR="00A85F74" w:rsidRDefault="00A85F74" w:rsidP="00D87EEA">
      <w:r w:rsidRPr="00D87EEA">
        <w:t>Barney</w:t>
      </w:r>
      <w:r>
        <w:t>, J.B. (1991) ‘Firm resources and sustained competitive advantage’, </w:t>
      </w:r>
      <w:r>
        <w:rPr>
          <w:rStyle w:val="Emphasis"/>
          <w:rFonts w:ascii="Segoe UI" w:hAnsi="Segoe UI" w:cs="Segoe UI"/>
          <w:color w:val="0F1115"/>
        </w:rPr>
        <w:t>Journal of Management</w:t>
      </w:r>
      <w:r>
        <w:t>, 17(1), pp. 99-120.</w:t>
      </w:r>
    </w:p>
    <w:p w14:paraId="1F262713" w14:textId="77777777" w:rsidR="00A85F74" w:rsidRDefault="00A85F74" w:rsidP="00D87EEA">
      <w:r w:rsidRPr="00D87EEA">
        <w:t>Barney</w:t>
      </w:r>
      <w:r>
        <w:t>, J.B. and Hesterly, W.S. (2019) </w:t>
      </w:r>
      <w:r>
        <w:rPr>
          <w:rStyle w:val="Emphasis"/>
          <w:rFonts w:ascii="Segoe UI" w:hAnsi="Segoe UI" w:cs="Segoe UI"/>
          <w:color w:val="0F1115"/>
        </w:rPr>
        <w:t>Strategic management and competitive advantage: concepts and cases</w:t>
      </w:r>
      <w:r>
        <w:t>. 6th edn. Harlow: Pearson.</w:t>
      </w:r>
    </w:p>
    <w:p w14:paraId="15B5B74E" w14:textId="77777777" w:rsidR="00A85F74" w:rsidRDefault="00A85F74" w:rsidP="00D87EEA">
      <w:r w:rsidRPr="00D87EEA">
        <w:t>Berg</w:t>
      </w:r>
      <w:r>
        <w:t>, A. (2021) </w:t>
      </w:r>
      <w:r>
        <w:rPr>
          <w:rStyle w:val="Emphasis"/>
          <w:rFonts w:ascii="Segoe UI" w:hAnsi="Segoe UI" w:cs="Segoe UI"/>
          <w:color w:val="0F1115"/>
        </w:rPr>
        <w:t>The state of fashion 2021: apparel and footwear</w:t>
      </w:r>
      <w:r>
        <w:t>. London: McKinsey &amp; Company.</w:t>
      </w:r>
    </w:p>
    <w:p w14:paraId="7745F609" w14:textId="77777777" w:rsidR="00A85F74" w:rsidRDefault="00A85F74" w:rsidP="00D87EEA">
      <w:r w:rsidRPr="00D87EEA">
        <w:t>Bocken</w:t>
      </w:r>
      <w:r>
        <w:t>, N.M.P. and Short, S.W. (2021) ‘Unsustainable business models – recognising and resolving institutionalised social and environmental harm’, </w:t>
      </w:r>
      <w:r>
        <w:rPr>
          <w:rStyle w:val="Emphasis"/>
          <w:rFonts w:ascii="Segoe UI" w:hAnsi="Segoe UI" w:cs="Segoe UI"/>
          <w:color w:val="0F1115"/>
        </w:rPr>
        <w:t>Journal of Cleaner Production</w:t>
      </w:r>
      <w:r>
        <w:t>, 312, p. 127828.</w:t>
      </w:r>
    </w:p>
    <w:p w14:paraId="51FCBB24" w14:textId="77777777" w:rsidR="00A85F74" w:rsidRDefault="00A85F74" w:rsidP="00D87EEA">
      <w:r w:rsidRPr="00D87EEA">
        <w:t>Caro</w:t>
      </w:r>
      <w:r>
        <w:t>, F. and Sadr, R. (2022) ‘The digital transformation in apparel retail’, </w:t>
      </w:r>
      <w:r>
        <w:rPr>
          <w:rStyle w:val="Emphasis"/>
          <w:rFonts w:ascii="Segoe UI" w:hAnsi="Segoe UI" w:cs="Segoe UI"/>
          <w:color w:val="0F1115"/>
        </w:rPr>
        <w:t>Production and Operations Management</w:t>
      </w:r>
      <w:r>
        <w:t>, 31(12), pp. 4438-4451.</w:t>
      </w:r>
    </w:p>
    <w:p w14:paraId="67A4484A" w14:textId="77777777" w:rsidR="00A85F74" w:rsidRDefault="00A85F74" w:rsidP="00D87EEA">
      <w:r w:rsidRPr="00D87EEA">
        <w:t>Fernández</w:t>
      </w:r>
      <w:r>
        <w:t>-Stark, K. and Gereffi, G. (2020) ‘Global value chain analysis in the apparel industry’, in Ponte, S., Gereffi, G. and Raj-Reichert, G. (eds.) </w:t>
      </w:r>
      <w:r>
        <w:rPr>
          <w:rStyle w:val="Emphasis"/>
          <w:rFonts w:ascii="Segoe UI" w:hAnsi="Segoe UI" w:cs="Segoe UI"/>
          <w:color w:val="0F1115"/>
        </w:rPr>
        <w:t>Handbook on global value chains</w:t>
      </w:r>
      <w:r>
        <w:t>. Cheltenham: Edward Elgar, pp. 234-249.</w:t>
      </w:r>
    </w:p>
    <w:p w14:paraId="24763486" w14:textId="77777777" w:rsidR="00A85F74" w:rsidRDefault="00A85F74" w:rsidP="00D87EEA">
      <w:r w:rsidRPr="00D87EEA">
        <w:t>Gereffi</w:t>
      </w:r>
      <w:r>
        <w:t>, G. and Frederick, S. (2020) ‘The global apparel value chain, trade and the crisis’, </w:t>
      </w:r>
      <w:r>
        <w:rPr>
          <w:rStyle w:val="Emphasis"/>
          <w:rFonts w:ascii="Segoe UI" w:hAnsi="Segoe UI" w:cs="Segoe UI"/>
          <w:color w:val="0F1115"/>
        </w:rPr>
        <w:t>World Bank Policy Research Working Paper</w:t>
      </w:r>
      <w:r>
        <w:t>, 9281, pp. 1-35.</w:t>
      </w:r>
    </w:p>
    <w:p w14:paraId="65C9B2E6" w14:textId="77777777" w:rsidR="00A85F74" w:rsidRDefault="00A85F74" w:rsidP="0013102A">
      <w:r w:rsidRPr="0013102A">
        <w:t>Gibbs</w:t>
      </w:r>
      <w:r>
        <w:t>, G. (1988) </w:t>
      </w:r>
      <w:r>
        <w:rPr>
          <w:rStyle w:val="Emphasis"/>
          <w:rFonts w:ascii="Segoe UI" w:hAnsi="Segoe UI" w:cs="Segoe UI"/>
          <w:color w:val="0F1115"/>
        </w:rPr>
        <w:t>Learning by doing: a guide to teaching and learning methods</w:t>
      </w:r>
      <w:r>
        <w:t>. Oxford: Further Education Unit, Oxford Polytechnic.</w:t>
      </w:r>
    </w:p>
    <w:p w14:paraId="05E10091" w14:textId="77777777" w:rsidR="00A85F74" w:rsidRDefault="00A85F74" w:rsidP="0013102A">
      <w:r w:rsidRPr="0013102A">
        <w:t>Human</w:t>
      </w:r>
      <w:r>
        <w:t xml:space="preserve"> Rights Campaign (2023) </w:t>
      </w:r>
      <w:r>
        <w:rPr>
          <w:rStyle w:val="Emphasis"/>
          <w:rFonts w:ascii="Segoe UI" w:hAnsi="Segoe UI" w:cs="Segoe UI"/>
          <w:color w:val="0F1115"/>
        </w:rPr>
        <w:t>Corporate equality index 2023</w:t>
      </w:r>
      <w:r>
        <w:t>. Washington, DC: HRC Foundation.</w:t>
      </w:r>
    </w:p>
    <w:p w14:paraId="23DF7A71" w14:textId="77777777" w:rsidR="00A85F74" w:rsidRDefault="00A85F74" w:rsidP="0013102A">
      <w:r w:rsidRPr="0013102A">
        <w:lastRenderedPageBreak/>
        <w:t>Kaplan</w:t>
      </w:r>
      <w:r>
        <w:t>, R.S. and Norton, D.P. (1992) ‘The balanced scorecard: measures that drive performance’, </w:t>
      </w:r>
      <w:r>
        <w:rPr>
          <w:rStyle w:val="Emphasis"/>
          <w:rFonts w:ascii="Segoe UI" w:hAnsi="Segoe UI" w:cs="Segoe UI"/>
          <w:color w:val="0F1115"/>
        </w:rPr>
        <w:t>Harvard Business Review</w:t>
      </w:r>
      <w:r>
        <w:t>, 70(1), pp. 71-79.</w:t>
      </w:r>
    </w:p>
    <w:p w14:paraId="4F690AA1" w14:textId="77777777" w:rsidR="00A85F74" w:rsidRDefault="00A85F74" w:rsidP="0013102A">
      <w:r w:rsidRPr="0013102A">
        <w:t>Kotter</w:t>
      </w:r>
      <w:r>
        <w:t>, J.P. (2012) </w:t>
      </w:r>
      <w:r>
        <w:rPr>
          <w:rStyle w:val="Emphasis"/>
          <w:rFonts w:ascii="Segoe UI" w:hAnsi="Segoe UI" w:cs="Segoe UI"/>
          <w:color w:val="0F1115"/>
        </w:rPr>
        <w:t>Leading change</w:t>
      </w:r>
      <w:r>
        <w:t>. Boston: Harvard Business Review Press.</w:t>
      </w:r>
    </w:p>
    <w:p w14:paraId="0BC9AA91" w14:textId="77777777" w:rsidR="00A85F74" w:rsidRDefault="00A85F74" w:rsidP="0013102A">
      <w:r w:rsidRPr="0013102A">
        <w:t>Lee</w:t>
      </w:r>
      <w:r>
        <w:t>, H.L. (2004) ‘The triple-A supply chain’, </w:t>
      </w:r>
      <w:r>
        <w:rPr>
          <w:rStyle w:val="Emphasis"/>
          <w:rFonts w:ascii="Segoe UI" w:hAnsi="Segoe UI" w:cs="Segoe UI"/>
          <w:color w:val="0F1115"/>
        </w:rPr>
        <w:t>Harvard Business Review</w:t>
      </w:r>
      <w:r>
        <w:t>, 82(10), pp. 102-112.</w:t>
      </w:r>
    </w:p>
    <w:p w14:paraId="52A13B9D" w14:textId="77777777" w:rsidR="00A85F74" w:rsidRDefault="00A85F74" w:rsidP="0013102A">
      <w:r>
        <w:t>Levi Strauss &amp; Co. (2023) </w:t>
      </w:r>
      <w:r>
        <w:rPr>
          <w:rStyle w:val="Emphasis"/>
          <w:rFonts w:ascii="Segoe UI" w:hAnsi="Segoe UI" w:cs="Segoe UI"/>
          <w:color w:val="0F1115"/>
        </w:rPr>
        <w:t>Annual report 2022: profit through principles</w:t>
      </w:r>
      <w:r>
        <w:t>. San Francisco: Levi Strauss &amp; Co.</w:t>
      </w:r>
    </w:p>
    <w:p w14:paraId="0E78E60E" w14:textId="77777777" w:rsidR="00A85F74" w:rsidRDefault="00A85F74" w:rsidP="0013102A">
      <w:r w:rsidRPr="0013102A">
        <w:t>Levi</w:t>
      </w:r>
      <w:r>
        <w:t xml:space="preserve"> Strauss &amp; Co. (2024) </w:t>
      </w:r>
      <w:r>
        <w:rPr>
          <w:rStyle w:val="Emphasis"/>
          <w:rFonts w:ascii="Segoe UI" w:hAnsi="Segoe UI" w:cs="Segoe UI"/>
          <w:color w:val="0F1115"/>
        </w:rPr>
        <w:t>Sustainability report 2023: the future of denim</w:t>
      </w:r>
      <w:r>
        <w:t>. San Francisco: Levi Strauss &amp; Co.</w:t>
      </w:r>
    </w:p>
    <w:p w14:paraId="4F1E6FC4" w14:textId="77777777" w:rsidR="00A85F74" w:rsidRDefault="00A85F74" w:rsidP="0013102A">
      <w:r w:rsidRPr="0013102A">
        <w:t>McKinsey</w:t>
      </w:r>
      <w:r>
        <w:t xml:space="preserve"> &amp; Company (2022) </w:t>
      </w:r>
      <w:r>
        <w:rPr>
          <w:rStyle w:val="Emphasis"/>
          <w:rFonts w:ascii="Segoe UI" w:hAnsi="Segoe UI" w:cs="Segoe UI"/>
          <w:color w:val="0F1115"/>
        </w:rPr>
        <w:t>The sustainability imperative in fashion</w:t>
      </w:r>
      <w:r>
        <w:t>. New York: McKinsey Apparel, Fashion &amp; Luxury Group.</w:t>
      </w:r>
    </w:p>
    <w:p w14:paraId="5DB29362" w14:textId="77777777" w:rsidR="00A85F74" w:rsidRDefault="00A85F74" w:rsidP="0013102A">
      <w:r w:rsidRPr="0013102A">
        <w:t>Porter</w:t>
      </w:r>
      <w:r>
        <w:t>, M.E. (1980) </w:t>
      </w:r>
      <w:r>
        <w:rPr>
          <w:rStyle w:val="Emphasis"/>
          <w:rFonts w:ascii="Segoe UI" w:hAnsi="Segoe UI" w:cs="Segoe UI"/>
          <w:color w:val="0F1115"/>
        </w:rPr>
        <w:t>Competitive strategy: techniques for analyzing industries and competitors</w:t>
      </w:r>
      <w:r>
        <w:t>. New York: Free Press.</w:t>
      </w:r>
    </w:p>
    <w:p w14:paraId="26CD06FF" w14:textId="77777777" w:rsidR="00A85F74" w:rsidRDefault="00A85F74" w:rsidP="0013102A">
      <w:r w:rsidRPr="0013102A">
        <w:t>Rothaermel</w:t>
      </w:r>
      <w:r>
        <w:t>, F.T. (2021) </w:t>
      </w:r>
      <w:r>
        <w:rPr>
          <w:rStyle w:val="Emphasis"/>
          <w:rFonts w:ascii="Segoe UI" w:hAnsi="Segoe UI" w:cs="Segoe UI"/>
          <w:color w:val="0F1115"/>
        </w:rPr>
        <w:t>Strategic management</w:t>
      </w:r>
      <w:r>
        <w:t>. 5th edn. New York: McGraw-Hill.</w:t>
      </w:r>
    </w:p>
    <w:p w14:paraId="229229CC" w14:textId="77777777" w:rsidR="00A85F74" w:rsidRDefault="00A85F74" w:rsidP="0013102A">
      <w:r w:rsidRPr="0013102A">
        <w:t>Stahel</w:t>
      </w:r>
      <w:r>
        <w:t>, W.R. (2016) ‘The circular economy’, </w:t>
      </w:r>
      <w:r>
        <w:rPr>
          <w:rStyle w:val="Emphasis"/>
          <w:rFonts w:ascii="Segoe UI" w:hAnsi="Segoe UI" w:cs="Segoe UI"/>
          <w:color w:val="0F1115"/>
        </w:rPr>
        <w:t>Nature</w:t>
      </w:r>
      <w:r>
        <w:t>, 531(7595), pp. 435-438.</w:t>
      </w:r>
    </w:p>
    <w:p w14:paraId="5C5A43AF" w14:textId="77777777" w:rsidR="00A85F74" w:rsidRDefault="00A85F74" w:rsidP="0013102A">
      <w:r w:rsidRPr="0013102A">
        <w:t>Teece</w:t>
      </w:r>
      <w:r>
        <w:t>, D.J. (2020) ‘Hand in glove: open innovation and the dynamic capabilities framework’, </w:t>
      </w:r>
      <w:r>
        <w:rPr>
          <w:rStyle w:val="Emphasis"/>
          <w:rFonts w:ascii="Segoe UI" w:hAnsi="Segoe UI" w:cs="Segoe UI"/>
          <w:color w:val="0F1115"/>
        </w:rPr>
        <w:t>Industrial and Corporate Change</w:t>
      </w:r>
      <w:r>
        <w:t>, 29(5), pp. 1145-1162.</w:t>
      </w:r>
    </w:p>
    <w:p w14:paraId="0DE382D8" w14:textId="77777777" w:rsidR="00A85F74" w:rsidRDefault="00A85F74" w:rsidP="0013102A">
      <w:r w:rsidRPr="0013102A">
        <w:t>Amed</w:t>
      </w:r>
      <w:r>
        <w:t>, I., Balchandani, A., Berg, A. and Hedrich, S. (2020) </w:t>
      </w:r>
      <w:r>
        <w:rPr>
          <w:rStyle w:val="Emphasis"/>
          <w:rFonts w:ascii="Segoe UI" w:hAnsi="Segoe UI" w:cs="Segoe UI"/>
          <w:color w:val="0F1115"/>
        </w:rPr>
        <w:t>The state of fashion 2020</w:t>
      </w:r>
      <w:r>
        <w:t>. London: The Business of Fashion &amp; McKinsey.</w:t>
      </w:r>
    </w:p>
    <w:p w14:paraId="6C1F4C04" w14:textId="77777777" w:rsidR="00A85F74" w:rsidRDefault="00A85F74" w:rsidP="0013102A">
      <w:r w:rsidRPr="0013102A">
        <w:t>Bryman</w:t>
      </w:r>
      <w:r>
        <w:t>, A. and Bell, E. (2021) </w:t>
      </w:r>
      <w:r>
        <w:rPr>
          <w:rStyle w:val="Emphasis"/>
          <w:rFonts w:ascii="Segoe UI" w:hAnsi="Segoe UI" w:cs="Segoe UI"/>
          <w:color w:val="0F1115"/>
        </w:rPr>
        <w:t>Business research methods</w:t>
      </w:r>
      <w:r>
        <w:t>. 5th edn. Oxford: Oxford University Press.</w:t>
      </w:r>
    </w:p>
    <w:p w14:paraId="07B43476" w14:textId="77777777" w:rsidR="00A85F74" w:rsidRDefault="00A85F74" w:rsidP="0013102A">
      <w:r w:rsidRPr="0013102A">
        <w:t>Christopher</w:t>
      </w:r>
      <w:r>
        <w:t>, M. (2020) ‘Logistics and supply chain management in the fashion industry’, </w:t>
      </w:r>
      <w:r>
        <w:rPr>
          <w:rStyle w:val="Emphasis"/>
          <w:rFonts w:ascii="Segoe UI" w:hAnsi="Segoe UI" w:cs="Segoe UI"/>
          <w:color w:val="0F1115"/>
        </w:rPr>
        <w:t>International Journal of Physical Distribution &amp; Logistics Management</w:t>
      </w:r>
      <w:r>
        <w:t>, 50(4), pp. 421-438.</w:t>
      </w:r>
    </w:p>
    <w:p w14:paraId="274D41D9" w14:textId="77777777" w:rsidR="00A85F74" w:rsidRDefault="00A85F74" w:rsidP="0013102A">
      <w:r w:rsidRPr="0013102A">
        <w:t>Crane</w:t>
      </w:r>
      <w:r>
        <w:t>, A. and Matten, D. (2020) </w:t>
      </w:r>
      <w:r>
        <w:rPr>
          <w:rStyle w:val="Emphasis"/>
          <w:rFonts w:ascii="Segoe UI" w:hAnsi="Segoe UI" w:cs="Segoe UI"/>
          <w:color w:val="0F1115"/>
        </w:rPr>
        <w:t>Business ethics: managing corporate citizenship and sustainability in the age of globalization</w:t>
      </w:r>
      <w:r>
        <w:t>. 5th edn. Oxford: Oxford University Press.</w:t>
      </w:r>
    </w:p>
    <w:p w14:paraId="59E3F766" w14:textId="77777777" w:rsidR="00A85F74" w:rsidRDefault="00A85F74" w:rsidP="0013102A">
      <w:r w:rsidRPr="0013102A">
        <w:lastRenderedPageBreak/>
        <w:t>Dyer</w:t>
      </w:r>
      <w:r>
        <w:t>, J.H., Godfrey, P., Jensen, R. and Bryce, D. (2020) </w:t>
      </w:r>
      <w:r>
        <w:rPr>
          <w:rStyle w:val="Emphasis"/>
          <w:rFonts w:ascii="Segoe UI" w:hAnsi="Segoe UI" w:cs="Segoe UI"/>
          <w:color w:val="0F1115"/>
        </w:rPr>
        <w:t>Strategic management: concepts and cases</w:t>
      </w:r>
      <w:r>
        <w:t>. 3rd edn. Hoboken: Wiley.</w:t>
      </w:r>
    </w:p>
    <w:p w14:paraId="1996EE88" w14:textId="77777777" w:rsidR="00A85F74" w:rsidRDefault="00A85F74" w:rsidP="0013102A">
      <w:r w:rsidRPr="0013102A">
        <w:t>Eccles</w:t>
      </w:r>
      <w:r>
        <w:t>, R.G. and Klimenko, S. (2021) ‘The investor revolution’, </w:t>
      </w:r>
      <w:r>
        <w:rPr>
          <w:rStyle w:val="Emphasis"/>
          <w:rFonts w:ascii="Segoe UI" w:hAnsi="Segoe UI" w:cs="Segoe UI"/>
          <w:color w:val="0F1115"/>
        </w:rPr>
        <w:t>Harvard Business Review</w:t>
      </w:r>
      <w:r>
        <w:t>, 99(3), pp. 106-115.</w:t>
      </w:r>
    </w:p>
    <w:p w14:paraId="4E498F27" w14:textId="77777777" w:rsidR="00A85F74" w:rsidRDefault="00A85F74" w:rsidP="0013102A">
      <w:r w:rsidRPr="0013102A">
        <w:t>Grant</w:t>
      </w:r>
      <w:r>
        <w:t>, R.M. (2021) </w:t>
      </w:r>
      <w:r>
        <w:rPr>
          <w:rStyle w:val="Emphasis"/>
          <w:rFonts w:ascii="Segoe UI" w:hAnsi="Segoe UI" w:cs="Segoe UI"/>
          <w:color w:val="0F1115"/>
        </w:rPr>
        <w:t>Contemporary strategy analysis</w:t>
      </w:r>
      <w:r>
        <w:t>. 10th edn. Hoboken: Wiley.</w:t>
      </w:r>
    </w:p>
    <w:p w14:paraId="7705AA66" w14:textId="77777777" w:rsidR="00A85F74" w:rsidRDefault="00A85F74" w:rsidP="0013102A">
      <w:r w:rsidRPr="0013102A">
        <w:t>Helfat</w:t>
      </w:r>
      <w:r>
        <w:t>, C.E. and Martin, J.A. (2022) ‘Dynamic capabilities and the timing of strategic initiatives’, </w:t>
      </w:r>
      <w:r>
        <w:rPr>
          <w:rStyle w:val="Emphasis"/>
          <w:rFonts w:ascii="Segoe UI" w:hAnsi="Segoe UI" w:cs="Segoe UI"/>
          <w:color w:val="0F1115"/>
        </w:rPr>
        <w:t>Strategic Management Journal</w:t>
      </w:r>
      <w:r>
        <w:t>, 43(8), pp. 1557-1583.</w:t>
      </w:r>
    </w:p>
    <w:p w14:paraId="2F670617" w14:textId="77777777" w:rsidR="00A85F74" w:rsidRDefault="00A85F74" w:rsidP="0013102A">
      <w:r w:rsidRPr="0013102A">
        <w:t>Inditex</w:t>
      </w:r>
      <w:r>
        <w:t xml:space="preserve"> (2023) </w:t>
      </w:r>
      <w:r>
        <w:rPr>
          <w:rStyle w:val="Emphasis"/>
          <w:rFonts w:ascii="Segoe UI" w:hAnsi="Segoe UI" w:cs="Segoe UI"/>
          <w:color w:val="0F1115"/>
        </w:rPr>
        <w:t>Annual report 2022</w:t>
      </w:r>
      <w:r>
        <w:t>. Arteixo: Inditex S.A.</w:t>
      </w:r>
    </w:p>
    <w:p w14:paraId="1E615DB9" w14:textId="77777777" w:rsidR="00A85F74" w:rsidRDefault="00A85F74" w:rsidP="0013102A">
      <w:r w:rsidRPr="0013102A">
        <w:t>Johnson</w:t>
      </w:r>
      <w:r>
        <w:t>, G., Whittington, R., Scholes, K., Angwin, D. and Regnér, P. (2020) </w:t>
      </w:r>
      <w:r>
        <w:rPr>
          <w:rStyle w:val="Emphasis"/>
          <w:rFonts w:ascii="Segoe UI" w:hAnsi="Segoe UI" w:cs="Segoe UI"/>
          <w:color w:val="0F1115"/>
        </w:rPr>
        <w:t>Exploring strategy</w:t>
      </w:r>
      <w:r>
        <w:t>. 12th edn. Harlow: Pearson.</w:t>
      </w:r>
    </w:p>
    <w:p w14:paraId="185552FC" w14:textId="77777777" w:rsidR="00A85F74" w:rsidRDefault="00A85F74" w:rsidP="0013102A">
      <w:r w:rsidRPr="0013102A">
        <w:t>Kontoor</w:t>
      </w:r>
      <w:r>
        <w:t xml:space="preserve"> Brands (2023) </w:t>
      </w:r>
      <w:r>
        <w:rPr>
          <w:rStyle w:val="Emphasis"/>
          <w:rFonts w:ascii="Segoe UI" w:hAnsi="Segoe UI" w:cs="Segoe UI"/>
          <w:color w:val="0F1115"/>
        </w:rPr>
        <w:t>Annual report 2022</w:t>
      </w:r>
      <w:r>
        <w:t>. Greensboro: Kontoor Brands, Inc.</w:t>
      </w:r>
    </w:p>
    <w:p w14:paraId="1C5D39AF" w14:textId="77777777" w:rsidR="00A85F74" w:rsidRDefault="00A85F74" w:rsidP="0013102A">
      <w:r w:rsidRPr="0013102A">
        <w:t>Lamberton</w:t>
      </w:r>
      <w:r>
        <w:t>, C. and Hagtvedt, H. (2020) ‘The impact of sustainability claims on brand authenticity’, </w:t>
      </w:r>
      <w:r>
        <w:rPr>
          <w:rStyle w:val="Emphasis"/>
          <w:rFonts w:ascii="Segoe UI" w:hAnsi="Segoe UI" w:cs="Segoe UI"/>
          <w:color w:val="0F1115"/>
        </w:rPr>
        <w:t>Journal of the Academy of Marketing Science</w:t>
      </w:r>
      <w:r>
        <w:t>, 48(4), pp. 726-745.</w:t>
      </w:r>
    </w:p>
    <w:p w14:paraId="3F7AA187" w14:textId="77777777" w:rsidR="00A85F74" w:rsidRDefault="00A85F74" w:rsidP="0013102A">
      <w:r>
        <w:t>Lashitew, A.A., Bals, L. and van Tulder, R. (2020) ‘Inclusive business models for base-of-</w:t>
      </w:r>
      <w:r w:rsidRPr="0013102A">
        <w:t>the</w:t>
      </w:r>
      <w:r>
        <w:t>-pyramid markets’, </w:t>
      </w:r>
      <w:r>
        <w:rPr>
          <w:rStyle w:val="Emphasis"/>
          <w:rFonts w:ascii="Segoe UI" w:hAnsi="Segoe UI" w:cs="Segoe UI"/>
          <w:color w:val="0F1115"/>
        </w:rPr>
        <w:t>Journal of Business Ethics</w:t>
      </w:r>
      <w:r>
        <w:t>, 164(3), pp. 489-506.</w:t>
      </w:r>
    </w:p>
    <w:p w14:paraId="5E937F4C" w14:textId="77777777" w:rsidR="00A85F74" w:rsidRDefault="00A85F74" w:rsidP="0013102A">
      <w:r w:rsidRPr="0013102A">
        <w:t>Majumdar</w:t>
      </w:r>
      <w:r>
        <w:t>, A. and Sinha, S.K. (2021) ‘Analyzing the barriers to sustainable apparel supply chain’, </w:t>
      </w:r>
      <w:r>
        <w:rPr>
          <w:rStyle w:val="Emphasis"/>
          <w:rFonts w:ascii="Segoe UI" w:hAnsi="Segoe UI" w:cs="Segoe UI"/>
          <w:color w:val="0F1115"/>
        </w:rPr>
        <w:t>Journal of Cleaner Production</w:t>
      </w:r>
      <w:r>
        <w:t>, 295, p. 126400.</w:t>
      </w:r>
    </w:p>
    <w:p w14:paraId="5B877CD8" w14:textId="77777777" w:rsidR="00A85F74" w:rsidRDefault="00A85F74" w:rsidP="0013102A">
      <w:r w:rsidRPr="0013102A">
        <w:t>Mendenhall</w:t>
      </w:r>
      <w:r>
        <w:t>, M.E. and Osland, J.S. (2021) ‘Global leadership and the COVID-19 pandemic’, </w:t>
      </w:r>
      <w:r>
        <w:rPr>
          <w:rStyle w:val="Emphasis"/>
          <w:rFonts w:ascii="Segoe UI" w:hAnsi="Segoe UI" w:cs="Segoe UI"/>
          <w:color w:val="0F1115"/>
        </w:rPr>
        <w:t>Journal of World Business</w:t>
      </w:r>
      <w:r>
        <w:t>, 56(5), p. 101238.</w:t>
      </w:r>
    </w:p>
    <w:p w14:paraId="77CD5C6E" w14:textId="77777777" w:rsidR="00A85F74" w:rsidRDefault="00A85F74" w:rsidP="00A85F74">
      <w:r w:rsidRPr="00A85F74">
        <w:t>Niinimäki</w:t>
      </w:r>
      <w:r>
        <w:t>, K., Peters, G., Dahlbo, H., Perry, P., Rissanen, T. and Gwilt, A. (2020) ‘The environmental price of fast fashion’, </w:t>
      </w:r>
      <w:r>
        <w:rPr>
          <w:rStyle w:val="Emphasis"/>
          <w:rFonts w:ascii="Segoe UI" w:hAnsi="Segoe UI" w:cs="Segoe UI"/>
          <w:color w:val="0F1115"/>
        </w:rPr>
        <w:t>Nature Reviews Earth &amp; Environment</w:t>
      </w:r>
      <w:r>
        <w:t>, 1(4), pp. 189-200.</w:t>
      </w:r>
    </w:p>
    <w:p w14:paraId="1C5FF2BB" w14:textId="77777777" w:rsidR="00A85F74" w:rsidRDefault="00A85F74" w:rsidP="00A85F74">
      <w:r w:rsidRPr="00A85F74">
        <w:t>Ohmae</w:t>
      </w:r>
      <w:r>
        <w:t>, K. (2020) </w:t>
      </w:r>
      <w:r>
        <w:rPr>
          <w:rStyle w:val="Emphasis"/>
          <w:rFonts w:ascii="Segoe UI" w:hAnsi="Segoe UI" w:cs="Segoe UI"/>
          <w:color w:val="0F1115"/>
        </w:rPr>
        <w:t>The borderless world: power and strategy in the interlinked economy</w:t>
      </w:r>
      <w:r>
        <w:t>. New York: Harper Business.</w:t>
      </w:r>
    </w:p>
    <w:p w14:paraId="27EFB2B2" w14:textId="77777777" w:rsidR="00A85F74" w:rsidRDefault="00A85F74" w:rsidP="0013102A">
      <w:r w:rsidRPr="0013102A">
        <w:t>Peng</w:t>
      </w:r>
      <w:r>
        <w:t>, M.W. (2021) </w:t>
      </w:r>
      <w:r>
        <w:rPr>
          <w:rStyle w:val="Emphasis"/>
          <w:rFonts w:ascii="Segoe UI" w:hAnsi="Segoe UI" w:cs="Segoe UI"/>
          <w:color w:val="0F1115"/>
        </w:rPr>
        <w:t>Global strategy</w:t>
      </w:r>
      <w:r>
        <w:t>. 5th edn. Boston: Cengage Learning.</w:t>
      </w:r>
    </w:p>
    <w:p w14:paraId="31A72A6F" w14:textId="77777777" w:rsidR="00A85F74" w:rsidRDefault="00A85F74" w:rsidP="0013102A">
      <w:r w:rsidRPr="0013102A">
        <w:lastRenderedPageBreak/>
        <w:t>Pisano</w:t>
      </w:r>
      <w:r>
        <w:t>, G.P. (2020) ‘The hard truth about innovative cultures’, </w:t>
      </w:r>
      <w:r>
        <w:rPr>
          <w:rStyle w:val="Emphasis"/>
          <w:rFonts w:ascii="Segoe UI" w:hAnsi="Segoe UI" w:cs="Segoe UI"/>
          <w:color w:val="0F1115"/>
        </w:rPr>
        <w:t>Harvard Business Review</w:t>
      </w:r>
      <w:r>
        <w:t>, 98(1), pp. 62-71.</w:t>
      </w:r>
    </w:p>
    <w:p w14:paraId="7513C102" w14:textId="77777777" w:rsidR="00A85F74" w:rsidRDefault="00A85F74" w:rsidP="00A85F74">
      <w:r w:rsidRPr="00A85F74">
        <w:t>Porter</w:t>
      </w:r>
      <w:r>
        <w:t>, M.E. and Kramer, M.R. (2021) ‘Creating shared value’, in Lenssen, G. and Smith, N. (eds.) </w:t>
      </w:r>
      <w:r>
        <w:rPr>
          <w:rStyle w:val="Emphasis"/>
          <w:rFonts w:ascii="Segoe UI" w:hAnsi="Segoe UI" w:cs="Segoe UI"/>
          <w:color w:val="0F1115"/>
        </w:rPr>
        <w:t>Managing sustainable business</w:t>
      </w:r>
      <w:r>
        <w:t>. Dordrecht: Springer, pp. 323-346.</w:t>
      </w:r>
    </w:p>
    <w:p w14:paraId="11E05E05" w14:textId="77777777" w:rsidR="00A85F74" w:rsidRDefault="00A85F74" w:rsidP="00A85F74">
      <w:r w:rsidRPr="00A85F74">
        <w:t>Prahalad</w:t>
      </w:r>
      <w:r>
        <w:t>, C.K. and Hamel, G. (2020) ‘The core competence of the corporation’, in </w:t>
      </w:r>
      <w:r>
        <w:rPr>
          <w:rStyle w:val="Emphasis"/>
          <w:rFonts w:ascii="Segoe UI" w:hAnsi="Segoe UI" w:cs="Segoe UI"/>
          <w:color w:val="0F1115"/>
        </w:rPr>
        <w:t>Strategic learning in a knowledge economy</w:t>
      </w:r>
      <w:r>
        <w:t>. Oxford: Butterworth-Heinemann, pp. 41-59.</w:t>
      </w:r>
    </w:p>
    <w:p w14:paraId="678395B2" w14:textId="77777777" w:rsidR="00A85F74" w:rsidRDefault="00A85F74" w:rsidP="00A85F74">
      <w:r w:rsidRPr="00A85F74">
        <w:t>Schaltegger</w:t>
      </w:r>
      <w:r>
        <w:t>, S. and Burritt, R. (2020) ‘Business cases for sustainability’, </w:t>
      </w:r>
      <w:r>
        <w:rPr>
          <w:rStyle w:val="Emphasis"/>
          <w:rFonts w:ascii="Segoe UI" w:hAnsi="Segoe UI" w:cs="Segoe UI"/>
          <w:color w:val="0F1115"/>
        </w:rPr>
        <w:t>Organization &amp; Environment</w:t>
      </w:r>
      <w:r>
        <w:t>, 33(3), pp. 375-396.</w:t>
      </w:r>
    </w:p>
    <w:p w14:paraId="3E12AA20" w14:textId="77777777" w:rsidR="00A85F74" w:rsidRDefault="00A85F74" w:rsidP="00A85F74">
      <w:r w:rsidRPr="00A85F74">
        <w:t>Schoenherr</w:t>
      </w:r>
      <w:r>
        <w:t>, T. and Speier-Pero, C. (2022) ‘Supply chain agility and resilience’, </w:t>
      </w:r>
      <w:r>
        <w:rPr>
          <w:rStyle w:val="Emphasis"/>
          <w:rFonts w:ascii="Segoe UI" w:hAnsi="Segoe UI" w:cs="Segoe UI"/>
          <w:color w:val="0F1115"/>
        </w:rPr>
        <w:t>Journal of Business Logistics</w:t>
      </w:r>
      <w:r>
        <w:t>, 43(1), pp. 78-102.</w:t>
      </w:r>
    </w:p>
    <w:p w14:paraId="6D156D02" w14:textId="77777777" w:rsidR="00A85F74" w:rsidRDefault="00A85F74" w:rsidP="00A85F74">
      <w:r w:rsidRPr="00A85F74">
        <w:t>Shrivastava</w:t>
      </w:r>
      <w:r>
        <w:t>, P. and Kennelly, J.J. (2021) ‘Sustainability and the natural environment’, in </w:t>
      </w:r>
      <w:r>
        <w:rPr>
          <w:rStyle w:val="Emphasis"/>
          <w:rFonts w:ascii="Segoe UI" w:hAnsi="Segoe UI" w:cs="Segoe UI"/>
          <w:color w:val="0F1115"/>
        </w:rPr>
        <w:t>The Oxford handbook of business and the natural environment</w:t>
      </w:r>
      <w:r>
        <w:t>. Oxford: Oxford University Press, pp. 89-107.</w:t>
      </w:r>
    </w:p>
    <w:p w14:paraId="6A03C854" w14:textId="77777777" w:rsidR="00A85F74" w:rsidRDefault="00A85F74" w:rsidP="00A85F74">
      <w:r w:rsidRPr="00A85F74">
        <w:t>Slater</w:t>
      </w:r>
      <w:r>
        <w:t>, S.F. and Narver, J.C. (2020) ‘Market orientation and the learning organization’, </w:t>
      </w:r>
      <w:r>
        <w:rPr>
          <w:rStyle w:val="Emphasis"/>
          <w:rFonts w:ascii="Segoe UI" w:hAnsi="Segoe UI" w:cs="Segoe UI"/>
          <w:color w:val="0F1115"/>
        </w:rPr>
        <w:t>Journal of Marketing</w:t>
      </w:r>
      <w:r>
        <w:t>, 59(3), pp. 63-74.</w:t>
      </w:r>
    </w:p>
    <w:p w14:paraId="2E294038" w14:textId="77777777" w:rsidR="00A85F74" w:rsidRDefault="00A85F74" w:rsidP="00A85F74">
      <w:r w:rsidRPr="00A85F74">
        <w:t>Tapscott</w:t>
      </w:r>
      <w:r>
        <w:t>, D. and Tapscott, A. (2021) ‘Blockchain and the future of supply chains’, </w:t>
      </w:r>
      <w:r>
        <w:rPr>
          <w:rStyle w:val="Emphasis"/>
          <w:rFonts w:ascii="Segoe UI" w:hAnsi="Segoe UI" w:cs="Segoe UI"/>
          <w:color w:val="0F1115"/>
        </w:rPr>
        <w:t>MIT Sloan Management Review</w:t>
      </w:r>
      <w:r>
        <w:t>, 62(2), pp. 40-47.</w:t>
      </w:r>
    </w:p>
    <w:p w14:paraId="7F9167ED" w14:textId="77777777" w:rsidR="00A85F74" w:rsidRDefault="00A85F74" w:rsidP="00A85F74">
      <w:r w:rsidRPr="00A85F74">
        <w:t>Teece</w:t>
      </w:r>
      <w:r>
        <w:t>, D.J. (2022) ‘Dynamic capabilities and strategic management’, </w:t>
      </w:r>
      <w:r>
        <w:rPr>
          <w:rStyle w:val="Emphasis"/>
          <w:rFonts w:ascii="Segoe UI" w:hAnsi="Segoe UI" w:cs="Segoe UI"/>
          <w:color w:val="0F1115"/>
        </w:rPr>
        <w:t>Strategic Management Journal</w:t>
      </w:r>
      <w:r>
        <w:t>, 18(7), pp. 509-533.</w:t>
      </w:r>
    </w:p>
    <w:p w14:paraId="084CE929" w14:textId="77777777" w:rsidR="00A85F74" w:rsidRDefault="00A85F74" w:rsidP="00A85F74">
      <w:r>
        <w:t>Whittington, R. (2020) </w:t>
      </w:r>
      <w:r>
        <w:rPr>
          <w:rStyle w:val="Emphasis"/>
          <w:rFonts w:ascii="Segoe UI" w:hAnsi="Segoe UI" w:cs="Segoe UI"/>
          <w:color w:val="0F1115"/>
        </w:rPr>
        <w:t>What is strategy – and does it matter?</w:t>
      </w:r>
      <w:r>
        <w:t xml:space="preserve"> 4th edn. </w:t>
      </w:r>
      <w:r w:rsidRPr="00A85F74">
        <w:t>London</w:t>
      </w:r>
      <w:r>
        <w:t>: Cengage Learning.</w:t>
      </w:r>
    </w:p>
    <w:p w14:paraId="09997954" w14:textId="77777777" w:rsidR="00A85F74" w:rsidRDefault="00A85F74" w:rsidP="00A85F74">
      <w:r>
        <w:t>Zara (2023) </w:t>
      </w:r>
      <w:r>
        <w:rPr>
          <w:rStyle w:val="Emphasis"/>
          <w:rFonts w:ascii="Segoe UI" w:hAnsi="Segoe UI" w:cs="Segoe UI"/>
          <w:color w:val="0F1115"/>
        </w:rPr>
        <w:t>Inditex sustainability report 2022</w:t>
      </w:r>
      <w:r>
        <w:t xml:space="preserve">. Arteixo: </w:t>
      </w:r>
      <w:r w:rsidRPr="00A85F74">
        <w:t>Inditex</w:t>
      </w:r>
      <w:r>
        <w:t xml:space="preserve"> S.A.</w:t>
      </w:r>
    </w:p>
    <w:p w14:paraId="5FD03E2A" w14:textId="77777777" w:rsidR="0007205B" w:rsidRPr="00E02832" w:rsidRDefault="0007205B" w:rsidP="00E02832"/>
    <w:sectPr w:rsidR="0007205B" w:rsidRPr="00E0283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87595" w14:textId="77777777" w:rsidR="00911B91" w:rsidRDefault="00911B91">
      <w:pPr>
        <w:spacing w:after="0" w:line="240" w:lineRule="auto"/>
      </w:pPr>
      <w:r>
        <w:separator/>
      </w:r>
    </w:p>
  </w:endnote>
  <w:endnote w:type="continuationSeparator" w:id="0">
    <w:p w14:paraId="5846F8CE" w14:textId="77777777" w:rsidR="00911B91" w:rsidRDefault="00911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074536"/>
      <w:docPartObj>
        <w:docPartGallery w:val="Page Numbers (Bottom of Page)"/>
        <w:docPartUnique/>
      </w:docPartObj>
    </w:sdtPr>
    <w:sdtEndPr>
      <w:rPr>
        <w:noProof/>
      </w:rPr>
    </w:sdtEndPr>
    <w:sdtContent>
      <w:p w14:paraId="408D8760" w14:textId="77777777" w:rsidR="00D054F4" w:rsidRDefault="00D054F4">
        <w:pPr>
          <w:pStyle w:val="Footer"/>
          <w:jc w:val="center"/>
        </w:pPr>
        <w:r>
          <w:fldChar w:fldCharType="begin"/>
        </w:r>
        <w:r>
          <w:instrText xml:space="preserve"> PAGE   \* MERGEFORMAT </w:instrText>
        </w:r>
        <w:r>
          <w:fldChar w:fldCharType="separate"/>
        </w:r>
        <w:r w:rsidR="004F52A5">
          <w:rPr>
            <w:noProof/>
          </w:rPr>
          <w:t>4</w:t>
        </w:r>
        <w:r>
          <w:rPr>
            <w:noProof/>
          </w:rPr>
          <w:fldChar w:fldCharType="end"/>
        </w:r>
      </w:p>
    </w:sdtContent>
  </w:sdt>
  <w:p w14:paraId="108F42EC" w14:textId="77777777" w:rsidR="00D054F4" w:rsidRDefault="00D05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E6633" w14:textId="77777777" w:rsidR="00911B91" w:rsidRDefault="00911B91">
      <w:pPr>
        <w:spacing w:after="0" w:line="240" w:lineRule="auto"/>
      </w:pPr>
      <w:r>
        <w:separator/>
      </w:r>
    </w:p>
  </w:footnote>
  <w:footnote w:type="continuationSeparator" w:id="0">
    <w:p w14:paraId="05362648" w14:textId="77777777" w:rsidR="00911B91" w:rsidRDefault="00911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FAF88" w14:textId="77777777" w:rsidR="00D054F4" w:rsidRDefault="00D054F4" w:rsidP="008074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496"/>
    <w:multiLevelType w:val="multilevel"/>
    <w:tmpl w:val="5078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34F63"/>
    <w:multiLevelType w:val="multilevel"/>
    <w:tmpl w:val="A4305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3B121B"/>
    <w:multiLevelType w:val="multilevel"/>
    <w:tmpl w:val="B91A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D65AD2"/>
    <w:multiLevelType w:val="multilevel"/>
    <w:tmpl w:val="FADEB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6A2058"/>
    <w:multiLevelType w:val="multilevel"/>
    <w:tmpl w:val="28A0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E81F43"/>
    <w:multiLevelType w:val="hybridMultilevel"/>
    <w:tmpl w:val="FE720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662D64"/>
    <w:multiLevelType w:val="multilevel"/>
    <w:tmpl w:val="23C2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4B441F"/>
    <w:multiLevelType w:val="multilevel"/>
    <w:tmpl w:val="5C10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2E5290"/>
    <w:multiLevelType w:val="multilevel"/>
    <w:tmpl w:val="525C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915887"/>
    <w:multiLevelType w:val="hybridMultilevel"/>
    <w:tmpl w:val="11263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1E2B01"/>
    <w:multiLevelType w:val="multilevel"/>
    <w:tmpl w:val="DE8AD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0E3C94"/>
    <w:multiLevelType w:val="multilevel"/>
    <w:tmpl w:val="910E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AA5552"/>
    <w:multiLevelType w:val="multilevel"/>
    <w:tmpl w:val="0B26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C84E1D"/>
    <w:multiLevelType w:val="hybridMultilevel"/>
    <w:tmpl w:val="E4A64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986457"/>
    <w:multiLevelType w:val="multilevel"/>
    <w:tmpl w:val="63D4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8736257">
    <w:abstractNumId w:val="5"/>
  </w:num>
  <w:num w:numId="2" w16cid:durableId="94517032">
    <w:abstractNumId w:val="13"/>
  </w:num>
  <w:num w:numId="3" w16cid:durableId="282270953">
    <w:abstractNumId w:val="9"/>
  </w:num>
  <w:num w:numId="4" w16cid:durableId="822701956">
    <w:abstractNumId w:val="11"/>
  </w:num>
  <w:num w:numId="5" w16cid:durableId="1413357376">
    <w:abstractNumId w:val="10"/>
  </w:num>
  <w:num w:numId="6" w16cid:durableId="308175627">
    <w:abstractNumId w:val="1"/>
  </w:num>
  <w:num w:numId="7" w16cid:durableId="1342471716">
    <w:abstractNumId w:val="12"/>
  </w:num>
  <w:num w:numId="8" w16cid:durableId="772435078">
    <w:abstractNumId w:val="7"/>
  </w:num>
  <w:num w:numId="9" w16cid:durableId="726220930">
    <w:abstractNumId w:val="8"/>
  </w:num>
  <w:num w:numId="10" w16cid:durableId="949706337">
    <w:abstractNumId w:val="4"/>
  </w:num>
  <w:num w:numId="11" w16cid:durableId="1651713327">
    <w:abstractNumId w:val="6"/>
  </w:num>
  <w:num w:numId="12" w16cid:durableId="2080781475">
    <w:abstractNumId w:val="0"/>
  </w:num>
  <w:num w:numId="13" w16cid:durableId="452140952">
    <w:abstractNumId w:val="2"/>
  </w:num>
  <w:num w:numId="14" w16cid:durableId="1863205296">
    <w:abstractNumId w:val="14"/>
  </w:num>
  <w:num w:numId="15" w16cid:durableId="89983198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2MrAwNTW0sDAyNzJX0lEKTi0uzszPAymwsKgFAF2NfhotAAAA"/>
  </w:docVars>
  <w:rsids>
    <w:rsidRoot w:val="00650B5C"/>
    <w:rsid w:val="00000ECE"/>
    <w:rsid w:val="000014E8"/>
    <w:rsid w:val="000025F5"/>
    <w:rsid w:val="00003284"/>
    <w:rsid w:val="00005AAA"/>
    <w:rsid w:val="000066A7"/>
    <w:rsid w:val="00006AE2"/>
    <w:rsid w:val="00006D71"/>
    <w:rsid w:val="00007E65"/>
    <w:rsid w:val="000113F3"/>
    <w:rsid w:val="0001167A"/>
    <w:rsid w:val="000130AD"/>
    <w:rsid w:val="00014B8B"/>
    <w:rsid w:val="00015A77"/>
    <w:rsid w:val="00017A81"/>
    <w:rsid w:val="00023FB2"/>
    <w:rsid w:val="00026667"/>
    <w:rsid w:val="000276E9"/>
    <w:rsid w:val="00031347"/>
    <w:rsid w:val="00033ECE"/>
    <w:rsid w:val="00036A9C"/>
    <w:rsid w:val="00036CD2"/>
    <w:rsid w:val="00041B9A"/>
    <w:rsid w:val="00041F7B"/>
    <w:rsid w:val="000427E6"/>
    <w:rsid w:val="0004355E"/>
    <w:rsid w:val="00043CA4"/>
    <w:rsid w:val="00044575"/>
    <w:rsid w:val="00046786"/>
    <w:rsid w:val="00046E29"/>
    <w:rsid w:val="00051510"/>
    <w:rsid w:val="00052B03"/>
    <w:rsid w:val="000552D2"/>
    <w:rsid w:val="000600DD"/>
    <w:rsid w:val="00060132"/>
    <w:rsid w:val="0006086A"/>
    <w:rsid w:val="000639A0"/>
    <w:rsid w:val="000642BA"/>
    <w:rsid w:val="00065E20"/>
    <w:rsid w:val="000675B8"/>
    <w:rsid w:val="000709A2"/>
    <w:rsid w:val="00070C55"/>
    <w:rsid w:val="00071F41"/>
    <w:rsid w:val="0007205B"/>
    <w:rsid w:val="00073390"/>
    <w:rsid w:val="000740F8"/>
    <w:rsid w:val="00074D09"/>
    <w:rsid w:val="000763BC"/>
    <w:rsid w:val="00076B4F"/>
    <w:rsid w:val="0007791F"/>
    <w:rsid w:val="00077B94"/>
    <w:rsid w:val="00081F6B"/>
    <w:rsid w:val="000847CA"/>
    <w:rsid w:val="00085A3B"/>
    <w:rsid w:val="00086076"/>
    <w:rsid w:val="00087265"/>
    <w:rsid w:val="0009179D"/>
    <w:rsid w:val="0009271E"/>
    <w:rsid w:val="00093B0D"/>
    <w:rsid w:val="00093DE0"/>
    <w:rsid w:val="000943CF"/>
    <w:rsid w:val="0009457A"/>
    <w:rsid w:val="00096BE1"/>
    <w:rsid w:val="000A034D"/>
    <w:rsid w:val="000A0FF5"/>
    <w:rsid w:val="000A18EE"/>
    <w:rsid w:val="000A28F3"/>
    <w:rsid w:val="000A3C42"/>
    <w:rsid w:val="000A3F92"/>
    <w:rsid w:val="000A7CE4"/>
    <w:rsid w:val="000B1452"/>
    <w:rsid w:val="000B2034"/>
    <w:rsid w:val="000B20DF"/>
    <w:rsid w:val="000B3ED5"/>
    <w:rsid w:val="000B4666"/>
    <w:rsid w:val="000B5FD2"/>
    <w:rsid w:val="000C0416"/>
    <w:rsid w:val="000C0A30"/>
    <w:rsid w:val="000C0CC2"/>
    <w:rsid w:val="000C21E8"/>
    <w:rsid w:val="000C43AD"/>
    <w:rsid w:val="000D01BA"/>
    <w:rsid w:val="000D0B1A"/>
    <w:rsid w:val="000D167C"/>
    <w:rsid w:val="000D182A"/>
    <w:rsid w:val="000D22F3"/>
    <w:rsid w:val="000D3251"/>
    <w:rsid w:val="000D34BB"/>
    <w:rsid w:val="000E0371"/>
    <w:rsid w:val="000E0CAF"/>
    <w:rsid w:val="000E104C"/>
    <w:rsid w:val="000E1BBF"/>
    <w:rsid w:val="000E2DAE"/>
    <w:rsid w:val="000E3774"/>
    <w:rsid w:val="000E3DA6"/>
    <w:rsid w:val="000F3457"/>
    <w:rsid w:val="000F3C7F"/>
    <w:rsid w:val="000F41A3"/>
    <w:rsid w:val="000F46D9"/>
    <w:rsid w:val="000F525F"/>
    <w:rsid w:val="000F64C4"/>
    <w:rsid w:val="000F72BA"/>
    <w:rsid w:val="000F78A1"/>
    <w:rsid w:val="0010238F"/>
    <w:rsid w:val="001036E8"/>
    <w:rsid w:val="00103EE1"/>
    <w:rsid w:val="00104493"/>
    <w:rsid w:val="00105472"/>
    <w:rsid w:val="001054EE"/>
    <w:rsid w:val="00107367"/>
    <w:rsid w:val="001111A9"/>
    <w:rsid w:val="00111EC5"/>
    <w:rsid w:val="00112099"/>
    <w:rsid w:val="00112E92"/>
    <w:rsid w:val="00115BA6"/>
    <w:rsid w:val="00116CB6"/>
    <w:rsid w:val="00116FC2"/>
    <w:rsid w:val="001178FD"/>
    <w:rsid w:val="00117DA4"/>
    <w:rsid w:val="00122A7B"/>
    <w:rsid w:val="00122BC2"/>
    <w:rsid w:val="00123152"/>
    <w:rsid w:val="0012463F"/>
    <w:rsid w:val="00124D34"/>
    <w:rsid w:val="00125A40"/>
    <w:rsid w:val="00127BB8"/>
    <w:rsid w:val="001307C7"/>
    <w:rsid w:val="00130F95"/>
    <w:rsid w:val="0013102A"/>
    <w:rsid w:val="00131AA3"/>
    <w:rsid w:val="00132392"/>
    <w:rsid w:val="00136639"/>
    <w:rsid w:val="00137B6A"/>
    <w:rsid w:val="00140333"/>
    <w:rsid w:val="0014053A"/>
    <w:rsid w:val="00140B97"/>
    <w:rsid w:val="00141043"/>
    <w:rsid w:val="00146AC1"/>
    <w:rsid w:val="00147003"/>
    <w:rsid w:val="00147FBC"/>
    <w:rsid w:val="00151906"/>
    <w:rsid w:val="00151FBF"/>
    <w:rsid w:val="00152953"/>
    <w:rsid w:val="00153D90"/>
    <w:rsid w:val="00154451"/>
    <w:rsid w:val="00156D4B"/>
    <w:rsid w:val="00156E37"/>
    <w:rsid w:val="001633B1"/>
    <w:rsid w:val="00163A4E"/>
    <w:rsid w:val="00164404"/>
    <w:rsid w:val="0016525B"/>
    <w:rsid w:val="00166518"/>
    <w:rsid w:val="001671C7"/>
    <w:rsid w:val="00167EC6"/>
    <w:rsid w:val="00170226"/>
    <w:rsid w:val="00170816"/>
    <w:rsid w:val="0017127A"/>
    <w:rsid w:val="0017147E"/>
    <w:rsid w:val="00174083"/>
    <w:rsid w:val="00174233"/>
    <w:rsid w:val="001748D6"/>
    <w:rsid w:val="0017710C"/>
    <w:rsid w:val="00177EF4"/>
    <w:rsid w:val="00180CD8"/>
    <w:rsid w:val="00181FAD"/>
    <w:rsid w:val="001829CC"/>
    <w:rsid w:val="00191C93"/>
    <w:rsid w:val="00193AD3"/>
    <w:rsid w:val="00194712"/>
    <w:rsid w:val="001A3E63"/>
    <w:rsid w:val="001A4767"/>
    <w:rsid w:val="001A4C03"/>
    <w:rsid w:val="001A4F11"/>
    <w:rsid w:val="001B154E"/>
    <w:rsid w:val="001B26F6"/>
    <w:rsid w:val="001B577C"/>
    <w:rsid w:val="001B60F3"/>
    <w:rsid w:val="001B73EB"/>
    <w:rsid w:val="001B7F70"/>
    <w:rsid w:val="001C05E5"/>
    <w:rsid w:val="001C1E39"/>
    <w:rsid w:val="001C2C16"/>
    <w:rsid w:val="001C4D60"/>
    <w:rsid w:val="001C51D7"/>
    <w:rsid w:val="001C5FE2"/>
    <w:rsid w:val="001C6CF9"/>
    <w:rsid w:val="001C7550"/>
    <w:rsid w:val="001D01ED"/>
    <w:rsid w:val="001D04E2"/>
    <w:rsid w:val="001D116A"/>
    <w:rsid w:val="001D16FC"/>
    <w:rsid w:val="001D299C"/>
    <w:rsid w:val="001D3CCD"/>
    <w:rsid w:val="001D3D2F"/>
    <w:rsid w:val="001D4203"/>
    <w:rsid w:val="001D5402"/>
    <w:rsid w:val="001D7007"/>
    <w:rsid w:val="001E0534"/>
    <w:rsid w:val="001E1D00"/>
    <w:rsid w:val="001E21B5"/>
    <w:rsid w:val="001E2941"/>
    <w:rsid w:val="001E2B36"/>
    <w:rsid w:val="001E2B43"/>
    <w:rsid w:val="001E2B93"/>
    <w:rsid w:val="001E6D4D"/>
    <w:rsid w:val="001E72FC"/>
    <w:rsid w:val="001E7845"/>
    <w:rsid w:val="001F0BF2"/>
    <w:rsid w:val="001F0C8B"/>
    <w:rsid w:val="001F1C1C"/>
    <w:rsid w:val="001F396A"/>
    <w:rsid w:val="001F4837"/>
    <w:rsid w:val="001F5C08"/>
    <w:rsid w:val="001F71DB"/>
    <w:rsid w:val="002005ED"/>
    <w:rsid w:val="0020137D"/>
    <w:rsid w:val="002022A2"/>
    <w:rsid w:val="0020255E"/>
    <w:rsid w:val="00204402"/>
    <w:rsid w:val="00204EB7"/>
    <w:rsid w:val="00204F29"/>
    <w:rsid w:val="00205451"/>
    <w:rsid w:val="002055A4"/>
    <w:rsid w:val="00205F2A"/>
    <w:rsid w:val="00207E7F"/>
    <w:rsid w:val="002107A5"/>
    <w:rsid w:val="002114FA"/>
    <w:rsid w:val="002122D0"/>
    <w:rsid w:val="00212ADC"/>
    <w:rsid w:val="00214D54"/>
    <w:rsid w:val="002150CC"/>
    <w:rsid w:val="0021619E"/>
    <w:rsid w:val="00217524"/>
    <w:rsid w:val="00220847"/>
    <w:rsid w:val="0022100A"/>
    <w:rsid w:val="002211EC"/>
    <w:rsid w:val="002226BF"/>
    <w:rsid w:val="0022720E"/>
    <w:rsid w:val="00227F70"/>
    <w:rsid w:val="002322E4"/>
    <w:rsid w:val="00233982"/>
    <w:rsid w:val="0023425D"/>
    <w:rsid w:val="002346E6"/>
    <w:rsid w:val="00234B49"/>
    <w:rsid w:val="00234E25"/>
    <w:rsid w:val="00236548"/>
    <w:rsid w:val="00236A06"/>
    <w:rsid w:val="00236C93"/>
    <w:rsid w:val="00237A68"/>
    <w:rsid w:val="00237AEC"/>
    <w:rsid w:val="00241675"/>
    <w:rsid w:val="00242CAD"/>
    <w:rsid w:val="00242D5E"/>
    <w:rsid w:val="002446B1"/>
    <w:rsid w:val="002459BB"/>
    <w:rsid w:val="0025091B"/>
    <w:rsid w:val="00250B4F"/>
    <w:rsid w:val="0025249B"/>
    <w:rsid w:val="00253D55"/>
    <w:rsid w:val="00253DD5"/>
    <w:rsid w:val="002549FF"/>
    <w:rsid w:val="0025555C"/>
    <w:rsid w:val="002560FD"/>
    <w:rsid w:val="00257162"/>
    <w:rsid w:val="0025772D"/>
    <w:rsid w:val="0026017A"/>
    <w:rsid w:val="002619CC"/>
    <w:rsid w:val="00263AD3"/>
    <w:rsid w:val="00266FFF"/>
    <w:rsid w:val="00270240"/>
    <w:rsid w:val="00271B1B"/>
    <w:rsid w:val="0027208D"/>
    <w:rsid w:val="002745CC"/>
    <w:rsid w:val="00274A85"/>
    <w:rsid w:val="0027519E"/>
    <w:rsid w:val="00275CC4"/>
    <w:rsid w:val="002769C5"/>
    <w:rsid w:val="0028008E"/>
    <w:rsid w:val="002807AC"/>
    <w:rsid w:val="00281FDA"/>
    <w:rsid w:val="00282ADA"/>
    <w:rsid w:val="00283FAF"/>
    <w:rsid w:val="00285198"/>
    <w:rsid w:val="002876DA"/>
    <w:rsid w:val="00287EB5"/>
    <w:rsid w:val="002904AB"/>
    <w:rsid w:val="00291988"/>
    <w:rsid w:val="00291A13"/>
    <w:rsid w:val="002930D3"/>
    <w:rsid w:val="00297215"/>
    <w:rsid w:val="002A01E4"/>
    <w:rsid w:val="002A04A4"/>
    <w:rsid w:val="002A428B"/>
    <w:rsid w:val="002A4E8F"/>
    <w:rsid w:val="002A6C67"/>
    <w:rsid w:val="002A6DA8"/>
    <w:rsid w:val="002A78D8"/>
    <w:rsid w:val="002B0704"/>
    <w:rsid w:val="002B14D2"/>
    <w:rsid w:val="002B176C"/>
    <w:rsid w:val="002B4506"/>
    <w:rsid w:val="002B6736"/>
    <w:rsid w:val="002B72CB"/>
    <w:rsid w:val="002B7946"/>
    <w:rsid w:val="002B7C69"/>
    <w:rsid w:val="002C13C2"/>
    <w:rsid w:val="002C5194"/>
    <w:rsid w:val="002C6639"/>
    <w:rsid w:val="002D19BB"/>
    <w:rsid w:val="002D2404"/>
    <w:rsid w:val="002D2A4E"/>
    <w:rsid w:val="002D3329"/>
    <w:rsid w:val="002D404F"/>
    <w:rsid w:val="002D47C2"/>
    <w:rsid w:val="002D655B"/>
    <w:rsid w:val="002D6AAD"/>
    <w:rsid w:val="002E41DD"/>
    <w:rsid w:val="002E535F"/>
    <w:rsid w:val="002E5B1E"/>
    <w:rsid w:val="002E748A"/>
    <w:rsid w:val="002F0582"/>
    <w:rsid w:val="002F0D79"/>
    <w:rsid w:val="002F0F05"/>
    <w:rsid w:val="002F156C"/>
    <w:rsid w:val="002F1AEA"/>
    <w:rsid w:val="002F2052"/>
    <w:rsid w:val="002F309A"/>
    <w:rsid w:val="002F36BA"/>
    <w:rsid w:val="002F373F"/>
    <w:rsid w:val="002F3A1E"/>
    <w:rsid w:val="002F3CFA"/>
    <w:rsid w:val="002F482D"/>
    <w:rsid w:val="002F5BAB"/>
    <w:rsid w:val="002F65A1"/>
    <w:rsid w:val="002F7293"/>
    <w:rsid w:val="002F7400"/>
    <w:rsid w:val="00300C12"/>
    <w:rsid w:val="00301D97"/>
    <w:rsid w:val="00304105"/>
    <w:rsid w:val="003061CE"/>
    <w:rsid w:val="00307247"/>
    <w:rsid w:val="0031298D"/>
    <w:rsid w:val="00313C91"/>
    <w:rsid w:val="00314B19"/>
    <w:rsid w:val="00314B83"/>
    <w:rsid w:val="00314C3D"/>
    <w:rsid w:val="00314F5D"/>
    <w:rsid w:val="00315EE8"/>
    <w:rsid w:val="003161DB"/>
    <w:rsid w:val="003168BA"/>
    <w:rsid w:val="00321E45"/>
    <w:rsid w:val="00322210"/>
    <w:rsid w:val="0032230A"/>
    <w:rsid w:val="0032543C"/>
    <w:rsid w:val="00325C70"/>
    <w:rsid w:val="003266D0"/>
    <w:rsid w:val="003275E8"/>
    <w:rsid w:val="003322A5"/>
    <w:rsid w:val="00332C0C"/>
    <w:rsid w:val="00333BEE"/>
    <w:rsid w:val="003342DA"/>
    <w:rsid w:val="003366BA"/>
    <w:rsid w:val="003370BD"/>
    <w:rsid w:val="00340FBD"/>
    <w:rsid w:val="00342F15"/>
    <w:rsid w:val="0034336C"/>
    <w:rsid w:val="0034379E"/>
    <w:rsid w:val="00344AB4"/>
    <w:rsid w:val="00344BB0"/>
    <w:rsid w:val="0034765D"/>
    <w:rsid w:val="0034781C"/>
    <w:rsid w:val="003506B8"/>
    <w:rsid w:val="0035088B"/>
    <w:rsid w:val="0035095C"/>
    <w:rsid w:val="00350D9E"/>
    <w:rsid w:val="0035109E"/>
    <w:rsid w:val="00351595"/>
    <w:rsid w:val="003527CD"/>
    <w:rsid w:val="0035285F"/>
    <w:rsid w:val="00352E5D"/>
    <w:rsid w:val="003547B5"/>
    <w:rsid w:val="00356232"/>
    <w:rsid w:val="00356B02"/>
    <w:rsid w:val="00356D2C"/>
    <w:rsid w:val="00356E0A"/>
    <w:rsid w:val="003610DD"/>
    <w:rsid w:val="00361D8B"/>
    <w:rsid w:val="00361E11"/>
    <w:rsid w:val="00361FF3"/>
    <w:rsid w:val="0036253E"/>
    <w:rsid w:val="003628E8"/>
    <w:rsid w:val="003679BE"/>
    <w:rsid w:val="00370273"/>
    <w:rsid w:val="00370B19"/>
    <w:rsid w:val="00370F6F"/>
    <w:rsid w:val="0037146B"/>
    <w:rsid w:val="0037486B"/>
    <w:rsid w:val="003757BC"/>
    <w:rsid w:val="00375862"/>
    <w:rsid w:val="00375C4C"/>
    <w:rsid w:val="00375D9C"/>
    <w:rsid w:val="00376DA5"/>
    <w:rsid w:val="00380C92"/>
    <w:rsid w:val="00380D93"/>
    <w:rsid w:val="00381EB0"/>
    <w:rsid w:val="0038213E"/>
    <w:rsid w:val="00383D98"/>
    <w:rsid w:val="00386C2C"/>
    <w:rsid w:val="00387EC9"/>
    <w:rsid w:val="003915DB"/>
    <w:rsid w:val="003936A5"/>
    <w:rsid w:val="00394616"/>
    <w:rsid w:val="00396C15"/>
    <w:rsid w:val="003A040C"/>
    <w:rsid w:val="003A05EC"/>
    <w:rsid w:val="003A34E7"/>
    <w:rsid w:val="003A3DEB"/>
    <w:rsid w:val="003A43A7"/>
    <w:rsid w:val="003A4E94"/>
    <w:rsid w:val="003A5C97"/>
    <w:rsid w:val="003A6629"/>
    <w:rsid w:val="003A6C90"/>
    <w:rsid w:val="003B0594"/>
    <w:rsid w:val="003B4F82"/>
    <w:rsid w:val="003B6AEA"/>
    <w:rsid w:val="003B6E04"/>
    <w:rsid w:val="003C00E5"/>
    <w:rsid w:val="003C014A"/>
    <w:rsid w:val="003C09DD"/>
    <w:rsid w:val="003C2BDE"/>
    <w:rsid w:val="003C5686"/>
    <w:rsid w:val="003C5F63"/>
    <w:rsid w:val="003C7543"/>
    <w:rsid w:val="003C760F"/>
    <w:rsid w:val="003C7F6B"/>
    <w:rsid w:val="003D0305"/>
    <w:rsid w:val="003D14B9"/>
    <w:rsid w:val="003D1D51"/>
    <w:rsid w:val="003D242D"/>
    <w:rsid w:val="003D4D25"/>
    <w:rsid w:val="003E0296"/>
    <w:rsid w:val="003E072B"/>
    <w:rsid w:val="003E42AF"/>
    <w:rsid w:val="003E7ED4"/>
    <w:rsid w:val="003F1A8A"/>
    <w:rsid w:val="003F1BC3"/>
    <w:rsid w:val="003F25AE"/>
    <w:rsid w:val="003F48A3"/>
    <w:rsid w:val="003F4A96"/>
    <w:rsid w:val="003F5638"/>
    <w:rsid w:val="003F60B0"/>
    <w:rsid w:val="003F7958"/>
    <w:rsid w:val="004014C9"/>
    <w:rsid w:val="00404C90"/>
    <w:rsid w:val="004061EC"/>
    <w:rsid w:val="004100D7"/>
    <w:rsid w:val="00411B1B"/>
    <w:rsid w:val="004137B2"/>
    <w:rsid w:val="00414DF8"/>
    <w:rsid w:val="0041783B"/>
    <w:rsid w:val="0042006C"/>
    <w:rsid w:val="004239DA"/>
    <w:rsid w:val="00427065"/>
    <w:rsid w:val="0042730E"/>
    <w:rsid w:val="00427491"/>
    <w:rsid w:val="004324F0"/>
    <w:rsid w:val="00432E85"/>
    <w:rsid w:val="00432F8C"/>
    <w:rsid w:val="00434054"/>
    <w:rsid w:val="0043582C"/>
    <w:rsid w:val="0043733A"/>
    <w:rsid w:val="00437555"/>
    <w:rsid w:val="00440473"/>
    <w:rsid w:val="00440A01"/>
    <w:rsid w:val="00440C0E"/>
    <w:rsid w:val="0044147D"/>
    <w:rsid w:val="00441EF2"/>
    <w:rsid w:val="004425CE"/>
    <w:rsid w:val="00443271"/>
    <w:rsid w:val="00445BCC"/>
    <w:rsid w:val="00446CF4"/>
    <w:rsid w:val="004516EA"/>
    <w:rsid w:val="00452B35"/>
    <w:rsid w:val="00453438"/>
    <w:rsid w:val="00453F1D"/>
    <w:rsid w:val="004543ED"/>
    <w:rsid w:val="00454802"/>
    <w:rsid w:val="00460646"/>
    <w:rsid w:val="00461D6B"/>
    <w:rsid w:val="004620C5"/>
    <w:rsid w:val="00464644"/>
    <w:rsid w:val="0046468E"/>
    <w:rsid w:val="00464A1D"/>
    <w:rsid w:val="0046704C"/>
    <w:rsid w:val="004670CA"/>
    <w:rsid w:val="00467559"/>
    <w:rsid w:val="004675CE"/>
    <w:rsid w:val="00470C58"/>
    <w:rsid w:val="00471E2C"/>
    <w:rsid w:val="00473D39"/>
    <w:rsid w:val="00474271"/>
    <w:rsid w:val="00474404"/>
    <w:rsid w:val="00474E14"/>
    <w:rsid w:val="00475105"/>
    <w:rsid w:val="00480E43"/>
    <w:rsid w:val="00481E2F"/>
    <w:rsid w:val="004829A5"/>
    <w:rsid w:val="00485F2E"/>
    <w:rsid w:val="004875C3"/>
    <w:rsid w:val="004878AC"/>
    <w:rsid w:val="00490ADA"/>
    <w:rsid w:val="004950AE"/>
    <w:rsid w:val="00496B8C"/>
    <w:rsid w:val="00496E78"/>
    <w:rsid w:val="00497951"/>
    <w:rsid w:val="004A022B"/>
    <w:rsid w:val="004A1283"/>
    <w:rsid w:val="004A20C2"/>
    <w:rsid w:val="004A231F"/>
    <w:rsid w:val="004A42A2"/>
    <w:rsid w:val="004A5213"/>
    <w:rsid w:val="004A5280"/>
    <w:rsid w:val="004A56BA"/>
    <w:rsid w:val="004B0B19"/>
    <w:rsid w:val="004B140E"/>
    <w:rsid w:val="004B141A"/>
    <w:rsid w:val="004B2CDE"/>
    <w:rsid w:val="004B4B1B"/>
    <w:rsid w:val="004B4D16"/>
    <w:rsid w:val="004B513E"/>
    <w:rsid w:val="004B5CD5"/>
    <w:rsid w:val="004C062E"/>
    <w:rsid w:val="004C2C76"/>
    <w:rsid w:val="004C3C8D"/>
    <w:rsid w:val="004C45F4"/>
    <w:rsid w:val="004C529B"/>
    <w:rsid w:val="004C5DA1"/>
    <w:rsid w:val="004C740D"/>
    <w:rsid w:val="004D046E"/>
    <w:rsid w:val="004D062B"/>
    <w:rsid w:val="004D1013"/>
    <w:rsid w:val="004D1C7A"/>
    <w:rsid w:val="004D3C80"/>
    <w:rsid w:val="004D5417"/>
    <w:rsid w:val="004D5583"/>
    <w:rsid w:val="004D6798"/>
    <w:rsid w:val="004D6946"/>
    <w:rsid w:val="004D6EFF"/>
    <w:rsid w:val="004D7B61"/>
    <w:rsid w:val="004E017D"/>
    <w:rsid w:val="004E30ED"/>
    <w:rsid w:val="004E37B7"/>
    <w:rsid w:val="004E64F4"/>
    <w:rsid w:val="004E65C5"/>
    <w:rsid w:val="004F1A6F"/>
    <w:rsid w:val="004F3328"/>
    <w:rsid w:val="004F3490"/>
    <w:rsid w:val="004F3C91"/>
    <w:rsid w:val="004F4059"/>
    <w:rsid w:val="004F4476"/>
    <w:rsid w:val="004F459F"/>
    <w:rsid w:val="004F52A5"/>
    <w:rsid w:val="004F5EA8"/>
    <w:rsid w:val="004F6124"/>
    <w:rsid w:val="004F731A"/>
    <w:rsid w:val="00500525"/>
    <w:rsid w:val="00500D70"/>
    <w:rsid w:val="00501B98"/>
    <w:rsid w:val="00503071"/>
    <w:rsid w:val="0050374D"/>
    <w:rsid w:val="00504A35"/>
    <w:rsid w:val="00505B9A"/>
    <w:rsid w:val="00506D14"/>
    <w:rsid w:val="005070FC"/>
    <w:rsid w:val="00510456"/>
    <w:rsid w:val="00510B46"/>
    <w:rsid w:val="00513573"/>
    <w:rsid w:val="005148ED"/>
    <w:rsid w:val="005159AD"/>
    <w:rsid w:val="00515A22"/>
    <w:rsid w:val="00515E72"/>
    <w:rsid w:val="00517992"/>
    <w:rsid w:val="00522DA2"/>
    <w:rsid w:val="0052376F"/>
    <w:rsid w:val="005260CD"/>
    <w:rsid w:val="00526227"/>
    <w:rsid w:val="005272FE"/>
    <w:rsid w:val="00530AF5"/>
    <w:rsid w:val="005310F8"/>
    <w:rsid w:val="00531474"/>
    <w:rsid w:val="00531AAB"/>
    <w:rsid w:val="005329F3"/>
    <w:rsid w:val="005358D9"/>
    <w:rsid w:val="00536ABD"/>
    <w:rsid w:val="00537BC5"/>
    <w:rsid w:val="00537E72"/>
    <w:rsid w:val="005402AC"/>
    <w:rsid w:val="0054208D"/>
    <w:rsid w:val="00542D24"/>
    <w:rsid w:val="00543DB0"/>
    <w:rsid w:val="005444E4"/>
    <w:rsid w:val="00546368"/>
    <w:rsid w:val="00546AC1"/>
    <w:rsid w:val="00550001"/>
    <w:rsid w:val="00551BC7"/>
    <w:rsid w:val="00552235"/>
    <w:rsid w:val="005522C4"/>
    <w:rsid w:val="005558A9"/>
    <w:rsid w:val="005606A3"/>
    <w:rsid w:val="0056147C"/>
    <w:rsid w:val="005616C7"/>
    <w:rsid w:val="00561B22"/>
    <w:rsid w:val="00561C21"/>
    <w:rsid w:val="0056255D"/>
    <w:rsid w:val="00562C68"/>
    <w:rsid w:val="00564071"/>
    <w:rsid w:val="005648A2"/>
    <w:rsid w:val="005662CB"/>
    <w:rsid w:val="005724A6"/>
    <w:rsid w:val="00573E8A"/>
    <w:rsid w:val="00576A3B"/>
    <w:rsid w:val="00580CA5"/>
    <w:rsid w:val="0058364A"/>
    <w:rsid w:val="00584506"/>
    <w:rsid w:val="005847B5"/>
    <w:rsid w:val="00584FAB"/>
    <w:rsid w:val="00585381"/>
    <w:rsid w:val="00585AB9"/>
    <w:rsid w:val="00586402"/>
    <w:rsid w:val="005871A1"/>
    <w:rsid w:val="00590199"/>
    <w:rsid w:val="00590CE4"/>
    <w:rsid w:val="005910ED"/>
    <w:rsid w:val="00591A93"/>
    <w:rsid w:val="00591FB2"/>
    <w:rsid w:val="005923C6"/>
    <w:rsid w:val="00592485"/>
    <w:rsid w:val="0059248D"/>
    <w:rsid w:val="005930C6"/>
    <w:rsid w:val="0059495C"/>
    <w:rsid w:val="005A0E5A"/>
    <w:rsid w:val="005A2189"/>
    <w:rsid w:val="005A2B1E"/>
    <w:rsid w:val="005A316E"/>
    <w:rsid w:val="005A4E75"/>
    <w:rsid w:val="005A5412"/>
    <w:rsid w:val="005A590A"/>
    <w:rsid w:val="005B00B7"/>
    <w:rsid w:val="005B09BF"/>
    <w:rsid w:val="005B1EC9"/>
    <w:rsid w:val="005B4098"/>
    <w:rsid w:val="005B47A5"/>
    <w:rsid w:val="005B62DA"/>
    <w:rsid w:val="005B65B1"/>
    <w:rsid w:val="005B722E"/>
    <w:rsid w:val="005B77FB"/>
    <w:rsid w:val="005C0037"/>
    <w:rsid w:val="005C15E8"/>
    <w:rsid w:val="005C2B4A"/>
    <w:rsid w:val="005C51F6"/>
    <w:rsid w:val="005C6068"/>
    <w:rsid w:val="005D120E"/>
    <w:rsid w:val="005D5E40"/>
    <w:rsid w:val="005D6980"/>
    <w:rsid w:val="005D7AD8"/>
    <w:rsid w:val="005E2C72"/>
    <w:rsid w:val="005E3728"/>
    <w:rsid w:val="005E40FD"/>
    <w:rsid w:val="005E4BAF"/>
    <w:rsid w:val="005F01E5"/>
    <w:rsid w:val="005F05DF"/>
    <w:rsid w:val="005F0C03"/>
    <w:rsid w:val="005F0ED0"/>
    <w:rsid w:val="005F3393"/>
    <w:rsid w:val="005F4780"/>
    <w:rsid w:val="005F49E7"/>
    <w:rsid w:val="005F4D13"/>
    <w:rsid w:val="005F5FE1"/>
    <w:rsid w:val="005F72F2"/>
    <w:rsid w:val="005F798B"/>
    <w:rsid w:val="00600699"/>
    <w:rsid w:val="00600D69"/>
    <w:rsid w:val="0060130C"/>
    <w:rsid w:val="00601F8E"/>
    <w:rsid w:val="00602109"/>
    <w:rsid w:val="00602240"/>
    <w:rsid w:val="0060228A"/>
    <w:rsid w:val="00602834"/>
    <w:rsid w:val="00605158"/>
    <w:rsid w:val="00606066"/>
    <w:rsid w:val="0061035A"/>
    <w:rsid w:val="00610408"/>
    <w:rsid w:val="00613F8B"/>
    <w:rsid w:val="00614784"/>
    <w:rsid w:val="00614F33"/>
    <w:rsid w:val="006166E2"/>
    <w:rsid w:val="00616F77"/>
    <w:rsid w:val="00617BBF"/>
    <w:rsid w:val="00620FC9"/>
    <w:rsid w:val="00621CA4"/>
    <w:rsid w:val="00622D28"/>
    <w:rsid w:val="00622E75"/>
    <w:rsid w:val="006234C7"/>
    <w:rsid w:val="00623893"/>
    <w:rsid w:val="00623983"/>
    <w:rsid w:val="00623A40"/>
    <w:rsid w:val="0062472A"/>
    <w:rsid w:val="00624AB1"/>
    <w:rsid w:val="00625475"/>
    <w:rsid w:val="006277F8"/>
    <w:rsid w:val="00630CE6"/>
    <w:rsid w:val="006315A3"/>
    <w:rsid w:val="00631D80"/>
    <w:rsid w:val="00632144"/>
    <w:rsid w:val="00634A57"/>
    <w:rsid w:val="00635750"/>
    <w:rsid w:val="006378FA"/>
    <w:rsid w:val="00641652"/>
    <w:rsid w:val="00641DB6"/>
    <w:rsid w:val="006443C7"/>
    <w:rsid w:val="00644D63"/>
    <w:rsid w:val="0064696D"/>
    <w:rsid w:val="0064780F"/>
    <w:rsid w:val="00650B5C"/>
    <w:rsid w:val="00651DB6"/>
    <w:rsid w:val="00651FC3"/>
    <w:rsid w:val="00652C2C"/>
    <w:rsid w:val="00655520"/>
    <w:rsid w:val="0065594B"/>
    <w:rsid w:val="00657D41"/>
    <w:rsid w:val="0066031C"/>
    <w:rsid w:val="00660442"/>
    <w:rsid w:val="00660730"/>
    <w:rsid w:val="0066327E"/>
    <w:rsid w:val="00664017"/>
    <w:rsid w:val="006665BC"/>
    <w:rsid w:val="00667595"/>
    <w:rsid w:val="006679BD"/>
    <w:rsid w:val="006705E6"/>
    <w:rsid w:val="006708C3"/>
    <w:rsid w:val="006714B2"/>
    <w:rsid w:val="006727FC"/>
    <w:rsid w:val="00674A39"/>
    <w:rsid w:val="00677048"/>
    <w:rsid w:val="00677092"/>
    <w:rsid w:val="00681E50"/>
    <w:rsid w:val="006835B6"/>
    <w:rsid w:val="006852F8"/>
    <w:rsid w:val="006853C1"/>
    <w:rsid w:val="00686CD5"/>
    <w:rsid w:val="00686EEF"/>
    <w:rsid w:val="006907CB"/>
    <w:rsid w:val="0069342D"/>
    <w:rsid w:val="006938FB"/>
    <w:rsid w:val="00697C59"/>
    <w:rsid w:val="006A1678"/>
    <w:rsid w:val="006A298C"/>
    <w:rsid w:val="006A5482"/>
    <w:rsid w:val="006A63CD"/>
    <w:rsid w:val="006A6B0F"/>
    <w:rsid w:val="006A7B89"/>
    <w:rsid w:val="006B00DD"/>
    <w:rsid w:val="006B0EFA"/>
    <w:rsid w:val="006B3FA0"/>
    <w:rsid w:val="006C0CB9"/>
    <w:rsid w:val="006C428D"/>
    <w:rsid w:val="006C57B1"/>
    <w:rsid w:val="006C669C"/>
    <w:rsid w:val="006C79A6"/>
    <w:rsid w:val="006C7FEF"/>
    <w:rsid w:val="006D2DCA"/>
    <w:rsid w:val="006D465D"/>
    <w:rsid w:val="006D48E1"/>
    <w:rsid w:val="006D491E"/>
    <w:rsid w:val="006D4BAF"/>
    <w:rsid w:val="006D538F"/>
    <w:rsid w:val="006D7778"/>
    <w:rsid w:val="006D7AF5"/>
    <w:rsid w:val="006E2A14"/>
    <w:rsid w:val="006E43F2"/>
    <w:rsid w:val="006E52AF"/>
    <w:rsid w:val="006E5BDC"/>
    <w:rsid w:val="006E5DC1"/>
    <w:rsid w:val="006E7A95"/>
    <w:rsid w:val="006E7D37"/>
    <w:rsid w:val="006F073B"/>
    <w:rsid w:val="006F13D8"/>
    <w:rsid w:val="006F1B61"/>
    <w:rsid w:val="006F1C1A"/>
    <w:rsid w:val="006F4751"/>
    <w:rsid w:val="006F4C51"/>
    <w:rsid w:val="006F67AD"/>
    <w:rsid w:val="006F6F5C"/>
    <w:rsid w:val="006F7D6B"/>
    <w:rsid w:val="00702B69"/>
    <w:rsid w:val="00703D5E"/>
    <w:rsid w:val="00703F78"/>
    <w:rsid w:val="00705CEB"/>
    <w:rsid w:val="00705CFB"/>
    <w:rsid w:val="00706950"/>
    <w:rsid w:val="007100EB"/>
    <w:rsid w:val="00713D8B"/>
    <w:rsid w:val="007146B9"/>
    <w:rsid w:val="00715FFD"/>
    <w:rsid w:val="00716040"/>
    <w:rsid w:val="00716CFA"/>
    <w:rsid w:val="007222A6"/>
    <w:rsid w:val="007229E5"/>
    <w:rsid w:val="007246EE"/>
    <w:rsid w:val="00724907"/>
    <w:rsid w:val="00724F3F"/>
    <w:rsid w:val="0072742D"/>
    <w:rsid w:val="00727EA7"/>
    <w:rsid w:val="007307CD"/>
    <w:rsid w:val="00730E24"/>
    <w:rsid w:val="00730EE9"/>
    <w:rsid w:val="00731300"/>
    <w:rsid w:val="007322E5"/>
    <w:rsid w:val="00732A01"/>
    <w:rsid w:val="0073414A"/>
    <w:rsid w:val="00734609"/>
    <w:rsid w:val="00735057"/>
    <w:rsid w:val="007352D9"/>
    <w:rsid w:val="00735F4C"/>
    <w:rsid w:val="00736FCB"/>
    <w:rsid w:val="007410B9"/>
    <w:rsid w:val="0074235B"/>
    <w:rsid w:val="00744B4F"/>
    <w:rsid w:val="00744B8C"/>
    <w:rsid w:val="00744F8E"/>
    <w:rsid w:val="00745838"/>
    <w:rsid w:val="0074611F"/>
    <w:rsid w:val="007464F4"/>
    <w:rsid w:val="0074709C"/>
    <w:rsid w:val="00747887"/>
    <w:rsid w:val="00747D8B"/>
    <w:rsid w:val="00750F12"/>
    <w:rsid w:val="00755116"/>
    <w:rsid w:val="00756B67"/>
    <w:rsid w:val="00756D48"/>
    <w:rsid w:val="00760FCA"/>
    <w:rsid w:val="00761096"/>
    <w:rsid w:val="00761413"/>
    <w:rsid w:val="00765288"/>
    <w:rsid w:val="00765C13"/>
    <w:rsid w:val="00767CD4"/>
    <w:rsid w:val="00770A65"/>
    <w:rsid w:val="00771C72"/>
    <w:rsid w:val="0077265D"/>
    <w:rsid w:val="007751EC"/>
    <w:rsid w:val="007752AA"/>
    <w:rsid w:val="00775A1D"/>
    <w:rsid w:val="00775BE3"/>
    <w:rsid w:val="00775DA7"/>
    <w:rsid w:val="007764A9"/>
    <w:rsid w:val="0077674F"/>
    <w:rsid w:val="00783104"/>
    <w:rsid w:val="00785164"/>
    <w:rsid w:val="007856ED"/>
    <w:rsid w:val="00790586"/>
    <w:rsid w:val="0079081D"/>
    <w:rsid w:val="0079196D"/>
    <w:rsid w:val="00794E11"/>
    <w:rsid w:val="00796A85"/>
    <w:rsid w:val="00797B8B"/>
    <w:rsid w:val="00797BD7"/>
    <w:rsid w:val="007A0E56"/>
    <w:rsid w:val="007A35DF"/>
    <w:rsid w:val="007A4A3C"/>
    <w:rsid w:val="007A71F2"/>
    <w:rsid w:val="007A7C62"/>
    <w:rsid w:val="007A7F7C"/>
    <w:rsid w:val="007B12C7"/>
    <w:rsid w:val="007B13FF"/>
    <w:rsid w:val="007B2E53"/>
    <w:rsid w:val="007B3298"/>
    <w:rsid w:val="007B3671"/>
    <w:rsid w:val="007B58A6"/>
    <w:rsid w:val="007B62FE"/>
    <w:rsid w:val="007C0136"/>
    <w:rsid w:val="007C0B6B"/>
    <w:rsid w:val="007C1043"/>
    <w:rsid w:val="007C12D2"/>
    <w:rsid w:val="007C4FAD"/>
    <w:rsid w:val="007C5BCB"/>
    <w:rsid w:val="007C66B7"/>
    <w:rsid w:val="007C74B7"/>
    <w:rsid w:val="007C79E6"/>
    <w:rsid w:val="007C7DEE"/>
    <w:rsid w:val="007C7F61"/>
    <w:rsid w:val="007D03F9"/>
    <w:rsid w:val="007D0554"/>
    <w:rsid w:val="007D1DD8"/>
    <w:rsid w:val="007D2587"/>
    <w:rsid w:val="007D54ED"/>
    <w:rsid w:val="007D6043"/>
    <w:rsid w:val="007D7D45"/>
    <w:rsid w:val="007E3AF4"/>
    <w:rsid w:val="007E4F25"/>
    <w:rsid w:val="007F17D2"/>
    <w:rsid w:val="007F1A46"/>
    <w:rsid w:val="007F26CD"/>
    <w:rsid w:val="007F2B60"/>
    <w:rsid w:val="007F38B5"/>
    <w:rsid w:val="007F5E2B"/>
    <w:rsid w:val="007F5E66"/>
    <w:rsid w:val="0080032B"/>
    <w:rsid w:val="0080073D"/>
    <w:rsid w:val="00803183"/>
    <w:rsid w:val="008040A1"/>
    <w:rsid w:val="0080442E"/>
    <w:rsid w:val="00806250"/>
    <w:rsid w:val="0080641B"/>
    <w:rsid w:val="00807464"/>
    <w:rsid w:val="00811658"/>
    <w:rsid w:val="00812483"/>
    <w:rsid w:val="00812C55"/>
    <w:rsid w:val="0081353C"/>
    <w:rsid w:val="00814953"/>
    <w:rsid w:val="00816A6C"/>
    <w:rsid w:val="00817437"/>
    <w:rsid w:val="00817CA8"/>
    <w:rsid w:val="00817CD4"/>
    <w:rsid w:val="00820DA4"/>
    <w:rsid w:val="0082262B"/>
    <w:rsid w:val="0082374F"/>
    <w:rsid w:val="00824921"/>
    <w:rsid w:val="00824998"/>
    <w:rsid w:val="00824AA2"/>
    <w:rsid w:val="00827A19"/>
    <w:rsid w:val="00827FBF"/>
    <w:rsid w:val="008303D0"/>
    <w:rsid w:val="00830B90"/>
    <w:rsid w:val="00831F34"/>
    <w:rsid w:val="00833353"/>
    <w:rsid w:val="008334AF"/>
    <w:rsid w:val="00833A2A"/>
    <w:rsid w:val="008357DA"/>
    <w:rsid w:val="00835A2E"/>
    <w:rsid w:val="00840DD3"/>
    <w:rsid w:val="0084239C"/>
    <w:rsid w:val="00845029"/>
    <w:rsid w:val="008450DB"/>
    <w:rsid w:val="00845A86"/>
    <w:rsid w:val="00845E55"/>
    <w:rsid w:val="00845F0C"/>
    <w:rsid w:val="008476C1"/>
    <w:rsid w:val="00853DB1"/>
    <w:rsid w:val="00854747"/>
    <w:rsid w:val="00857E0C"/>
    <w:rsid w:val="00857F4C"/>
    <w:rsid w:val="0086171A"/>
    <w:rsid w:val="00862ED6"/>
    <w:rsid w:val="00863512"/>
    <w:rsid w:val="00870304"/>
    <w:rsid w:val="00870D84"/>
    <w:rsid w:val="008714C9"/>
    <w:rsid w:val="008720E7"/>
    <w:rsid w:val="00873CB8"/>
    <w:rsid w:val="00874C96"/>
    <w:rsid w:val="00876E76"/>
    <w:rsid w:val="00877667"/>
    <w:rsid w:val="00877C64"/>
    <w:rsid w:val="00881638"/>
    <w:rsid w:val="00882529"/>
    <w:rsid w:val="008862DB"/>
    <w:rsid w:val="00887644"/>
    <w:rsid w:val="00887C69"/>
    <w:rsid w:val="00891985"/>
    <w:rsid w:val="00896549"/>
    <w:rsid w:val="008A1A08"/>
    <w:rsid w:val="008A29E8"/>
    <w:rsid w:val="008A3B7C"/>
    <w:rsid w:val="008A4668"/>
    <w:rsid w:val="008A52BD"/>
    <w:rsid w:val="008A74AE"/>
    <w:rsid w:val="008B097B"/>
    <w:rsid w:val="008B0D57"/>
    <w:rsid w:val="008B1D62"/>
    <w:rsid w:val="008B5239"/>
    <w:rsid w:val="008B5E4D"/>
    <w:rsid w:val="008B6032"/>
    <w:rsid w:val="008B6A10"/>
    <w:rsid w:val="008B6C88"/>
    <w:rsid w:val="008B7D5E"/>
    <w:rsid w:val="008C1625"/>
    <w:rsid w:val="008C1810"/>
    <w:rsid w:val="008C3377"/>
    <w:rsid w:val="008C39B4"/>
    <w:rsid w:val="008C488F"/>
    <w:rsid w:val="008D051F"/>
    <w:rsid w:val="008D0972"/>
    <w:rsid w:val="008D1638"/>
    <w:rsid w:val="008D23A0"/>
    <w:rsid w:val="008D2A1B"/>
    <w:rsid w:val="008D3BD4"/>
    <w:rsid w:val="008D3D05"/>
    <w:rsid w:val="008D4648"/>
    <w:rsid w:val="008D619E"/>
    <w:rsid w:val="008D64DB"/>
    <w:rsid w:val="008D76D5"/>
    <w:rsid w:val="008D7C32"/>
    <w:rsid w:val="008E0297"/>
    <w:rsid w:val="008E0C6C"/>
    <w:rsid w:val="008E1805"/>
    <w:rsid w:val="008E2CED"/>
    <w:rsid w:val="008E4707"/>
    <w:rsid w:val="008E4E5B"/>
    <w:rsid w:val="008E54AA"/>
    <w:rsid w:val="008E7E31"/>
    <w:rsid w:val="008F03FD"/>
    <w:rsid w:val="008F05DB"/>
    <w:rsid w:val="008F0F7B"/>
    <w:rsid w:val="008F1CEC"/>
    <w:rsid w:val="008F236D"/>
    <w:rsid w:val="008F28D0"/>
    <w:rsid w:val="008F373F"/>
    <w:rsid w:val="008F5B4E"/>
    <w:rsid w:val="0090028F"/>
    <w:rsid w:val="00900F79"/>
    <w:rsid w:val="00904051"/>
    <w:rsid w:val="0090465C"/>
    <w:rsid w:val="009046DF"/>
    <w:rsid w:val="0090493F"/>
    <w:rsid w:val="00904A2A"/>
    <w:rsid w:val="0090530B"/>
    <w:rsid w:val="00906556"/>
    <w:rsid w:val="00907193"/>
    <w:rsid w:val="00910C6B"/>
    <w:rsid w:val="009119C8"/>
    <w:rsid w:val="00911B91"/>
    <w:rsid w:val="00912CB7"/>
    <w:rsid w:val="00912E32"/>
    <w:rsid w:val="009131F1"/>
    <w:rsid w:val="0091455E"/>
    <w:rsid w:val="0091547D"/>
    <w:rsid w:val="0091734B"/>
    <w:rsid w:val="009179BF"/>
    <w:rsid w:val="00920657"/>
    <w:rsid w:val="00921ACA"/>
    <w:rsid w:val="009221AD"/>
    <w:rsid w:val="0092359B"/>
    <w:rsid w:val="00925A6C"/>
    <w:rsid w:val="00930FAD"/>
    <w:rsid w:val="009317AF"/>
    <w:rsid w:val="00933A54"/>
    <w:rsid w:val="00934F0D"/>
    <w:rsid w:val="009350AA"/>
    <w:rsid w:val="009356A3"/>
    <w:rsid w:val="00935EED"/>
    <w:rsid w:val="00940309"/>
    <w:rsid w:val="00940CA2"/>
    <w:rsid w:val="00940CCF"/>
    <w:rsid w:val="00944DDE"/>
    <w:rsid w:val="00945970"/>
    <w:rsid w:val="00946623"/>
    <w:rsid w:val="00946B5A"/>
    <w:rsid w:val="0095092E"/>
    <w:rsid w:val="00952705"/>
    <w:rsid w:val="00952750"/>
    <w:rsid w:val="00952CF1"/>
    <w:rsid w:val="009534BF"/>
    <w:rsid w:val="00953EEE"/>
    <w:rsid w:val="0095766D"/>
    <w:rsid w:val="00957F7F"/>
    <w:rsid w:val="009609A2"/>
    <w:rsid w:val="00962F6F"/>
    <w:rsid w:val="0096343C"/>
    <w:rsid w:val="00963880"/>
    <w:rsid w:val="0096477B"/>
    <w:rsid w:val="00964B69"/>
    <w:rsid w:val="00964ED5"/>
    <w:rsid w:val="009657B8"/>
    <w:rsid w:val="0096585F"/>
    <w:rsid w:val="00970734"/>
    <w:rsid w:val="00970E7A"/>
    <w:rsid w:val="009717D3"/>
    <w:rsid w:val="00971E83"/>
    <w:rsid w:val="009726D2"/>
    <w:rsid w:val="00980D2E"/>
    <w:rsid w:val="009829FC"/>
    <w:rsid w:val="00983338"/>
    <w:rsid w:val="0098366D"/>
    <w:rsid w:val="00986062"/>
    <w:rsid w:val="0099096A"/>
    <w:rsid w:val="00990A40"/>
    <w:rsid w:val="00990D0D"/>
    <w:rsid w:val="009936C9"/>
    <w:rsid w:val="0099399A"/>
    <w:rsid w:val="0099760F"/>
    <w:rsid w:val="009A05B3"/>
    <w:rsid w:val="009A4EC5"/>
    <w:rsid w:val="009A5F61"/>
    <w:rsid w:val="009A6E59"/>
    <w:rsid w:val="009B0111"/>
    <w:rsid w:val="009B095F"/>
    <w:rsid w:val="009B1337"/>
    <w:rsid w:val="009B30D3"/>
    <w:rsid w:val="009B3269"/>
    <w:rsid w:val="009B36A0"/>
    <w:rsid w:val="009B5925"/>
    <w:rsid w:val="009B627D"/>
    <w:rsid w:val="009B6AB8"/>
    <w:rsid w:val="009C0D6A"/>
    <w:rsid w:val="009C0FD6"/>
    <w:rsid w:val="009C11A6"/>
    <w:rsid w:val="009C582F"/>
    <w:rsid w:val="009C6925"/>
    <w:rsid w:val="009D37B4"/>
    <w:rsid w:val="009D4A91"/>
    <w:rsid w:val="009D5431"/>
    <w:rsid w:val="009D5A5E"/>
    <w:rsid w:val="009E014E"/>
    <w:rsid w:val="009E0AFA"/>
    <w:rsid w:val="009E0B41"/>
    <w:rsid w:val="009E127A"/>
    <w:rsid w:val="009E27C6"/>
    <w:rsid w:val="009E6C5C"/>
    <w:rsid w:val="009E7642"/>
    <w:rsid w:val="009F0649"/>
    <w:rsid w:val="009F08B8"/>
    <w:rsid w:val="009F0D52"/>
    <w:rsid w:val="009F0E99"/>
    <w:rsid w:val="009F1832"/>
    <w:rsid w:val="009F2235"/>
    <w:rsid w:val="009F3596"/>
    <w:rsid w:val="009F4076"/>
    <w:rsid w:val="009F4890"/>
    <w:rsid w:val="009F58ED"/>
    <w:rsid w:val="009F752B"/>
    <w:rsid w:val="009F761F"/>
    <w:rsid w:val="009F7EE0"/>
    <w:rsid w:val="00A00CD8"/>
    <w:rsid w:val="00A02A92"/>
    <w:rsid w:val="00A03B8D"/>
    <w:rsid w:val="00A03DBA"/>
    <w:rsid w:val="00A04243"/>
    <w:rsid w:val="00A11F8B"/>
    <w:rsid w:val="00A13837"/>
    <w:rsid w:val="00A13BD9"/>
    <w:rsid w:val="00A14384"/>
    <w:rsid w:val="00A14596"/>
    <w:rsid w:val="00A14B72"/>
    <w:rsid w:val="00A161B0"/>
    <w:rsid w:val="00A24967"/>
    <w:rsid w:val="00A26177"/>
    <w:rsid w:val="00A26BD8"/>
    <w:rsid w:val="00A27C83"/>
    <w:rsid w:val="00A36CFD"/>
    <w:rsid w:val="00A37AB7"/>
    <w:rsid w:val="00A41BD9"/>
    <w:rsid w:val="00A50DFC"/>
    <w:rsid w:val="00A51D9E"/>
    <w:rsid w:val="00A53823"/>
    <w:rsid w:val="00A53B1D"/>
    <w:rsid w:val="00A546DD"/>
    <w:rsid w:val="00A55B90"/>
    <w:rsid w:val="00A562D8"/>
    <w:rsid w:val="00A56F35"/>
    <w:rsid w:val="00A74949"/>
    <w:rsid w:val="00A761FD"/>
    <w:rsid w:val="00A769AD"/>
    <w:rsid w:val="00A76E45"/>
    <w:rsid w:val="00A777F2"/>
    <w:rsid w:val="00A85F74"/>
    <w:rsid w:val="00A8666B"/>
    <w:rsid w:val="00A8689C"/>
    <w:rsid w:val="00A86B74"/>
    <w:rsid w:val="00A87780"/>
    <w:rsid w:val="00A90B9E"/>
    <w:rsid w:val="00A90E37"/>
    <w:rsid w:val="00A91551"/>
    <w:rsid w:val="00A92FDB"/>
    <w:rsid w:val="00A930C2"/>
    <w:rsid w:val="00A94792"/>
    <w:rsid w:val="00A94B24"/>
    <w:rsid w:val="00A94F3E"/>
    <w:rsid w:val="00A95A5E"/>
    <w:rsid w:val="00A96096"/>
    <w:rsid w:val="00A96FF5"/>
    <w:rsid w:val="00A9723E"/>
    <w:rsid w:val="00AA008E"/>
    <w:rsid w:val="00AA0415"/>
    <w:rsid w:val="00AA07AA"/>
    <w:rsid w:val="00AA13C4"/>
    <w:rsid w:val="00AA2743"/>
    <w:rsid w:val="00AA3C9A"/>
    <w:rsid w:val="00AA5050"/>
    <w:rsid w:val="00AA5FFC"/>
    <w:rsid w:val="00AA7A13"/>
    <w:rsid w:val="00AB0996"/>
    <w:rsid w:val="00AB0B7B"/>
    <w:rsid w:val="00AB0BE8"/>
    <w:rsid w:val="00AB0EF6"/>
    <w:rsid w:val="00AB18EE"/>
    <w:rsid w:val="00AB1F8A"/>
    <w:rsid w:val="00AB2751"/>
    <w:rsid w:val="00AB4B4B"/>
    <w:rsid w:val="00AB6E69"/>
    <w:rsid w:val="00AB746D"/>
    <w:rsid w:val="00AB7AA7"/>
    <w:rsid w:val="00AC048B"/>
    <w:rsid w:val="00AC0E25"/>
    <w:rsid w:val="00AC1389"/>
    <w:rsid w:val="00AC2B8D"/>
    <w:rsid w:val="00AC2F46"/>
    <w:rsid w:val="00AC5915"/>
    <w:rsid w:val="00AC5AF8"/>
    <w:rsid w:val="00AC63EA"/>
    <w:rsid w:val="00AC6A80"/>
    <w:rsid w:val="00AC74FB"/>
    <w:rsid w:val="00AC770E"/>
    <w:rsid w:val="00AD0284"/>
    <w:rsid w:val="00AD1509"/>
    <w:rsid w:val="00AD6779"/>
    <w:rsid w:val="00AD6A8D"/>
    <w:rsid w:val="00AE1894"/>
    <w:rsid w:val="00AE26C3"/>
    <w:rsid w:val="00AE2980"/>
    <w:rsid w:val="00AE43FF"/>
    <w:rsid w:val="00AE60E1"/>
    <w:rsid w:val="00AE6339"/>
    <w:rsid w:val="00AE69C7"/>
    <w:rsid w:val="00AE6BA6"/>
    <w:rsid w:val="00AE7B49"/>
    <w:rsid w:val="00AF127D"/>
    <w:rsid w:val="00AF1820"/>
    <w:rsid w:val="00AF1BED"/>
    <w:rsid w:val="00AF3436"/>
    <w:rsid w:val="00AF4347"/>
    <w:rsid w:val="00AF483F"/>
    <w:rsid w:val="00AF4F1E"/>
    <w:rsid w:val="00AF623A"/>
    <w:rsid w:val="00AF7E84"/>
    <w:rsid w:val="00AF7F54"/>
    <w:rsid w:val="00B00D12"/>
    <w:rsid w:val="00B01ED2"/>
    <w:rsid w:val="00B022DD"/>
    <w:rsid w:val="00B0288A"/>
    <w:rsid w:val="00B029AD"/>
    <w:rsid w:val="00B02F83"/>
    <w:rsid w:val="00B03024"/>
    <w:rsid w:val="00B037BB"/>
    <w:rsid w:val="00B05CBF"/>
    <w:rsid w:val="00B05DA0"/>
    <w:rsid w:val="00B0699A"/>
    <w:rsid w:val="00B123EF"/>
    <w:rsid w:val="00B1260A"/>
    <w:rsid w:val="00B1267B"/>
    <w:rsid w:val="00B12A13"/>
    <w:rsid w:val="00B12D24"/>
    <w:rsid w:val="00B13EEC"/>
    <w:rsid w:val="00B15058"/>
    <w:rsid w:val="00B15522"/>
    <w:rsid w:val="00B168D9"/>
    <w:rsid w:val="00B209FA"/>
    <w:rsid w:val="00B22A4A"/>
    <w:rsid w:val="00B22F60"/>
    <w:rsid w:val="00B26B87"/>
    <w:rsid w:val="00B26D66"/>
    <w:rsid w:val="00B26F1E"/>
    <w:rsid w:val="00B312F6"/>
    <w:rsid w:val="00B32D50"/>
    <w:rsid w:val="00B338FF"/>
    <w:rsid w:val="00B33918"/>
    <w:rsid w:val="00B33D63"/>
    <w:rsid w:val="00B40213"/>
    <w:rsid w:val="00B40770"/>
    <w:rsid w:val="00B432FF"/>
    <w:rsid w:val="00B45028"/>
    <w:rsid w:val="00B461BB"/>
    <w:rsid w:val="00B52D91"/>
    <w:rsid w:val="00B546BC"/>
    <w:rsid w:val="00B54DAE"/>
    <w:rsid w:val="00B55228"/>
    <w:rsid w:val="00B55258"/>
    <w:rsid w:val="00B61130"/>
    <w:rsid w:val="00B62D6D"/>
    <w:rsid w:val="00B67707"/>
    <w:rsid w:val="00B71CEA"/>
    <w:rsid w:val="00B73374"/>
    <w:rsid w:val="00B73493"/>
    <w:rsid w:val="00B75272"/>
    <w:rsid w:val="00B76699"/>
    <w:rsid w:val="00B8292D"/>
    <w:rsid w:val="00B85E89"/>
    <w:rsid w:val="00B86230"/>
    <w:rsid w:val="00B8699C"/>
    <w:rsid w:val="00B910DD"/>
    <w:rsid w:val="00B927CC"/>
    <w:rsid w:val="00B92D3A"/>
    <w:rsid w:val="00B92F7C"/>
    <w:rsid w:val="00B9354F"/>
    <w:rsid w:val="00B9495A"/>
    <w:rsid w:val="00B95F05"/>
    <w:rsid w:val="00BA3CB2"/>
    <w:rsid w:val="00BA5500"/>
    <w:rsid w:val="00BA6660"/>
    <w:rsid w:val="00BB08F7"/>
    <w:rsid w:val="00BB1FF4"/>
    <w:rsid w:val="00BB20E4"/>
    <w:rsid w:val="00BB3599"/>
    <w:rsid w:val="00BB3964"/>
    <w:rsid w:val="00BB5B5C"/>
    <w:rsid w:val="00BB6204"/>
    <w:rsid w:val="00BC3B85"/>
    <w:rsid w:val="00BC4B8B"/>
    <w:rsid w:val="00BC6121"/>
    <w:rsid w:val="00BC702A"/>
    <w:rsid w:val="00BC7D31"/>
    <w:rsid w:val="00BD0534"/>
    <w:rsid w:val="00BD0E61"/>
    <w:rsid w:val="00BD1711"/>
    <w:rsid w:val="00BD1E09"/>
    <w:rsid w:val="00BD35EA"/>
    <w:rsid w:val="00BD5077"/>
    <w:rsid w:val="00BD6EBC"/>
    <w:rsid w:val="00BE06A1"/>
    <w:rsid w:val="00BE1A2E"/>
    <w:rsid w:val="00BE2D9A"/>
    <w:rsid w:val="00BE4773"/>
    <w:rsid w:val="00BE47F2"/>
    <w:rsid w:val="00BE4D94"/>
    <w:rsid w:val="00BE543E"/>
    <w:rsid w:val="00BE71F1"/>
    <w:rsid w:val="00BF0FA0"/>
    <w:rsid w:val="00BF1B33"/>
    <w:rsid w:val="00BF5593"/>
    <w:rsid w:val="00BF5739"/>
    <w:rsid w:val="00BF583D"/>
    <w:rsid w:val="00BF68C4"/>
    <w:rsid w:val="00BF7109"/>
    <w:rsid w:val="00BF7CDE"/>
    <w:rsid w:val="00C00448"/>
    <w:rsid w:val="00C01C6D"/>
    <w:rsid w:val="00C02D2A"/>
    <w:rsid w:val="00C03F28"/>
    <w:rsid w:val="00C05336"/>
    <w:rsid w:val="00C056E9"/>
    <w:rsid w:val="00C05BB9"/>
    <w:rsid w:val="00C06251"/>
    <w:rsid w:val="00C07A71"/>
    <w:rsid w:val="00C07D22"/>
    <w:rsid w:val="00C1090B"/>
    <w:rsid w:val="00C1299E"/>
    <w:rsid w:val="00C133D2"/>
    <w:rsid w:val="00C154C5"/>
    <w:rsid w:val="00C15CBD"/>
    <w:rsid w:val="00C167BB"/>
    <w:rsid w:val="00C20A2B"/>
    <w:rsid w:val="00C2254E"/>
    <w:rsid w:val="00C23226"/>
    <w:rsid w:val="00C246DF"/>
    <w:rsid w:val="00C26E19"/>
    <w:rsid w:val="00C27390"/>
    <w:rsid w:val="00C3077E"/>
    <w:rsid w:val="00C337A5"/>
    <w:rsid w:val="00C34628"/>
    <w:rsid w:val="00C350DA"/>
    <w:rsid w:val="00C3599E"/>
    <w:rsid w:val="00C35A03"/>
    <w:rsid w:val="00C37B8E"/>
    <w:rsid w:val="00C412DD"/>
    <w:rsid w:val="00C416C7"/>
    <w:rsid w:val="00C42736"/>
    <w:rsid w:val="00C44342"/>
    <w:rsid w:val="00C46277"/>
    <w:rsid w:val="00C46C79"/>
    <w:rsid w:val="00C526DD"/>
    <w:rsid w:val="00C52784"/>
    <w:rsid w:val="00C52CB9"/>
    <w:rsid w:val="00C5576D"/>
    <w:rsid w:val="00C55C67"/>
    <w:rsid w:val="00C56D20"/>
    <w:rsid w:val="00C57578"/>
    <w:rsid w:val="00C57ABB"/>
    <w:rsid w:val="00C57E0F"/>
    <w:rsid w:val="00C60A63"/>
    <w:rsid w:val="00C62420"/>
    <w:rsid w:val="00C665E8"/>
    <w:rsid w:val="00C665F2"/>
    <w:rsid w:val="00C674D7"/>
    <w:rsid w:val="00C71954"/>
    <w:rsid w:val="00C72010"/>
    <w:rsid w:val="00C72568"/>
    <w:rsid w:val="00C72A90"/>
    <w:rsid w:val="00C73EE9"/>
    <w:rsid w:val="00C74253"/>
    <w:rsid w:val="00C74BD4"/>
    <w:rsid w:val="00C75348"/>
    <w:rsid w:val="00C760E7"/>
    <w:rsid w:val="00C76C5E"/>
    <w:rsid w:val="00C7790F"/>
    <w:rsid w:val="00C77E99"/>
    <w:rsid w:val="00C77F66"/>
    <w:rsid w:val="00C808ED"/>
    <w:rsid w:val="00C8113C"/>
    <w:rsid w:val="00C8343A"/>
    <w:rsid w:val="00C83CB1"/>
    <w:rsid w:val="00C84CCC"/>
    <w:rsid w:val="00C85CFD"/>
    <w:rsid w:val="00C87688"/>
    <w:rsid w:val="00C91075"/>
    <w:rsid w:val="00C91B04"/>
    <w:rsid w:val="00C92E02"/>
    <w:rsid w:val="00C93044"/>
    <w:rsid w:val="00C93164"/>
    <w:rsid w:val="00C933D8"/>
    <w:rsid w:val="00C946FE"/>
    <w:rsid w:val="00C94DAE"/>
    <w:rsid w:val="00C96B7F"/>
    <w:rsid w:val="00C97748"/>
    <w:rsid w:val="00C97A02"/>
    <w:rsid w:val="00CA04AB"/>
    <w:rsid w:val="00CA4899"/>
    <w:rsid w:val="00CA53BC"/>
    <w:rsid w:val="00CA6B46"/>
    <w:rsid w:val="00CA7ED5"/>
    <w:rsid w:val="00CB320C"/>
    <w:rsid w:val="00CB32F9"/>
    <w:rsid w:val="00CB4639"/>
    <w:rsid w:val="00CB4DDA"/>
    <w:rsid w:val="00CB5445"/>
    <w:rsid w:val="00CB709D"/>
    <w:rsid w:val="00CC120E"/>
    <w:rsid w:val="00CC1C7C"/>
    <w:rsid w:val="00CC215F"/>
    <w:rsid w:val="00CC28CC"/>
    <w:rsid w:val="00CC3D2A"/>
    <w:rsid w:val="00CC3E06"/>
    <w:rsid w:val="00CC47C4"/>
    <w:rsid w:val="00CC67ED"/>
    <w:rsid w:val="00CC6BC2"/>
    <w:rsid w:val="00CC7411"/>
    <w:rsid w:val="00CD097F"/>
    <w:rsid w:val="00CD0FA8"/>
    <w:rsid w:val="00CD12B0"/>
    <w:rsid w:val="00CD492B"/>
    <w:rsid w:val="00CD5082"/>
    <w:rsid w:val="00CD5CB1"/>
    <w:rsid w:val="00CD6446"/>
    <w:rsid w:val="00CD6809"/>
    <w:rsid w:val="00CD6A6B"/>
    <w:rsid w:val="00CD709E"/>
    <w:rsid w:val="00CD7625"/>
    <w:rsid w:val="00CE07FB"/>
    <w:rsid w:val="00CE1467"/>
    <w:rsid w:val="00CE2BDA"/>
    <w:rsid w:val="00CE2E6F"/>
    <w:rsid w:val="00CE391E"/>
    <w:rsid w:val="00CE3A10"/>
    <w:rsid w:val="00CE42F1"/>
    <w:rsid w:val="00CE4954"/>
    <w:rsid w:val="00CE5312"/>
    <w:rsid w:val="00CE60F2"/>
    <w:rsid w:val="00CE6E5B"/>
    <w:rsid w:val="00CF664E"/>
    <w:rsid w:val="00CF7383"/>
    <w:rsid w:val="00CF7FA2"/>
    <w:rsid w:val="00D00048"/>
    <w:rsid w:val="00D01302"/>
    <w:rsid w:val="00D01EF2"/>
    <w:rsid w:val="00D04416"/>
    <w:rsid w:val="00D054F4"/>
    <w:rsid w:val="00D056CF"/>
    <w:rsid w:val="00D05787"/>
    <w:rsid w:val="00D06E08"/>
    <w:rsid w:val="00D101C2"/>
    <w:rsid w:val="00D1035A"/>
    <w:rsid w:val="00D11254"/>
    <w:rsid w:val="00D13819"/>
    <w:rsid w:val="00D159CF"/>
    <w:rsid w:val="00D161ED"/>
    <w:rsid w:val="00D21784"/>
    <w:rsid w:val="00D21A29"/>
    <w:rsid w:val="00D22027"/>
    <w:rsid w:val="00D22342"/>
    <w:rsid w:val="00D223B8"/>
    <w:rsid w:val="00D23175"/>
    <w:rsid w:val="00D24493"/>
    <w:rsid w:val="00D25608"/>
    <w:rsid w:val="00D25AAD"/>
    <w:rsid w:val="00D25B11"/>
    <w:rsid w:val="00D262FD"/>
    <w:rsid w:val="00D26DEF"/>
    <w:rsid w:val="00D308A8"/>
    <w:rsid w:val="00D313E5"/>
    <w:rsid w:val="00D318AD"/>
    <w:rsid w:val="00D33567"/>
    <w:rsid w:val="00D33ED5"/>
    <w:rsid w:val="00D35515"/>
    <w:rsid w:val="00D41CE9"/>
    <w:rsid w:val="00D426FA"/>
    <w:rsid w:val="00D42A26"/>
    <w:rsid w:val="00D4374B"/>
    <w:rsid w:val="00D46E1D"/>
    <w:rsid w:val="00D53F6C"/>
    <w:rsid w:val="00D5462E"/>
    <w:rsid w:val="00D54BFE"/>
    <w:rsid w:val="00D55407"/>
    <w:rsid w:val="00D55B67"/>
    <w:rsid w:val="00D55B74"/>
    <w:rsid w:val="00D56E2C"/>
    <w:rsid w:val="00D571A4"/>
    <w:rsid w:val="00D616B9"/>
    <w:rsid w:val="00D6337E"/>
    <w:rsid w:val="00D6375C"/>
    <w:rsid w:val="00D64971"/>
    <w:rsid w:val="00D6703A"/>
    <w:rsid w:val="00D6780D"/>
    <w:rsid w:val="00D7041D"/>
    <w:rsid w:val="00D708CE"/>
    <w:rsid w:val="00D71312"/>
    <w:rsid w:val="00D717D3"/>
    <w:rsid w:val="00D71A1C"/>
    <w:rsid w:val="00D7211A"/>
    <w:rsid w:val="00D72B35"/>
    <w:rsid w:val="00D77F1A"/>
    <w:rsid w:val="00D8072C"/>
    <w:rsid w:val="00D82F2B"/>
    <w:rsid w:val="00D85E1A"/>
    <w:rsid w:val="00D8669E"/>
    <w:rsid w:val="00D87EEA"/>
    <w:rsid w:val="00D9031F"/>
    <w:rsid w:val="00D90642"/>
    <w:rsid w:val="00D90A65"/>
    <w:rsid w:val="00D91DD5"/>
    <w:rsid w:val="00D92691"/>
    <w:rsid w:val="00D95AA5"/>
    <w:rsid w:val="00D96EBF"/>
    <w:rsid w:val="00D9735F"/>
    <w:rsid w:val="00DA11F6"/>
    <w:rsid w:val="00DA1389"/>
    <w:rsid w:val="00DA1D88"/>
    <w:rsid w:val="00DA2763"/>
    <w:rsid w:val="00DA55F1"/>
    <w:rsid w:val="00DA7BB2"/>
    <w:rsid w:val="00DB0808"/>
    <w:rsid w:val="00DB096F"/>
    <w:rsid w:val="00DB13C0"/>
    <w:rsid w:val="00DB2252"/>
    <w:rsid w:val="00DB6644"/>
    <w:rsid w:val="00DB689A"/>
    <w:rsid w:val="00DB7F89"/>
    <w:rsid w:val="00DC048A"/>
    <w:rsid w:val="00DC0D1C"/>
    <w:rsid w:val="00DC2DC1"/>
    <w:rsid w:val="00DC5C46"/>
    <w:rsid w:val="00DD0832"/>
    <w:rsid w:val="00DD0F98"/>
    <w:rsid w:val="00DD5CEA"/>
    <w:rsid w:val="00DD69AE"/>
    <w:rsid w:val="00DD6A89"/>
    <w:rsid w:val="00DE0132"/>
    <w:rsid w:val="00DE1B41"/>
    <w:rsid w:val="00DE1D58"/>
    <w:rsid w:val="00DE2AAD"/>
    <w:rsid w:val="00DE2AAF"/>
    <w:rsid w:val="00DE5EA7"/>
    <w:rsid w:val="00DE6C45"/>
    <w:rsid w:val="00DE7DA8"/>
    <w:rsid w:val="00DF12AF"/>
    <w:rsid w:val="00DF2114"/>
    <w:rsid w:val="00DF59C0"/>
    <w:rsid w:val="00DF5A00"/>
    <w:rsid w:val="00DF61AA"/>
    <w:rsid w:val="00DF6283"/>
    <w:rsid w:val="00DF73F6"/>
    <w:rsid w:val="00E0135A"/>
    <w:rsid w:val="00E01EC2"/>
    <w:rsid w:val="00E022F1"/>
    <w:rsid w:val="00E02832"/>
    <w:rsid w:val="00E02D3C"/>
    <w:rsid w:val="00E04D73"/>
    <w:rsid w:val="00E07D67"/>
    <w:rsid w:val="00E10618"/>
    <w:rsid w:val="00E11844"/>
    <w:rsid w:val="00E12A3F"/>
    <w:rsid w:val="00E12B70"/>
    <w:rsid w:val="00E1441A"/>
    <w:rsid w:val="00E167D3"/>
    <w:rsid w:val="00E17CE9"/>
    <w:rsid w:val="00E21C8A"/>
    <w:rsid w:val="00E25757"/>
    <w:rsid w:val="00E2761E"/>
    <w:rsid w:val="00E301D3"/>
    <w:rsid w:val="00E33E7A"/>
    <w:rsid w:val="00E36AC0"/>
    <w:rsid w:val="00E36CA8"/>
    <w:rsid w:val="00E375D0"/>
    <w:rsid w:val="00E37D5D"/>
    <w:rsid w:val="00E4603E"/>
    <w:rsid w:val="00E52765"/>
    <w:rsid w:val="00E53047"/>
    <w:rsid w:val="00E549F9"/>
    <w:rsid w:val="00E564E5"/>
    <w:rsid w:val="00E57542"/>
    <w:rsid w:val="00E606DA"/>
    <w:rsid w:val="00E608B4"/>
    <w:rsid w:val="00E62077"/>
    <w:rsid w:val="00E631AE"/>
    <w:rsid w:val="00E6362B"/>
    <w:rsid w:val="00E63F21"/>
    <w:rsid w:val="00E64502"/>
    <w:rsid w:val="00E671DE"/>
    <w:rsid w:val="00E678A6"/>
    <w:rsid w:val="00E70768"/>
    <w:rsid w:val="00E70B73"/>
    <w:rsid w:val="00E721AA"/>
    <w:rsid w:val="00E729EE"/>
    <w:rsid w:val="00E74BF9"/>
    <w:rsid w:val="00E75D5B"/>
    <w:rsid w:val="00E762C6"/>
    <w:rsid w:val="00E76858"/>
    <w:rsid w:val="00E76E38"/>
    <w:rsid w:val="00E77039"/>
    <w:rsid w:val="00E803CB"/>
    <w:rsid w:val="00E803D1"/>
    <w:rsid w:val="00E81580"/>
    <w:rsid w:val="00E83B7D"/>
    <w:rsid w:val="00E83E65"/>
    <w:rsid w:val="00E8565D"/>
    <w:rsid w:val="00E86070"/>
    <w:rsid w:val="00E86AE6"/>
    <w:rsid w:val="00E9026B"/>
    <w:rsid w:val="00E9093D"/>
    <w:rsid w:val="00E90B33"/>
    <w:rsid w:val="00E91A32"/>
    <w:rsid w:val="00E92783"/>
    <w:rsid w:val="00E92A81"/>
    <w:rsid w:val="00E933E6"/>
    <w:rsid w:val="00E950DD"/>
    <w:rsid w:val="00E9695C"/>
    <w:rsid w:val="00E977FB"/>
    <w:rsid w:val="00E97D9F"/>
    <w:rsid w:val="00EA20D4"/>
    <w:rsid w:val="00EA21DD"/>
    <w:rsid w:val="00EA3D5C"/>
    <w:rsid w:val="00EA5555"/>
    <w:rsid w:val="00EA5705"/>
    <w:rsid w:val="00EA5DE0"/>
    <w:rsid w:val="00EA5F98"/>
    <w:rsid w:val="00EA68A3"/>
    <w:rsid w:val="00EB0362"/>
    <w:rsid w:val="00EB187B"/>
    <w:rsid w:val="00EB18AF"/>
    <w:rsid w:val="00EB1AE9"/>
    <w:rsid w:val="00EB22F2"/>
    <w:rsid w:val="00EB2E38"/>
    <w:rsid w:val="00EB2E44"/>
    <w:rsid w:val="00EB4EAD"/>
    <w:rsid w:val="00EB5F15"/>
    <w:rsid w:val="00EB60BF"/>
    <w:rsid w:val="00EC0E97"/>
    <w:rsid w:val="00EC34CE"/>
    <w:rsid w:val="00EC4186"/>
    <w:rsid w:val="00EC5558"/>
    <w:rsid w:val="00EC6990"/>
    <w:rsid w:val="00EC6AC0"/>
    <w:rsid w:val="00EC6B8A"/>
    <w:rsid w:val="00EC7ABB"/>
    <w:rsid w:val="00EC7D69"/>
    <w:rsid w:val="00ED1F59"/>
    <w:rsid w:val="00ED20CA"/>
    <w:rsid w:val="00ED453C"/>
    <w:rsid w:val="00ED53FB"/>
    <w:rsid w:val="00ED5521"/>
    <w:rsid w:val="00ED62BC"/>
    <w:rsid w:val="00ED69AD"/>
    <w:rsid w:val="00ED6EAD"/>
    <w:rsid w:val="00ED6EE5"/>
    <w:rsid w:val="00EE0B4B"/>
    <w:rsid w:val="00EE3A00"/>
    <w:rsid w:val="00EE4406"/>
    <w:rsid w:val="00EE51B5"/>
    <w:rsid w:val="00EE58D3"/>
    <w:rsid w:val="00EE7A30"/>
    <w:rsid w:val="00EF24BD"/>
    <w:rsid w:val="00EF49FD"/>
    <w:rsid w:val="00EF5FA5"/>
    <w:rsid w:val="00F00299"/>
    <w:rsid w:val="00F02D74"/>
    <w:rsid w:val="00F02E14"/>
    <w:rsid w:val="00F05730"/>
    <w:rsid w:val="00F060AD"/>
    <w:rsid w:val="00F06476"/>
    <w:rsid w:val="00F11485"/>
    <w:rsid w:val="00F11BD3"/>
    <w:rsid w:val="00F11C4C"/>
    <w:rsid w:val="00F132E1"/>
    <w:rsid w:val="00F13634"/>
    <w:rsid w:val="00F13C6D"/>
    <w:rsid w:val="00F14CB2"/>
    <w:rsid w:val="00F15578"/>
    <w:rsid w:val="00F15A4E"/>
    <w:rsid w:val="00F15DCF"/>
    <w:rsid w:val="00F16356"/>
    <w:rsid w:val="00F168C2"/>
    <w:rsid w:val="00F17573"/>
    <w:rsid w:val="00F17AC2"/>
    <w:rsid w:val="00F2123A"/>
    <w:rsid w:val="00F216E6"/>
    <w:rsid w:val="00F21DEC"/>
    <w:rsid w:val="00F25BC7"/>
    <w:rsid w:val="00F27532"/>
    <w:rsid w:val="00F30BF7"/>
    <w:rsid w:val="00F3544E"/>
    <w:rsid w:val="00F36D75"/>
    <w:rsid w:val="00F439CA"/>
    <w:rsid w:val="00F451E9"/>
    <w:rsid w:val="00F45431"/>
    <w:rsid w:val="00F455CC"/>
    <w:rsid w:val="00F4660A"/>
    <w:rsid w:val="00F5020C"/>
    <w:rsid w:val="00F52075"/>
    <w:rsid w:val="00F53B93"/>
    <w:rsid w:val="00F57217"/>
    <w:rsid w:val="00F6019E"/>
    <w:rsid w:val="00F60C9B"/>
    <w:rsid w:val="00F6109D"/>
    <w:rsid w:val="00F61E89"/>
    <w:rsid w:val="00F61F7A"/>
    <w:rsid w:val="00F624B2"/>
    <w:rsid w:val="00F628ED"/>
    <w:rsid w:val="00F62C65"/>
    <w:rsid w:val="00F6453B"/>
    <w:rsid w:val="00F64967"/>
    <w:rsid w:val="00F659DE"/>
    <w:rsid w:val="00F671D7"/>
    <w:rsid w:val="00F73FB8"/>
    <w:rsid w:val="00F74AA1"/>
    <w:rsid w:val="00F74AA8"/>
    <w:rsid w:val="00F760F6"/>
    <w:rsid w:val="00F76F25"/>
    <w:rsid w:val="00F77157"/>
    <w:rsid w:val="00F8172E"/>
    <w:rsid w:val="00F832EC"/>
    <w:rsid w:val="00F87508"/>
    <w:rsid w:val="00F90371"/>
    <w:rsid w:val="00F9086A"/>
    <w:rsid w:val="00F917EB"/>
    <w:rsid w:val="00F91C1F"/>
    <w:rsid w:val="00F91F5F"/>
    <w:rsid w:val="00F930D7"/>
    <w:rsid w:val="00F950A4"/>
    <w:rsid w:val="00F968F4"/>
    <w:rsid w:val="00F96CE1"/>
    <w:rsid w:val="00FA00CE"/>
    <w:rsid w:val="00FA0891"/>
    <w:rsid w:val="00FA33F4"/>
    <w:rsid w:val="00FA50D0"/>
    <w:rsid w:val="00FA5A7D"/>
    <w:rsid w:val="00FA5B70"/>
    <w:rsid w:val="00FA6A59"/>
    <w:rsid w:val="00FA7495"/>
    <w:rsid w:val="00FB017F"/>
    <w:rsid w:val="00FB139A"/>
    <w:rsid w:val="00FB1D20"/>
    <w:rsid w:val="00FB3095"/>
    <w:rsid w:val="00FB60A1"/>
    <w:rsid w:val="00FB6139"/>
    <w:rsid w:val="00FB68A5"/>
    <w:rsid w:val="00FB768C"/>
    <w:rsid w:val="00FC00A7"/>
    <w:rsid w:val="00FC3F44"/>
    <w:rsid w:val="00FC44AA"/>
    <w:rsid w:val="00FC70A6"/>
    <w:rsid w:val="00FD15D1"/>
    <w:rsid w:val="00FD18A6"/>
    <w:rsid w:val="00FD2399"/>
    <w:rsid w:val="00FD3303"/>
    <w:rsid w:val="00FD5848"/>
    <w:rsid w:val="00FD6934"/>
    <w:rsid w:val="00FE1E7E"/>
    <w:rsid w:val="00FE21B3"/>
    <w:rsid w:val="00FE3B60"/>
    <w:rsid w:val="00FE409E"/>
    <w:rsid w:val="00FE43C6"/>
    <w:rsid w:val="00FE468A"/>
    <w:rsid w:val="00FE4C1E"/>
    <w:rsid w:val="00FE5108"/>
    <w:rsid w:val="00FE7306"/>
    <w:rsid w:val="00FE75A6"/>
    <w:rsid w:val="00FF1F2B"/>
    <w:rsid w:val="00FF2FFF"/>
    <w:rsid w:val="00FF3390"/>
    <w:rsid w:val="00FF3D86"/>
    <w:rsid w:val="00FF4080"/>
    <w:rsid w:val="00FF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52A47D"/>
  <w15:chartTrackingRefBased/>
  <w15:docId w15:val="{0B31376B-EE63-48A6-927D-F59467D0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9AE"/>
    <w:pPr>
      <w:spacing w:line="360" w:lineRule="auto"/>
      <w:jc w:val="both"/>
    </w:pPr>
    <w:rPr>
      <w:rFonts w:ascii="Times New Roman" w:eastAsia="Calibri" w:hAnsi="Times New Roman" w:cs="Calibri"/>
      <w:sz w:val="24"/>
      <w:lang w:eastAsia="en-GB"/>
    </w:rPr>
  </w:style>
  <w:style w:type="paragraph" w:styleId="Heading1">
    <w:name w:val="heading 1"/>
    <w:basedOn w:val="Normal"/>
    <w:next w:val="Normal"/>
    <w:link w:val="Heading1Char"/>
    <w:autoRedefine/>
    <w:uiPriority w:val="9"/>
    <w:qFormat/>
    <w:rsid w:val="00A777F2"/>
    <w:pPr>
      <w:keepNext/>
      <w:keepLines/>
      <w:spacing w:before="100" w:after="100"/>
      <w:jc w:val="center"/>
      <w:outlineLvl w:val="0"/>
    </w:pPr>
    <w:rPr>
      <w:rFonts w:eastAsia="Times New Roman" w:cstheme="majorBidi"/>
      <w:sz w:val="32"/>
      <w:szCs w:val="32"/>
    </w:rPr>
  </w:style>
  <w:style w:type="paragraph" w:styleId="Heading2">
    <w:name w:val="heading 2"/>
    <w:basedOn w:val="Normal"/>
    <w:next w:val="Normal"/>
    <w:link w:val="Heading2Char"/>
    <w:autoRedefine/>
    <w:uiPriority w:val="9"/>
    <w:unhideWhenUsed/>
    <w:qFormat/>
    <w:rsid w:val="006E43F2"/>
    <w:pPr>
      <w:keepNext/>
      <w:keepLines/>
      <w:shd w:val="clear" w:color="auto" w:fill="FFFFFF"/>
      <w:spacing w:before="360" w:after="120"/>
      <w:outlineLvl w:val="1"/>
    </w:pPr>
    <w:rPr>
      <w:rFonts w:eastAsia="Times New Roman" w:cs="Segoe UI"/>
      <w:sz w:val="28"/>
      <w:szCs w:val="33"/>
    </w:rPr>
  </w:style>
  <w:style w:type="paragraph" w:styleId="Heading3">
    <w:name w:val="heading 3"/>
    <w:basedOn w:val="Normal"/>
    <w:next w:val="Normal"/>
    <w:link w:val="Heading3Char"/>
    <w:uiPriority w:val="9"/>
    <w:semiHidden/>
    <w:unhideWhenUsed/>
    <w:qFormat/>
    <w:rsid w:val="00F21DE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9D37B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576A3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7F2"/>
    <w:rPr>
      <w:rFonts w:ascii="Times New Roman" w:eastAsia="Times New Roman" w:hAnsi="Times New Roman" w:cstheme="majorBidi"/>
      <w:sz w:val="32"/>
      <w:szCs w:val="32"/>
      <w:lang w:eastAsia="en-GB"/>
    </w:rPr>
  </w:style>
  <w:style w:type="character" w:customStyle="1" w:styleId="Heading2Char">
    <w:name w:val="Heading 2 Char"/>
    <w:basedOn w:val="DefaultParagraphFont"/>
    <w:link w:val="Heading2"/>
    <w:uiPriority w:val="9"/>
    <w:rsid w:val="006E43F2"/>
    <w:rPr>
      <w:rFonts w:ascii="Times New Roman" w:eastAsia="Times New Roman" w:hAnsi="Times New Roman" w:cs="Segoe UI"/>
      <w:sz w:val="28"/>
      <w:szCs w:val="33"/>
      <w:shd w:val="clear" w:color="auto" w:fill="FFFFFF"/>
      <w:lang w:eastAsia="en-GB"/>
    </w:rPr>
  </w:style>
  <w:style w:type="paragraph" w:styleId="ListParagraph">
    <w:name w:val="List Paragraph"/>
    <w:basedOn w:val="Normal"/>
    <w:uiPriority w:val="34"/>
    <w:qFormat/>
    <w:rsid w:val="00C246DF"/>
    <w:pPr>
      <w:ind w:left="720"/>
      <w:contextualSpacing/>
    </w:pPr>
  </w:style>
  <w:style w:type="character" w:customStyle="1" w:styleId="lewnzc">
    <w:name w:val="lewnzc"/>
    <w:basedOn w:val="DefaultParagraphFont"/>
    <w:rsid w:val="000A18EE"/>
  </w:style>
  <w:style w:type="character" w:styleId="Emphasis">
    <w:name w:val="Emphasis"/>
    <w:basedOn w:val="DefaultParagraphFont"/>
    <w:uiPriority w:val="20"/>
    <w:qFormat/>
    <w:rsid w:val="000A18EE"/>
    <w:rPr>
      <w:i/>
      <w:iCs/>
    </w:rPr>
  </w:style>
  <w:style w:type="character" w:styleId="Hyperlink">
    <w:name w:val="Hyperlink"/>
    <w:basedOn w:val="DefaultParagraphFont"/>
    <w:uiPriority w:val="99"/>
    <w:unhideWhenUsed/>
    <w:rsid w:val="006D48E1"/>
    <w:rPr>
      <w:color w:val="0000FF" w:themeColor="hyperlink"/>
      <w:u w:val="single"/>
    </w:rPr>
  </w:style>
  <w:style w:type="paragraph" w:styleId="TOCHeading">
    <w:name w:val="TOC Heading"/>
    <w:basedOn w:val="Heading1"/>
    <w:next w:val="Normal"/>
    <w:uiPriority w:val="39"/>
    <w:unhideWhenUsed/>
    <w:qFormat/>
    <w:rsid w:val="00D35515"/>
    <w:pPr>
      <w:outlineLvl w:val="9"/>
    </w:pPr>
    <w:rPr>
      <w:sz w:val="28"/>
      <w:lang w:val="en-US"/>
    </w:rPr>
  </w:style>
  <w:style w:type="paragraph" w:styleId="TOC1">
    <w:name w:val="toc 1"/>
    <w:basedOn w:val="Normal"/>
    <w:next w:val="Normal"/>
    <w:autoRedefine/>
    <w:uiPriority w:val="39"/>
    <w:unhideWhenUsed/>
    <w:rsid w:val="00DB6644"/>
    <w:pPr>
      <w:spacing w:after="100"/>
    </w:pPr>
  </w:style>
  <w:style w:type="paragraph" w:styleId="TOC2">
    <w:name w:val="toc 2"/>
    <w:basedOn w:val="Normal"/>
    <w:next w:val="Normal"/>
    <w:autoRedefine/>
    <w:uiPriority w:val="39"/>
    <w:unhideWhenUsed/>
    <w:rsid w:val="00DB6644"/>
    <w:pPr>
      <w:spacing w:after="100"/>
      <w:ind w:left="240"/>
    </w:pPr>
  </w:style>
  <w:style w:type="table" w:styleId="TableGrid">
    <w:name w:val="Table Grid"/>
    <w:basedOn w:val="TableNormal"/>
    <w:uiPriority w:val="39"/>
    <w:rsid w:val="005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08F7"/>
    <w:rPr>
      <w:b/>
      <w:bCs/>
    </w:rPr>
  </w:style>
  <w:style w:type="table" w:styleId="PlainTable1">
    <w:name w:val="Plain Table 1"/>
    <w:basedOn w:val="TableNormal"/>
    <w:uiPriority w:val="41"/>
    <w:rsid w:val="00A26177"/>
    <w:pPr>
      <w:spacing w:after="0" w:line="240" w:lineRule="auto"/>
      <w:jc w:val="both"/>
    </w:pPr>
    <w:rPr>
      <w:rFonts w:ascii="Times New Roman" w:hAnsi="Times New Roman"/>
      <w:bCs/>
      <w:sz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A26177"/>
    <w:pPr>
      <w:tabs>
        <w:tab w:val="center" w:pos="4513"/>
        <w:tab w:val="right" w:pos="9026"/>
      </w:tabs>
      <w:spacing w:after="0" w:line="240" w:lineRule="auto"/>
    </w:pPr>
    <w:rPr>
      <w:bCs/>
      <w14:ligatures w14:val="standardContextual"/>
    </w:rPr>
  </w:style>
  <w:style w:type="character" w:customStyle="1" w:styleId="FooterChar">
    <w:name w:val="Footer Char"/>
    <w:basedOn w:val="DefaultParagraphFont"/>
    <w:link w:val="Footer"/>
    <w:uiPriority w:val="99"/>
    <w:rsid w:val="00A26177"/>
    <w:rPr>
      <w:rFonts w:ascii="Times New Roman" w:hAnsi="Times New Roman"/>
      <w:bCs/>
      <w:sz w:val="24"/>
      <w14:ligatures w14:val="standardContextual"/>
    </w:rPr>
  </w:style>
  <w:style w:type="paragraph" w:styleId="Header">
    <w:name w:val="header"/>
    <w:basedOn w:val="Normal"/>
    <w:link w:val="HeaderChar"/>
    <w:uiPriority w:val="99"/>
    <w:unhideWhenUsed/>
    <w:rsid w:val="00E6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DA"/>
    <w:rPr>
      <w:rFonts w:ascii="Times New Roman" w:hAnsi="Times New Roman"/>
      <w:sz w:val="24"/>
    </w:rPr>
  </w:style>
  <w:style w:type="character" w:customStyle="1" w:styleId="eop">
    <w:name w:val="eop"/>
    <w:basedOn w:val="DefaultParagraphFont"/>
    <w:rsid w:val="00111EC5"/>
  </w:style>
  <w:style w:type="paragraph" w:styleId="NormalWeb">
    <w:name w:val="Normal (Web)"/>
    <w:basedOn w:val="Normal"/>
    <w:uiPriority w:val="99"/>
    <w:unhideWhenUsed/>
    <w:rsid w:val="00111EC5"/>
    <w:pPr>
      <w:spacing w:before="100" w:beforeAutospacing="1" w:after="100" w:afterAutospacing="1" w:line="240" w:lineRule="auto"/>
      <w:jc w:val="left"/>
    </w:pPr>
    <w:rPr>
      <w:rFonts w:eastAsia="Times New Roman" w:cs="Times New Roman"/>
      <w:szCs w:val="24"/>
    </w:rPr>
  </w:style>
  <w:style w:type="character" w:customStyle="1" w:styleId="Heading6Char">
    <w:name w:val="Heading 6 Char"/>
    <w:basedOn w:val="DefaultParagraphFont"/>
    <w:link w:val="Heading6"/>
    <w:uiPriority w:val="9"/>
    <w:semiHidden/>
    <w:rsid w:val="00576A3B"/>
    <w:rPr>
      <w:rFonts w:asciiTheme="majorHAnsi" w:eastAsiaTheme="majorEastAsia" w:hAnsiTheme="majorHAnsi" w:cstheme="majorBidi"/>
      <w:color w:val="243F60" w:themeColor="accent1" w:themeShade="7F"/>
      <w:sz w:val="24"/>
    </w:rPr>
  </w:style>
  <w:style w:type="paragraph" w:styleId="BodyText">
    <w:name w:val="Body Text"/>
    <w:basedOn w:val="Normal"/>
    <w:link w:val="BodyTextChar"/>
    <w:uiPriority w:val="1"/>
    <w:rsid w:val="000A0FF5"/>
    <w:pPr>
      <w:widowControl w:val="0"/>
      <w:autoSpaceDE w:val="0"/>
      <w:autoSpaceDN w:val="0"/>
      <w:spacing w:after="0" w:line="240" w:lineRule="auto"/>
      <w:jc w:val="left"/>
    </w:pPr>
    <w:rPr>
      <w:rFonts w:ascii="Calibri" w:hAnsi="Calibri"/>
      <w:szCs w:val="24"/>
      <w:lang w:val="en-US" w:eastAsia="en-US"/>
    </w:rPr>
  </w:style>
  <w:style w:type="character" w:customStyle="1" w:styleId="BodyTextChar">
    <w:name w:val="Body Text Char"/>
    <w:basedOn w:val="DefaultParagraphFont"/>
    <w:link w:val="BodyText"/>
    <w:uiPriority w:val="1"/>
    <w:rsid w:val="000A0FF5"/>
    <w:rPr>
      <w:rFonts w:ascii="Calibri" w:eastAsia="Calibri" w:hAnsi="Calibri" w:cs="Calibri"/>
      <w:sz w:val="24"/>
      <w:szCs w:val="24"/>
      <w:lang w:val="en-US"/>
    </w:rPr>
  </w:style>
  <w:style w:type="paragraph" w:customStyle="1" w:styleId="TableParagraph">
    <w:name w:val="Table Paragraph"/>
    <w:basedOn w:val="Normal"/>
    <w:uiPriority w:val="1"/>
    <w:rsid w:val="000A0FF5"/>
    <w:pPr>
      <w:widowControl w:val="0"/>
      <w:autoSpaceDE w:val="0"/>
      <w:autoSpaceDN w:val="0"/>
      <w:spacing w:after="0" w:line="240" w:lineRule="auto"/>
      <w:ind w:left="107"/>
      <w:jc w:val="left"/>
    </w:pPr>
    <w:rPr>
      <w:rFonts w:ascii="Calibri" w:hAnsi="Calibri"/>
      <w:sz w:val="22"/>
      <w:lang w:val="en-US" w:eastAsia="en-US"/>
    </w:rPr>
  </w:style>
  <w:style w:type="paragraph" w:styleId="NoSpacing">
    <w:name w:val="No Spacing"/>
    <w:uiPriority w:val="1"/>
    <w:rsid w:val="00CC215F"/>
    <w:pPr>
      <w:spacing w:after="0" w:line="240" w:lineRule="auto"/>
    </w:pPr>
    <w:rPr>
      <w:kern w:val="2"/>
      <w:sz w:val="24"/>
      <w:szCs w:val="24"/>
      <w14:ligatures w14:val="standardContextual"/>
    </w:rPr>
  </w:style>
  <w:style w:type="table" w:customStyle="1" w:styleId="Style52">
    <w:name w:val="_Style 52"/>
    <w:basedOn w:val="TableNormal"/>
    <w:rsid w:val="00AA07AA"/>
    <w:pPr>
      <w:spacing w:after="200" w:line="276" w:lineRule="auto"/>
    </w:pPr>
    <w:rPr>
      <w:rFonts w:ascii="Tahoma" w:eastAsia="Tahoma" w:hAnsi="Tahoma" w:cs="Tahoma"/>
      <w:sz w:val="20"/>
      <w:szCs w:val="20"/>
      <w14:ligatures w14:val="standardContextual"/>
    </w:rPr>
    <w:tblPr>
      <w:tblInd w:w="0" w:type="nil"/>
      <w:tblCellMar>
        <w:left w:w="0" w:type="dxa"/>
        <w:right w:w="0" w:type="dxa"/>
      </w:tblCellMar>
    </w:tblPr>
  </w:style>
  <w:style w:type="table" w:customStyle="1" w:styleId="Style53">
    <w:name w:val="_Style 53"/>
    <w:basedOn w:val="TableNormal"/>
    <w:rsid w:val="00AA07AA"/>
    <w:pPr>
      <w:spacing w:after="200" w:line="276" w:lineRule="auto"/>
    </w:pPr>
    <w:rPr>
      <w:rFonts w:ascii="Tahoma" w:eastAsia="Tahoma" w:hAnsi="Tahoma" w:cs="Tahoma"/>
      <w:sz w:val="20"/>
      <w:szCs w:val="20"/>
      <w14:ligatures w14:val="standardContextual"/>
    </w:rPr>
    <w:tblPr>
      <w:tblInd w:w="0" w:type="nil"/>
      <w:tblCellMar>
        <w:left w:w="113" w:type="dxa"/>
        <w:right w:w="113" w:type="dxa"/>
      </w:tblCellMar>
    </w:tblPr>
  </w:style>
  <w:style w:type="character" w:customStyle="1" w:styleId="Heading3Char">
    <w:name w:val="Heading 3 Char"/>
    <w:basedOn w:val="DefaultParagraphFont"/>
    <w:link w:val="Heading3"/>
    <w:uiPriority w:val="9"/>
    <w:semiHidden/>
    <w:rsid w:val="00F21DEC"/>
    <w:rPr>
      <w:rFonts w:asciiTheme="majorHAnsi" w:eastAsiaTheme="majorEastAsia" w:hAnsiTheme="majorHAnsi" w:cstheme="majorBidi"/>
      <w:color w:val="243F60" w:themeColor="accent1" w:themeShade="7F"/>
      <w:sz w:val="24"/>
      <w:szCs w:val="24"/>
      <w:lang w:eastAsia="en-GB"/>
    </w:rPr>
  </w:style>
  <w:style w:type="paragraph" w:customStyle="1" w:styleId="TOCHeading1">
    <w:name w:val="TOC Heading1"/>
    <w:basedOn w:val="Heading1"/>
    <w:next w:val="Normal"/>
    <w:uiPriority w:val="39"/>
    <w:unhideWhenUsed/>
    <w:qFormat/>
    <w:rsid w:val="005A590A"/>
    <w:pPr>
      <w:spacing w:before="240" w:after="0" w:line="259" w:lineRule="auto"/>
      <w:jc w:val="left"/>
      <w:outlineLvl w:val="9"/>
    </w:pPr>
    <w:rPr>
      <w:rFonts w:asciiTheme="majorHAnsi" w:hAnsiTheme="majorHAnsi"/>
      <w:color w:val="365F91" w:themeColor="accent1" w:themeShade="BF"/>
      <w:lang w:val="en-US" w:eastAsia="en-US"/>
    </w:rPr>
  </w:style>
  <w:style w:type="paragraph" w:customStyle="1" w:styleId="ds-markdown-paragraph">
    <w:name w:val="ds-markdown-paragraph"/>
    <w:basedOn w:val="Normal"/>
    <w:rsid w:val="004425CE"/>
    <w:pPr>
      <w:spacing w:before="100" w:beforeAutospacing="1" w:after="100" w:afterAutospacing="1" w:line="240" w:lineRule="auto"/>
      <w:jc w:val="left"/>
    </w:pPr>
    <w:rPr>
      <w:rFonts w:eastAsia="Times New Roman" w:cs="Times New Roman"/>
      <w:szCs w:val="24"/>
    </w:rPr>
  </w:style>
  <w:style w:type="paragraph" w:styleId="TOC3">
    <w:name w:val="toc 3"/>
    <w:basedOn w:val="Normal"/>
    <w:next w:val="Normal"/>
    <w:autoRedefine/>
    <w:uiPriority w:val="39"/>
    <w:unhideWhenUsed/>
    <w:rsid w:val="000F3457"/>
    <w:pPr>
      <w:spacing w:after="100"/>
      <w:ind w:left="480"/>
    </w:pPr>
  </w:style>
  <w:style w:type="paragraph" w:styleId="Subtitle">
    <w:name w:val="Subtitle"/>
    <w:basedOn w:val="Normal"/>
    <w:next w:val="Normal"/>
    <w:link w:val="SubtitleChar"/>
    <w:uiPriority w:val="11"/>
    <w:qFormat/>
    <w:rsid w:val="00C23226"/>
    <w:pPr>
      <w:numPr>
        <w:ilvl w:val="1"/>
      </w:numPr>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C23226"/>
    <w:rPr>
      <w:rFonts w:eastAsiaTheme="minorEastAsia"/>
      <w:color w:val="5A5A5A" w:themeColor="text1" w:themeTint="A5"/>
      <w:spacing w:val="15"/>
      <w:lang w:eastAsia="en-GB"/>
    </w:rPr>
  </w:style>
  <w:style w:type="character" w:customStyle="1" w:styleId="Heading4Char">
    <w:name w:val="Heading 4 Char"/>
    <w:basedOn w:val="DefaultParagraphFont"/>
    <w:link w:val="Heading4"/>
    <w:uiPriority w:val="9"/>
    <w:semiHidden/>
    <w:rsid w:val="009D37B4"/>
    <w:rPr>
      <w:rFonts w:asciiTheme="majorHAnsi" w:eastAsiaTheme="majorEastAsia" w:hAnsiTheme="majorHAnsi" w:cstheme="majorBidi"/>
      <w:i/>
      <w:iCs/>
      <w:color w:val="365F91" w:themeColor="accent1" w:themeShade="BF"/>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87815">
      <w:bodyDiv w:val="1"/>
      <w:marLeft w:val="0"/>
      <w:marRight w:val="0"/>
      <w:marTop w:val="0"/>
      <w:marBottom w:val="0"/>
      <w:divBdr>
        <w:top w:val="none" w:sz="0" w:space="0" w:color="auto"/>
        <w:left w:val="none" w:sz="0" w:space="0" w:color="auto"/>
        <w:bottom w:val="none" w:sz="0" w:space="0" w:color="auto"/>
        <w:right w:val="none" w:sz="0" w:space="0" w:color="auto"/>
      </w:divBdr>
    </w:div>
    <w:div w:id="178545187">
      <w:bodyDiv w:val="1"/>
      <w:marLeft w:val="0"/>
      <w:marRight w:val="0"/>
      <w:marTop w:val="0"/>
      <w:marBottom w:val="0"/>
      <w:divBdr>
        <w:top w:val="none" w:sz="0" w:space="0" w:color="auto"/>
        <w:left w:val="none" w:sz="0" w:space="0" w:color="auto"/>
        <w:bottom w:val="none" w:sz="0" w:space="0" w:color="auto"/>
        <w:right w:val="none" w:sz="0" w:space="0" w:color="auto"/>
      </w:divBdr>
      <w:divsChild>
        <w:div w:id="2039546904">
          <w:marLeft w:val="0"/>
          <w:marRight w:val="0"/>
          <w:marTop w:val="0"/>
          <w:marBottom w:val="0"/>
          <w:divBdr>
            <w:top w:val="none" w:sz="0" w:space="0" w:color="auto"/>
            <w:left w:val="none" w:sz="0" w:space="0" w:color="auto"/>
            <w:bottom w:val="none" w:sz="0" w:space="0" w:color="auto"/>
            <w:right w:val="none" w:sz="0" w:space="0" w:color="auto"/>
          </w:divBdr>
          <w:divsChild>
            <w:div w:id="649405966">
              <w:marLeft w:val="0"/>
              <w:marRight w:val="0"/>
              <w:marTop w:val="0"/>
              <w:marBottom w:val="0"/>
              <w:divBdr>
                <w:top w:val="none" w:sz="0" w:space="0" w:color="auto"/>
                <w:left w:val="none" w:sz="0" w:space="0" w:color="auto"/>
                <w:bottom w:val="none" w:sz="0" w:space="0" w:color="auto"/>
                <w:right w:val="none" w:sz="0" w:space="0" w:color="auto"/>
              </w:divBdr>
              <w:divsChild>
                <w:div w:id="151325799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sChild>
                        <w:div w:id="1756126555">
                          <w:marLeft w:val="0"/>
                          <w:marRight w:val="0"/>
                          <w:marTop w:val="0"/>
                          <w:marBottom w:val="0"/>
                          <w:divBdr>
                            <w:top w:val="none" w:sz="0" w:space="0" w:color="auto"/>
                            <w:left w:val="none" w:sz="0" w:space="0" w:color="auto"/>
                            <w:bottom w:val="none" w:sz="0" w:space="0" w:color="auto"/>
                            <w:right w:val="none" w:sz="0" w:space="0" w:color="auto"/>
                          </w:divBdr>
                          <w:divsChild>
                            <w:div w:id="206105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076678">
      <w:bodyDiv w:val="1"/>
      <w:marLeft w:val="0"/>
      <w:marRight w:val="0"/>
      <w:marTop w:val="0"/>
      <w:marBottom w:val="0"/>
      <w:divBdr>
        <w:top w:val="none" w:sz="0" w:space="0" w:color="auto"/>
        <w:left w:val="none" w:sz="0" w:space="0" w:color="auto"/>
        <w:bottom w:val="none" w:sz="0" w:space="0" w:color="auto"/>
        <w:right w:val="none" w:sz="0" w:space="0" w:color="auto"/>
      </w:divBdr>
    </w:div>
    <w:div w:id="294288381">
      <w:bodyDiv w:val="1"/>
      <w:marLeft w:val="0"/>
      <w:marRight w:val="0"/>
      <w:marTop w:val="0"/>
      <w:marBottom w:val="0"/>
      <w:divBdr>
        <w:top w:val="none" w:sz="0" w:space="0" w:color="auto"/>
        <w:left w:val="none" w:sz="0" w:space="0" w:color="auto"/>
        <w:bottom w:val="none" w:sz="0" w:space="0" w:color="auto"/>
        <w:right w:val="none" w:sz="0" w:space="0" w:color="auto"/>
      </w:divBdr>
    </w:div>
    <w:div w:id="341663396">
      <w:bodyDiv w:val="1"/>
      <w:marLeft w:val="0"/>
      <w:marRight w:val="0"/>
      <w:marTop w:val="0"/>
      <w:marBottom w:val="0"/>
      <w:divBdr>
        <w:top w:val="none" w:sz="0" w:space="0" w:color="auto"/>
        <w:left w:val="none" w:sz="0" w:space="0" w:color="auto"/>
        <w:bottom w:val="none" w:sz="0" w:space="0" w:color="auto"/>
        <w:right w:val="none" w:sz="0" w:space="0" w:color="auto"/>
      </w:divBdr>
    </w:div>
    <w:div w:id="450779947">
      <w:bodyDiv w:val="1"/>
      <w:marLeft w:val="0"/>
      <w:marRight w:val="0"/>
      <w:marTop w:val="0"/>
      <w:marBottom w:val="0"/>
      <w:divBdr>
        <w:top w:val="none" w:sz="0" w:space="0" w:color="auto"/>
        <w:left w:val="none" w:sz="0" w:space="0" w:color="auto"/>
        <w:bottom w:val="none" w:sz="0" w:space="0" w:color="auto"/>
        <w:right w:val="none" w:sz="0" w:space="0" w:color="auto"/>
      </w:divBdr>
    </w:div>
    <w:div w:id="512499920">
      <w:bodyDiv w:val="1"/>
      <w:marLeft w:val="0"/>
      <w:marRight w:val="0"/>
      <w:marTop w:val="0"/>
      <w:marBottom w:val="0"/>
      <w:divBdr>
        <w:top w:val="none" w:sz="0" w:space="0" w:color="auto"/>
        <w:left w:val="none" w:sz="0" w:space="0" w:color="auto"/>
        <w:bottom w:val="none" w:sz="0" w:space="0" w:color="auto"/>
        <w:right w:val="none" w:sz="0" w:space="0" w:color="auto"/>
      </w:divBdr>
    </w:div>
    <w:div w:id="542404690">
      <w:bodyDiv w:val="1"/>
      <w:marLeft w:val="0"/>
      <w:marRight w:val="0"/>
      <w:marTop w:val="0"/>
      <w:marBottom w:val="0"/>
      <w:divBdr>
        <w:top w:val="none" w:sz="0" w:space="0" w:color="auto"/>
        <w:left w:val="none" w:sz="0" w:space="0" w:color="auto"/>
        <w:bottom w:val="none" w:sz="0" w:space="0" w:color="auto"/>
        <w:right w:val="none" w:sz="0" w:space="0" w:color="auto"/>
      </w:divBdr>
    </w:div>
    <w:div w:id="594096642">
      <w:bodyDiv w:val="1"/>
      <w:marLeft w:val="0"/>
      <w:marRight w:val="0"/>
      <w:marTop w:val="0"/>
      <w:marBottom w:val="0"/>
      <w:divBdr>
        <w:top w:val="none" w:sz="0" w:space="0" w:color="auto"/>
        <w:left w:val="none" w:sz="0" w:space="0" w:color="auto"/>
        <w:bottom w:val="none" w:sz="0" w:space="0" w:color="auto"/>
        <w:right w:val="none" w:sz="0" w:space="0" w:color="auto"/>
      </w:divBdr>
    </w:div>
    <w:div w:id="671487611">
      <w:bodyDiv w:val="1"/>
      <w:marLeft w:val="0"/>
      <w:marRight w:val="0"/>
      <w:marTop w:val="0"/>
      <w:marBottom w:val="0"/>
      <w:divBdr>
        <w:top w:val="none" w:sz="0" w:space="0" w:color="auto"/>
        <w:left w:val="none" w:sz="0" w:space="0" w:color="auto"/>
        <w:bottom w:val="none" w:sz="0" w:space="0" w:color="auto"/>
        <w:right w:val="none" w:sz="0" w:space="0" w:color="auto"/>
      </w:divBdr>
    </w:div>
    <w:div w:id="710807446">
      <w:bodyDiv w:val="1"/>
      <w:marLeft w:val="0"/>
      <w:marRight w:val="0"/>
      <w:marTop w:val="0"/>
      <w:marBottom w:val="0"/>
      <w:divBdr>
        <w:top w:val="none" w:sz="0" w:space="0" w:color="auto"/>
        <w:left w:val="none" w:sz="0" w:space="0" w:color="auto"/>
        <w:bottom w:val="none" w:sz="0" w:space="0" w:color="auto"/>
        <w:right w:val="none" w:sz="0" w:space="0" w:color="auto"/>
      </w:divBdr>
    </w:div>
    <w:div w:id="722412289">
      <w:bodyDiv w:val="1"/>
      <w:marLeft w:val="0"/>
      <w:marRight w:val="0"/>
      <w:marTop w:val="0"/>
      <w:marBottom w:val="0"/>
      <w:divBdr>
        <w:top w:val="none" w:sz="0" w:space="0" w:color="auto"/>
        <w:left w:val="none" w:sz="0" w:space="0" w:color="auto"/>
        <w:bottom w:val="none" w:sz="0" w:space="0" w:color="auto"/>
        <w:right w:val="none" w:sz="0" w:space="0" w:color="auto"/>
      </w:divBdr>
    </w:div>
    <w:div w:id="781608180">
      <w:bodyDiv w:val="1"/>
      <w:marLeft w:val="0"/>
      <w:marRight w:val="0"/>
      <w:marTop w:val="0"/>
      <w:marBottom w:val="0"/>
      <w:divBdr>
        <w:top w:val="none" w:sz="0" w:space="0" w:color="auto"/>
        <w:left w:val="none" w:sz="0" w:space="0" w:color="auto"/>
        <w:bottom w:val="none" w:sz="0" w:space="0" w:color="auto"/>
        <w:right w:val="none" w:sz="0" w:space="0" w:color="auto"/>
      </w:divBdr>
    </w:div>
    <w:div w:id="808783584">
      <w:bodyDiv w:val="1"/>
      <w:marLeft w:val="0"/>
      <w:marRight w:val="0"/>
      <w:marTop w:val="0"/>
      <w:marBottom w:val="0"/>
      <w:divBdr>
        <w:top w:val="none" w:sz="0" w:space="0" w:color="auto"/>
        <w:left w:val="none" w:sz="0" w:space="0" w:color="auto"/>
        <w:bottom w:val="none" w:sz="0" w:space="0" w:color="auto"/>
        <w:right w:val="none" w:sz="0" w:space="0" w:color="auto"/>
      </w:divBdr>
    </w:div>
    <w:div w:id="818503225">
      <w:bodyDiv w:val="1"/>
      <w:marLeft w:val="0"/>
      <w:marRight w:val="0"/>
      <w:marTop w:val="0"/>
      <w:marBottom w:val="0"/>
      <w:divBdr>
        <w:top w:val="none" w:sz="0" w:space="0" w:color="auto"/>
        <w:left w:val="none" w:sz="0" w:space="0" w:color="auto"/>
        <w:bottom w:val="none" w:sz="0" w:space="0" w:color="auto"/>
        <w:right w:val="none" w:sz="0" w:space="0" w:color="auto"/>
      </w:divBdr>
    </w:div>
    <w:div w:id="818573760">
      <w:bodyDiv w:val="1"/>
      <w:marLeft w:val="0"/>
      <w:marRight w:val="0"/>
      <w:marTop w:val="0"/>
      <w:marBottom w:val="0"/>
      <w:divBdr>
        <w:top w:val="none" w:sz="0" w:space="0" w:color="auto"/>
        <w:left w:val="none" w:sz="0" w:space="0" w:color="auto"/>
        <w:bottom w:val="none" w:sz="0" w:space="0" w:color="auto"/>
        <w:right w:val="none" w:sz="0" w:space="0" w:color="auto"/>
      </w:divBdr>
    </w:div>
    <w:div w:id="831871291">
      <w:bodyDiv w:val="1"/>
      <w:marLeft w:val="0"/>
      <w:marRight w:val="0"/>
      <w:marTop w:val="0"/>
      <w:marBottom w:val="0"/>
      <w:divBdr>
        <w:top w:val="none" w:sz="0" w:space="0" w:color="auto"/>
        <w:left w:val="none" w:sz="0" w:space="0" w:color="auto"/>
        <w:bottom w:val="none" w:sz="0" w:space="0" w:color="auto"/>
        <w:right w:val="none" w:sz="0" w:space="0" w:color="auto"/>
      </w:divBdr>
    </w:div>
    <w:div w:id="883709485">
      <w:bodyDiv w:val="1"/>
      <w:marLeft w:val="0"/>
      <w:marRight w:val="0"/>
      <w:marTop w:val="0"/>
      <w:marBottom w:val="0"/>
      <w:divBdr>
        <w:top w:val="none" w:sz="0" w:space="0" w:color="auto"/>
        <w:left w:val="none" w:sz="0" w:space="0" w:color="auto"/>
        <w:bottom w:val="none" w:sz="0" w:space="0" w:color="auto"/>
        <w:right w:val="none" w:sz="0" w:space="0" w:color="auto"/>
      </w:divBdr>
    </w:div>
    <w:div w:id="970745168">
      <w:bodyDiv w:val="1"/>
      <w:marLeft w:val="0"/>
      <w:marRight w:val="0"/>
      <w:marTop w:val="0"/>
      <w:marBottom w:val="0"/>
      <w:divBdr>
        <w:top w:val="none" w:sz="0" w:space="0" w:color="auto"/>
        <w:left w:val="none" w:sz="0" w:space="0" w:color="auto"/>
        <w:bottom w:val="none" w:sz="0" w:space="0" w:color="auto"/>
        <w:right w:val="none" w:sz="0" w:space="0" w:color="auto"/>
      </w:divBdr>
    </w:div>
    <w:div w:id="1043601715">
      <w:bodyDiv w:val="1"/>
      <w:marLeft w:val="0"/>
      <w:marRight w:val="0"/>
      <w:marTop w:val="0"/>
      <w:marBottom w:val="0"/>
      <w:divBdr>
        <w:top w:val="none" w:sz="0" w:space="0" w:color="auto"/>
        <w:left w:val="none" w:sz="0" w:space="0" w:color="auto"/>
        <w:bottom w:val="none" w:sz="0" w:space="0" w:color="auto"/>
        <w:right w:val="none" w:sz="0" w:space="0" w:color="auto"/>
      </w:divBdr>
    </w:div>
    <w:div w:id="1064138178">
      <w:bodyDiv w:val="1"/>
      <w:marLeft w:val="0"/>
      <w:marRight w:val="0"/>
      <w:marTop w:val="0"/>
      <w:marBottom w:val="0"/>
      <w:divBdr>
        <w:top w:val="none" w:sz="0" w:space="0" w:color="auto"/>
        <w:left w:val="none" w:sz="0" w:space="0" w:color="auto"/>
        <w:bottom w:val="none" w:sz="0" w:space="0" w:color="auto"/>
        <w:right w:val="none" w:sz="0" w:space="0" w:color="auto"/>
      </w:divBdr>
    </w:div>
    <w:div w:id="1076513781">
      <w:bodyDiv w:val="1"/>
      <w:marLeft w:val="0"/>
      <w:marRight w:val="0"/>
      <w:marTop w:val="0"/>
      <w:marBottom w:val="0"/>
      <w:divBdr>
        <w:top w:val="none" w:sz="0" w:space="0" w:color="auto"/>
        <w:left w:val="none" w:sz="0" w:space="0" w:color="auto"/>
        <w:bottom w:val="none" w:sz="0" w:space="0" w:color="auto"/>
        <w:right w:val="none" w:sz="0" w:space="0" w:color="auto"/>
      </w:divBdr>
    </w:div>
    <w:div w:id="1111360835">
      <w:bodyDiv w:val="1"/>
      <w:marLeft w:val="0"/>
      <w:marRight w:val="0"/>
      <w:marTop w:val="0"/>
      <w:marBottom w:val="0"/>
      <w:divBdr>
        <w:top w:val="none" w:sz="0" w:space="0" w:color="auto"/>
        <w:left w:val="none" w:sz="0" w:space="0" w:color="auto"/>
        <w:bottom w:val="none" w:sz="0" w:space="0" w:color="auto"/>
        <w:right w:val="none" w:sz="0" w:space="0" w:color="auto"/>
      </w:divBdr>
    </w:div>
    <w:div w:id="1165971272">
      <w:bodyDiv w:val="1"/>
      <w:marLeft w:val="0"/>
      <w:marRight w:val="0"/>
      <w:marTop w:val="0"/>
      <w:marBottom w:val="0"/>
      <w:divBdr>
        <w:top w:val="none" w:sz="0" w:space="0" w:color="auto"/>
        <w:left w:val="none" w:sz="0" w:space="0" w:color="auto"/>
        <w:bottom w:val="none" w:sz="0" w:space="0" w:color="auto"/>
        <w:right w:val="none" w:sz="0" w:space="0" w:color="auto"/>
      </w:divBdr>
    </w:div>
    <w:div w:id="1186018743">
      <w:bodyDiv w:val="1"/>
      <w:marLeft w:val="0"/>
      <w:marRight w:val="0"/>
      <w:marTop w:val="0"/>
      <w:marBottom w:val="0"/>
      <w:divBdr>
        <w:top w:val="none" w:sz="0" w:space="0" w:color="auto"/>
        <w:left w:val="none" w:sz="0" w:space="0" w:color="auto"/>
        <w:bottom w:val="none" w:sz="0" w:space="0" w:color="auto"/>
        <w:right w:val="none" w:sz="0" w:space="0" w:color="auto"/>
      </w:divBdr>
      <w:divsChild>
        <w:div w:id="1333878547">
          <w:marLeft w:val="0"/>
          <w:marRight w:val="0"/>
          <w:marTop w:val="0"/>
          <w:marBottom w:val="0"/>
          <w:divBdr>
            <w:top w:val="none" w:sz="0" w:space="0" w:color="auto"/>
            <w:left w:val="none" w:sz="0" w:space="0" w:color="auto"/>
            <w:bottom w:val="none" w:sz="0" w:space="0" w:color="auto"/>
            <w:right w:val="none" w:sz="0" w:space="0" w:color="auto"/>
          </w:divBdr>
        </w:div>
      </w:divsChild>
    </w:div>
    <w:div w:id="1297489946">
      <w:bodyDiv w:val="1"/>
      <w:marLeft w:val="0"/>
      <w:marRight w:val="0"/>
      <w:marTop w:val="0"/>
      <w:marBottom w:val="0"/>
      <w:divBdr>
        <w:top w:val="none" w:sz="0" w:space="0" w:color="auto"/>
        <w:left w:val="none" w:sz="0" w:space="0" w:color="auto"/>
        <w:bottom w:val="none" w:sz="0" w:space="0" w:color="auto"/>
        <w:right w:val="none" w:sz="0" w:space="0" w:color="auto"/>
      </w:divBdr>
    </w:div>
    <w:div w:id="1306743730">
      <w:bodyDiv w:val="1"/>
      <w:marLeft w:val="0"/>
      <w:marRight w:val="0"/>
      <w:marTop w:val="0"/>
      <w:marBottom w:val="0"/>
      <w:divBdr>
        <w:top w:val="none" w:sz="0" w:space="0" w:color="auto"/>
        <w:left w:val="none" w:sz="0" w:space="0" w:color="auto"/>
        <w:bottom w:val="none" w:sz="0" w:space="0" w:color="auto"/>
        <w:right w:val="none" w:sz="0" w:space="0" w:color="auto"/>
      </w:divBdr>
    </w:div>
    <w:div w:id="1326087365">
      <w:bodyDiv w:val="1"/>
      <w:marLeft w:val="0"/>
      <w:marRight w:val="0"/>
      <w:marTop w:val="0"/>
      <w:marBottom w:val="0"/>
      <w:divBdr>
        <w:top w:val="none" w:sz="0" w:space="0" w:color="auto"/>
        <w:left w:val="none" w:sz="0" w:space="0" w:color="auto"/>
        <w:bottom w:val="none" w:sz="0" w:space="0" w:color="auto"/>
        <w:right w:val="none" w:sz="0" w:space="0" w:color="auto"/>
      </w:divBdr>
    </w:div>
    <w:div w:id="1371102943">
      <w:bodyDiv w:val="1"/>
      <w:marLeft w:val="0"/>
      <w:marRight w:val="0"/>
      <w:marTop w:val="0"/>
      <w:marBottom w:val="0"/>
      <w:divBdr>
        <w:top w:val="none" w:sz="0" w:space="0" w:color="auto"/>
        <w:left w:val="none" w:sz="0" w:space="0" w:color="auto"/>
        <w:bottom w:val="none" w:sz="0" w:space="0" w:color="auto"/>
        <w:right w:val="none" w:sz="0" w:space="0" w:color="auto"/>
      </w:divBdr>
    </w:div>
    <w:div w:id="1388455068">
      <w:bodyDiv w:val="1"/>
      <w:marLeft w:val="0"/>
      <w:marRight w:val="0"/>
      <w:marTop w:val="0"/>
      <w:marBottom w:val="0"/>
      <w:divBdr>
        <w:top w:val="none" w:sz="0" w:space="0" w:color="auto"/>
        <w:left w:val="none" w:sz="0" w:space="0" w:color="auto"/>
        <w:bottom w:val="none" w:sz="0" w:space="0" w:color="auto"/>
        <w:right w:val="none" w:sz="0" w:space="0" w:color="auto"/>
      </w:divBdr>
    </w:div>
    <w:div w:id="1393578322">
      <w:bodyDiv w:val="1"/>
      <w:marLeft w:val="0"/>
      <w:marRight w:val="0"/>
      <w:marTop w:val="0"/>
      <w:marBottom w:val="0"/>
      <w:divBdr>
        <w:top w:val="none" w:sz="0" w:space="0" w:color="auto"/>
        <w:left w:val="none" w:sz="0" w:space="0" w:color="auto"/>
        <w:bottom w:val="none" w:sz="0" w:space="0" w:color="auto"/>
        <w:right w:val="none" w:sz="0" w:space="0" w:color="auto"/>
      </w:divBdr>
    </w:div>
    <w:div w:id="1428229828">
      <w:bodyDiv w:val="1"/>
      <w:marLeft w:val="0"/>
      <w:marRight w:val="0"/>
      <w:marTop w:val="0"/>
      <w:marBottom w:val="0"/>
      <w:divBdr>
        <w:top w:val="none" w:sz="0" w:space="0" w:color="auto"/>
        <w:left w:val="none" w:sz="0" w:space="0" w:color="auto"/>
        <w:bottom w:val="none" w:sz="0" w:space="0" w:color="auto"/>
        <w:right w:val="none" w:sz="0" w:space="0" w:color="auto"/>
      </w:divBdr>
    </w:div>
    <w:div w:id="1518081194">
      <w:bodyDiv w:val="1"/>
      <w:marLeft w:val="0"/>
      <w:marRight w:val="0"/>
      <w:marTop w:val="0"/>
      <w:marBottom w:val="0"/>
      <w:divBdr>
        <w:top w:val="none" w:sz="0" w:space="0" w:color="auto"/>
        <w:left w:val="none" w:sz="0" w:space="0" w:color="auto"/>
        <w:bottom w:val="none" w:sz="0" w:space="0" w:color="auto"/>
        <w:right w:val="none" w:sz="0" w:space="0" w:color="auto"/>
      </w:divBdr>
    </w:div>
    <w:div w:id="1525366649">
      <w:bodyDiv w:val="1"/>
      <w:marLeft w:val="0"/>
      <w:marRight w:val="0"/>
      <w:marTop w:val="0"/>
      <w:marBottom w:val="0"/>
      <w:divBdr>
        <w:top w:val="none" w:sz="0" w:space="0" w:color="auto"/>
        <w:left w:val="none" w:sz="0" w:space="0" w:color="auto"/>
        <w:bottom w:val="none" w:sz="0" w:space="0" w:color="auto"/>
        <w:right w:val="none" w:sz="0" w:space="0" w:color="auto"/>
      </w:divBdr>
    </w:div>
    <w:div w:id="1542135283">
      <w:bodyDiv w:val="1"/>
      <w:marLeft w:val="0"/>
      <w:marRight w:val="0"/>
      <w:marTop w:val="0"/>
      <w:marBottom w:val="0"/>
      <w:divBdr>
        <w:top w:val="none" w:sz="0" w:space="0" w:color="auto"/>
        <w:left w:val="none" w:sz="0" w:space="0" w:color="auto"/>
        <w:bottom w:val="none" w:sz="0" w:space="0" w:color="auto"/>
        <w:right w:val="none" w:sz="0" w:space="0" w:color="auto"/>
      </w:divBdr>
    </w:div>
    <w:div w:id="1569027661">
      <w:bodyDiv w:val="1"/>
      <w:marLeft w:val="0"/>
      <w:marRight w:val="0"/>
      <w:marTop w:val="0"/>
      <w:marBottom w:val="0"/>
      <w:divBdr>
        <w:top w:val="none" w:sz="0" w:space="0" w:color="auto"/>
        <w:left w:val="none" w:sz="0" w:space="0" w:color="auto"/>
        <w:bottom w:val="none" w:sz="0" w:space="0" w:color="auto"/>
        <w:right w:val="none" w:sz="0" w:space="0" w:color="auto"/>
      </w:divBdr>
    </w:div>
    <w:div w:id="1581207326">
      <w:bodyDiv w:val="1"/>
      <w:marLeft w:val="0"/>
      <w:marRight w:val="0"/>
      <w:marTop w:val="0"/>
      <w:marBottom w:val="0"/>
      <w:divBdr>
        <w:top w:val="none" w:sz="0" w:space="0" w:color="auto"/>
        <w:left w:val="none" w:sz="0" w:space="0" w:color="auto"/>
        <w:bottom w:val="none" w:sz="0" w:space="0" w:color="auto"/>
        <w:right w:val="none" w:sz="0" w:space="0" w:color="auto"/>
      </w:divBdr>
      <w:divsChild>
        <w:div w:id="561136650">
          <w:marLeft w:val="0"/>
          <w:marRight w:val="0"/>
          <w:marTop w:val="0"/>
          <w:marBottom w:val="0"/>
          <w:divBdr>
            <w:top w:val="none" w:sz="0" w:space="0" w:color="auto"/>
            <w:left w:val="none" w:sz="0" w:space="0" w:color="auto"/>
            <w:bottom w:val="none" w:sz="0" w:space="0" w:color="auto"/>
            <w:right w:val="none" w:sz="0" w:space="0" w:color="auto"/>
          </w:divBdr>
        </w:div>
      </w:divsChild>
    </w:div>
    <w:div w:id="1616785565">
      <w:bodyDiv w:val="1"/>
      <w:marLeft w:val="0"/>
      <w:marRight w:val="0"/>
      <w:marTop w:val="0"/>
      <w:marBottom w:val="0"/>
      <w:divBdr>
        <w:top w:val="none" w:sz="0" w:space="0" w:color="auto"/>
        <w:left w:val="none" w:sz="0" w:space="0" w:color="auto"/>
        <w:bottom w:val="none" w:sz="0" w:space="0" w:color="auto"/>
        <w:right w:val="none" w:sz="0" w:space="0" w:color="auto"/>
      </w:divBdr>
    </w:div>
    <w:div w:id="1627542169">
      <w:bodyDiv w:val="1"/>
      <w:marLeft w:val="0"/>
      <w:marRight w:val="0"/>
      <w:marTop w:val="0"/>
      <w:marBottom w:val="0"/>
      <w:divBdr>
        <w:top w:val="none" w:sz="0" w:space="0" w:color="auto"/>
        <w:left w:val="none" w:sz="0" w:space="0" w:color="auto"/>
        <w:bottom w:val="none" w:sz="0" w:space="0" w:color="auto"/>
        <w:right w:val="none" w:sz="0" w:space="0" w:color="auto"/>
      </w:divBdr>
    </w:div>
    <w:div w:id="1713262679">
      <w:bodyDiv w:val="1"/>
      <w:marLeft w:val="0"/>
      <w:marRight w:val="0"/>
      <w:marTop w:val="0"/>
      <w:marBottom w:val="0"/>
      <w:divBdr>
        <w:top w:val="none" w:sz="0" w:space="0" w:color="auto"/>
        <w:left w:val="none" w:sz="0" w:space="0" w:color="auto"/>
        <w:bottom w:val="none" w:sz="0" w:space="0" w:color="auto"/>
        <w:right w:val="none" w:sz="0" w:space="0" w:color="auto"/>
      </w:divBdr>
    </w:div>
    <w:div w:id="1756365476">
      <w:bodyDiv w:val="1"/>
      <w:marLeft w:val="0"/>
      <w:marRight w:val="0"/>
      <w:marTop w:val="0"/>
      <w:marBottom w:val="0"/>
      <w:divBdr>
        <w:top w:val="none" w:sz="0" w:space="0" w:color="auto"/>
        <w:left w:val="none" w:sz="0" w:space="0" w:color="auto"/>
        <w:bottom w:val="none" w:sz="0" w:space="0" w:color="auto"/>
        <w:right w:val="none" w:sz="0" w:space="0" w:color="auto"/>
      </w:divBdr>
    </w:div>
    <w:div w:id="1788085180">
      <w:bodyDiv w:val="1"/>
      <w:marLeft w:val="0"/>
      <w:marRight w:val="0"/>
      <w:marTop w:val="0"/>
      <w:marBottom w:val="0"/>
      <w:divBdr>
        <w:top w:val="none" w:sz="0" w:space="0" w:color="auto"/>
        <w:left w:val="none" w:sz="0" w:space="0" w:color="auto"/>
        <w:bottom w:val="none" w:sz="0" w:space="0" w:color="auto"/>
        <w:right w:val="none" w:sz="0" w:space="0" w:color="auto"/>
      </w:divBdr>
    </w:div>
    <w:div w:id="1798067339">
      <w:bodyDiv w:val="1"/>
      <w:marLeft w:val="0"/>
      <w:marRight w:val="0"/>
      <w:marTop w:val="0"/>
      <w:marBottom w:val="0"/>
      <w:divBdr>
        <w:top w:val="none" w:sz="0" w:space="0" w:color="auto"/>
        <w:left w:val="none" w:sz="0" w:space="0" w:color="auto"/>
        <w:bottom w:val="none" w:sz="0" w:space="0" w:color="auto"/>
        <w:right w:val="none" w:sz="0" w:space="0" w:color="auto"/>
      </w:divBdr>
    </w:div>
    <w:div w:id="1831828613">
      <w:bodyDiv w:val="1"/>
      <w:marLeft w:val="0"/>
      <w:marRight w:val="0"/>
      <w:marTop w:val="0"/>
      <w:marBottom w:val="0"/>
      <w:divBdr>
        <w:top w:val="none" w:sz="0" w:space="0" w:color="auto"/>
        <w:left w:val="none" w:sz="0" w:space="0" w:color="auto"/>
        <w:bottom w:val="none" w:sz="0" w:space="0" w:color="auto"/>
        <w:right w:val="none" w:sz="0" w:space="0" w:color="auto"/>
      </w:divBdr>
    </w:div>
    <w:div w:id="1840925848">
      <w:bodyDiv w:val="1"/>
      <w:marLeft w:val="0"/>
      <w:marRight w:val="0"/>
      <w:marTop w:val="0"/>
      <w:marBottom w:val="0"/>
      <w:divBdr>
        <w:top w:val="none" w:sz="0" w:space="0" w:color="auto"/>
        <w:left w:val="none" w:sz="0" w:space="0" w:color="auto"/>
        <w:bottom w:val="none" w:sz="0" w:space="0" w:color="auto"/>
        <w:right w:val="none" w:sz="0" w:space="0" w:color="auto"/>
      </w:divBdr>
    </w:div>
    <w:div w:id="1915581767">
      <w:bodyDiv w:val="1"/>
      <w:marLeft w:val="0"/>
      <w:marRight w:val="0"/>
      <w:marTop w:val="0"/>
      <w:marBottom w:val="0"/>
      <w:divBdr>
        <w:top w:val="none" w:sz="0" w:space="0" w:color="auto"/>
        <w:left w:val="none" w:sz="0" w:space="0" w:color="auto"/>
        <w:bottom w:val="none" w:sz="0" w:space="0" w:color="auto"/>
        <w:right w:val="none" w:sz="0" w:space="0" w:color="auto"/>
      </w:divBdr>
    </w:div>
    <w:div w:id="1921409568">
      <w:bodyDiv w:val="1"/>
      <w:marLeft w:val="0"/>
      <w:marRight w:val="0"/>
      <w:marTop w:val="0"/>
      <w:marBottom w:val="0"/>
      <w:divBdr>
        <w:top w:val="none" w:sz="0" w:space="0" w:color="auto"/>
        <w:left w:val="none" w:sz="0" w:space="0" w:color="auto"/>
        <w:bottom w:val="none" w:sz="0" w:space="0" w:color="auto"/>
        <w:right w:val="none" w:sz="0" w:space="0" w:color="auto"/>
      </w:divBdr>
    </w:div>
    <w:div w:id="2029328547">
      <w:bodyDiv w:val="1"/>
      <w:marLeft w:val="0"/>
      <w:marRight w:val="0"/>
      <w:marTop w:val="0"/>
      <w:marBottom w:val="0"/>
      <w:divBdr>
        <w:top w:val="none" w:sz="0" w:space="0" w:color="auto"/>
        <w:left w:val="none" w:sz="0" w:space="0" w:color="auto"/>
        <w:bottom w:val="none" w:sz="0" w:space="0" w:color="auto"/>
        <w:right w:val="none" w:sz="0" w:space="0" w:color="auto"/>
      </w:divBdr>
    </w:div>
    <w:div w:id="2031754806">
      <w:bodyDiv w:val="1"/>
      <w:marLeft w:val="0"/>
      <w:marRight w:val="0"/>
      <w:marTop w:val="0"/>
      <w:marBottom w:val="0"/>
      <w:divBdr>
        <w:top w:val="none" w:sz="0" w:space="0" w:color="auto"/>
        <w:left w:val="none" w:sz="0" w:space="0" w:color="auto"/>
        <w:bottom w:val="none" w:sz="0" w:space="0" w:color="auto"/>
        <w:right w:val="none" w:sz="0" w:space="0" w:color="auto"/>
      </w:divBdr>
    </w:div>
    <w:div w:id="2066751788">
      <w:bodyDiv w:val="1"/>
      <w:marLeft w:val="0"/>
      <w:marRight w:val="0"/>
      <w:marTop w:val="0"/>
      <w:marBottom w:val="0"/>
      <w:divBdr>
        <w:top w:val="none" w:sz="0" w:space="0" w:color="auto"/>
        <w:left w:val="none" w:sz="0" w:space="0" w:color="auto"/>
        <w:bottom w:val="none" w:sz="0" w:space="0" w:color="auto"/>
        <w:right w:val="none" w:sz="0" w:space="0" w:color="auto"/>
      </w:divBdr>
      <w:divsChild>
        <w:div w:id="1310548328">
          <w:marLeft w:val="0"/>
          <w:marRight w:val="0"/>
          <w:marTop w:val="0"/>
          <w:marBottom w:val="0"/>
          <w:divBdr>
            <w:top w:val="single" w:sz="2" w:space="0" w:color="E5E7EB"/>
            <w:left w:val="single" w:sz="2" w:space="0" w:color="E5E7EB"/>
            <w:bottom w:val="single" w:sz="2" w:space="0" w:color="E5E7EB"/>
            <w:right w:val="single" w:sz="2" w:space="0" w:color="E5E7EB"/>
          </w:divBdr>
          <w:divsChild>
            <w:div w:id="584188516">
              <w:marLeft w:val="0"/>
              <w:marRight w:val="0"/>
              <w:marTop w:val="0"/>
              <w:marBottom w:val="0"/>
              <w:divBdr>
                <w:top w:val="single" w:sz="2" w:space="0" w:color="E5E7EB"/>
                <w:left w:val="single" w:sz="2" w:space="0" w:color="E5E7EB"/>
                <w:bottom w:val="single" w:sz="2" w:space="0" w:color="E5E7EB"/>
                <w:right w:val="single" w:sz="2" w:space="0" w:color="E5E7EB"/>
              </w:divBdr>
              <w:divsChild>
                <w:div w:id="606692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3444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F245D-6A24-43AD-A3D8-7B466429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4274</TotalTime>
  <Pages>31</Pages>
  <Words>6729</Words>
  <Characters>38358</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Md Nazmus Sahar Sikdar</cp:lastModifiedBy>
  <cp:revision>1460</cp:revision>
  <dcterms:created xsi:type="dcterms:W3CDTF">2024-11-17T10:18:00Z</dcterms:created>
  <dcterms:modified xsi:type="dcterms:W3CDTF">2026-04-30T23:52:00Z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cf8811fbfc37f077f439eaf3aa61650b48074f9a4fa193bf5fe4f00570d46bfd</vt:lpwstr>
  </property>
  <property fmtid="{D5CDD505-2E9C-101B-9397-08002B2CF9AE}" pid="3" name="NXPowerLiteLastOptimized">
    <vt:lpwstr>191573</vt:lpwstr>
  </property>
  <property fmtid="{D5CDD505-2E9C-101B-9397-08002B2CF9AE}" pid="4" name="NXPowerLiteSettings">
    <vt:lpwstr>C70005D002A000</vt:lpwstr>
  </property>
  <property fmtid="{D5CDD505-2E9C-101B-9397-08002B2CF9AE}" pid="5" name="NXPowerLiteVersion">
    <vt:lpwstr>D10.2.0</vt:lpwstr>
  </property>
</Properties>
</file>