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356E83" w14:textId="67869843" w:rsidR="003529A8" w:rsidRDefault="00A42657" w:rsidP="00A42657">
      <w:pPr>
        <w:spacing w:line="360" w:lineRule="auto"/>
        <w:jc w:val="center"/>
        <w:rPr>
          <w:rFonts w:ascii="Arial" w:hAnsi="Arial" w:cs="Arial"/>
          <w:b/>
          <w:sz w:val="24"/>
          <w:szCs w:val="24"/>
          <w:u w:val="single"/>
        </w:rPr>
      </w:pPr>
      <w:r>
        <w:rPr>
          <w:rFonts w:ascii="Arial" w:hAnsi="Arial" w:cs="Arial"/>
          <w:b/>
          <w:sz w:val="24"/>
          <w:szCs w:val="24"/>
          <w:u w:val="single"/>
        </w:rPr>
        <w:t>Design a person-centred service for vulnerable children. Include a critical evaluation of different types of person-centred planning.</w:t>
      </w:r>
    </w:p>
    <w:p w14:paraId="318C31D6" w14:textId="31F9D92A" w:rsidR="00A42657" w:rsidRDefault="00A42657" w:rsidP="00A42657">
      <w:pPr>
        <w:spacing w:line="360" w:lineRule="auto"/>
        <w:rPr>
          <w:rFonts w:ascii="Arial" w:hAnsi="Arial" w:cs="Arial"/>
          <w:sz w:val="24"/>
          <w:szCs w:val="24"/>
        </w:rPr>
      </w:pPr>
      <w:r>
        <w:rPr>
          <w:rFonts w:ascii="Arial" w:hAnsi="Arial" w:cs="Arial"/>
          <w:sz w:val="24"/>
          <w:szCs w:val="24"/>
        </w:rPr>
        <w:t xml:space="preserve">Social inclusion is regarded as critical by a number of organisations and theorists. ESTYN (2017) for one, regards inclusion of all individuals as a must, despite age, gender, background or situation. </w:t>
      </w:r>
      <w:r w:rsidR="00D569C3">
        <w:rPr>
          <w:rFonts w:ascii="Arial" w:hAnsi="Arial" w:cs="Arial"/>
          <w:sz w:val="24"/>
          <w:szCs w:val="24"/>
        </w:rPr>
        <w:t>Vulnerable children are often regarded as unable to access the same opportunities as children who are not vulnerable. Daniels (2000) supports this, and goes on to discuss the issue that all inclusion is interpreted differently, and if a child that is vulnerable wishes to be included in certain activities or discussions they will often turn away from these opportunities as they realise that they will often get disregarded before even</w:t>
      </w:r>
      <w:bookmarkStart w:id="0" w:name="_GoBack"/>
      <w:bookmarkEnd w:id="0"/>
      <w:r w:rsidR="00D569C3">
        <w:rPr>
          <w:rFonts w:ascii="Arial" w:hAnsi="Arial" w:cs="Arial"/>
          <w:sz w:val="24"/>
          <w:szCs w:val="24"/>
        </w:rPr>
        <w:t xml:space="preserve"> trying. Throughout this discussion and evaluation, the writer will design a service directed towards these groups of young people, and discuss how it will support these children, as well as critically evaluate the different types of person-centred planning. According to the Foundation for People with Learning Disabilities (2019), person-centred planning is a way of providing a plan for people within all aspects of their life, this is not an assessment, but rather a method of planning with the person involved, and this plan can adapt and be revisited over time to suit a person’s requirements as they alter over time. The points that will also be discussed include a critical evaluation of person-centred planning (PCP), relevant policy and legislative frameworks, background to the focus vulnerable group, </w:t>
      </w:r>
      <w:r w:rsidR="00607D09">
        <w:rPr>
          <w:rFonts w:ascii="Arial" w:hAnsi="Arial" w:cs="Arial"/>
          <w:sz w:val="24"/>
          <w:szCs w:val="24"/>
        </w:rPr>
        <w:t>rationale for the person-centred service and how it will encourage social inclusion, how the service will work, and a critical evaluation of the service in comparison with other services.</w:t>
      </w:r>
    </w:p>
    <w:p w14:paraId="590CF214" w14:textId="3DD03CA6" w:rsidR="00607D09" w:rsidRDefault="00607D09" w:rsidP="00A42657">
      <w:pPr>
        <w:spacing w:line="360" w:lineRule="auto"/>
        <w:rPr>
          <w:rFonts w:ascii="Arial" w:hAnsi="Arial" w:cs="Arial"/>
          <w:sz w:val="24"/>
          <w:szCs w:val="24"/>
        </w:rPr>
      </w:pPr>
      <w:r>
        <w:rPr>
          <w:rFonts w:ascii="Arial" w:hAnsi="Arial" w:cs="Arial"/>
          <w:sz w:val="24"/>
          <w:szCs w:val="24"/>
        </w:rPr>
        <w:t xml:space="preserve">According to Ritchie et al. (2003), the overall aim of person-centred planning is to ensure that good planning is put in place to encourage positive changes and successes in people’s lives. This is the basic ideology of PCP, and this was put in place because often children and young people with disabilities or difficult backgrounds often found it very difficult to receive the basic services and opportunities that others took for granted, and this is supported by Howell et al. (2004), who </w:t>
      </w:r>
      <w:r w:rsidR="00097EDA">
        <w:rPr>
          <w:rFonts w:ascii="Arial" w:hAnsi="Arial" w:cs="Arial"/>
          <w:sz w:val="24"/>
          <w:szCs w:val="24"/>
        </w:rPr>
        <w:t xml:space="preserve">claimed that these children and young people were often found to be required to fit in with others ideas of normal, rather than act like themselves. Routledge and Gitsham (2004) went on to say that PCP has the general aim to create a target for a child or young person’s life to take part in their own lives or their local community and society. The PCP approach will then go on to discuss the </w:t>
      </w:r>
      <w:r w:rsidR="00097EDA">
        <w:rPr>
          <w:rFonts w:ascii="Arial" w:hAnsi="Arial" w:cs="Arial"/>
          <w:sz w:val="24"/>
          <w:szCs w:val="24"/>
        </w:rPr>
        <w:lastRenderedPageBreak/>
        <w:t xml:space="preserve">actions needed to move forward and attempt to accomplish these targets. There are many different </w:t>
      </w:r>
      <w:r w:rsidR="00664211">
        <w:rPr>
          <w:rFonts w:ascii="Arial" w:hAnsi="Arial" w:cs="Arial"/>
          <w:sz w:val="24"/>
          <w:szCs w:val="24"/>
        </w:rPr>
        <w:t xml:space="preserve">approaches within the PCP model, as put in place by the Welsh Assembly Government (2015). The first of which, is one-page profiles. One-page profiles, as also discussed by the Welsh Assembly Government, are powerful tools that gathers key information about a particular learner and displays it on one page of an A4 sized page. According to Sanderson (2015) </w:t>
      </w:r>
      <w:r w:rsidR="00792C7C">
        <w:rPr>
          <w:rFonts w:ascii="Arial" w:hAnsi="Arial" w:cs="Arial"/>
          <w:sz w:val="24"/>
          <w:szCs w:val="24"/>
        </w:rPr>
        <w:t>from a one-page profile you can use the ideology of what is working currently, and what is not working currently, to build on what is going well, and address what is not. This can then be discussed further in terms of what PCP approach can follow up one-page profiles if there are problems currently. The Welsh Assembly Government put these one page profiles in place in order to put the learner and their family back into the centre of their education, it helps everyone who works with them to understand them as people far quicker, and prevents them from being labelled such as ‘the autistic boy’ or ‘the girl with ADHD’. The Local Offer (2014) supports th</w:t>
      </w:r>
      <w:r w:rsidR="00472771">
        <w:rPr>
          <w:rFonts w:ascii="Arial" w:hAnsi="Arial" w:cs="Arial"/>
          <w:sz w:val="24"/>
          <w:szCs w:val="24"/>
        </w:rPr>
        <w:t xml:space="preserve">e introduction of one-page profiles, stating that it is a very simple but effective way of understanding starting points for each child or young person, including provisions for each of them, However, Hagner et al. (1996) stated that this kind of process tends to be very reliant on what the facilitator’s behaviour tends to be after learning the information that is provided by the one-page profiles, as the information could still be there, but the facilitators may choose not to act on it by providing the support that is stated on the profile as essential. It must be considered however that Hagner’s views were provided in 1996, so therefore even though they were discussing a model similar to one-page profiles, they could not have actually been discussing one-page profiles themselves. Another PCP approach is that of PATHs. </w:t>
      </w:r>
      <w:r w:rsidR="00F54D55">
        <w:rPr>
          <w:rFonts w:ascii="Arial" w:hAnsi="Arial" w:cs="Arial"/>
          <w:sz w:val="24"/>
          <w:szCs w:val="24"/>
        </w:rPr>
        <w:t xml:space="preserve">According to Sanderson (2015), PATHs were developed by Pearpoint, Forest and O’Brien from 1991. It involves the child or young person involved, plus two facilitators to work through the process. The idea of a PATH is to first discuss the subject’s dream, sensing the goal and what it will take to achieve it, discussing the here and now, as well as who is on board in this particular journey? Then, the facilitators will discuss how strength towards these goals will be produced, and what will be done to gain this strength. Then, it will be discussed where the child or young person would like to get to within three months, and then six months, and that would come just before the first steps can be made. According to Ritchie (cited in OFSTED, 2009) </w:t>
      </w:r>
      <w:r w:rsidR="00C5796F">
        <w:rPr>
          <w:rFonts w:ascii="Arial" w:hAnsi="Arial" w:cs="Arial"/>
          <w:sz w:val="24"/>
          <w:szCs w:val="24"/>
        </w:rPr>
        <w:t xml:space="preserve">PATH and PCP are both ways of organising around one individual no matter what their situation and focus on them to create a </w:t>
      </w:r>
      <w:r w:rsidR="00C5796F">
        <w:rPr>
          <w:rFonts w:ascii="Arial" w:hAnsi="Arial" w:cs="Arial"/>
          <w:sz w:val="24"/>
          <w:szCs w:val="24"/>
        </w:rPr>
        <w:lastRenderedPageBreak/>
        <w:t>better future for them. However, as Holburn and Vietze (2002) discuss, there are issues with the PATH approach. Due to the approach needing two members of staff to facilitate, sometimes providing adequate staffing can result in issues, and therefore this can limit the amount of progress that can be made within the implementation of the plan discussed. Holbern and Vietze go on to state that even if staff are put in place to cover for the original facilitator’s absence, this can also compromise the stability of the meetings and plan.</w:t>
      </w:r>
    </w:p>
    <w:p w14:paraId="78B38158" w14:textId="441C9CBE" w:rsidR="00C5796F" w:rsidRDefault="00C5796F" w:rsidP="00A42657">
      <w:pPr>
        <w:spacing w:line="360" w:lineRule="auto"/>
        <w:rPr>
          <w:rFonts w:ascii="Arial" w:hAnsi="Arial" w:cs="Arial"/>
          <w:sz w:val="24"/>
          <w:szCs w:val="24"/>
        </w:rPr>
      </w:pPr>
      <w:r>
        <w:rPr>
          <w:rFonts w:ascii="Arial" w:hAnsi="Arial" w:cs="Arial"/>
          <w:sz w:val="24"/>
          <w:szCs w:val="24"/>
        </w:rPr>
        <w:t xml:space="preserve">As discussed previously, the Welsh Assembly Government are </w:t>
      </w:r>
      <w:r w:rsidR="00AE2998">
        <w:rPr>
          <w:rFonts w:ascii="Arial" w:hAnsi="Arial" w:cs="Arial"/>
          <w:sz w:val="24"/>
          <w:szCs w:val="24"/>
        </w:rPr>
        <w:t xml:space="preserve">thoroughly supportive of PCP approaches such as these. The PCP framework (2015) states that everyone knows that it is far easier to educate or support children and young people when they are understood, and this is why person-centred approaches are at the heart of all the best practice within education today. This is also supported by the ALN bill in Wales, as reviewed by the Welsh Assembly Government in 2018. </w:t>
      </w:r>
      <w:r w:rsidR="00F81AB4">
        <w:rPr>
          <w:rFonts w:ascii="Arial" w:hAnsi="Arial" w:cs="Arial"/>
          <w:sz w:val="24"/>
          <w:szCs w:val="24"/>
        </w:rPr>
        <w:t xml:space="preserve">The ALN bill supports the ideas of the PCP approaches, as it states that all the processes of assessment and planning, as well as facilities and interventions must be fair and transparent to all involved, as well as integrated and inclusive. The bill extends to those that are responsible for children and young people with additional learning needs (ALN), and who represent their development and interests, such as ESTYN, Special Educational Needs Co-ordinator (SENCO) groups, The Association of Educational Psychologists, and The British Association of Teachers of the Deaf (BATOD). Bruner (1976)’s theory of scaffolding is also obviously considered within each of these examples of PCP approaches. Bruner believed that when children and young people begin to discover new concepts in education, or indeed life, they require consistent help from both teachers and other adults in their lives consistently. </w:t>
      </w:r>
      <w:r w:rsidR="00B9556D">
        <w:rPr>
          <w:rFonts w:ascii="Arial" w:hAnsi="Arial" w:cs="Arial"/>
          <w:sz w:val="24"/>
          <w:szCs w:val="24"/>
        </w:rPr>
        <w:t>Bruner goes on to state that this can be applied to education in particular as, despite some children and young people’s needs being very complex, staff must be aware that each of these pupils are in a developmental stage of their lives and care, and each child or young person must be treated with the same care and be given the same opportunities to build on their new skills and knowledge. Bruner’s scaffolding is very supportive of PCP approaches as they both require staff to be open minded and supportive as early as possible, working with each individual exactly how they need to be worked with, and moving forward to their own pace.</w:t>
      </w:r>
    </w:p>
    <w:p w14:paraId="22CB09C5" w14:textId="77777777" w:rsidR="0032379F" w:rsidRDefault="00B9556D" w:rsidP="00A42657">
      <w:pPr>
        <w:spacing w:line="360" w:lineRule="auto"/>
        <w:rPr>
          <w:rFonts w:ascii="Arial" w:hAnsi="Arial" w:cs="Arial"/>
          <w:sz w:val="24"/>
          <w:szCs w:val="24"/>
        </w:rPr>
      </w:pPr>
      <w:r>
        <w:rPr>
          <w:rFonts w:ascii="Arial" w:hAnsi="Arial" w:cs="Arial"/>
          <w:sz w:val="24"/>
          <w:szCs w:val="24"/>
        </w:rPr>
        <w:lastRenderedPageBreak/>
        <w:t xml:space="preserve">The vulnerable group that will be targeted by the PCP approach that will be discussed later in the analysis are youth offenders. </w:t>
      </w:r>
      <w:r w:rsidR="0018215D">
        <w:rPr>
          <w:rFonts w:ascii="Arial" w:hAnsi="Arial" w:cs="Arial"/>
          <w:sz w:val="24"/>
          <w:szCs w:val="24"/>
        </w:rPr>
        <w:t>It is</w:t>
      </w:r>
      <w:r w:rsidR="00A346ED">
        <w:rPr>
          <w:rFonts w:ascii="Arial" w:hAnsi="Arial" w:cs="Arial"/>
          <w:sz w:val="24"/>
          <w:szCs w:val="24"/>
        </w:rPr>
        <w:t xml:space="preserve"> often argued and disregarded that a strong amount of youth offenders </w:t>
      </w:r>
      <w:r w:rsidR="000E2F9F">
        <w:rPr>
          <w:rFonts w:ascii="Arial" w:hAnsi="Arial" w:cs="Arial"/>
          <w:sz w:val="24"/>
          <w:szCs w:val="24"/>
        </w:rPr>
        <w:t>ends</w:t>
      </w:r>
      <w:r w:rsidR="00A346ED">
        <w:rPr>
          <w:rFonts w:ascii="Arial" w:hAnsi="Arial" w:cs="Arial"/>
          <w:sz w:val="24"/>
          <w:szCs w:val="24"/>
        </w:rPr>
        <w:t xml:space="preserve"> up offending due to previous trauma in their lives. </w:t>
      </w:r>
      <w:r w:rsidR="000E2F9F">
        <w:rPr>
          <w:rFonts w:ascii="Arial" w:hAnsi="Arial" w:cs="Arial"/>
          <w:sz w:val="24"/>
          <w:szCs w:val="24"/>
        </w:rPr>
        <w:t>Brandell (2012)</w:t>
      </w:r>
      <w:r w:rsidR="00DB6DD6">
        <w:rPr>
          <w:rFonts w:ascii="Arial" w:hAnsi="Arial" w:cs="Arial"/>
          <w:sz w:val="24"/>
          <w:szCs w:val="24"/>
        </w:rPr>
        <w:t xml:space="preserve"> in particular states that the use of the term trauma when discussing young people from difficult backgrounds tends to be </w:t>
      </w:r>
      <w:r w:rsidR="00304673">
        <w:rPr>
          <w:rFonts w:ascii="Arial" w:hAnsi="Arial" w:cs="Arial"/>
          <w:sz w:val="24"/>
          <w:szCs w:val="24"/>
        </w:rPr>
        <w:t xml:space="preserve">taboo, due to the use of the word within other concepts. </w:t>
      </w:r>
      <w:r w:rsidR="00D72A7B">
        <w:rPr>
          <w:rFonts w:ascii="Arial" w:hAnsi="Arial" w:cs="Arial"/>
          <w:sz w:val="24"/>
          <w:szCs w:val="24"/>
        </w:rPr>
        <w:t xml:space="preserve">He goes on to state that despite of this, the definition of trauma can often </w:t>
      </w:r>
      <w:r w:rsidR="002F0F80">
        <w:rPr>
          <w:rFonts w:ascii="Arial" w:hAnsi="Arial" w:cs="Arial"/>
          <w:sz w:val="24"/>
          <w:szCs w:val="24"/>
        </w:rPr>
        <w:t xml:space="preserve">link with the upbringing of a youth offender, </w:t>
      </w:r>
      <w:r w:rsidR="00F53D6C">
        <w:rPr>
          <w:rFonts w:ascii="Arial" w:hAnsi="Arial" w:cs="Arial"/>
          <w:sz w:val="24"/>
          <w:szCs w:val="24"/>
        </w:rPr>
        <w:t xml:space="preserve">as the correct definition </w:t>
      </w:r>
      <w:r w:rsidR="00C52B77">
        <w:rPr>
          <w:rFonts w:ascii="Arial" w:hAnsi="Arial" w:cs="Arial"/>
          <w:sz w:val="24"/>
          <w:szCs w:val="24"/>
        </w:rPr>
        <w:t>uses the terms such as an emotional shock that results in lasting damage to the individual’s mental health,</w:t>
      </w:r>
      <w:r w:rsidR="0018310E">
        <w:rPr>
          <w:rFonts w:ascii="Arial" w:hAnsi="Arial" w:cs="Arial"/>
          <w:sz w:val="24"/>
          <w:szCs w:val="24"/>
        </w:rPr>
        <w:t xml:space="preserve"> severely jarring the mind or emotions, or both. </w:t>
      </w:r>
      <w:r w:rsidR="00071ABE">
        <w:rPr>
          <w:rFonts w:ascii="Arial" w:hAnsi="Arial" w:cs="Arial"/>
          <w:sz w:val="24"/>
          <w:szCs w:val="24"/>
        </w:rPr>
        <w:t xml:space="preserve">The American Psychiatric Association (2013) </w:t>
      </w:r>
      <w:r w:rsidR="005137C9">
        <w:rPr>
          <w:rFonts w:ascii="Arial" w:hAnsi="Arial" w:cs="Arial"/>
          <w:sz w:val="24"/>
          <w:szCs w:val="24"/>
        </w:rPr>
        <w:t xml:space="preserve">then goes further with this, suggesting that a child or young person that has been exposed to this sort of trauma from a young age can </w:t>
      </w:r>
      <w:r w:rsidR="005B5750">
        <w:rPr>
          <w:rFonts w:ascii="Arial" w:hAnsi="Arial" w:cs="Arial"/>
          <w:sz w:val="24"/>
          <w:szCs w:val="24"/>
        </w:rPr>
        <w:t xml:space="preserve">display behaviours that </w:t>
      </w:r>
      <w:r w:rsidR="00A96402">
        <w:rPr>
          <w:rFonts w:ascii="Arial" w:hAnsi="Arial" w:cs="Arial"/>
          <w:sz w:val="24"/>
          <w:szCs w:val="24"/>
        </w:rPr>
        <w:t xml:space="preserve">could be described as </w:t>
      </w:r>
      <w:r w:rsidR="005B5750">
        <w:rPr>
          <w:rFonts w:ascii="Arial" w:hAnsi="Arial" w:cs="Arial"/>
          <w:sz w:val="24"/>
          <w:szCs w:val="24"/>
        </w:rPr>
        <w:t>aggressive, self-destructive or hypervigilan</w:t>
      </w:r>
      <w:r w:rsidR="00A96402">
        <w:rPr>
          <w:rFonts w:ascii="Arial" w:hAnsi="Arial" w:cs="Arial"/>
          <w:sz w:val="24"/>
          <w:szCs w:val="24"/>
        </w:rPr>
        <w:t>t</w:t>
      </w:r>
      <w:r w:rsidR="005B5750">
        <w:rPr>
          <w:rFonts w:ascii="Arial" w:hAnsi="Arial" w:cs="Arial"/>
          <w:sz w:val="24"/>
          <w:szCs w:val="24"/>
        </w:rPr>
        <w:t xml:space="preserve">. </w:t>
      </w:r>
      <w:r w:rsidR="00CC20EE">
        <w:rPr>
          <w:rFonts w:ascii="Arial" w:hAnsi="Arial" w:cs="Arial"/>
          <w:sz w:val="24"/>
          <w:szCs w:val="24"/>
        </w:rPr>
        <w:t>These behaviours</w:t>
      </w:r>
      <w:r w:rsidR="00A96402">
        <w:rPr>
          <w:rFonts w:ascii="Arial" w:hAnsi="Arial" w:cs="Arial"/>
          <w:sz w:val="24"/>
          <w:szCs w:val="24"/>
        </w:rPr>
        <w:t xml:space="preserve"> are often associated with young </w:t>
      </w:r>
      <w:r w:rsidR="00CC20EE">
        <w:rPr>
          <w:rFonts w:ascii="Arial" w:hAnsi="Arial" w:cs="Arial"/>
          <w:sz w:val="24"/>
          <w:szCs w:val="24"/>
        </w:rPr>
        <w:t>offenders and</w:t>
      </w:r>
      <w:r w:rsidR="00A96402">
        <w:rPr>
          <w:rFonts w:ascii="Arial" w:hAnsi="Arial" w:cs="Arial"/>
          <w:sz w:val="24"/>
          <w:szCs w:val="24"/>
        </w:rPr>
        <w:t xml:space="preserve"> are often the reasons for them offending after </w:t>
      </w:r>
      <w:r w:rsidR="00C830C6">
        <w:rPr>
          <w:rFonts w:ascii="Arial" w:hAnsi="Arial" w:cs="Arial"/>
          <w:sz w:val="24"/>
          <w:szCs w:val="24"/>
        </w:rPr>
        <w:t xml:space="preserve">a difficult upbringing. </w:t>
      </w:r>
      <w:r w:rsidR="00CC20EE">
        <w:rPr>
          <w:rFonts w:ascii="Arial" w:hAnsi="Arial" w:cs="Arial"/>
          <w:sz w:val="24"/>
          <w:szCs w:val="24"/>
        </w:rPr>
        <w:t xml:space="preserve">How can these behaviours be linked specifically to trauma in a </w:t>
      </w:r>
      <w:r w:rsidR="008C2612">
        <w:rPr>
          <w:rFonts w:ascii="Arial" w:hAnsi="Arial" w:cs="Arial"/>
          <w:sz w:val="24"/>
          <w:szCs w:val="24"/>
        </w:rPr>
        <w:t xml:space="preserve">youth offender’s upbringing? A study from </w:t>
      </w:r>
      <w:r w:rsidR="00AA251B">
        <w:rPr>
          <w:rFonts w:ascii="Arial" w:hAnsi="Arial" w:cs="Arial"/>
          <w:sz w:val="24"/>
          <w:szCs w:val="24"/>
        </w:rPr>
        <w:t>Stuart and Baines (2004)</w:t>
      </w:r>
      <w:r w:rsidR="008C2612">
        <w:rPr>
          <w:rFonts w:ascii="Arial" w:hAnsi="Arial" w:cs="Arial"/>
          <w:sz w:val="24"/>
          <w:szCs w:val="24"/>
        </w:rPr>
        <w:t xml:space="preserve"> found that</w:t>
      </w:r>
      <w:r w:rsidR="00AA251B">
        <w:rPr>
          <w:rFonts w:ascii="Arial" w:hAnsi="Arial" w:cs="Arial"/>
          <w:sz w:val="24"/>
          <w:szCs w:val="24"/>
        </w:rPr>
        <w:t xml:space="preserve">, </w:t>
      </w:r>
      <w:r w:rsidR="00DA3CEB">
        <w:rPr>
          <w:rFonts w:ascii="Arial" w:hAnsi="Arial" w:cs="Arial"/>
          <w:sz w:val="24"/>
          <w:szCs w:val="24"/>
        </w:rPr>
        <w:t xml:space="preserve">within </w:t>
      </w:r>
      <w:r w:rsidR="004B3231">
        <w:rPr>
          <w:rFonts w:ascii="Arial" w:hAnsi="Arial" w:cs="Arial"/>
          <w:sz w:val="24"/>
          <w:szCs w:val="24"/>
        </w:rPr>
        <w:t xml:space="preserve">around 2600 </w:t>
      </w:r>
      <w:r w:rsidR="00DA3CEB">
        <w:rPr>
          <w:rFonts w:ascii="Arial" w:hAnsi="Arial" w:cs="Arial"/>
          <w:sz w:val="24"/>
          <w:szCs w:val="24"/>
        </w:rPr>
        <w:t xml:space="preserve">young offenders in England and Wales, </w:t>
      </w:r>
      <w:r w:rsidR="0013664B">
        <w:rPr>
          <w:rFonts w:ascii="Arial" w:hAnsi="Arial" w:cs="Arial"/>
          <w:sz w:val="24"/>
          <w:szCs w:val="24"/>
        </w:rPr>
        <w:t>forty to forty nine per cent</w:t>
      </w:r>
      <w:r w:rsidR="00510EA2">
        <w:rPr>
          <w:rFonts w:ascii="Arial" w:hAnsi="Arial" w:cs="Arial"/>
          <w:sz w:val="24"/>
          <w:szCs w:val="24"/>
        </w:rPr>
        <w:t xml:space="preserve"> had a history of being in local care, </w:t>
      </w:r>
      <w:r w:rsidR="0073619F">
        <w:rPr>
          <w:rFonts w:ascii="Arial" w:hAnsi="Arial" w:cs="Arial"/>
          <w:sz w:val="24"/>
          <w:szCs w:val="24"/>
        </w:rPr>
        <w:t>forty per cent of girls and twenty five per cent of boys had a history of receiving violence at home,</w:t>
      </w:r>
      <w:r w:rsidR="00945578">
        <w:rPr>
          <w:rFonts w:ascii="Arial" w:hAnsi="Arial" w:cs="Arial"/>
          <w:sz w:val="24"/>
          <w:szCs w:val="24"/>
        </w:rPr>
        <w:t xml:space="preserve"> and thirty three per cent of girls and five per cent of boys reported a history of sexual abuse.</w:t>
      </w:r>
      <w:r w:rsidR="004B3231">
        <w:rPr>
          <w:rFonts w:ascii="Arial" w:hAnsi="Arial" w:cs="Arial"/>
          <w:sz w:val="24"/>
          <w:szCs w:val="24"/>
        </w:rPr>
        <w:t xml:space="preserve"> </w:t>
      </w:r>
      <w:r w:rsidR="003F2810">
        <w:rPr>
          <w:rFonts w:ascii="Arial" w:hAnsi="Arial" w:cs="Arial"/>
          <w:sz w:val="24"/>
          <w:szCs w:val="24"/>
        </w:rPr>
        <w:t xml:space="preserve">This supports that early-life trauma can be a </w:t>
      </w:r>
      <w:r w:rsidR="00166F5D">
        <w:rPr>
          <w:rFonts w:ascii="Arial" w:hAnsi="Arial" w:cs="Arial"/>
          <w:sz w:val="24"/>
          <w:szCs w:val="24"/>
        </w:rPr>
        <w:t xml:space="preserve">critical factor when discussing young offenders. </w:t>
      </w:r>
      <w:r w:rsidR="001C52B0">
        <w:rPr>
          <w:rFonts w:ascii="Arial" w:hAnsi="Arial" w:cs="Arial"/>
          <w:sz w:val="24"/>
          <w:szCs w:val="24"/>
        </w:rPr>
        <w:t>Silvestri</w:t>
      </w:r>
      <w:r w:rsidR="00166F5D">
        <w:rPr>
          <w:rFonts w:ascii="Arial" w:hAnsi="Arial" w:cs="Arial"/>
          <w:sz w:val="24"/>
          <w:szCs w:val="24"/>
        </w:rPr>
        <w:t xml:space="preserve"> et al. (2011) followed this on by stating</w:t>
      </w:r>
      <w:r w:rsidR="00E20808">
        <w:rPr>
          <w:rFonts w:ascii="Arial" w:hAnsi="Arial" w:cs="Arial"/>
          <w:sz w:val="24"/>
          <w:szCs w:val="24"/>
        </w:rPr>
        <w:t xml:space="preserve"> </w:t>
      </w:r>
      <w:r w:rsidR="001E4C13">
        <w:rPr>
          <w:rFonts w:ascii="Arial" w:hAnsi="Arial" w:cs="Arial"/>
          <w:sz w:val="24"/>
          <w:szCs w:val="24"/>
        </w:rPr>
        <w:t xml:space="preserve">that, through no fault of their own, these children have been thrown into a life of despair and violence. </w:t>
      </w:r>
      <w:r w:rsidR="00C03C58">
        <w:rPr>
          <w:rFonts w:ascii="Arial" w:hAnsi="Arial" w:cs="Arial"/>
          <w:sz w:val="24"/>
          <w:szCs w:val="24"/>
        </w:rPr>
        <w:t>The urgency of the needs of these children must be managed by an individual supportive approach in order for them to</w:t>
      </w:r>
      <w:r w:rsidR="00C54903">
        <w:rPr>
          <w:rFonts w:ascii="Arial" w:hAnsi="Arial" w:cs="Arial"/>
          <w:sz w:val="24"/>
          <w:szCs w:val="24"/>
        </w:rPr>
        <w:t xml:space="preserve"> survive, and positive nurturing must be addressed as early as possible. </w:t>
      </w:r>
      <w:r w:rsidR="006E37ED">
        <w:rPr>
          <w:rFonts w:ascii="Arial" w:hAnsi="Arial" w:cs="Arial"/>
          <w:sz w:val="24"/>
          <w:szCs w:val="24"/>
        </w:rPr>
        <w:t xml:space="preserve">This is where the PCP approach that has been created comes in. </w:t>
      </w:r>
    </w:p>
    <w:p w14:paraId="7AD801AE" w14:textId="046B3906" w:rsidR="005941B3" w:rsidRDefault="00421DF2" w:rsidP="00A42657">
      <w:pPr>
        <w:spacing w:line="360" w:lineRule="auto"/>
        <w:rPr>
          <w:rFonts w:ascii="Arial" w:hAnsi="Arial" w:cs="Arial"/>
          <w:sz w:val="24"/>
          <w:szCs w:val="24"/>
        </w:rPr>
      </w:pPr>
      <w:r>
        <w:rPr>
          <w:rFonts w:ascii="Arial" w:hAnsi="Arial" w:cs="Arial"/>
          <w:sz w:val="24"/>
          <w:szCs w:val="24"/>
        </w:rPr>
        <w:t xml:space="preserve">The service that will be discussed is a service called Sport4All. </w:t>
      </w:r>
      <w:r w:rsidR="00D02110">
        <w:rPr>
          <w:rFonts w:ascii="Arial" w:hAnsi="Arial" w:cs="Arial"/>
          <w:sz w:val="24"/>
          <w:szCs w:val="24"/>
        </w:rPr>
        <w:t>This will be a sports club for troubled youth and young offenders, that will welcome these children and young people regardless of their situation</w:t>
      </w:r>
      <w:r w:rsidR="00B1166C">
        <w:rPr>
          <w:rFonts w:ascii="Arial" w:hAnsi="Arial" w:cs="Arial"/>
          <w:sz w:val="24"/>
          <w:szCs w:val="24"/>
        </w:rPr>
        <w:t>, every evening from around 6pm to 9pm, allowing them to drop in and out whenever suits their lives, with the idea being to keep them out of trouble</w:t>
      </w:r>
      <w:r w:rsidR="006A40B9">
        <w:rPr>
          <w:rFonts w:ascii="Arial" w:hAnsi="Arial" w:cs="Arial"/>
          <w:sz w:val="24"/>
          <w:szCs w:val="24"/>
        </w:rPr>
        <w:t xml:space="preserve"> and encourage social inclusion with other peers</w:t>
      </w:r>
      <w:r w:rsidR="00035473">
        <w:rPr>
          <w:rFonts w:ascii="Arial" w:hAnsi="Arial" w:cs="Arial"/>
          <w:sz w:val="24"/>
          <w:szCs w:val="24"/>
        </w:rPr>
        <w:t xml:space="preserve"> from similar backgrounds</w:t>
      </w:r>
      <w:r w:rsidR="00B1166C">
        <w:rPr>
          <w:rFonts w:ascii="Arial" w:hAnsi="Arial" w:cs="Arial"/>
          <w:sz w:val="24"/>
          <w:szCs w:val="24"/>
        </w:rPr>
        <w:t xml:space="preserve">. </w:t>
      </w:r>
      <w:r w:rsidR="00F322F8">
        <w:rPr>
          <w:rFonts w:ascii="Arial" w:hAnsi="Arial" w:cs="Arial"/>
          <w:sz w:val="24"/>
          <w:szCs w:val="24"/>
        </w:rPr>
        <w:t xml:space="preserve">Liotti </w:t>
      </w:r>
      <w:r w:rsidR="006A3B44">
        <w:rPr>
          <w:rFonts w:ascii="Arial" w:hAnsi="Arial" w:cs="Arial"/>
          <w:sz w:val="24"/>
          <w:szCs w:val="24"/>
        </w:rPr>
        <w:t xml:space="preserve">(2004) </w:t>
      </w:r>
      <w:r w:rsidR="00F322F8">
        <w:rPr>
          <w:rFonts w:ascii="Arial" w:hAnsi="Arial" w:cs="Arial"/>
          <w:sz w:val="24"/>
          <w:szCs w:val="24"/>
        </w:rPr>
        <w:t>makes the point that</w:t>
      </w:r>
      <w:r w:rsidR="0055391E">
        <w:rPr>
          <w:rFonts w:ascii="Arial" w:hAnsi="Arial" w:cs="Arial"/>
          <w:sz w:val="24"/>
          <w:szCs w:val="24"/>
        </w:rPr>
        <w:t xml:space="preserve">, due to the inconsistent nature of their lives, </w:t>
      </w:r>
      <w:r w:rsidR="00F36540">
        <w:rPr>
          <w:rFonts w:ascii="Arial" w:hAnsi="Arial" w:cs="Arial"/>
          <w:sz w:val="24"/>
          <w:szCs w:val="24"/>
        </w:rPr>
        <w:t xml:space="preserve">their behaviours and needs will often be just as inconstant. Many troubled </w:t>
      </w:r>
      <w:r w:rsidR="002B794B">
        <w:rPr>
          <w:rFonts w:ascii="Arial" w:hAnsi="Arial" w:cs="Arial"/>
          <w:sz w:val="24"/>
          <w:szCs w:val="24"/>
        </w:rPr>
        <w:lastRenderedPageBreak/>
        <w:t>youths</w:t>
      </w:r>
      <w:r w:rsidR="00F36540">
        <w:rPr>
          <w:rFonts w:ascii="Arial" w:hAnsi="Arial" w:cs="Arial"/>
          <w:sz w:val="24"/>
          <w:szCs w:val="24"/>
        </w:rPr>
        <w:t xml:space="preserve"> are likely to </w:t>
      </w:r>
      <w:r w:rsidR="002B794B">
        <w:rPr>
          <w:rFonts w:ascii="Arial" w:hAnsi="Arial" w:cs="Arial"/>
          <w:sz w:val="24"/>
          <w:szCs w:val="24"/>
        </w:rPr>
        <w:t xml:space="preserve">outburst in emotion which is often rage, and this must be considered and managed when creating a plan for these individuals. </w:t>
      </w:r>
      <w:r w:rsidR="00441848">
        <w:rPr>
          <w:rFonts w:ascii="Arial" w:hAnsi="Arial" w:cs="Arial"/>
          <w:sz w:val="24"/>
          <w:szCs w:val="24"/>
        </w:rPr>
        <w:t xml:space="preserve">One way to </w:t>
      </w:r>
      <w:r w:rsidR="00660BC4">
        <w:rPr>
          <w:rFonts w:ascii="Arial" w:hAnsi="Arial" w:cs="Arial"/>
          <w:sz w:val="24"/>
          <w:szCs w:val="24"/>
        </w:rPr>
        <w:t xml:space="preserve">cope with this sort of behaviour is what Woodcock and Gill (2014) call ‘elastic </w:t>
      </w:r>
      <w:r w:rsidR="007C0326">
        <w:rPr>
          <w:rFonts w:ascii="Arial" w:hAnsi="Arial" w:cs="Arial"/>
          <w:sz w:val="24"/>
          <w:szCs w:val="24"/>
        </w:rPr>
        <w:t>tolerance’</w:t>
      </w:r>
      <w:r w:rsidR="00660BC4">
        <w:rPr>
          <w:rFonts w:ascii="Arial" w:hAnsi="Arial" w:cs="Arial"/>
          <w:sz w:val="24"/>
          <w:szCs w:val="24"/>
        </w:rPr>
        <w:t>. This is an approach which allows these troubled youths to ta</w:t>
      </w:r>
      <w:r w:rsidR="00082980">
        <w:rPr>
          <w:rFonts w:ascii="Arial" w:hAnsi="Arial" w:cs="Arial"/>
          <w:sz w:val="24"/>
          <w:szCs w:val="24"/>
        </w:rPr>
        <w:t>ckle aggressive or irrational behaviour with much more flexibility and lenience than perhaps they are used to</w:t>
      </w:r>
      <w:r w:rsidR="005941B3">
        <w:rPr>
          <w:rFonts w:ascii="Arial" w:hAnsi="Arial" w:cs="Arial"/>
          <w:sz w:val="24"/>
          <w:szCs w:val="24"/>
        </w:rPr>
        <w:t xml:space="preserve">. </w:t>
      </w:r>
      <w:r w:rsidR="0032379F">
        <w:rPr>
          <w:rFonts w:ascii="Arial" w:hAnsi="Arial" w:cs="Arial"/>
          <w:sz w:val="24"/>
          <w:szCs w:val="24"/>
        </w:rPr>
        <w:t>Therefore,</w:t>
      </w:r>
      <w:r w:rsidR="005941B3">
        <w:rPr>
          <w:rFonts w:ascii="Arial" w:hAnsi="Arial" w:cs="Arial"/>
          <w:sz w:val="24"/>
          <w:szCs w:val="24"/>
        </w:rPr>
        <w:t xml:space="preserve"> creating the atmosphere that it is okay to be themselves, and settling them into the environment and plan created for them.</w:t>
      </w:r>
      <w:r>
        <w:rPr>
          <w:rFonts w:ascii="Arial" w:hAnsi="Arial" w:cs="Arial"/>
          <w:sz w:val="24"/>
          <w:szCs w:val="24"/>
        </w:rPr>
        <w:t xml:space="preserve"> </w:t>
      </w:r>
      <w:r w:rsidR="007C0326">
        <w:rPr>
          <w:rFonts w:ascii="Arial" w:hAnsi="Arial" w:cs="Arial"/>
          <w:sz w:val="24"/>
          <w:szCs w:val="24"/>
        </w:rPr>
        <w:t xml:space="preserve">Understanding the impact that this service could have on the children and young people attending will contribute massively to its successes to promote social inclusion. </w:t>
      </w:r>
      <w:r w:rsidR="00E801DA">
        <w:rPr>
          <w:rFonts w:ascii="Arial" w:hAnsi="Arial" w:cs="Arial"/>
          <w:sz w:val="24"/>
          <w:szCs w:val="24"/>
        </w:rPr>
        <w:t>Vygotsky (1978) said that the environment in which young people work will have a key influence on their behaviours and life</w:t>
      </w:r>
      <w:r w:rsidR="00AC01AD">
        <w:rPr>
          <w:rFonts w:ascii="Arial" w:hAnsi="Arial" w:cs="Arial"/>
          <w:sz w:val="24"/>
          <w:szCs w:val="24"/>
        </w:rPr>
        <w:t>. Because this service is focused on providing an inclusive and understanding environment, it will naturally promote social development also</w:t>
      </w:r>
      <w:r w:rsidR="002D4B98">
        <w:rPr>
          <w:rFonts w:ascii="Arial" w:hAnsi="Arial" w:cs="Arial"/>
          <w:sz w:val="24"/>
          <w:szCs w:val="24"/>
        </w:rPr>
        <w:t xml:space="preserve">. </w:t>
      </w:r>
      <w:r w:rsidR="006A770B">
        <w:rPr>
          <w:rFonts w:ascii="Arial" w:hAnsi="Arial" w:cs="Arial"/>
          <w:sz w:val="24"/>
          <w:szCs w:val="24"/>
        </w:rPr>
        <w:t xml:space="preserve">What will </w:t>
      </w:r>
      <w:r w:rsidR="005B5B55">
        <w:rPr>
          <w:rFonts w:ascii="Arial" w:hAnsi="Arial" w:cs="Arial"/>
          <w:sz w:val="24"/>
          <w:szCs w:val="24"/>
        </w:rPr>
        <w:t>the service provide and how will it work? Every evening, at a local sports centre, the facilities will be used for a number of sporting</w:t>
      </w:r>
      <w:r w:rsidR="009F4C88">
        <w:rPr>
          <w:rFonts w:ascii="Arial" w:hAnsi="Arial" w:cs="Arial"/>
          <w:sz w:val="24"/>
          <w:szCs w:val="24"/>
        </w:rPr>
        <w:t xml:space="preserve"> activities which will all run at the same time, and the children and young people who attend will be able to choose what they would like to do each evening, and work with the staff and other</w:t>
      </w:r>
      <w:r w:rsidR="00E04B92">
        <w:rPr>
          <w:rFonts w:ascii="Arial" w:hAnsi="Arial" w:cs="Arial"/>
          <w:sz w:val="24"/>
          <w:szCs w:val="24"/>
        </w:rPr>
        <w:t xml:space="preserve"> youths in attendance to enjoy themselves and accomplish goals that they will set for themselves, after discussing them with the staff. Sport4All will offer an Olympic-sized boxing ring with gear such as gloves and headguards provided, and qualified boxing coaches to oversee drills and sparring. </w:t>
      </w:r>
      <w:r w:rsidR="007B1171">
        <w:rPr>
          <w:rFonts w:ascii="Arial" w:hAnsi="Arial" w:cs="Arial"/>
          <w:sz w:val="24"/>
          <w:szCs w:val="24"/>
        </w:rPr>
        <w:t xml:space="preserve">There will also be an indoor football pitch, with the opportunity for the young people to join a 5-a-side football team and organise games with coaches, as well as train to work on teamwork, skill and communication. </w:t>
      </w:r>
      <w:r w:rsidR="00852D24">
        <w:rPr>
          <w:rFonts w:ascii="Arial" w:hAnsi="Arial" w:cs="Arial"/>
          <w:sz w:val="24"/>
          <w:szCs w:val="24"/>
        </w:rPr>
        <w:t xml:space="preserve">If the youths would just like to train in the </w:t>
      </w:r>
      <w:r w:rsidR="009F3325">
        <w:rPr>
          <w:rFonts w:ascii="Arial" w:hAnsi="Arial" w:cs="Arial"/>
          <w:sz w:val="24"/>
          <w:szCs w:val="24"/>
        </w:rPr>
        <w:t>gym,</w:t>
      </w:r>
      <w:r w:rsidR="00852D24">
        <w:rPr>
          <w:rFonts w:ascii="Arial" w:hAnsi="Arial" w:cs="Arial"/>
          <w:sz w:val="24"/>
          <w:szCs w:val="24"/>
        </w:rPr>
        <w:t xml:space="preserve"> then personal trainers will be provided for them to organise a plan with individual goals for each of them</w:t>
      </w:r>
      <w:r w:rsidR="00677F02">
        <w:rPr>
          <w:rFonts w:ascii="Arial" w:hAnsi="Arial" w:cs="Arial"/>
          <w:sz w:val="24"/>
          <w:szCs w:val="24"/>
        </w:rPr>
        <w:t xml:space="preserve"> to hit during their time at Sport4All. </w:t>
      </w:r>
      <w:r w:rsidR="009F3325">
        <w:rPr>
          <w:rFonts w:ascii="Arial" w:hAnsi="Arial" w:cs="Arial"/>
          <w:sz w:val="24"/>
          <w:szCs w:val="24"/>
        </w:rPr>
        <w:t>Maslow (1943) developed his hierarchy of needs, where the strategy is to</w:t>
      </w:r>
      <w:r w:rsidR="000C6B81">
        <w:rPr>
          <w:rFonts w:ascii="Arial" w:hAnsi="Arial" w:cs="Arial"/>
          <w:sz w:val="24"/>
          <w:szCs w:val="24"/>
        </w:rPr>
        <w:t xml:space="preserve"> meet each individual’s basic needs, such as shelter and safety, and progress from there. This service will ensure to follow this hierarchy of needs, as the first priority is to ensure that each individual feel included socially and comfortable in their environment. Then, they can move forward and create their own personal targets and goals.</w:t>
      </w:r>
    </w:p>
    <w:p w14:paraId="20774178" w14:textId="780F4794" w:rsidR="00C6120A" w:rsidRDefault="00C6120A" w:rsidP="00A42657">
      <w:pPr>
        <w:spacing w:line="360" w:lineRule="auto"/>
        <w:rPr>
          <w:rFonts w:ascii="Arial" w:hAnsi="Arial" w:cs="Arial"/>
          <w:sz w:val="24"/>
          <w:szCs w:val="24"/>
        </w:rPr>
      </w:pPr>
      <w:r>
        <w:rPr>
          <w:rFonts w:ascii="Arial" w:hAnsi="Arial" w:cs="Arial"/>
          <w:sz w:val="24"/>
          <w:szCs w:val="24"/>
        </w:rPr>
        <w:t xml:space="preserve">In terms of </w:t>
      </w:r>
      <w:r w:rsidR="00561EF2">
        <w:rPr>
          <w:rFonts w:ascii="Arial" w:hAnsi="Arial" w:cs="Arial"/>
          <w:sz w:val="24"/>
          <w:szCs w:val="24"/>
        </w:rPr>
        <w:t xml:space="preserve">analysing this service in comparison to others, the fundamentals of PCP are all in place within Sport4All. </w:t>
      </w:r>
      <w:r w:rsidR="00D63702">
        <w:rPr>
          <w:rFonts w:ascii="Arial" w:hAnsi="Arial" w:cs="Arial"/>
          <w:sz w:val="24"/>
          <w:szCs w:val="24"/>
        </w:rPr>
        <w:t xml:space="preserve">Supported by Elwell (2017), </w:t>
      </w:r>
      <w:r w:rsidR="005B123B">
        <w:rPr>
          <w:rFonts w:ascii="Arial" w:hAnsi="Arial" w:cs="Arial"/>
          <w:sz w:val="24"/>
          <w:szCs w:val="24"/>
        </w:rPr>
        <w:t xml:space="preserve">the elements of the previously discussed PCP </w:t>
      </w:r>
      <w:r w:rsidR="00821DA9">
        <w:rPr>
          <w:rFonts w:ascii="Arial" w:hAnsi="Arial" w:cs="Arial"/>
          <w:sz w:val="24"/>
          <w:szCs w:val="24"/>
        </w:rPr>
        <w:t xml:space="preserve">approaches, such as the </w:t>
      </w:r>
      <w:r w:rsidR="00C21752">
        <w:rPr>
          <w:rFonts w:ascii="Arial" w:hAnsi="Arial" w:cs="Arial"/>
          <w:sz w:val="24"/>
          <w:szCs w:val="24"/>
        </w:rPr>
        <w:t>one-page</w:t>
      </w:r>
      <w:r w:rsidR="00821DA9">
        <w:rPr>
          <w:rFonts w:ascii="Arial" w:hAnsi="Arial" w:cs="Arial"/>
          <w:sz w:val="24"/>
          <w:szCs w:val="24"/>
        </w:rPr>
        <w:t xml:space="preserve"> profiles and the </w:t>
      </w:r>
      <w:r w:rsidR="00821DA9">
        <w:rPr>
          <w:rFonts w:ascii="Arial" w:hAnsi="Arial" w:cs="Arial"/>
          <w:sz w:val="24"/>
          <w:szCs w:val="24"/>
        </w:rPr>
        <w:lastRenderedPageBreak/>
        <w:t xml:space="preserve">PATHs, </w:t>
      </w:r>
      <w:r w:rsidR="00C21752">
        <w:rPr>
          <w:rFonts w:ascii="Arial" w:hAnsi="Arial" w:cs="Arial"/>
          <w:sz w:val="24"/>
          <w:szCs w:val="24"/>
        </w:rPr>
        <w:t xml:space="preserve">are present in the Sport4All approach. The focus is always the children and young people participating, and their needs and plans, the control of what </w:t>
      </w:r>
      <w:r w:rsidR="00737429">
        <w:rPr>
          <w:rFonts w:ascii="Arial" w:hAnsi="Arial" w:cs="Arial"/>
          <w:sz w:val="24"/>
          <w:szCs w:val="24"/>
        </w:rPr>
        <w:t xml:space="preserve">goals the young people set themselves are firmly with </w:t>
      </w:r>
      <w:r w:rsidR="00D103E0">
        <w:rPr>
          <w:rFonts w:ascii="Arial" w:hAnsi="Arial" w:cs="Arial"/>
          <w:sz w:val="24"/>
          <w:szCs w:val="24"/>
        </w:rPr>
        <w:t>them and</w:t>
      </w:r>
      <w:r w:rsidR="00737429">
        <w:rPr>
          <w:rFonts w:ascii="Arial" w:hAnsi="Arial" w:cs="Arial"/>
          <w:sz w:val="24"/>
          <w:szCs w:val="24"/>
        </w:rPr>
        <w:t xml:space="preserve"> are discussed with the coaches and staff provided. </w:t>
      </w:r>
      <w:r w:rsidR="00D103E0">
        <w:rPr>
          <w:rFonts w:ascii="Arial" w:hAnsi="Arial" w:cs="Arial"/>
          <w:sz w:val="24"/>
          <w:szCs w:val="24"/>
        </w:rPr>
        <w:t xml:space="preserve">Every aspect of the child or young person’s needs are important, and all will be considered when working with and planning for them. </w:t>
      </w:r>
      <w:r w:rsidR="00531706">
        <w:rPr>
          <w:rFonts w:ascii="Arial" w:hAnsi="Arial" w:cs="Arial"/>
          <w:sz w:val="24"/>
          <w:szCs w:val="24"/>
        </w:rPr>
        <w:t>The focus will always be their gifts and goals, and their issues or problems in their lives will not factor into how they are treated by staff</w:t>
      </w:r>
      <w:r w:rsidR="00A72152">
        <w:rPr>
          <w:rFonts w:ascii="Arial" w:hAnsi="Arial" w:cs="Arial"/>
          <w:sz w:val="24"/>
          <w:szCs w:val="24"/>
        </w:rPr>
        <w:t xml:space="preserve">, and development of both social and physical skills will take place at a pace that the particular individual is comfortable. </w:t>
      </w:r>
      <w:r w:rsidR="00607310">
        <w:rPr>
          <w:rFonts w:ascii="Arial" w:hAnsi="Arial" w:cs="Arial"/>
          <w:sz w:val="24"/>
          <w:szCs w:val="24"/>
        </w:rPr>
        <w:t xml:space="preserve">Those are the opportunities that are provided at Sport4All, but are there barriers? </w:t>
      </w:r>
      <w:r w:rsidR="00FB7DD1">
        <w:rPr>
          <w:rFonts w:ascii="Arial" w:hAnsi="Arial" w:cs="Arial"/>
          <w:sz w:val="24"/>
          <w:szCs w:val="24"/>
        </w:rPr>
        <w:t>Holburn and Vietze</w:t>
      </w:r>
      <w:r w:rsidR="00636F94">
        <w:rPr>
          <w:rFonts w:ascii="Arial" w:hAnsi="Arial" w:cs="Arial"/>
          <w:sz w:val="24"/>
          <w:szCs w:val="24"/>
        </w:rPr>
        <w:t xml:space="preserve"> (2002) make the point that some PCP approaches may be affected by </w:t>
      </w:r>
      <w:r w:rsidR="0039226E">
        <w:rPr>
          <w:rFonts w:ascii="Arial" w:hAnsi="Arial" w:cs="Arial"/>
          <w:sz w:val="24"/>
          <w:szCs w:val="24"/>
        </w:rPr>
        <w:t xml:space="preserve">the lack of opportunities for funding and stable support. </w:t>
      </w:r>
      <w:r w:rsidR="003F01DB">
        <w:rPr>
          <w:rFonts w:ascii="Arial" w:hAnsi="Arial" w:cs="Arial"/>
          <w:sz w:val="24"/>
          <w:szCs w:val="24"/>
        </w:rPr>
        <w:t xml:space="preserve">They go on to say that this could lead </w:t>
      </w:r>
      <w:r w:rsidR="00AE398E">
        <w:rPr>
          <w:rFonts w:ascii="Arial" w:hAnsi="Arial" w:cs="Arial"/>
          <w:sz w:val="24"/>
          <w:szCs w:val="24"/>
        </w:rPr>
        <w:t xml:space="preserve">to centres and </w:t>
      </w:r>
      <w:r w:rsidR="0013014E">
        <w:rPr>
          <w:rFonts w:ascii="Arial" w:hAnsi="Arial" w:cs="Arial"/>
          <w:sz w:val="24"/>
          <w:szCs w:val="24"/>
        </w:rPr>
        <w:t>environments</w:t>
      </w:r>
      <w:r w:rsidR="00AE398E">
        <w:rPr>
          <w:rFonts w:ascii="Arial" w:hAnsi="Arial" w:cs="Arial"/>
          <w:sz w:val="24"/>
          <w:szCs w:val="24"/>
        </w:rPr>
        <w:t xml:space="preserve"> switching to comply with the budget, rather than</w:t>
      </w:r>
      <w:r w:rsidR="0013014E">
        <w:rPr>
          <w:rFonts w:ascii="Arial" w:hAnsi="Arial" w:cs="Arial"/>
          <w:sz w:val="24"/>
          <w:szCs w:val="24"/>
        </w:rPr>
        <w:t xml:space="preserve"> individual desires and needs. This could potentially be an issue for the Sport4All service, as the service does rely heavily on </w:t>
      </w:r>
      <w:r w:rsidR="004606B3">
        <w:rPr>
          <w:rFonts w:ascii="Arial" w:hAnsi="Arial" w:cs="Arial"/>
          <w:sz w:val="24"/>
          <w:szCs w:val="24"/>
        </w:rPr>
        <w:t xml:space="preserve">the environment in order for the sport to take place, but also for the children and young people to become familiar and comfortable in their surroundings. </w:t>
      </w:r>
      <w:r w:rsidR="00485950">
        <w:rPr>
          <w:rFonts w:ascii="Arial" w:hAnsi="Arial" w:cs="Arial"/>
          <w:sz w:val="24"/>
          <w:szCs w:val="24"/>
        </w:rPr>
        <w:t>Another positive that can be taken from</w:t>
      </w:r>
      <w:r w:rsidR="00777E49">
        <w:rPr>
          <w:rFonts w:ascii="Arial" w:hAnsi="Arial" w:cs="Arial"/>
          <w:sz w:val="24"/>
          <w:szCs w:val="24"/>
        </w:rPr>
        <w:t xml:space="preserve"> Sport4All that maybe can not be said for other PCP approaches is that it will have regular reviews, exploring what is happening </w:t>
      </w:r>
      <w:r w:rsidR="00A65CBB">
        <w:rPr>
          <w:rFonts w:ascii="Arial" w:hAnsi="Arial" w:cs="Arial"/>
          <w:sz w:val="24"/>
          <w:szCs w:val="24"/>
        </w:rPr>
        <w:t xml:space="preserve">in each individuals lives and how they are </w:t>
      </w:r>
      <w:r w:rsidR="00B14B92">
        <w:rPr>
          <w:rFonts w:ascii="Arial" w:hAnsi="Arial" w:cs="Arial"/>
          <w:sz w:val="24"/>
          <w:szCs w:val="24"/>
        </w:rPr>
        <w:t>achieving</w:t>
      </w:r>
      <w:r w:rsidR="00A65CBB">
        <w:rPr>
          <w:rFonts w:ascii="Arial" w:hAnsi="Arial" w:cs="Arial"/>
          <w:sz w:val="24"/>
          <w:szCs w:val="24"/>
        </w:rPr>
        <w:t xml:space="preserve"> the goals they have been set almost daily, which Sanderson (2015) states i</w:t>
      </w:r>
      <w:r w:rsidR="00B14B92">
        <w:rPr>
          <w:rFonts w:ascii="Arial" w:hAnsi="Arial" w:cs="Arial"/>
          <w:sz w:val="24"/>
          <w:szCs w:val="24"/>
        </w:rPr>
        <w:t xml:space="preserve">s crucial in individuals acting on plans to enforce change. Due to Sport4All running every weekday evening, whenever an </w:t>
      </w:r>
      <w:r w:rsidR="00F44A8F">
        <w:rPr>
          <w:rFonts w:ascii="Arial" w:hAnsi="Arial" w:cs="Arial"/>
          <w:sz w:val="24"/>
          <w:szCs w:val="24"/>
        </w:rPr>
        <w:t xml:space="preserve">individual attends the service </w:t>
      </w:r>
      <w:r w:rsidR="00B14B92">
        <w:rPr>
          <w:rFonts w:ascii="Arial" w:hAnsi="Arial" w:cs="Arial"/>
          <w:sz w:val="24"/>
          <w:szCs w:val="24"/>
        </w:rPr>
        <w:t xml:space="preserve">their </w:t>
      </w:r>
      <w:r w:rsidR="007A762F">
        <w:rPr>
          <w:rFonts w:ascii="Arial" w:hAnsi="Arial" w:cs="Arial"/>
          <w:sz w:val="24"/>
          <w:szCs w:val="24"/>
        </w:rPr>
        <w:t xml:space="preserve">plans and lives will be discussed to review how they are in their own lives and wellbeing. </w:t>
      </w:r>
      <w:r w:rsidR="00252F13">
        <w:rPr>
          <w:rFonts w:ascii="Arial" w:hAnsi="Arial" w:cs="Arial"/>
          <w:sz w:val="24"/>
          <w:szCs w:val="24"/>
        </w:rPr>
        <w:t xml:space="preserve">However, Bennett, Cattermole and Sanderson (2009) </w:t>
      </w:r>
      <w:r w:rsidR="00F44A8F">
        <w:rPr>
          <w:rFonts w:ascii="Arial" w:hAnsi="Arial" w:cs="Arial"/>
          <w:sz w:val="24"/>
          <w:szCs w:val="24"/>
        </w:rPr>
        <w:t xml:space="preserve">state that this may not be all positive, as potential barriers may arise with constant reviews. </w:t>
      </w:r>
      <w:r w:rsidR="00585582">
        <w:rPr>
          <w:rFonts w:ascii="Arial" w:hAnsi="Arial" w:cs="Arial"/>
          <w:sz w:val="24"/>
          <w:szCs w:val="24"/>
        </w:rPr>
        <w:t xml:space="preserve">They state that the number of reviews and discussions is not in tandem with the quality of the service. </w:t>
      </w:r>
      <w:r w:rsidR="005E47F4">
        <w:rPr>
          <w:rFonts w:ascii="Arial" w:hAnsi="Arial" w:cs="Arial"/>
          <w:sz w:val="24"/>
          <w:szCs w:val="24"/>
        </w:rPr>
        <w:t xml:space="preserve">The attitudes and focus of the staff members present </w:t>
      </w:r>
      <w:r w:rsidR="00E55D5E">
        <w:rPr>
          <w:rFonts w:ascii="Arial" w:hAnsi="Arial" w:cs="Arial"/>
          <w:sz w:val="24"/>
          <w:szCs w:val="24"/>
        </w:rPr>
        <w:t>are</w:t>
      </w:r>
      <w:r w:rsidR="005E47F4">
        <w:rPr>
          <w:rFonts w:ascii="Arial" w:hAnsi="Arial" w:cs="Arial"/>
          <w:sz w:val="24"/>
          <w:szCs w:val="24"/>
        </w:rPr>
        <w:t xml:space="preserve"> what will have more of a say in terms of the quality of the service, not the amount of reviews. This is correct to an extent, but the writer argues that constant reviews will allow the staff to progress their</w:t>
      </w:r>
      <w:r w:rsidR="00E55D5E">
        <w:rPr>
          <w:rFonts w:ascii="Arial" w:hAnsi="Arial" w:cs="Arial"/>
          <w:sz w:val="24"/>
          <w:szCs w:val="24"/>
        </w:rPr>
        <w:t xml:space="preserve"> attitude and skills while working with each individual present.</w:t>
      </w:r>
    </w:p>
    <w:p w14:paraId="7D39FE5C" w14:textId="6B6F599C" w:rsidR="00E55D5E" w:rsidRDefault="008055C1" w:rsidP="00A42657">
      <w:pPr>
        <w:spacing w:line="360" w:lineRule="auto"/>
        <w:rPr>
          <w:rFonts w:ascii="Arial" w:hAnsi="Arial" w:cs="Arial"/>
          <w:sz w:val="24"/>
          <w:szCs w:val="24"/>
        </w:rPr>
      </w:pPr>
      <w:r>
        <w:rPr>
          <w:rFonts w:ascii="Arial" w:hAnsi="Arial" w:cs="Arial"/>
          <w:sz w:val="24"/>
          <w:szCs w:val="24"/>
        </w:rPr>
        <w:t xml:space="preserve">In terms of what the future holds, </w:t>
      </w:r>
      <w:r w:rsidR="009D3D8F">
        <w:rPr>
          <w:rFonts w:ascii="Arial" w:hAnsi="Arial" w:cs="Arial"/>
          <w:sz w:val="24"/>
          <w:szCs w:val="24"/>
        </w:rPr>
        <w:t xml:space="preserve">the service could be expanded if it is successful. The idea of a PCP approach is to be as inclusive and individualized as possible for all of the attendees, so in terms of putting more sporting activities </w:t>
      </w:r>
      <w:r w:rsidR="007D624F">
        <w:rPr>
          <w:rFonts w:ascii="Arial" w:hAnsi="Arial" w:cs="Arial"/>
          <w:sz w:val="24"/>
          <w:szCs w:val="24"/>
        </w:rPr>
        <w:t xml:space="preserve">on offer for these </w:t>
      </w:r>
      <w:r w:rsidR="007D624F">
        <w:rPr>
          <w:rFonts w:ascii="Arial" w:hAnsi="Arial" w:cs="Arial"/>
          <w:sz w:val="24"/>
          <w:szCs w:val="24"/>
        </w:rPr>
        <w:lastRenderedPageBreak/>
        <w:t>children and young people, and employing more staff to oversee and plan with each of these young offenders, it could provide them with the nurturing, care, and attention that they may have sadly lacked previously in their lives. This has always been the ideal goal of a PCP approach, and to promote it as far as it possibly can be promoted is the main goal for the future.</w:t>
      </w:r>
    </w:p>
    <w:p w14:paraId="10103D68" w14:textId="5A107F25" w:rsidR="00A42657" w:rsidRDefault="00A42657">
      <w:pPr>
        <w:rPr>
          <w:rFonts w:ascii="Arial" w:hAnsi="Arial" w:cs="Arial"/>
          <w:sz w:val="24"/>
          <w:szCs w:val="24"/>
        </w:rPr>
      </w:pPr>
      <w:r>
        <w:rPr>
          <w:rFonts w:ascii="Arial" w:hAnsi="Arial" w:cs="Arial"/>
          <w:sz w:val="24"/>
          <w:szCs w:val="24"/>
        </w:rPr>
        <w:br w:type="page"/>
      </w:r>
    </w:p>
    <w:p w14:paraId="45EA8968" w14:textId="0EB565F6" w:rsidR="00A42657" w:rsidRDefault="00A42657" w:rsidP="00A42657">
      <w:pPr>
        <w:spacing w:line="360" w:lineRule="auto"/>
        <w:rPr>
          <w:rFonts w:ascii="Arial" w:hAnsi="Arial" w:cs="Arial"/>
          <w:b/>
          <w:sz w:val="24"/>
          <w:szCs w:val="24"/>
          <w:u w:val="single"/>
        </w:rPr>
      </w:pPr>
      <w:r>
        <w:rPr>
          <w:rFonts w:ascii="Arial" w:hAnsi="Arial" w:cs="Arial"/>
          <w:b/>
          <w:sz w:val="24"/>
          <w:szCs w:val="24"/>
          <w:u w:val="single"/>
        </w:rPr>
        <w:lastRenderedPageBreak/>
        <w:t>References</w:t>
      </w:r>
    </w:p>
    <w:p w14:paraId="5C9D9956" w14:textId="0C3D36DC" w:rsidR="00FE5D0B" w:rsidRPr="001F6B16" w:rsidRDefault="00FE5D0B" w:rsidP="001F6B16">
      <w:pPr>
        <w:spacing w:line="360" w:lineRule="auto"/>
        <w:rPr>
          <w:rFonts w:ascii="Arial" w:hAnsi="Arial" w:cs="Arial"/>
          <w:color w:val="000000" w:themeColor="text1"/>
          <w:sz w:val="24"/>
          <w:szCs w:val="24"/>
        </w:rPr>
      </w:pPr>
      <w:r w:rsidRPr="001F6B16">
        <w:rPr>
          <w:rFonts w:ascii="Arial" w:hAnsi="Arial" w:cs="Arial"/>
          <w:color w:val="000000" w:themeColor="text1"/>
          <w:sz w:val="24"/>
          <w:szCs w:val="24"/>
        </w:rPr>
        <w:t>American Psychiatric Association. (2013). Diagnostic and statistical manual of mental disorders. 5th ed. Washington, DC: American Psychiatric Association.</w:t>
      </w:r>
    </w:p>
    <w:p w14:paraId="236E4BF2" w14:textId="2C681B09" w:rsidR="00284486" w:rsidRPr="001F6B16" w:rsidRDefault="00284486" w:rsidP="001F6B16">
      <w:pPr>
        <w:spacing w:line="360" w:lineRule="auto"/>
        <w:rPr>
          <w:rFonts w:ascii="Arial" w:hAnsi="Arial" w:cs="Arial"/>
          <w:color w:val="000000" w:themeColor="text1"/>
          <w:sz w:val="24"/>
          <w:szCs w:val="24"/>
        </w:rPr>
      </w:pPr>
      <w:r w:rsidRPr="001F6B16">
        <w:rPr>
          <w:rFonts w:ascii="Arial" w:hAnsi="Arial" w:cs="Arial"/>
          <w:color w:val="000000" w:themeColor="text1"/>
          <w:sz w:val="24"/>
          <w:szCs w:val="24"/>
          <w:lang w:val="en-US"/>
        </w:rPr>
        <w:t>Bennett, T.,</w:t>
      </w:r>
      <w:r w:rsidRPr="001F6B16">
        <w:rPr>
          <w:rFonts w:ascii="Arial" w:hAnsi="Arial" w:cs="Arial"/>
          <w:color w:val="000000" w:themeColor="text1"/>
          <w:sz w:val="24"/>
          <w:szCs w:val="24"/>
          <w:lang w:val="en-US"/>
        </w:rPr>
        <w:t xml:space="preserve"> </w:t>
      </w:r>
      <w:r w:rsidRPr="001F6B16">
        <w:rPr>
          <w:rFonts w:ascii="Arial" w:hAnsi="Arial" w:cs="Arial"/>
          <w:color w:val="000000" w:themeColor="text1"/>
          <w:sz w:val="24"/>
          <w:szCs w:val="24"/>
          <w:lang w:val="en-US"/>
        </w:rPr>
        <w:t xml:space="preserve">Cattermole, M. &amp; Sanderson, H.  </w:t>
      </w:r>
      <w:r w:rsidRPr="001F6B16">
        <w:rPr>
          <w:rFonts w:ascii="Arial" w:hAnsi="Arial" w:cs="Arial"/>
          <w:color w:val="000000" w:themeColor="text1"/>
          <w:sz w:val="24"/>
          <w:szCs w:val="24"/>
          <w:lang w:val="en-US"/>
        </w:rPr>
        <w:t>(2009</w:t>
      </w:r>
      <w:r w:rsidRPr="001F6B16">
        <w:rPr>
          <w:rFonts w:ascii="Arial" w:hAnsi="Arial" w:cs="Arial"/>
          <w:color w:val="000000" w:themeColor="text1"/>
          <w:sz w:val="24"/>
          <w:szCs w:val="24"/>
          <w:lang w:val="en-US"/>
        </w:rPr>
        <w:t xml:space="preserve">) </w:t>
      </w:r>
      <w:r w:rsidRPr="001F6B16">
        <w:rPr>
          <w:rFonts w:ascii="Arial" w:hAnsi="Arial" w:cs="Arial"/>
          <w:i/>
          <w:iCs/>
          <w:color w:val="000000" w:themeColor="text1"/>
          <w:sz w:val="24"/>
          <w:szCs w:val="24"/>
          <w:lang w:val="en-US"/>
        </w:rPr>
        <w:t>Outcome Focused Reviews: A Practical Guide</w:t>
      </w:r>
      <w:r w:rsidRPr="001F6B16">
        <w:rPr>
          <w:rFonts w:ascii="Arial" w:hAnsi="Arial" w:cs="Arial"/>
          <w:color w:val="000000" w:themeColor="text1"/>
          <w:sz w:val="24"/>
          <w:szCs w:val="24"/>
          <w:lang w:val="en-US"/>
        </w:rPr>
        <w:t xml:space="preserve">. London: Department of Health. Available at </w:t>
      </w:r>
      <w:hyperlink r:id="rId7" w:history="1">
        <w:r w:rsidRPr="001F6B16">
          <w:rPr>
            <w:rStyle w:val="Hyperlink"/>
            <w:rFonts w:ascii="Arial" w:hAnsi="Arial" w:cs="Arial"/>
            <w:color w:val="000000" w:themeColor="text1"/>
            <w:sz w:val="24"/>
            <w:szCs w:val="24"/>
            <w:u w:val="none"/>
            <w:lang w:val="en-US"/>
          </w:rPr>
          <w:t>http://</w:t>
        </w:r>
      </w:hyperlink>
      <w:hyperlink r:id="rId8" w:history="1">
        <w:r w:rsidRPr="001F6B16">
          <w:rPr>
            <w:rStyle w:val="Hyperlink"/>
            <w:rFonts w:ascii="Arial" w:hAnsi="Arial" w:cs="Arial"/>
            <w:color w:val="000000" w:themeColor="text1"/>
            <w:sz w:val="24"/>
            <w:szCs w:val="24"/>
            <w:u w:val="none"/>
            <w:lang w:val="en-US"/>
          </w:rPr>
          <w:t>www.helensandersonassociates.co.uk/media/43014/outcomefocusedreviews2.pdf</w:t>
        </w:r>
      </w:hyperlink>
      <w:r w:rsidRPr="001F6B16">
        <w:rPr>
          <w:rFonts w:ascii="Arial" w:hAnsi="Arial" w:cs="Arial"/>
          <w:color w:val="000000" w:themeColor="text1"/>
          <w:sz w:val="24"/>
          <w:szCs w:val="24"/>
        </w:rPr>
        <w:t xml:space="preserve"> Last accessed 9</w:t>
      </w:r>
      <w:r w:rsidRPr="001F6B16">
        <w:rPr>
          <w:rFonts w:ascii="Arial" w:hAnsi="Arial" w:cs="Arial"/>
          <w:color w:val="000000" w:themeColor="text1"/>
          <w:sz w:val="24"/>
          <w:szCs w:val="24"/>
          <w:vertAlign w:val="superscript"/>
        </w:rPr>
        <w:t>th</w:t>
      </w:r>
      <w:r w:rsidRPr="001F6B16">
        <w:rPr>
          <w:rFonts w:ascii="Arial" w:hAnsi="Arial" w:cs="Arial"/>
          <w:color w:val="000000" w:themeColor="text1"/>
          <w:sz w:val="24"/>
          <w:szCs w:val="24"/>
        </w:rPr>
        <w:t xml:space="preserve"> May 2019. </w:t>
      </w:r>
    </w:p>
    <w:p w14:paraId="46C9EA33" w14:textId="496902CF" w:rsidR="00B063FD" w:rsidRPr="001F6B16" w:rsidRDefault="00B063FD" w:rsidP="001F6B16">
      <w:pPr>
        <w:spacing w:line="360" w:lineRule="auto"/>
        <w:rPr>
          <w:rFonts w:ascii="Arial" w:hAnsi="Arial" w:cs="Arial"/>
          <w:color w:val="000000" w:themeColor="text1"/>
          <w:sz w:val="24"/>
          <w:szCs w:val="24"/>
          <w:shd w:val="clear" w:color="auto" w:fill="FFFFFF"/>
        </w:rPr>
      </w:pPr>
      <w:r w:rsidRPr="001F6B16">
        <w:rPr>
          <w:rFonts w:ascii="Arial" w:hAnsi="Arial" w:cs="Arial"/>
          <w:color w:val="000000" w:themeColor="text1"/>
          <w:sz w:val="24"/>
          <w:szCs w:val="24"/>
        </w:rPr>
        <w:t>Brandell, J. R. (2012). Psychoanalytic Theory (Part I). S. Ringel and J. R. Brandell, eds</w:t>
      </w:r>
    </w:p>
    <w:p w14:paraId="3975DBB0" w14:textId="264BD8D3" w:rsidR="00F81AB4" w:rsidRPr="001F6B16" w:rsidRDefault="00F81AB4" w:rsidP="001F6B16">
      <w:pPr>
        <w:spacing w:line="360" w:lineRule="auto"/>
        <w:rPr>
          <w:rFonts w:ascii="Arial" w:hAnsi="Arial" w:cs="Arial"/>
          <w:color w:val="000000" w:themeColor="text1"/>
          <w:sz w:val="24"/>
          <w:szCs w:val="24"/>
        </w:rPr>
      </w:pPr>
      <w:r w:rsidRPr="001F6B16">
        <w:rPr>
          <w:rFonts w:ascii="Arial" w:hAnsi="Arial" w:cs="Arial"/>
          <w:color w:val="000000" w:themeColor="text1"/>
          <w:sz w:val="24"/>
          <w:szCs w:val="24"/>
          <w:shd w:val="clear" w:color="auto" w:fill="FFFFFF"/>
        </w:rPr>
        <w:t>Bruner, J. S. and Ross, G.</w:t>
      </w:r>
      <w:r w:rsidRPr="001F6B16">
        <w:rPr>
          <w:rFonts w:ascii="Arial" w:hAnsi="Arial" w:cs="Arial"/>
          <w:color w:val="000000" w:themeColor="text1"/>
          <w:sz w:val="24"/>
          <w:szCs w:val="24"/>
          <w:shd w:val="clear" w:color="auto" w:fill="FFFFFF"/>
        </w:rPr>
        <w:t xml:space="preserve"> </w:t>
      </w:r>
      <w:r w:rsidRPr="001F6B16">
        <w:rPr>
          <w:rFonts w:ascii="Arial" w:hAnsi="Arial" w:cs="Arial"/>
          <w:color w:val="000000" w:themeColor="text1"/>
          <w:sz w:val="24"/>
          <w:szCs w:val="24"/>
          <w:shd w:val="clear" w:color="auto" w:fill="FFFFFF"/>
        </w:rPr>
        <w:t>Wood, D. J.</w:t>
      </w:r>
      <w:r w:rsidRPr="001F6B16">
        <w:rPr>
          <w:rFonts w:ascii="Arial" w:hAnsi="Arial" w:cs="Arial"/>
          <w:color w:val="000000" w:themeColor="text1"/>
          <w:sz w:val="24"/>
          <w:szCs w:val="24"/>
          <w:shd w:val="clear" w:color="auto" w:fill="FFFFFF"/>
        </w:rPr>
        <w:t>, (</w:t>
      </w:r>
      <w:r w:rsidRPr="001F6B16">
        <w:rPr>
          <w:rFonts w:ascii="Arial" w:hAnsi="Arial" w:cs="Arial"/>
          <w:color w:val="000000" w:themeColor="text1"/>
          <w:sz w:val="24"/>
          <w:szCs w:val="24"/>
          <w:shd w:val="clear" w:color="auto" w:fill="FFFFFF"/>
        </w:rPr>
        <w:t>1976). The role of tutoring in problem solving. </w:t>
      </w:r>
      <w:r w:rsidRPr="001F6B16">
        <w:rPr>
          <w:rFonts w:ascii="Arial" w:hAnsi="Arial" w:cs="Arial"/>
          <w:i/>
          <w:iCs/>
          <w:color w:val="000000" w:themeColor="text1"/>
          <w:sz w:val="24"/>
          <w:szCs w:val="24"/>
          <w:bdr w:val="none" w:sz="0" w:space="0" w:color="auto" w:frame="1"/>
          <w:shd w:val="clear" w:color="auto" w:fill="FFFFFF"/>
        </w:rPr>
        <w:t>Journal of Child Psychiatry and Psychology,</w:t>
      </w:r>
      <w:r w:rsidRPr="001F6B16">
        <w:rPr>
          <w:rFonts w:ascii="Arial" w:hAnsi="Arial" w:cs="Arial"/>
          <w:color w:val="000000" w:themeColor="text1"/>
          <w:sz w:val="24"/>
          <w:szCs w:val="24"/>
          <w:shd w:val="clear" w:color="auto" w:fill="FFFFFF"/>
        </w:rPr>
        <w:t> 17(2), 89-100.</w:t>
      </w:r>
    </w:p>
    <w:p w14:paraId="709A5555" w14:textId="27614BC0" w:rsidR="00D569C3" w:rsidRPr="001F6B16" w:rsidRDefault="00D569C3" w:rsidP="001F6B16">
      <w:pPr>
        <w:spacing w:line="360" w:lineRule="auto"/>
        <w:rPr>
          <w:rFonts w:ascii="Arial" w:hAnsi="Arial" w:cs="Arial"/>
          <w:color w:val="000000" w:themeColor="text1"/>
          <w:sz w:val="24"/>
          <w:szCs w:val="24"/>
        </w:rPr>
      </w:pPr>
      <w:r w:rsidRPr="001F6B16">
        <w:rPr>
          <w:rFonts w:ascii="Arial" w:hAnsi="Arial" w:cs="Arial"/>
          <w:color w:val="000000" w:themeColor="text1"/>
          <w:sz w:val="24"/>
          <w:szCs w:val="24"/>
        </w:rPr>
        <w:t xml:space="preserve">Daniels, H. (ed.) (2000) </w:t>
      </w:r>
      <w:r w:rsidRPr="001F6B16">
        <w:rPr>
          <w:rFonts w:ascii="Arial" w:hAnsi="Arial" w:cs="Arial"/>
          <w:i/>
          <w:iCs/>
          <w:color w:val="000000" w:themeColor="text1"/>
          <w:sz w:val="24"/>
          <w:szCs w:val="24"/>
        </w:rPr>
        <w:t xml:space="preserve">Special Educational Needs Re-formed: Beyond Rhetoric? </w:t>
      </w:r>
      <w:r w:rsidRPr="001F6B16">
        <w:rPr>
          <w:rFonts w:ascii="Arial" w:hAnsi="Arial" w:cs="Arial"/>
          <w:color w:val="000000" w:themeColor="text1"/>
          <w:sz w:val="24"/>
          <w:szCs w:val="24"/>
        </w:rPr>
        <w:t>London. Falmer Press.</w:t>
      </w:r>
    </w:p>
    <w:p w14:paraId="5AA3B96C" w14:textId="598017D3" w:rsidR="00D63702" w:rsidRPr="001F6B16" w:rsidRDefault="00D63702" w:rsidP="001F6B16">
      <w:pPr>
        <w:spacing w:line="360" w:lineRule="auto"/>
        <w:rPr>
          <w:rFonts w:ascii="Arial" w:hAnsi="Arial" w:cs="Arial"/>
          <w:color w:val="000000" w:themeColor="text1"/>
          <w:sz w:val="24"/>
          <w:szCs w:val="24"/>
        </w:rPr>
      </w:pPr>
      <w:r w:rsidRPr="001F6B16">
        <w:rPr>
          <w:rFonts w:ascii="Arial" w:hAnsi="Arial" w:cs="Arial"/>
          <w:color w:val="000000" w:themeColor="text1"/>
          <w:sz w:val="24"/>
          <w:szCs w:val="24"/>
        </w:rPr>
        <w:t>Elwell, L. (2017). </w:t>
      </w:r>
      <w:r w:rsidRPr="001F6B16">
        <w:rPr>
          <w:rFonts w:ascii="Arial" w:hAnsi="Arial" w:cs="Arial"/>
          <w:i/>
          <w:iCs/>
          <w:color w:val="000000" w:themeColor="text1"/>
          <w:sz w:val="24"/>
          <w:szCs w:val="24"/>
        </w:rPr>
        <w:t>The Key Principles of Person-Centred Planning.</w:t>
      </w:r>
      <w:r w:rsidRPr="001F6B16">
        <w:rPr>
          <w:rFonts w:ascii="Arial" w:hAnsi="Arial" w:cs="Arial"/>
          <w:color w:val="000000" w:themeColor="text1"/>
          <w:sz w:val="24"/>
          <w:szCs w:val="24"/>
        </w:rPr>
        <w:t> Available: http://www.in-control.org.uk/media/247468/key%20principles%20of%20person%20centred%20planning.pdf. Last accessed 1st Apr 2019.</w:t>
      </w:r>
    </w:p>
    <w:p w14:paraId="40D963D7" w14:textId="6B5D2D28" w:rsidR="00A42657" w:rsidRPr="001F6B16" w:rsidRDefault="00A42657" w:rsidP="001F6B16">
      <w:pPr>
        <w:widowControl w:val="0"/>
        <w:spacing w:after="0" w:line="360" w:lineRule="auto"/>
        <w:rPr>
          <w:rFonts w:ascii="Arial" w:hAnsi="Arial" w:cs="Arial"/>
          <w:color w:val="000000" w:themeColor="text1"/>
          <w:sz w:val="24"/>
          <w:szCs w:val="24"/>
        </w:rPr>
      </w:pPr>
      <w:r w:rsidRPr="001F6B16">
        <w:rPr>
          <w:rFonts w:ascii="Arial" w:hAnsi="Arial" w:cs="Arial"/>
          <w:color w:val="000000" w:themeColor="text1"/>
          <w:sz w:val="24"/>
          <w:szCs w:val="24"/>
        </w:rPr>
        <w:t>ESTYN. (2017). </w:t>
      </w:r>
      <w:r w:rsidRPr="001F6B16">
        <w:rPr>
          <w:rFonts w:ascii="Arial" w:hAnsi="Arial" w:cs="Arial"/>
          <w:i/>
          <w:iCs/>
          <w:color w:val="000000" w:themeColor="text1"/>
          <w:sz w:val="24"/>
          <w:szCs w:val="24"/>
        </w:rPr>
        <w:t>Ensuring the best provision for pupils with additional learning needs.</w:t>
      </w:r>
      <w:r w:rsidRPr="001F6B16">
        <w:rPr>
          <w:rFonts w:ascii="Arial" w:hAnsi="Arial" w:cs="Arial"/>
          <w:color w:val="000000" w:themeColor="text1"/>
          <w:sz w:val="24"/>
          <w:szCs w:val="24"/>
        </w:rPr>
        <w:t> Available: https://www.estyn.gov.wales/effective-practice/ensuring-best-provision-pupils-additional-learning-needs. Last accessed 18th Mar 2019.</w:t>
      </w:r>
    </w:p>
    <w:p w14:paraId="77E6E9D3" w14:textId="420D03CF" w:rsidR="00097EDA" w:rsidRPr="001F6B16" w:rsidRDefault="00D569C3" w:rsidP="001F6B16">
      <w:pPr>
        <w:pStyle w:val="NormalWeb"/>
        <w:spacing w:line="360" w:lineRule="auto"/>
        <w:rPr>
          <w:rFonts w:ascii="Arial" w:hAnsi="Arial" w:cs="Arial"/>
          <w:color w:val="000000" w:themeColor="text1"/>
        </w:rPr>
      </w:pPr>
      <w:r w:rsidRPr="001F6B16">
        <w:rPr>
          <w:rFonts w:ascii="Arial" w:hAnsi="Arial" w:cs="Arial"/>
          <w:color w:val="000000" w:themeColor="text1"/>
        </w:rPr>
        <w:t>Foundation for People with Learning Disabilities. (2019). </w:t>
      </w:r>
      <w:r w:rsidRPr="001F6B16">
        <w:rPr>
          <w:rFonts w:ascii="Arial" w:hAnsi="Arial" w:cs="Arial"/>
          <w:i/>
          <w:iCs/>
          <w:color w:val="000000" w:themeColor="text1"/>
        </w:rPr>
        <w:t>Person-centred planning (PCP).</w:t>
      </w:r>
      <w:r w:rsidRPr="001F6B16">
        <w:rPr>
          <w:rFonts w:ascii="Arial" w:hAnsi="Arial" w:cs="Arial"/>
          <w:color w:val="000000" w:themeColor="text1"/>
        </w:rPr>
        <w:t> Available: https://www.mentalhealth.org.uk/learning-disabilities/a-to-z/p/person-centred-planning-pcp. Last accessed 9th May 2019.</w:t>
      </w:r>
    </w:p>
    <w:p w14:paraId="0857ED33" w14:textId="1BA7DBC6" w:rsidR="00472771" w:rsidRPr="001F6B16" w:rsidRDefault="00472771" w:rsidP="001F6B16">
      <w:pPr>
        <w:pStyle w:val="NormalWeb"/>
        <w:spacing w:line="360" w:lineRule="auto"/>
        <w:rPr>
          <w:rFonts w:ascii="Arial" w:hAnsi="Arial" w:cs="Arial"/>
          <w:color w:val="000000" w:themeColor="text1"/>
          <w:lang w:val="en-US"/>
        </w:rPr>
      </w:pPr>
      <w:r w:rsidRPr="00472771">
        <w:rPr>
          <w:rFonts w:ascii="Arial" w:hAnsi="Arial" w:cs="Arial"/>
          <w:color w:val="000000" w:themeColor="text1"/>
          <w:lang w:val="en-US"/>
        </w:rPr>
        <w:t xml:space="preserve">Hagner, D, Helm, D, &amp; Butterworth, J 1996, '“This is your meeting”: a qualitative study of person-centered planning', </w:t>
      </w:r>
      <w:r w:rsidRPr="00472771">
        <w:rPr>
          <w:rFonts w:ascii="Arial" w:hAnsi="Arial" w:cs="Arial"/>
          <w:i/>
          <w:iCs/>
          <w:color w:val="000000" w:themeColor="text1"/>
          <w:lang w:val="en-US"/>
        </w:rPr>
        <w:t>Mental Retardation</w:t>
      </w:r>
      <w:r w:rsidRPr="00472771">
        <w:rPr>
          <w:rFonts w:ascii="Arial" w:hAnsi="Arial" w:cs="Arial"/>
          <w:color w:val="000000" w:themeColor="text1"/>
          <w:lang w:val="en-US"/>
        </w:rPr>
        <w:t>, 34, 3, pp. 159-171, Education Source, EBSCO</w:t>
      </w:r>
      <w:r w:rsidRPr="00472771">
        <w:rPr>
          <w:rFonts w:ascii="Arial" w:hAnsi="Arial" w:cs="Arial"/>
          <w:i/>
          <w:iCs/>
          <w:color w:val="000000" w:themeColor="text1"/>
          <w:lang w:val="en-US"/>
        </w:rPr>
        <w:t>host</w:t>
      </w:r>
      <w:r w:rsidRPr="00472771">
        <w:rPr>
          <w:rFonts w:ascii="Arial" w:hAnsi="Arial" w:cs="Arial"/>
          <w:color w:val="000000" w:themeColor="text1"/>
          <w:lang w:val="en-US"/>
        </w:rPr>
        <w:t>, viewed 16 February 2015.</w:t>
      </w:r>
    </w:p>
    <w:p w14:paraId="11A6E8DD" w14:textId="601877AE" w:rsidR="00C5796F" w:rsidRPr="001F6B16" w:rsidRDefault="00C5796F" w:rsidP="001F6B16">
      <w:pPr>
        <w:pStyle w:val="NormalWeb"/>
        <w:spacing w:line="360" w:lineRule="auto"/>
        <w:rPr>
          <w:rFonts w:ascii="Arial" w:hAnsi="Arial" w:cs="Arial"/>
          <w:color w:val="000000" w:themeColor="text1"/>
        </w:rPr>
      </w:pPr>
      <w:r w:rsidRPr="00C5796F">
        <w:rPr>
          <w:rFonts w:ascii="Arial" w:hAnsi="Arial" w:cs="Arial"/>
          <w:color w:val="000000" w:themeColor="text1"/>
          <w:lang w:val="en-US"/>
        </w:rPr>
        <w:t xml:space="preserve">Holburn.S. and Vietze, P. </w:t>
      </w:r>
      <w:r w:rsidRPr="001F6B16">
        <w:rPr>
          <w:rFonts w:ascii="Arial" w:hAnsi="Arial" w:cs="Arial"/>
          <w:color w:val="000000" w:themeColor="text1"/>
          <w:lang w:val="en-US"/>
        </w:rPr>
        <w:t>(2002</w:t>
      </w:r>
      <w:r w:rsidRPr="00C5796F">
        <w:rPr>
          <w:rFonts w:ascii="Arial" w:hAnsi="Arial" w:cs="Arial"/>
          <w:color w:val="000000" w:themeColor="text1"/>
          <w:lang w:val="en-US"/>
        </w:rPr>
        <w:t xml:space="preserve">) </w:t>
      </w:r>
      <w:r w:rsidRPr="00C5796F">
        <w:rPr>
          <w:rFonts w:ascii="Arial" w:hAnsi="Arial" w:cs="Arial"/>
          <w:i/>
          <w:iCs/>
          <w:color w:val="000000" w:themeColor="text1"/>
          <w:lang w:val="en-US"/>
        </w:rPr>
        <w:t>Person centered planning: research, practice, and future directions</w:t>
      </w:r>
      <w:r w:rsidRPr="00C5796F">
        <w:rPr>
          <w:rFonts w:ascii="Arial" w:hAnsi="Arial" w:cs="Arial"/>
          <w:color w:val="000000" w:themeColor="text1"/>
          <w:lang w:val="en-US"/>
        </w:rPr>
        <w:t>. Baltimore: Paul H Brookes Publishers</w:t>
      </w:r>
    </w:p>
    <w:p w14:paraId="72FAAC4D" w14:textId="540ABB98" w:rsidR="00607D09" w:rsidRPr="001F6B16" w:rsidRDefault="00607D09" w:rsidP="001F6B16">
      <w:pPr>
        <w:pStyle w:val="NormalWeb"/>
        <w:spacing w:line="360" w:lineRule="auto"/>
        <w:rPr>
          <w:rFonts w:ascii="Arial" w:hAnsi="Arial" w:cs="Arial"/>
          <w:color w:val="000000" w:themeColor="text1"/>
        </w:rPr>
      </w:pPr>
      <w:r w:rsidRPr="00607D09">
        <w:rPr>
          <w:rFonts w:ascii="Arial" w:hAnsi="Arial" w:cs="Arial"/>
          <w:bCs/>
          <w:color w:val="000000" w:themeColor="text1"/>
        </w:rPr>
        <w:lastRenderedPageBreak/>
        <w:t>Howell KS, et al. (2004)</w:t>
      </w:r>
      <w:r w:rsidRPr="00607D09">
        <w:rPr>
          <w:rFonts w:ascii="Arial" w:hAnsi="Arial" w:cs="Arial"/>
          <w:color w:val="000000" w:themeColor="text1"/>
        </w:rPr>
        <w:t> </w:t>
      </w:r>
      <w:r w:rsidRPr="00607D09">
        <w:rPr>
          <w:rFonts w:ascii="Arial" w:hAnsi="Arial" w:cs="Arial"/>
          <w:i/>
          <w:color w:val="000000" w:themeColor="text1"/>
        </w:rPr>
        <w:t>Variation in 4-mercapto-4-methyl-pentan-2-one release by Saccharomyces cerevisiae commercial wine strains</w:t>
      </w:r>
      <w:r w:rsidRPr="00607D09">
        <w:rPr>
          <w:rFonts w:ascii="Arial" w:hAnsi="Arial" w:cs="Arial"/>
          <w:color w:val="000000" w:themeColor="text1"/>
        </w:rPr>
        <w:t>. </w:t>
      </w:r>
      <w:r w:rsidRPr="00607D09">
        <w:rPr>
          <w:rFonts w:ascii="Arial" w:hAnsi="Arial" w:cs="Arial"/>
          <w:i/>
          <w:iCs/>
          <w:color w:val="000000" w:themeColor="text1"/>
        </w:rPr>
        <w:t>FEMS Microbiol Lett</w:t>
      </w:r>
      <w:r w:rsidRPr="00607D09">
        <w:rPr>
          <w:rFonts w:ascii="Arial" w:hAnsi="Arial" w:cs="Arial"/>
          <w:color w:val="000000" w:themeColor="text1"/>
        </w:rPr>
        <w:t> 240(2)</w:t>
      </w:r>
      <w:r w:rsidR="00F54D55" w:rsidRPr="001F6B16">
        <w:rPr>
          <w:rFonts w:ascii="Arial" w:hAnsi="Arial" w:cs="Arial"/>
          <w:color w:val="000000" w:themeColor="text1"/>
        </w:rPr>
        <w:t>.</w:t>
      </w:r>
    </w:p>
    <w:p w14:paraId="3ACB9AFF" w14:textId="0510B09A" w:rsidR="006A3B44" w:rsidRPr="001F6B16" w:rsidRDefault="006A3B44" w:rsidP="001F6B16">
      <w:pPr>
        <w:pStyle w:val="NormalWeb"/>
        <w:spacing w:line="360" w:lineRule="auto"/>
        <w:rPr>
          <w:rFonts w:ascii="Arial" w:hAnsi="Arial" w:cs="Arial"/>
          <w:color w:val="000000" w:themeColor="text1"/>
        </w:rPr>
      </w:pPr>
      <w:r w:rsidRPr="001F6B16">
        <w:rPr>
          <w:rFonts w:ascii="Arial" w:hAnsi="Arial" w:cs="Arial"/>
          <w:color w:val="000000" w:themeColor="text1"/>
        </w:rPr>
        <w:t>Liotti, G. (2004). Trauma, Dissociation, and Disorganized Attachment: Three Strands of a Single Braid. Psychotherapy: Theory, research, practice, training, 41, 472-486.</w:t>
      </w:r>
    </w:p>
    <w:p w14:paraId="6C53AD3A" w14:textId="45EBB2CE" w:rsidR="00883727" w:rsidRPr="001F6B16" w:rsidRDefault="00883727" w:rsidP="001F6B16">
      <w:pPr>
        <w:spacing w:line="360" w:lineRule="auto"/>
        <w:rPr>
          <w:rFonts w:ascii="Arial" w:hAnsi="Arial" w:cs="Arial"/>
          <w:color w:val="000000" w:themeColor="text1"/>
          <w:sz w:val="24"/>
          <w:szCs w:val="24"/>
        </w:rPr>
      </w:pPr>
      <w:r w:rsidRPr="001F6B16">
        <w:rPr>
          <w:rFonts w:ascii="Arial" w:hAnsi="Arial" w:cs="Arial"/>
          <w:color w:val="000000" w:themeColor="text1"/>
          <w:sz w:val="24"/>
          <w:szCs w:val="24"/>
        </w:rPr>
        <w:t>Maslow, A. H. (1943). </w:t>
      </w:r>
      <w:hyperlink r:id="rId9" w:history="1">
        <w:r w:rsidRPr="001F6B16">
          <w:rPr>
            <w:rStyle w:val="Hyperlink"/>
            <w:rFonts w:ascii="Arial" w:hAnsi="Arial" w:cs="Arial"/>
            <w:color w:val="000000" w:themeColor="text1"/>
            <w:sz w:val="24"/>
            <w:szCs w:val="24"/>
            <w:u w:val="none"/>
          </w:rPr>
          <w:t>A Theory of Human Motivation</w:t>
        </w:r>
      </w:hyperlink>
      <w:r w:rsidRPr="001F6B16">
        <w:rPr>
          <w:rFonts w:ascii="Arial" w:hAnsi="Arial" w:cs="Arial"/>
          <w:color w:val="000000" w:themeColor="text1"/>
          <w:sz w:val="24"/>
          <w:szCs w:val="24"/>
        </w:rPr>
        <w:t>. </w:t>
      </w:r>
      <w:r w:rsidRPr="001F6B16">
        <w:rPr>
          <w:rFonts w:ascii="Arial" w:hAnsi="Arial" w:cs="Arial"/>
          <w:i/>
          <w:iCs/>
          <w:color w:val="000000" w:themeColor="text1"/>
          <w:sz w:val="24"/>
          <w:szCs w:val="24"/>
        </w:rPr>
        <w:t>Psychological Review, 50(4)</w:t>
      </w:r>
      <w:r w:rsidRPr="001F6B16">
        <w:rPr>
          <w:rFonts w:ascii="Arial" w:hAnsi="Arial" w:cs="Arial"/>
          <w:color w:val="000000" w:themeColor="text1"/>
          <w:sz w:val="24"/>
          <w:szCs w:val="24"/>
        </w:rPr>
        <w:t>, p370-96.</w:t>
      </w:r>
    </w:p>
    <w:p w14:paraId="254BF171" w14:textId="3EB65E4B" w:rsidR="00F54D55" w:rsidRPr="001F6B16" w:rsidRDefault="00F54D55" w:rsidP="001F6B16">
      <w:pPr>
        <w:pStyle w:val="NormalWeb"/>
        <w:spacing w:line="360" w:lineRule="auto"/>
        <w:rPr>
          <w:rFonts w:ascii="Arial" w:hAnsi="Arial" w:cs="Arial"/>
          <w:color w:val="000000" w:themeColor="text1"/>
        </w:rPr>
      </w:pPr>
      <w:r w:rsidRPr="001F6B16">
        <w:rPr>
          <w:rFonts w:ascii="Arial" w:hAnsi="Arial" w:cs="Arial"/>
          <w:color w:val="000000" w:themeColor="text1"/>
        </w:rPr>
        <w:t>OFSTED. (2009). </w:t>
      </w:r>
      <w:r w:rsidRPr="001F6B16">
        <w:rPr>
          <w:rFonts w:ascii="Arial" w:hAnsi="Arial" w:cs="Arial"/>
          <w:i/>
          <w:iCs/>
          <w:color w:val="000000" w:themeColor="text1"/>
        </w:rPr>
        <w:t>Person Centred Planning.</w:t>
      </w:r>
      <w:r w:rsidRPr="001F6B16">
        <w:rPr>
          <w:rFonts w:ascii="Arial" w:hAnsi="Arial" w:cs="Arial"/>
          <w:color w:val="000000" w:themeColor="text1"/>
        </w:rPr>
        <w:t> Available: https://inclusive-solutions.com/person-centred-planning/. Last accessed 9th May 2019.</w:t>
      </w:r>
    </w:p>
    <w:p w14:paraId="7D8240D6" w14:textId="0770B3B5" w:rsidR="00097EDA" w:rsidRPr="001F6B16" w:rsidRDefault="00607D09" w:rsidP="001F6B16">
      <w:pPr>
        <w:widowControl w:val="0"/>
        <w:spacing w:after="0" w:line="360" w:lineRule="auto"/>
        <w:rPr>
          <w:rFonts w:ascii="Arial" w:hAnsi="Arial" w:cs="Arial"/>
          <w:color w:val="000000" w:themeColor="text1"/>
          <w:sz w:val="24"/>
          <w:szCs w:val="24"/>
        </w:rPr>
      </w:pPr>
      <w:r w:rsidRPr="001F6B16">
        <w:rPr>
          <w:rFonts w:ascii="Arial" w:hAnsi="Arial" w:cs="Arial"/>
          <w:color w:val="000000" w:themeColor="text1"/>
          <w:sz w:val="24"/>
          <w:szCs w:val="24"/>
        </w:rPr>
        <w:t>Ritchie, J. and Lewis. J. (eds.) (2003) Qualitative Research Practice: A Guide for Social Science Students and Researchers. Sage Publications, London</w:t>
      </w:r>
      <w:r w:rsidR="00097EDA" w:rsidRPr="001F6B16">
        <w:rPr>
          <w:rFonts w:ascii="Arial" w:hAnsi="Arial" w:cs="Arial"/>
          <w:color w:val="000000" w:themeColor="text1"/>
          <w:sz w:val="24"/>
          <w:szCs w:val="24"/>
        </w:rPr>
        <w:t>.</w:t>
      </w:r>
    </w:p>
    <w:p w14:paraId="09AADC68" w14:textId="77777777" w:rsidR="00097EDA" w:rsidRPr="001F6B16" w:rsidRDefault="00097EDA" w:rsidP="001F6B16">
      <w:pPr>
        <w:widowControl w:val="0"/>
        <w:spacing w:after="0" w:line="360" w:lineRule="auto"/>
        <w:rPr>
          <w:rFonts w:ascii="Arial" w:hAnsi="Arial" w:cs="Arial"/>
          <w:color w:val="000000" w:themeColor="text1"/>
          <w:sz w:val="24"/>
          <w:szCs w:val="24"/>
        </w:rPr>
      </w:pPr>
    </w:p>
    <w:p w14:paraId="096B7D41" w14:textId="403E12A2" w:rsidR="00097EDA" w:rsidRPr="001F6B16" w:rsidRDefault="00097EDA" w:rsidP="001F6B16">
      <w:pPr>
        <w:widowControl w:val="0"/>
        <w:spacing w:after="0" w:line="360" w:lineRule="auto"/>
        <w:rPr>
          <w:rFonts w:ascii="Arial" w:hAnsi="Arial" w:cs="Arial"/>
          <w:color w:val="000000" w:themeColor="text1"/>
          <w:spacing w:val="5"/>
          <w:sz w:val="24"/>
          <w:szCs w:val="24"/>
          <w:shd w:val="clear" w:color="auto" w:fill="FFFFFF"/>
        </w:rPr>
      </w:pPr>
      <w:r w:rsidRPr="001F6B16">
        <w:rPr>
          <w:rFonts w:ascii="Arial" w:hAnsi="Arial" w:cs="Arial"/>
          <w:color w:val="000000" w:themeColor="text1"/>
          <w:sz w:val="24"/>
          <w:szCs w:val="24"/>
        </w:rPr>
        <w:t xml:space="preserve">Routledge, M. and Gitsham, N. (2004) </w:t>
      </w:r>
      <w:r w:rsidRPr="001F6B16">
        <w:rPr>
          <w:rFonts w:ascii="Arial" w:hAnsi="Arial" w:cs="Arial"/>
          <w:i/>
          <w:color w:val="000000" w:themeColor="text1"/>
          <w:spacing w:val="5"/>
          <w:sz w:val="24"/>
          <w:szCs w:val="24"/>
          <w:shd w:val="clear" w:color="auto" w:fill="FFFFFF"/>
        </w:rPr>
        <w:t>Putting Person</w:t>
      </w:r>
      <w:r w:rsidRPr="001F6B16">
        <w:rPr>
          <w:rFonts w:ascii="Cambria Math" w:hAnsi="Cambria Math" w:cs="Cambria Math"/>
          <w:i/>
          <w:color w:val="000000" w:themeColor="text1"/>
          <w:spacing w:val="5"/>
          <w:sz w:val="24"/>
          <w:szCs w:val="24"/>
          <w:shd w:val="clear" w:color="auto" w:fill="FFFFFF"/>
        </w:rPr>
        <w:t>‐</w:t>
      </w:r>
      <w:r w:rsidRPr="001F6B16">
        <w:rPr>
          <w:rFonts w:ascii="Arial" w:hAnsi="Arial" w:cs="Arial"/>
          <w:i/>
          <w:color w:val="000000" w:themeColor="text1"/>
          <w:spacing w:val="5"/>
          <w:sz w:val="24"/>
          <w:szCs w:val="24"/>
          <w:shd w:val="clear" w:color="auto" w:fill="FFFFFF"/>
        </w:rPr>
        <w:t xml:space="preserve">Centred Planning in its Proper </w:t>
      </w:r>
      <w:r w:rsidRPr="001F6B16">
        <w:rPr>
          <w:rFonts w:ascii="Arial" w:hAnsi="Arial" w:cs="Arial"/>
          <w:i/>
          <w:color w:val="000000" w:themeColor="text1"/>
          <w:spacing w:val="5"/>
          <w:sz w:val="24"/>
          <w:szCs w:val="24"/>
          <w:shd w:val="clear" w:color="auto" w:fill="FFFFFF"/>
        </w:rPr>
        <w:t>Place?</w:t>
      </w:r>
      <w:r w:rsidRPr="001F6B16">
        <w:rPr>
          <w:rFonts w:ascii="Arial" w:hAnsi="Arial" w:cs="Arial"/>
          <w:color w:val="000000" w:themeColor="text1"/>
          <w:spacing w:val="5"/>
          <w:sz w:val="24"/>
          <w:szCs w:val="24"/>
          <w:shd w:val="clear" w:color="auto" w:fill="FFFFFF"/>
        </w:rPr>
        <w:t> </w:t>
      </w:r>
      <w:r w:rsidRPr="001F6B16">
        <w:rPr>
          <w:rFonts w:ascii="Arial" w:hAnsi="Arial" w:cs="Arial"/>
          <w:color w:val="000000" w:themeColor="text1"/>
          <w:sz w:val="24"/>
          <w:szCs w:val="24"/>
        </w:rPr>
        <w:t>Tizard Learning Disability Review</w:t>
      </w:r>
      <w:r w:rsidRPr="001F6B16">
        <w:rPr>
          <w:rFonts w:ascii="Arial" w:hAnsi="Arial" w:cs="Arial"/>
          <w:color w:val="000000" w:themeColor="text1"/>
          <w:spacing w:val="5"/>
          <w:sz w:val="24"/>
          <w:szCs w:val="24"/>
          <w:shd w:val="clear" w:color="auto" w:fill="FFFFFF"/>
        </w:rPr>
        <w:t>, Vol. 9 Issue: 3, pp.21-26</w:t>
      </w:r>
      <w:r w:rsidRPr="001F6B16">
        <w:rPr>
          <w:rFonts w:ascii="Arial" w:hAnsi="Arial" w:cs="Arial"/>
          <w:color w:val="000000" w:themeColor="text1"/>
          <w:spacing w:val="5"/>
          <w:sz w:val="24"/>
          <w:szCs w:val="24"/>
          <w:shd w:val="clear" w:color="auto" w:fill="FFFFFF"/>
        </w:rPr>
        <w:t>.</w:t>
      </w:r>
    </w:p>
    <w:p w14:paraId="7FB3A8ED" w14:textId="77777777" w:rsidR="00664211" w:rsidRPr="001F6B16" w:rsidRDefault="00664211" w:rsidP="001F6B16">
      <w:pPr>
        <w:widowControl w:val="0"/>
        <w:spacing w:after="0" w:line="360" w:lineRule="auto"/>
        <w:rPr>
          <w:rFonts w:ascii="Arial" w:hAnsi="Arial" w:cs="Arial"/>
          <w:color w:val="000000" w:themeColor="text1"/>
          <w:spacing w:val="5"/>
          <w:sz w:val="24"/>
          <w:szCs w:val="24"/>
          <w:shd w:val="clear" w:color="auto" w:fill="FFFFFF"/>
        </w:rPr>
      </w:pPr>
    </w:p>
    <w:p w14:paraId="285DB5C8" w14:textId="0A9F98E8" w:rsidR="00664211" w:rsidRPr="001F6B16" w:rsidRDefault="00664211" w:rsidP="001F6B16">
      <w:pPr>
        <w:widowControl w:val="0"/>
        <w:spacing w:after="0" w:line="360" w:lineRule="auto"/>
        <w:rPr>
          <w:rFonts w:ascii="Arial" w:hAnsi="Arial" w:cs="Arial"/>
          <w:color w:val="000000" w:themeColor="text1"/>
          <w:spacing w:val="5"/>
          <w:sz w:val="24"/>
          <w:szCs w:val="24"/>
          <w:shd w:val="clear" w:color="auto" w:fill="FFFFFF"/>
        </w:rPr>
      </w:pPr>
      <w:r w:rsidRPr="001F6B16">
        <w:rPr>
          <w:rFonts w:ascii="Arial" w:hAnsi="Arial" w:cs="Arial"/>
          <w:color w:val="000000" w:themeColor="text1"/>
          <w:spacing w:val="5"/>
          <w:sz w:val="24"/>
          <w:szCs w:val="24"/>
          <w:shd w:val="clear" w:color="auto" w:fill="FFFFFF"/>
        </w:rPr>
        <w:t xml:space="preserve">Sanderson, H. </w:t>
      </w:r>
      <w:r w:rsidRPr="001F6B16">
        <w:rPr>
          <w:rFonts w:ascii="Arial" w:hAnsi="Arial" w:cs="Arial"/>
          <w:color w:val="000000" w:themeColor="text1"/>
          <w:spacing w:val="5"/>
          <w:sz w:val="24"/>
          <w:szCs w:val="24"/>
          <w:shd w:val="clear" w:color="auto" w:fill="FFFFFF"/>
        </w:rPr>
        <w:t>(2015</w:t>
      </w:r>
      <w:r w:rsidRPr="001F6B16">
        <w:rPr>
          <w:rFonts w:ascii="Arial" w:hAnsi="Arial" w:cs="Arial"/>
          <w:color w:val="000000" w:themeColor="text1"/>
          <w:spacing w:val="5"/>
          <w:sz w:val="24"/>
          <w:szCs w:val="24"/>
          <w:shd w:val="clear" w:color="auto" w:fill="FFFFFF"/>
        </w:rPr>
        <w:t xml:space="preserve">) </w:t>
      </w:r>
      <w:r w:rsidRPr="001F6B16">
        <w:rPr>
          <w:rFonts w:ascii="Arial" w:hAnsi="Arial" w:cs="Arial"/>
          <w:i/>
          <w:iCs/>
          <w:color w:val="000000" w:themeColor="text1"/>
          <w:spacing w:val="5"/>
          <w:sz w:val="24"/>
          <w:szCs w:val="24"/>
          <w:shd w:val="clear" w:color="auto" w:fill="FFFFFF"/>
        </w:rPr>
        <w:t>Helen Sanderson Associates</w:t>
      </w:r>
      <w:r w:rsidRPr="001F6B16">
        <w:rPr>
          <w:rFonts w:ascii="Arial" w:hAnsi="Arial" w:cs="Arial"/>
          <w:color w:val="000000" w:themeColor="text1"/>
          <w:spacing w:val="5"/>
          <w:sz w:val="24"/>
          <w:szCs w:val="24"/>
          <w:shd w:val="clear" w:color="auto" w:fill="FFFFFF"/>
        </w:rPr>
        <w:t xml:space="preserve">. Available at </w:t>
      </w:r>
      <w:hyperlink r:id="rId10" w:history="1">
        <w:r w:rsidRPr="001F6B16">
          <w:rPr>
            <w:rStyle w:val="Hyperlink"/>
            <w:rFonts w:ascii="Arial" w:hAnsi="Arial" w:cs="Arial"/>
            <w:color w:val="000000" w:themeColor="text1"/>
            <w:spacing w:val="5"/>
            <w:sz w:val="24"/>
            <w:szCs w:val="24"/>
            <w:u w:val="none"/>
            <w:shd w:val="clear" w:color="auto" w:fill="FFFFFF"/>
          </w:rPr>
          <w:t>http://www.helensandersonassociates.co.uk</w:t>
        </w:r>
      </w:hyperlink>
      <w:hyperlink r:id="rId11" w:history="1">
        <w:r w:rsidRPr="001F6B16">
          <w:rPr>
            <w:rStyle w:val="Hyperlink"/>
            <w:rFonts w:ascii="Arial" w:hAnsi="Arial" w:cs="Arial"/>
            <w:color w:val="000000" w:themeColor="text1"/>
            <w:spacing w:val="5"/>
            <w:sz w:val="24"/>
            <w:szCs w:val="24"/>
            <w:u w:val="none"/>
            <w:shd w:val="clear" w:color="auto" w:fill="FFFFFF"/>
          </w:rPr>
          <w:t>/</w:t>
        </w:r>
      </w:hyperlink>
      <w:r w:rsidRPr="001F6B16">
        <w:rPr>
          <w:rFonts w:ascii="Arial" w:hAnsi="Arial" w:cs="Arial"/>
          <w:color w:val="000000" w:themeColor="text1"/>
          <w:spacing w:val="5"/>
          <w:sz w:val="24"/>
          <w:szCs w:val="24"/>
          <w:shd w:val="clear" w:color="auto" w:fill="FFFFFF"/>
        </w:rPr>
        <w:t>.</w:t>
      </w:r>
      <w:r w:rsidRPr="001F6B16">
        <w:rPr>
          <w:rFonts w:ascii="Arial" w:hAnsi="Arial" w:cs="Arial"/>
          <w:color w:val="000000" w:themeColor="text1"/>
          <w:spacing w:val="5"/>
          <w:sz w:val="24"/>
          <w:szCs w:val="24"/>
          <w:shd w:val="clear" w:color="auto" w:fill="FFFFFF"/>
        </w:rPr>
        <w:t xml:space="preserve"> Last accessed May 9</w:t>
      </w:r>
      <w:r w:rsidRPr="001F6B16">
        <w:rPr>
          <w:rFonts w:ascii="Arial" w:hAnsi="Arial" w:cs="Arial"/>
          <w:color w:val="000000" w:themeColor="text1"/>
          <w:spacing w:val="5"/>
          <w:sz w:val="24"/>
          <w:szCs w:val="24"/>
          <w:shd w:val="clear" w:color="auto" w:fill="FFFFFF"/>
          <w:vertAlign w:val="superscript"/>
        </w:rPr>
        <w:t>th</w:t>
      </w:r>
      <w:r w:rsidRPr="001F6B16">
        <w:rPr>
          <w:rFonts w:ascii="Arial" w:hAnsi="Arial" w:cs="Arial"/>
          <w:color w:val="000000" w:themeColor="text1"/>
          <w:spacing w:val="5"/>
          <w:sz w:val="24"/>
          <w:szCs w:val="24"/>
          <w:shd w:val="clear" w:color="auto" w:fill="FFFFFF"/>
        </w:rPr>
        <w:t>, 2019.</w:t>
      </w:r>
    </w:p>
    <w:p w14:paraId="27B9BAC6" w14:textId="77777777" w:rsidR="001C52B0" w:rsidRPr="001F6B16" w:rsidRDefault="001C52B0" w:rsidP="001F6B16">
      <w:pPr>
        <w:widowControl w:val="0"/>
        <w:spacing w:after="0" w:line="360" w:lineRule="auto"/>
        <w:rPr>
          <w:rFonts w:ascii="Arial" w:hAnsi="Arial" w:cs="Arial"/>
          <w:color w:val="000000" w:themeColor="text1"/>
          <w:spacing w:val="5"/>
          <w:sz w:val="24"/>
          <w:szCs w:val="24"/>
          <w:shd w:val="clear" w:color="auto" w:fill="FFFFFF"/>
        </w:rPr>
      </w:pPr>
    </w:p>
    <w:p w14:paraId="1481F750" w14:textId="7AA03487" w:rsidR="001C52B0" w:rsidRPr="001F6B16" w:rsidRDefault="001C52B0" w:rsidP="001F6B16">
      <w:pPr>
        <w:widowControl w:val="0"/>
        <w:spacing w:after="0" w:line="360" w:lineRule="auto"/>
        <w:rPr>
          <w:rFonts w:ascii="Arial" w:hAnsi="Arial" w:cs="Arial"/>
          <w:color w:val="000000" w:themeColor="text1"/>
          <w:spacing w:val="5"/>
          <w:sz w:val="24"/>
          <w:szCs w:val="24"/>
          <w:shd w:val="clear" w:color="auto" w:fill="FFFFFF"/>
        </w:rPr>
      </w:pPr>
      <w:r w:rsidRPr="001F6B16">
        <w:rPr>
          <w:rFonts w:ascii="Arial" w:hAnsi="Arial" w:cs="Arial"/>
          <w:color w:val="000000" w:themeColor="text1"/>
          <w:sz w:val="24"/>
          <w:szCs w:val="24"/>
        </w:rPr>
        <w:t>Silvestri, A., Oldfield, M., Squires, P., and Grimshaw, R. (2009). Young people, knives and guns. A comprehensive review, analysis and critique of gun and knife crime strategies. London: Centre for Crime and Justice Studies.</w:t>
      </w:r>
    </w:p>
    <w:p w14:paraId="74E65695" w14:textId="77777777" w:rsidR="003F286B" w:rsidRPr="001F6B16" w:rsidRDefault="003F286B" w:rsidP="001F6B16">
      <w:pPr>
        <w:widowControl w:val="0"/>
        <w:spacing w:after="0" w:line="360" w:lineRule="auto"/>
        <w:rPr>
          <w:rFonts w:ascii="Arial" w:hAnsi="Arial" w:cs="Arial"/>
          <w:color w:val="000000" w:themeColor="text1"/>
          <w:spacing w:val="5"/>
          <w:sz w:val="24"/>
          <w:szCs w:val="24"/>
          <w:shd w:val="clear" w:color="auto" w:fill="FFFFFF"/>
        </w:rPr>
      </w:pPr>
    </w:p>
    <w:p w14:paraId="3EA3599A" w14:textId="20786302" w:rsidR="003F286B" w:rsidRPr="001F6B16" w:rsidRDefault="003F286B" w:rsidP="001F6B16">
      <w:pPr>
        <w:widowControl w:val="0"/>
        <w:spacing w:after="0" w:line="360" w:lineRule="auto"/>
        <w:rPr>
          <w:rFonts w:ascii="Arial" w:hAnsi="Arial" w:cs="Arial"/>
          <w:color w:val="000000" w:themeColor="text1"/>
          <w:spacing w:val="5"/>
          <w:sz w:val="24"/>
          <w:szCs w:val="24"/>
          <w:shd w:val="clear" w:color="auto" w:fill="FFFFFF"/>
        </w:rPr>
      </w:pPr>
      <w:r w:rsidRPr="001F6B16">
        <w:rPr>
          <w:rFonts w:ascii="Arial" w:hAnsi="Arial" w:cs="Arial"/>
          <w:color w:val="000000" w:themeColor="text1"/>
          <w:sz w:val="24"/>
          <w:szCs w:val="24"/>
        </w:rPr>
        <w:t>Stuart, M., and Baines, C. (2004). Safeguards for Vulnerable Children: Three studies on abusers, disabled children and children in prison. York: Joseph Rowntree Foundation.</w:t>
      </w:r>
    </w:p>
    <w:p w14:paraId="4272A1FE" w14:textId="77777777" w:rsidR="00792C7C" w:rsidRPr="001F6B16" w:rsidRDefault="00792C7C" w:rsidP="001F6B16">
      <w:pPr>
        <w:widowControl w:val="0"/>
        <w:spacing w:after="0" w:line="360" w:lineRule="auto"/>
        <w:rPr>
          <w:rFonts w:ascii="Arial" w:hAnsi="Arial" w:cs="Arial"/>
          <w:color w:val="000000" w:themeColor="text1"/>
          <w:spacing w:val="5"/>
          <w:sz w:val="24"/>
          <w:szCs w:val="24"/>
          <w:shd w:val="clear" w:color="auto" w:fill="FFFFFF"/>
        </w:rPr>
      </w:pPr>
    </w:p>
    <w:p w14:paraId="740BD348" w14:textId="7746A1C4" w:rsidR="00792C7C" w:rsidRPr="001F6B16" w:rsidRDefault="00792C7C" w:rsidP="001F6B16">
      <w:pPr>
        <w:widowControl w:val="0"/>
        <w:spacing w:after="0" w:line="360" w:lineRule="auto"/>
        <w:rPr>
          <w:rFonts w:ascii="Arial" w:hAnsi="Arial" w:cs="Arial"/>
          <w:color w:val="000000" w:themeColor="text1"/>
          <w:spacing w:val="5"/>
          <w:sz w:val="24"/>
          <w:szCs w:val="24"/>
          <w:shd w:val="clear" w:color="auto" w:fill="FFFFFF"/>
        </w:rPr>
      </w:pPr>
      <w:r w:rsidRPr="001F6B16">
        <w:rPr>
          <w:rFonts w:ascii="Arial" w:hAnsi="Arial" w:cs="Arial"/>
          <w:color w:val="000000" w:themeColor="text1"/>
          <w:sz w:val="24"/>
          <w:szCs w:val="24"/>
        </w:rPr>
        <w:t>The Local Offer. (2014). </w:t>
      </w:r>
      <w:r w:rsidRPr="001F6B16">
        <w:rPr>
          <w:rFonts w:ascii="Arial" w:hAnsi="Arial" w:cs="Arial"/>
          <w:i/>
          <w:iCs/>
          <w:color w:val="000000" w:themeColor="text1"/>
          <w:sz w:val="24"/>
          <w:szCs w:val="24"/>
        </w:rPr>
        <w:t>One Page Profiles.</w:t>
      </w:r>
      <w:r w:rsidRPr="001F6B16">
        <w:rPr>
          <w:rFonts w:ascii="Arial" w:hAnsi="Arial" w:cs="Arial"/>
          <w:color w:val="000000" w:themeColor="text1"/>
          <w:sz w:val="24"/>
          <w:szCs w:val="24"/>
        </w:rPr>
        <w:t> Available: http://www.thelocaloffer.co.uk/one-page-profiles. Last accessed 9th May 2019.</w:t>
      </w:r>
    </w:p>
    <w:p w14:paraId="3BBA7D37" w14:textId="0B9A2B57" w:rsidR="00AE2998" w:rsidRPr="001F6B16" w:rsidRDefault="00AE2998" w:rsidP="001F6B16">
      <w:pPr>
        <w:pStyle w:val="NormalWeb"/>
        <w:spacing w:line="360" w:lineRule="auto"/>
        <w:rPr>
          <w:rFonts w:ascii="Arial" w:hAnsi="Arial" w:cs="Arial"/>
          <w:color w:val="000000" w:themeColor="text1"/>
        </w:rPr>
      </w:pPr>
      <w:r w:rsidRPr="001F6B16">
        <w:rPr>
          <w:rFonts w:ascii="Arial" w:hAnsi="Arial" w:cs="Arial"/>
          <w:color w:val="000000" w:themeColor="text1"/>
        </w:rPr>
        <w:t>Welsh Assembly Government. (2018). </w:t>
      </w:r>
      <w:r w:rsidRPr="001F6B16">
        <w:rPr>
          <w:rFonts w:ascii="Arial" w:hAnsi="Arial" w:cs="Arial"/>
          <w:i/>
          <w:iCs/>
          <w:color w:val="000000" w:themeColor="text1"/>
        </w:rPr>
        <w:t>Additional Learning Needs and Education Tribunal (Wales) Act.</w:t>
      </w:r>
      <w:r w:rsidRPr="001F6B16">
        <w:rPr>
          <w:rFonts w:ascii="Arial" w:hAnsi="Arial" w:cs="Arial"/>
          <w:color w:val="000000" w:themeColor="text1"/>
        </w:rPr>
        <w:t xml:space="preserve"> Available: </w:t>
      </w:r>
      <w:r w:rsidRPr="001F6B16">
        <w:rPr>
          <w:rFonts w:ascii="Arial" w:hAnsi="Arial" w:cs="Arial"/>
          <w:color w:val="000000" w:themeColor="text1"/>
        </w:rPr>
        <w:lastRenderedPageBreak/>
        <w:t>https://gov.wales/sites/default/files/publications/2018-06/alnet-wales-act-equality-impact-assessment.pdf. Last accessed 9th May 2019.</w:t>
      </w:r>
    </w:p>
    <w:p w14:paraId="72425166" w14:textId="39C5B490" w:rsidR="00097EDA" w:rsidRPr="001F6B16" w:rsidRDefault="00097EDA" w:rsidP="001F6B16">
      <w:pPr>
        <w:pStyle w:val="NormalWeb"/>
        <w:spacing w:line="360" w:lineRule="auto"/>
        <w:rPr>
          <w:rFonts w:ascii="Arial" w:hAnsi="Arial" w:cs="Arial"/>
          <w:color w:val="000000" w:themeColor="text1"/>
        </w:rPr>
      </w:pPr>
      <w:r w:rsidRPr="001F6B16">
        <w:rPr>
          <w:rFonts w:ascii="Arial" w:hAnsi="Arial" w:cs="Arial"/>
          <w:color w:val="000000" w:themeColor="text1"/>
        </w:rPr>
        <w:t>Welsh Assembly Government. (2015). </w:t>
      </w:r>
      <w:r w:rsidRPr="001F6B16">
        <w:rPr>
          <w:rFonts w:ascii="Arial" w:hAnsi="Arial" w:cs="Arial"/>
          <w:i/>
          <w:iCs/>
          <w:color w:val="000000" w:themeColor="text1"/>
        </w:rPr>
        <w:t xml:space="preserve">Person-centred practice in education: a guide for early years, schools and colleges in </w:t>
      </w:r>
      <w:r w:rsidR="00F8182C" w:rsidRPr="001F6B16">
        <w:rPr>
          <w:rFonts w:ascii="Arial" w:hAnsi="Arial" w:cs="Arial"/>
          <w:i/>
          <w:iCs/>
          <w:color w:val="000000" w:themeColor="text1"/>
        </w:rPr>
        <w:t>Wales.</w:t>
      </w:r>
      <w:r w:rsidR="00F8182C" w:rsidRPr="001F6B16">
        <w:rPr>
          <w:rFonts w:ascii="Arial" w:hAnsi="Arial" w:cs="Arial"/>
          <w:color w:val="000000" w:themeColor="text1"/>
        </w:rPr>
        <w:t xml:space="preserve"> Available</w:t>
      </w:r>
      <w:r w:rsidRPr="001F6B16">
        <w:rPr>
          <w:rFonts w:ascii="Arial" w:hAnsi="Arial" w:cs="Arial"/>
          <w:color w:val="000000" w:themeColor="text1"/>
        </w:rPr>
        <w:t>: https://gov.wales/sites/default/files/publications/2019-01/person-centred-practice-in-education-a-guide-for-early-years-schools-and-colleges-in-wales.pdf. Last accessed 9th May 2019.</w:t>
      </w:r>
    </w:p>
    <w:p w14:paraId="6ED80618" w14:textId="48B5D8B3" w:rsidR="00A42657" w:rsidRPr="001F6B16" w:rsidRDefault="00943068" w:rsidP="001F6B16">
      <w:pPr>
        <w:pStyle w:val="NormalWeb"/>
        <w:spacing w:line="360" w:lineRule="auto"/>
        <w:rPr>
          <w:rFonts w:ascii="Arial" w:hAnsi="Arial" w:cs="Arial"/>
          <w:color w:val="000000" w:themeColor="text1"/>
        </w:rPr>
      </w:pPr>
      <w:r w:rsidRPr="001F6B16">
        <w:rPr>
          <w:rFonts w:ascii="Arial" w:hAnsi="Arial" w:cs="Arial"/>
          <w:color w:val="000000" w:themeColor="text1"/>
        </w:rPr>
        <w:t>Woodcock, J., and Gill, J. (2014). Implementing a psychologically informed environment in a service for homeless young people. Housing, Care and Support, 48-57.</w:t>
      </w:r>
    </w:p>
    <w:p w14:paraId="60154A75" w14:textId="5D79CF95" w:rsidR="00A42657" w:rsidRPr="001F6B16" w:rsidRDefault="002D4B98" w:rsidP="001F6B16">
      <w:pPr>
        <w:spacing w:line="360" w:lineRule="auto"/>
        <w:rPr>
          <w:rFonts w:ascii="Arial" w:hAnsi="Arial" w:cs="Arial"/>
          <w:color w:val="000000" w:themeColor="text1"/>
          <w:sz w:val="24"/>
          <w:szCs w:val="24"/>
        </w:rPr>
      </w:pPr>
      <w:r w:rsidRPr="001F6B16">
        <w:rPr>
          <w:rFonts w:ascii="Arial" w:hAnsi="Arial" w:cs="Arial"/>
          <w:color w:val="000000" w:themeColor="text1"/>
          <w:sz w:val="24"/>
          <w:szCs w:val="24"/>
        </w:rPr>
        <w:t>Vygotsky, L. S. (1978). </w:t>
      </w:r>
      <w:hyperlink r:id="rId12" w:history="1">
        <w:r w:rsidRPr="001F6B16">
          <w:rPr>
            <w:rStyle w:val="Hyperlink"/>
            <w:rFonts w:ascii="Arial" w:hAnsi="Arial" w:cs="Arial"/>
            <w:i/>
            <w:iCs/>
            <w:color w:val="000000" w:themeColor="text1"/>
            <w:sz w:val="24"/>
            <w:szCs w:val="24"/>
            <w:u w:val="none"/>
          </w:rPr>
          <w:t>Mind in society: The development of higher psychological processes</w:t>
        </w:r>
      </w:hyperlink>
      <w:r w:rsidRPr="001F6B16">
        <w:rPr>
          <w:rFonts w:ascii="Arial" w:hAnsi="Arial" w:cs="Arial"/>
          <w:color w:val="000000" w:themeColor="text1"/>
          <w:sz w:val="24"/>
          <w:szCs w:val="24"/>
        </w:rPr>
        <w:t>. Cambridge, MA: Harvard University Press.</w:t>
      </w:r>
    </w:p>
    <w:sectPr w:rsidR="00A42657" w:rsidRPr="001F6B16">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327698" w14:textId="77777777" w:rsidR="00A42657" w:rsidRDefault="00A42657" w:rsidP="00A42657">
      <w:pPr>
        <w:spacing w:after="0" w:line="240" w:lineRule="auto"/>
      </w:pPr>
      <w:r>
        <w:separator/>
      </w:r>
    </w:p>
  </w:endnote>
  <w:endnote w:type="continuationSeparator" w:id="0">
    <w:p w14:paraId="26220F3A" w14:textId="77777777" w:rsidR="00A42657" w:rsidRDefault="00A42657" w:rsidP="00A426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8998DB" w14:textId="77777777" w:rsidR="00A42657" w:rsidRDefault="00A42657" w:rsidP="00A42657">
      <w:pPr>
        <w:spacing w:after="0" w:line="240" w:lineRule="auto"/>
      </w:pPr>
      <w:r>
        <w:separator/>
      </w:r>
    </w:p>
  </w:footnote>
  <w:footnote w:type="continuationSeparator" w:id="0">
    <w:p w14:paraId="3DA41F55" w14:textId="77777777" w:rsidR="00A42657" w:rsidRDefault="00A42657" w:rsidP="00A426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98ACC0" w14:textId="1227FD52" w:rsidR="00A42657" w:rsidRDefault="00A42657">
    <w:pPr>
      <w:pStyle w:val="Header"/>
    </w:pPr>
    <w:r>
      <w:t>SJEU6006</w:t>
    </w:r>
    <w:r>
      <w:tab/>
    </w:r>
    <w:r>
      <w:tab/>
      <w:t>1201201</w:t>
    </w:r>
  </w:p>
  <w:p w14:paraId="3D2220C8" w14:textId="77777777" w:rsidR="00A42657" w:rsidRDefault="00A426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590A0A"/>
    <w:multiLevelType w:val="hybridMultilevel"/>
    <w:tmpl w:val="A24016D4"/>
    <w:lvl w:ilvl="0" w:tplc="0088BB78">
      <w:start w:val="1"/>
      <w:numFmt w:val="bullet"/>
      <w:lvlText w:val=""/>
      <w:lvlJc w:val="left"/>
      <w:pPr>
        <w:tabs>
          <w:tab w:val="num" w:pos="720"/>
        </w:tabs>
        <w:ind w:left="720" w:hanging="360"/>
      </w:pPr>
      <w:rPr>
        <w:rFonts w:ascii="Wingdings 3" w:hAnsi="Wingdings 3" w:hint="default"/>
      </w:rPr>
    </w:lvl>
    <w:lvl w:ilvl="1" w:tplc="A3D22AF2" w:tentative="1">
      <w:start w:val="1"/>
      <w:numFmt w:val="bullet"/>
      <w:lvlText w:val=""/>
      <w:lvlJc w:val="left"/>
      <w:pPr>
        <w:tabs>
          <w:tab w:val="num" w:pos="1440"/>
        </w:tabs>
        <w:ind w:left="1440" w:hanging="360"/>
      </w:pPr>
      <w:rPr>
        <w:rFonts w:ascii="Wingdings 3" w:hAnsi="Wingdings 3" w:hint="default"/>
      </w:rPr>
    </w:lvl>
    <w:lvl w:ilvl="2" w:tplc="EBE0ACB6" w:tentative="1">
      <w:start w:val="1"/>
      <w:numFmt w:val="bullet"/>
      <w:lvlText w:val=""/>
      <w:lvlJc w:val="left"/>
      <w:pPr>
        <w:tabs>
          <w:tab w:val="num" w:pos="2160"/>
        </w:tabs>
        <w:ind w:left="2160" w:hanging="360"/>
      </w:pPr>
      <w:rPr>
        <w:rFonts w:ascii="Wingdings 3" w:hAnsi="Wingdings 3" w:hint="default"/>
      </w:rPr>
    </w:lvl>
    <w:lvl w:ilvl="3" w:tplc="6CE4BE74" w:tentative="1">
      <w:start w:val="1"/>
      <w:numFmt w:val="bullet"/>
      <w:lvlText w:val=""/>
      <w:lvlJc w:val="left"/>
      <w:pPr>
        <w:tabs>
          <w:tab w:val="num" w:pos="2880"/>
        </w:tabs>
        <w:ind w:left="2880" w:hanging="360"/>
      </w:pPr>
      <w:rPr>
        <w:rFonts w:ascii="Wingdings 3" w:hAnsi="Wingdings 3" w:hint="default"/>
      </w:rPr>
    </w:lvl>
    <w:lvl w:ilvl="4" w:tplc="DF08E1B8" w:tentative="1">
      <w:start w:val="1"/>
      <w:numFmt w:val="bullet"/>
      <w:lvlText w:val=""/>
      <w:lvlJc w:val="left"/>
      <w:pPr>
        <w:tabs>
          <w:tab w:val="num" w:pos="3600"/>
        </w:tabs>
        <w:ind w:left="3600" w:hanging="360"/>
      </w:pPr>
      <w:rPr>
        <w:rFonts w:ascii="Wingdings 3" w:hAnsi="Wingdings 3" w:hint="default"/>
      </w:rPr>
    </w:lvl>
    <w:lvl w:ilvl="5" w:tplc="D564106A" w:tentative="1">
      <w:start w:val="1"/>
      <w:numFmt w:val="bullet"/>
      <w:lvlText w:val=""/>
      <w:lvlJc w:val="left"/>
      <w:pPr>
        <w:tabs>
          <w:tab w:val="num" w:pos="4320"/>
        </w:tabs>
        <w:ind w:left="4320" w:hanging="360"/>
      </w:pPr>
      <w:rPr>
        <w:rFonts w:ascii="Wingdings 3" w:hAnsi="Wingdings 3" w:hint="default"/>
      </w:rPr>
    </w:lvl>
    <w:lvl w:ilvl="6" w:tplc="1ADE3A2A" w:tentative="1">
      <w:start w:val="1"/>
      <w:numFmt w:val="bullet"/>
      <w:lvlText w:val=""/>
      <w:lvlJc w:val="left"/>
      <w:pPr>
        <w:tabs>
          <w:tab w:val="num" w:pos="5040"/>
        </w:tabs>
        <w:ind w:left="5040" w:hanging="360"/>
      </w:pPr>
      <w:rPr>
        <w:rFonts w:ascii="Wingdings 3" w:hAnsi="Wingdings 3" w:hint="default"/>
      </w:rPr>
    </w:lvl>
    <w:lvl w:ilvl="7" w:tplc="ECFE724A" w:tentative="1">
      <w:start w:val="1"/>
      <w:numFmt w:val="bullet"/>
      <w:lvlText w:val=""/>
      <w:lvlJc w:val="left"/>
      <w:pPr>
        <w:tabs>
          <w:tab w:val="num" w:pos="5760"/>
        </w:tabs>
        <w:ind w:left="5760" w:hanging="360"/>
      </w:pPr>
      <w:rPr>
        <w:rFonts w:ascii="Wingdings 3" w:hAnsi="Wingdings 3" w:hint="default"/>
      </w:rPr>
    </w:lvl>
    <w:lvl w:ilvl="8" w:tplc="0D5E1B44"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752C7C3D"/>
    <w:multiLevelType w:val="hybridMultilevel"/>
    <w:tmpl w:val="2A4607EC"/>
    <w:lvl w:ilvl="0" w:tplc="4446B65E">
      <w:start w:val="1"/>
      <w:numFmt w:val="bullet"/>
      <w:lvlText w:val=""/>
      <w:lvlJc w:val="left"/>
      <w:pPr>
        <w:tabs>
          <w:tab w:val="num" w:pos="720"/>
        </w:tabs>
        <w:ind w:left="720" w:hanging="360"/>
      </w:pPr>
      <w:rPr>
        <w:rFonts w:ascii="Wingdings 3" w:hAnsi="Wingdings 3" w:hint="default"/>
      </w:rPr>
    </w:lvl>
    <w:lvl w:ilvl="1" w:tplc="A362811C" w:tentative="1">
      <w:start w:val="1"/>
      <w:numFmt w:val="bullet"/>
      <w:lvlText w:val=""/>
      <w:lvlJc w:val="left"/>
      <w:pPr>
        <w:tabs>
          <w:tab w:val="num" w:pos="1440"/>
        </w:tabs>
        <w:ind w:left="1440" w:hanging="360"/>
      </w:pPr>
      <w:rPr>
        <w:rFonts w:ascii="Wingdings 3" w:hAnsi="Wingdings 3" w:hint="default"/>
      </w:rPr>
    </w:lvl>
    <w:lvl w:ilvl="2" w:tplc="80C2F174" w:tentative="1">
      <w:start w:val="1"/>
      <w:numFmt w:val="bullet"/>
      <w:lvlText w:val=""/>
      <w:lvlJc w:val="left"/>
      <w:pPr>
        <w:tabs>
          <w:tab w:val="num" w:pos="2160"/>
        </w:tabs>
        <w:ind w:left="2160" w:hanging="360"/>
      </w:pPr>
      <w:rPr>
        <w:rFonts w:ascii="Wingdings 3" w:hAnsi="Wingdings 3" w:hint="default"/>
      </w:rPr>
    </w:lvl>
    <w:lvl w:ilvl="3" w:tplc="8C08AFDE" w:tentative="1">
      <w:start w:val="1"/>
      <w:numFmt w:val="bullet"/>
      <w:lvlText w:val=""/>
      <w:lvlJc w:val="left"/>
      <w:pPr>
        <w:tabs>
          <w:tab w:val="num" w:pos="2880"/>
        </w:tabs>
        <w:ind w:left="2880" w:hanging="360"/>
      </w:pPr>
      <w:rPr>
        <w:rFonts w:ascii="Wingdings 3" w:hAnsi="Wingdings 3" w:hint="default"/>
      </w:rPr>
    </w:lvl>
    <w:lvl w:ilvl="4" w:tplc="7A3CD342" w:tentative="1">
      <w:start w:val="1"/>
      <w:numFmt w:val="bullet"/>
      <w:lvlText w:val=""/>
      <w:lvlJc w:val="left"/>
      <w:pPr>
        <w:tabs>
          <w:tab w:val="num" w:pos="3600"/>
        </w:tabs>
        <w:ind w:left="3600" w:hanging="360"/>
      </w:pPr>
      <w:rPr>
        <w:rFonts w:ascii="Wingdings 3" w:hAnsi="Wingdings 3" w:hint="default"/>
      </w:rPr>
    </w:lvl>
    <w:lvl w:ilvl="5" w:tplc="26DAC3D6" w:tentative="1">
      <w:start w:val="1"/>
      <w:numFmt w:val="bullet"/>
      <w:lvlText w:val=""/>
      <w:lvlJc w:val="left"/>
      <w:pPr>
        <w:tabs>
          <w:tab w:val="num" w:pos="4320"/>
        </w:tabs>
        <w:ind w:left="4320" w:hanging="360"/>
      </w:pPr>
      <w:rPr>
        <w:rFonts w:ascii="Wingdings 3" w:hAnsi="Wingdings 3" w:hint="default"/>
      </w:rPr>
    </w:lvl>
    <w:lvl w:ilvl="6" w:tplc="6A64EFA0" w:tentative="1">
      <w:start w:val="1"/>
      <w:numFmt w:val="bullet"/>
      <w:lvlText w:val=""/>
      <w:lvlJc w:val="left"/>
      <w:pPr>
        <w:tabs>
          <w:tab w:val="num" w:pos="5040"/>
        </w:tabs>
        <w:ind w:left="5040" w:hanging="360"/>
      </w:pPr>
      <w:rPr>
        <w:rFonts w:ascii="Wingdings 3" w:hAnsi="Wingdings 3" w:hint="default"/>
      </w:rPr>
    </w:lvl>
    <w:lvl w:ilvl="7" w:tplc="525ADA1A" w:tentative="1">
      <w:start w:val="1"/>
      <w:numFmt w:val="bullet"/>
      <w:lvlText w:val=""/>
      <w:lvlJc w:val="left"/>
      <w:pPr>
        <w:tabs>
          <w:tab w:val="num" w:pos="5760"/>
        </w:tabs>
        <w:ind w:left="5760" w:hanging="360"/>
      </w:pPr>
      <w:rPr>
        <w:rFonts w:ascii="Wingdings 3" w:hAnsi="Wingdings 3" w:hint="default"/>
      </w:rPr>
    </w:lvl>
    <w:lvl w:ilvl="8" w:tplc="C140596E" w:tentative="1">
      <w:start w:val="1"/>
      <w:numFmt w:val="bullet"/>
      <w:lvlText w:val=""/>
      <w:lvlJc w:val="left"/>
      <w:pPr>
        <w:tabs>
          <w:tab w:val="num" w:pos="6480"/>
        </w:tabs>
        <w:ind w:left="6480" w:hanging="360"/>
      </w:pPr>
      <w:rPr>
        <w:rFonts w:ascii="Wingdings 3" w:hAnsi="Wingdings 3"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657"/>
    <w:rsid w:val="00035473"/>
    <w:rsid w:val="00071ABE"/>
    <w:rsid w:val="00082980"/>
    <w:rsid w:val="00097EDA"/>
    <w:rsid w:val="000C6B81"/>
    <w:rsid w:val="000E2F9F"/>
    <w:rsid w:val="0013014E"/>
    <w:rsid w:val="001341C5"/>
    <w:rsid w:val="0013664B"/>
    <w:rsid w:val="00166F5D"/>
    <w:rsid w:val="0018215D"/>
    <w:rsid w:val="0018310E"/>
    <w:rsid w:val="001C52B0"/>
    <w:rsid w:val="001E4C13"/>
    <w:rsid w:val="001F6B16"/>
    <w:rsid w:val="00252F13"/>
    <w:rsid w:val="00284486"/>
    <w:rsid w:val="002B794B"/>
    <w:rsid w:val="002D4B98"/>
    <w:rsid w:val="002F0F80"/>
    <w:rsid w:val="00304673"/>
    <w:rsid w:val="0032379F"/>
    <w:rsid w:val="003529A8"/>
    <w:rsid w:val="0039226E"/>
    <w:rsid w:val="003F01DB"/>
    <w:rsid w:val="003F2810"/>
    <w:rsid w:val="003F286B"/>
    <w:rsid w:val="00421DF2"/>
    <w:rsid w:val="00441848"/>
    <w:rsid w:val="004606B3"/>
    <w:rsid w:val="00472771"/>
    <w:rsid w:val="00485950"/>
    <w:rsid w:val="004B3231"/>
    <w:rsid w:val="00510EA2"/>
    <w:rsid w:val="005137C9"/>
    <w:rsid w:val="00531706"/>
    <w:rsid w:val="0055391E"/>
    <w:rsid w:val="00561EF2"/>
    <w:rsid w:val="00585582"/>
    <w:rsid w:val="005941B3"/>
    <w:rsid w:val="005B123B"/>
    <w:rsid w:val="005B5750"/>
    <w:rsid w:val="005B5B55"/>
    <w:rsid w:val="005E47F4"/>
    <w:rsid w:val="00607310"/>
    <w:rsid w:val="00607D09"/>
    <w:rsid w:val="00636F94"/>
    <w:rsid w:val="00660BC4"/>
    <w:rsid w:val="00664211"/>
    <w:rsid w:val="00677F02"/>
    <w:rsid w:val="006A3B44"/>
    <w:rsid w:val="006A40B9"/>
    <w:rsid w:val="006A770B"/>
    <w:rsid w:val="006E37ED"/>
    <w:rsid w:val="0073619F"/>
    <w:rsid w:val="00737429"/>
    <w:rsid w:val="00777E49"/>
    <w:rsid w:val="00792C7C"/>
    <w:rsid w:val="007A762F"/>
    <w:rsid w:val="007B1171"/>
    <w:rsid w:val="007C0326"/>
    <w:rsid w:val="007D624F"/>
    <w:rsid w:val="008055C1"/>
    <w:rsid w:val="00821DA9"/>
    <w:rsid w:val="00852D24"/>
    <w:rsid w:val="00883727"/>
    <w:rsid w:val="008C2612"/>
    <w:rsid w:val="00943068"/>
    <w:rsid w:val="00945578"/>
    <w:rsid w:val="009D3D8F"/>
    <w:rsid w:val="009F3325"/>
    <w:rsid w:val="009F4C88"/>
    <w:rsid w:val="00A346ED"/>
    <w:rsid w:val="00A42657"/>
    <w:rsid w:val="00A65CBB"/>
    <w:rsid w:val="00A72152"/>
    <w:rsid w:val="00A96402"/>
    <w:rsid w:val="00AA251B"/>
    <w:rsid w:val="00AC01AD"/>
    <w:rsid w:val="00AE2998"/>
    <w:rsid w:val="00AE398E"/>
    <w:rsid w:val="00B063FD"/>
    <w:rsid w:val="00B1166C"/>
    <w:rsid w:val="00B14B92"/>
    <w:rsid w:val="00B9556D"/>
    <w:rsid w:val="00BE3EB4"/>
    <w:rsid w:val="00C03C58"/>
    <w:rsid w:val="00C21752"/>
    <w:rsid w:val="00C52B77"/>
    <w:rsid w:val="00C54903"/>
    <w:rsid w:val="00C5796F"/>
    <w:rsid w:val="00C6120A"/>
    <w:rsid w:val="00C830C6"/>
    <w:rsid w:val="00CC20EE"/>
    <w:rsid w:val="00D02110"/>
    <w:rsid w:val="00D103E0"/>
    <w:rsid w:val="00D569C3"/>
    <w:rsid w:val="00D63702"/>
    <w:rsid w:val="00D72A7B"/>
    <w:rsid w:val="00DA3CEB"/>
    <w:rsid w:val="00DB6DD6"/>
    <w:rsid w:val="00E04B92"/>
    <w:rsid w:val="00E20808"/>
    <w:rsid w:val="00E55D5E"/>
    <w:rsid w:val="00E801DA"/>
    <w:rsid w:val="00F322F8"/>
    <w:rsid w:val="00F36540"/>
    <w:rsid w:val="00F44A8F"/>
    <w:rsid w:val="00F53D6C"/>
    <w:rsid w:val="00F54D55"/>
    <w:rsid w:val="00F8182C"/>
    <w:rsid w:val="00F81AB4"/>
    <w:rsid w:val="00FB7DD1"/>
    <w:rsid w:val="00FE5D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6CDC20"/>
  <w15:chartTrackingRefBased/>
  <w15:docId w15:val="{02E5E694-DCF0-49EC-BA00-D58AE665B3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607D0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426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2657"/>
  </w:style>
  <w:style w:type="paragraph" w:styleId="Footer">
    <w:name w:val="footer"/>
    <w:basedOn w:val="Normal"/>
    <w:link w:val="FooterChar"/>
    <w:uiPriority w:val="99"/>
    <w:unhideWhenUsed/>
    <w:rsid w:val="00A426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2657"/>
  </w:style>
  <w:style w:type="paragraph" w:styleId="NormalWeb">
    <w:name w:val="Normal (Web)"/>
    <w:basedOn w:val="Normal"/>
    <w:uiPriority w:val="99"/>
    <w:unhideWhenUsed/>
    <w:rsid w:val="00D569C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607D09"/>
    <w:rPr>
      <w:rFonts w:ascii="Times New Roman" w:eastAsia="Times New Roman" w:hAnsi="Times New Roman" w:cs="Times New Roman"/>
      <w:b/>
      <w:bCs/>
      <w:sz w:val="36"/>
      <w:szCs w:val="36"/>
      <w:lang w:eastAsia="en-GB"/>
    </w:rPr>
  </w:style>
  <w:style w:type="character" w:customStyle="1" w:styleId="genename">
    <w:name w:val="gene_name"/>
    <w:basedOn w:val="DefaultParagraphFont"/>
    <w:rsid w:val="00607D09"/>
  </w:style>
  <w:style w:type="character" w:customStyle="1" w:styleId="subheader">
    <w:name w:val="subheader"/>
    <w:basedOn w:val="DefaultParagraphFont"/>
    <w:rsid w:val="00607D09"/>
  </w:style>
  <w:style w:type="character" w:styleId="Emphasis">
    <w:name w:val="Emphasis"/>
    <w:basedOn w:val="DefaultParagraphFont"/>
    <w:uiPriority w:val="20"/>
    <w:qFormat/>
    <w:rsid w:val="00607D09"/>
    <w:rPr>
      <w:i/>
      <w:iCs/>
    </w:rPr>
  </w:style>
  <w:style w:type="character" w:styleId="Hyperlink">
    <w:name w:val="Hyperlink"/>
    <w:basedOn w:val="DefaultParagraphFont"/>
    <w:uiPriority w:val="99"/>
    <w:unhideWhenUsed/>
    <w:rsid w:val="00664211"/>
    <w:rPr>
      <w:color w:val="0563C1" w:themeColor="hyperlink"/>
      <w:u w:val="single"/>
    </w:rPr>
  </w:style>
  <w:style w:type="character" w:styleId="UnresolvedMention">
    <w:name w:val="Unresolved Mention"/>
    <w:basedOn w:val="DefaultParagraphFont"/>
    <w:uiPriority w:val="99"/>
    <w:semiHidden/>
    <w:unhideWhenUsed/>
    <w:rsid w:val="006642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3715312">
      <w:bodyDiv w:val="1"/>
      <w:marLeft w:val="0"/>
      <w:marRight w:val="0"/>
      <w:marTop w:val="0"/>
      <w:marBottom w:val="0"/>
      <w:divBdr>
        <w:top w:val="none" w:sz="0" w:space="0" w:color="auto"/>
        <w:left w:val="none" w:sz="0" w:space="0" w:color="auto"/>
        <w:bottom w:val="none" w:sz="0" w:space="0" w:color="auto"/>
        <w:right w:val="none" w:sz="0" w:space="0" w:color="auto"/>
      </w:divBdr>
    </w:div>
    <w:div w:id="540243040">
      <w:bodyDiv w:val="1"/>
      <w:marLeft w:val="0"/>
      <w:marRight w:val="0"/>
      <w:marTop w:val="0"/>
      <w:marBottom w:val="0"/>
      <w:divBdr>
        <w:top w:val="none" w:sz="0" w:space="0" w:color="auto"/>
        <w:left w:val="none" w:sz="0" w:space="0" w:color="auto"/>
        <w:bottom w:val="none" w:sz="0" w:space="0" w:color="auto"/>
        <w:right w:val="none" w:sz="0" w:space="0" w:color="auto"/>
      </w:divBdr>
    </w:div>
    <w:div w:id="627442418">
      <w:bodyDiv w:val="1"/>
      <w:marLeft w:val="0"/>
      <w:marRight w:val="0"/>
      <w:marTop w:val="0"/>
      <w:marBottom w:val="0"/>
      <w:divBdr>
        <w:top w:val="none" w:sz="0" w:space="0" w:color="auto"/>
        <w:left w:val="none" w:sz="0" w:space="0" w:color="auto"/>
        <w:bottom w:val="none" w:sz="0" w:space="0" w:color="auto"/>
        <w:right w:val="none" w:sz="0" w:space="0" w:color="auto"/>
      </w:divBdr>
    </w:div>
    <w:div w:id="700936613">
      <w:bodyDiv w:val="1"/>
      <w:marLeft w:val="0"/>
      <w:marRight w:val="0"/>
      <w:marTop w:val="0"/>
      <w:marBottom w:val="0"/>
      <w:divBdr>
        <w:top w:val="none" w:sz="0" w:space="0" w:color="auto"/>
        <w:left w:val="none" w:sz="0" w:space="0" w:color="auto"/>
        <w:bottom w:val="none" w:sz="0" w:space="0" w:color="auto"/>
        <w:right w:val="none" w:sz="0" w:space="0" w:color="auto"/>
      </w:divBdr>
      <w:divsChild>
        <w:div w:id="376274240">
          <w:marLeft w:val="547"/>
          <w:marRight w:val="0"/>
          <w:marTop w:val="140"/>
          <w:marBottom w:val="0"/>
          <w:divBdr>
            <w:top w:val="none" w:sz="0" w:space="0" w:color="auto"/>
            <w:left w:val="none" w:sz="0" w:space="0" w:color="auto"/>
            <w:bottom w:val="none" w:sz="0" w:space="0" w:color="auto"/>
            <w:right w:val="none" w:sz="0" w:space="0" w:color="auto"/>
          </w:divBdr>
        </w:div>
      </w:divsChild>
    </w:div>
    <w:div w:id="1114520221">
      <w:bodyDiv w:val="1"/>
      <w:marLeft w:val="0"/>
      <w:marRight w:val="0"/>
      <w:marTop w:val="0"/>
      <w:marBottom w:val="0"/>
      <w:divBdr>
        <w:top w:val="none" w:sz="0" w:space="0" w:color="auto"/>
        <w:left w:val="none" w:sz="0" w:space="0" w:color="auto"/>
        <w:bottom w:val="none" w:sz="0" w:space="0" w:color="auto"/>
        <w:right w:val="none" w:sz="0" w:space="0" w:color="auto"/>
      </w:divBdr>
    </w:div>
    <w:div w:id="1205828970">
      <w:bodyDiv w:val="1"/>
      <w:marLeft w:val="0"/>
      <w:marRight w:val="0"/>
      <w:marTop w:val="0"/>
      <w:marBottom w:val="0"/>
      <w:divBdr>
        <w:top w:val="none" w:sz="0" w:space="0" w:color="auto"/>
        <w:left w:val="none" w:sz="0" w:space="0" w:color="auto"/>
        <w:bottom w:val="none" w:sz="0" w:space="0" w:color="auto"/>
        <w:right w:val="none" w:sz="0" w:space="0" w:color="auto"/>
      </w:divBdr>
    </w:div>
    <w:div w:id="1486510612">
      <w:bodyDiv w:val="1"/>
      <w:marLeft w:val="0"/>
      <w:marRight w:val="0"/>
      <w:marTop w:val="0"/>
      <w:marBottom w:val="0"/>
      <w:divBdr>
        <w:top w:val="none" w:sz="0" w:space="0" w:color="auto"/>
        <w:left w:val="none" w:sz="0" w:space="0" w:color="auto"/>
        <w:bottom w:val="none" w:sz="0" w:space="0" w:color="auto"/>
        <w:right w:val="none" w:sz="0" w:space="0" w:color="auto"/>
      </w:divBdr>
    </w:div>
    <w:div w:id="1527211128">
      <w:bodyDiv w:val="1"/>
      <w:marLeft w:val="0"/>
      <w:marRight w:val="0"/>
      <w:marTop w:val="0"/>
      <w:marBottom w:val="0"/>
      <w:divBdr>
        <w:top w:val="none" w:sz="0" w:space="0" w:color="auto"/>
        <w:left w:val="none" w:sz="0" w:space="0" w:color="auto"/>
        <w:bottom w:val="none" w:sz="0" w:space="0" w:color="auto"/>
        <w:right w:val="none" w:sz="0" w:space="0" w:color="auto"/>
      </w:divBdr>
      <w:divsChild>
        <w:div w:id="1734428139">
          <w:marLeft w:val="547"/>
          <w:marRight w:val="0"/>
          <w:marTop w:val="140"/>
          <w:marBottom w:val="0"/>
          <w:divBdr>
            <w:top w:val="none" w:sz="0" w:space="0" w:color="auto"/>
            <w:left w:val="none" w:sz="0" w:space="0" w:color="auto"/>
            <w:bottom w:val="none" w:sz="0" w:space="0" w:color="auto"/>
            <w:right w:val="none" w:sz="0" w:space="0" w:color="auto"/>
          </w:divBdr>
        </w:div>
      </w:divsChild>
    </w:div>
    <w:div w:id="1594391831">
      <w:bodyDiv w:val="1"/>
      <w:marLeft w:val="0"/>
      <w:marRight w:val="0"/>
      <w:marTop w:val="0"/>
      <w:marBottom w:val="0"/>
      <w:divBdr>
        <w:top w:val="none" w:sz="0" w:space="0" w:color="auto"/>
        <w:left w:val="none" w:sz="0" w:space="0" w:color="auto"/>
        <w:bottom w:val="none" w:sz="0" w:space="0" w:color="auto"/>
        <w:right w:val="none" w:sz="0" w:space="0" w:color="auto"/>
      </w:divBdr>
    </w:div>
    <w:div w:id="20674086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elensandersonassociates.co.uk/media/43014/outcomefocusedreviews2.pdf"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helensandersonassociates.co.uk/media/43014/outcomefocusedreviews2.pdf" TargetMode="External"/><Relationship Id="rId12" Type="http://schemas.openxmlformats.org/officeDocument/2006/relationships/hyperlink" Target="http://ouleft.org/wp-content/uploads/Vygotsky-Mind-in-Society.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helensandersonassociates.co.uk/"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helensandersonassociates.co.uk/" TargetMode="External"/><Relationship Id="rId4" Type="http://schemas.openxmlformats.org/officeDocument/2006/relationships/webSettings" Target="webSettings.xml"/><Relationship Id="rId9" Type="http://schemas.openxmlformats.org/officeDocument/2006/relationships/hyperlink" Target="http://psychclassics.yorku.ca/Maslow/motivation.ht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TotalTime>
  <Pages>10</Pages>
  <Words>3154</Words>
  <Characters>17978</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Davies</dc:creator>
  <cp:keywords/>
  <dc:description/>
  <cp:lastModifiedBy>Adam Davies</cp:lastModifiedBy>
  <cp:revision>104</cp:revision>
  <dcterms:created xsi:type="dcterms:W3CDTF">2019-05-09T19:05:00Z</dcterms:created>
  <dcterms:modified xsi:type="dcterms:W3CDTF">2019-05-09T20:45:00Z</dcterms:modified>
</cp:coreProperties>
</file>