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315254202"/>
        <w:docPartObj>
          <w:docPartGallery w:val="Cover Pages"/>
          <w:docPartUnique/>
        </w:docPartObj>
      </w:sdtPr>
      <w:sdtContent>
        <w:p w14:paraId="5C0A00D0" w14:textId="7A061774" w:rsidR="00822D53" w:rsidRDefault="00D17115">
          <w:pPr>
            <w:rPr>
              <w:rFonts w:eastAsiaTheme="minorEastAsia"/>
              <w:color w:val="156082" w:themeColor="accent1"/>
              <w:lang w:eastAsia="en-GB"/>
            </w:rPr>
          </w:pPr>
          <w:r>
            <w:rPr>
              <w:rFonts w:eastAsiaTheme="minorEastAsia"/>
              <w:noProof/>
              <w:color w:val="156082" w:themeColor="accent1"/>
              <w:lang w:eastAsia="en-GB"/>
            </w:rPr>
            <mc:AlternateContent>
              <mc:Choice Requires="wps">
                <w:drawing>
                  <wp:anchor distT="0" distB="0" distL="114300" distR="114300" simplePos="0" relativeHeight="251660288" behindDoc="0" locked="0" layoutInCell="1" allowOverlap="1" wp14:anchorId="56BEC223" wp14:editId="1B481530">
                    <wp:simplePos x="0" y="0"/>
                    <wp:positionH relativeFrom="column">
                      <wp:posOffset>-288388</wp:posOffset>
                    </wp:positionH>
                    <wp:positionV relativeFrom="paragraph">
                      <wp:posOffset>562707</wp:posOffset>
                    </wp:positionV>
                    <wp:extent cx="6668086" cy="780757"/>
                    <wp:effectExtent l="0" t="0" r="0" b="635"/>
                    <wp:wrapNone/>
                    <wp:docPr id="1101388687" name="Text Box 1"/>
                    <wp:cNvGraphicFramePr/>
                    <a:graphic xmlns:a="http://schemas.openxmlformats.org/drawingml/2006/main">
                      <a:graphicData uri="http://schemas.microsoft.com/office/word/2010/wordprocessingShape">
                        <wps:wsp>
                          <wps:cNvSpPr txBox="1"/>
                          <wps:spPr>
                            <a:xfrm>
                              <a:off x="0" y="0"/>
                              <a:ext cx="6668086" cy="780757"/>
                            </a:xfrm>
                            <a:prstGeom prst="rect">
                              <a:avLst/>
                            </a:prstGeom>
                            <a:solidFill>
                              <a:schemeClr val="lt1"/>
                            </a:solidFill>
                            <a:ln w="6350">
                              <a:noFill/>
                            </a:ln>
                          </wps:spPr>
                          <wps:txbx>
                            <w:txbxContent>
                              <w:p w14:paraId="40D53B3F" w14:textId="08DBB5E4" w:rsidR="00D17115" w:rsidRPr="00B55B9C" w:rsidRDefault="00D17115" w:rsidP="00B55B9C">
                                <w:pPr>
                                  <w:jc w:val="center"/>
                                  <w:rPr>
                                    <w:color w:val="156082" w:themeColor="accent1"/>
                                    <w:sz w:val="28"/>
                                    <w:szCs w:val="28"/>
                                  </w:rPr>
                                </w:pPr>
                                <w:r w:rsidRPr="00B55B9C">
                                  <w:rPr>
                                    <w:color w:val="156082" w:themeColor="accent1"/>
                                    <w:sz w:val="28"/>
                                    <w:szCs w:val="28"/>
                                  </w:rPr>
                                  <w:t>BA International hotel management</w:t>
                                </w:r>
                              </w:p>
                              <w:p w14:paraId="7540E29B" w14:textId="7654C246" w:rsidR="00C10210" w:rsidRPr="00B55B9C" w:rsidRDefault="00C10210" w:rsidP="00B55B9C">
                                <w:pPr>
                                  <w:jc w:val="center"/>
                                  <w:rPr>
                                    <w:color w:val="0E2841" w:themeColor="text2"/>
                                    <w:sz w:val="18"/>
                                    <w:szCs w:val="18"/>
                                  </w:rPr>
                                </w:pPr>
                                <w:r w:rsidRPr="00B55B9C">
                                  <w:rPr>
                                    <w:color w:val="0E2841" w:themeColor="text2"/>
                                    <w:sz w:val="18"/>
                                    <w:szCs w:val="18"/>
                                  </w:rPr>
                                  <w:t xml:space="preserve">University of </w:t>
                                </w:r>
                                <w:r w:rsidR="00D40307" w:rsidRPr="00B55B9C">
                                  <w:rPr>
                                    <w:color w:val="0E2841" w:themeColor="text2"/>
                                    <w:sz w:val="18"/>
                                    <w:szCs w:val="18"/>
                                  </w:rPr>
                                  <w:t xml:space="preserve">Wales </w:t>
                                </w:r>
                                <w:r w:rsidRPr="00B55B9C">
                                  <w:rPr>
                                    <w:color w:val="0E2841" w:themeColor="text2"/>
                                    <w:sz w:val="18"/>
                                    <w:szCs w:val="18"/>
                                  </w:rPr>
                                  <w:t>Trinity Saint Davit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BEC223" id="_x0000_t202" coordsize="21600,21600" o:spt="202" path="m,l,21600r21600,l21600,xe">
                    <v:stroke joinstyle="miter"/>
                    <v:path gradientshapeok="t" o:connecttype="rect"/>
                  </v:shapetype>
                  <v:shape id="Text Box 1" o:spid="_x0000_s1026" type="#_x0000_t202" style="position:absolute;margin-left:-22.7pt;margin-top:44.3pt;width:525.05pt;height: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" fillcolor="white [3201]" stroked="f" strokeweight=".5pt">
                    <v:textbox>
                      <w:txbxContent>
                        <w:p w14:paraId="40D53B3F" w14:textId="08DBB5E4" w:rsidR="00D17115" w:rsidRPr="00B55B9C" w:rsidRDefault="00D17115" w:rsidP="00B55B9C">
                          <w:pPr>
                            <w:jc w:val="center"/>
                            <w:rPr>
                              <w:color w:val="156082" w:themeColor="accent1"/>
                              <w:sz w:val="28"/>
                              <w:szCs w:val="28"/>
                            </w:rPr>
                          </w:pPr>
                          <w:r w:rsidRPr="00B55B9C">
                            <w:rPr>
                              <w:color w:val="156082" w:themeColor="accent1"/>
                              <w:sz w:val="28"/>
                              <w:szCs w:val="28"/>
                            </w:rPr>
                            <w:t>BA International hotel management</w:t>
                          </w:r>
                        </w:p>
                        <w:p w14:paraId="7540E29B" w14:textId="7654C246" w:rsidR="00C10210" w:rsidRPr="00B55B9C" w:rsidRDefault="00C10210" w:rsidP="00B55B9C">
                          <w:pPr>
                            <w:jc w:val="center"/>
                            <w:rPr>
                              <w:color w:val="0E2841" w:themeColor="text2"/>
                              <w:sz w:val="18"/>
                              <w:szCs w:val="18"/>
                            </w:rPr>
                          </w:pPr>
                          <w:r w:rsidRPr="00B55B9C">
                            <w:rPr>
                              <w:color w:val="0E2841" w:themeColor="text2"/>
                              <w:sz w:val="18"/>
                              <w:szCs w:val="18"/>
                            </w:rPr>
                            <w:t xml:space="preserve">University of </w:t>
                          </w:r>
                          <w:r w:rsidR="00D40307" w:rsidRPr="00B55B9C">
                            <w:rPr>
                              <w:color w:val="0E2841" w:themeColor="text2"/>
                              <w:sz w:val="18"/>
                              <w:szCs w:val="18"/>
                            </w:rPr>
                            <w:t xml:space="preserve">Wales </w:t>
                          </w:r>
                          <w:r w:rsidRPr="00B55B9C">
                            <w:rPr>
                              <w:color w:val="0E2841" w:themeColor="text2"/>
                              <w:sz w:val="18"/>
                              <w:szCs w:val="18"/>
                            </w:rPr>
                            <w:t>Trinity Saint Davit</w:t>
                          </w:r>
                        </w:p>
                      </w:txbxContent>
                    </v:textbox>
                  </v:shape>
                </w:pict>
              </mc:Fallback>
            </mc:AlternateContent>
          </w:r>
          <w:r w:rsidR="00822D53" w:rsidRPr="00822D53">
            <w:rPr>
              <w:rFonts w:eastAsiaTheme="minorEastAsia"/>
              <w:noProof/>
              <w:color w:val="156082" w:themeColor="accent1"/>
              <w:lang w:eastAsia="en-GB"/>
            </w:rPr>
            <mc:AlternateContent>
              <mc:Choice Requires="wps">
                <w:drawing>
                  <wp:anchor distT="0" distB="0" distL="114300" distR="114300" simplePos="0" relativeHeight="251659264" behindDoc="0" locked="0" layoutInCell="1" allowOverlap="1" wp14:anchorId="2C47CB39" wp14:editId="4A557531">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3005"/>
                                </w:tblGrid>
                                <w:tr w:rsidR="00822D53" w14:paraId="6B23C67F" w14:textId="77777777">
                                  <w:trPr>
                                    <w:jc w:val="center"/>
                                  </w:trPr>
                                  <w:tc>
                                    <w:tcPr>
                                      <w:tcW w:w="2568" w:type="pct"/>
                                      <w:vAlign w:val="center"/>
                                    </w:tcPr>
                                    <w:p w14:paraId="319352A8" w14:textId="77777777" w:rsidR="00822D53" w:rsidRDefault="00822D53">
                                      <w:pPr>
                                        <w:jc w:val="right"/>
                                      </w:pPr>
                                      <w:r>
                                        <w:rPr>
                                          <w:noProof/>
                                        </w:rPr>
                                        <w:drawing>
                                          <wp:inline distT="0" distB="0" distL="0" distR="0" wp14:anchorId="743D9275" wp14:editId="7776A673">
                                            <wp:extent cx="3065006" cy="1751179"/>
                                            <wp:effectExtent l="0" t="0" r="2540" b="1905"/>
                                            <wp:docPr id="139" name="Picture 39" descr="A blue pendulum on an orang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A blue pendulum on an orange background"/>
                                                    <pic:cNvPicPr/>
                                                  </pic:nvPicPr>
                                                  <pic:blipFill>
                                                    <a:blip r:embed="rId5">
                                                      <a:extLst>
                                                        <a:ext uri="{28A0092B-C50C-407E-A947-70E740481C1C}">
                                                          <a14:useLocalDpi xmlns:a14="http://schemas.microsoft.com/office/drawing/2010/main" val="0"/>
                                                        </a:ext>
                                                      </a:extLst>
                                                    </a:blip>
                                                    <a:stretch>
                                                      <a:fillRect/>
                                                    </a:stretch>
                                                  </pic:blipFill>
                                                  <pic:spPr>
                                                    <a:xfrm>
                                                      <a:off x="0" y="0"/>
                                                      <a:ext cx="3065006" cy="1751179"/>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D6B239" w14:textId="4A75FA97" w:rsidR="00822D53" w:rsidRDefault="001503DE">
                                          <w:pPr>
                                            <w:pStyle w:val="NoSpacing"/>
                                            <w:spacing w:line="312" w:lineRule="auto"/>
                                            <w:jc w:val="right"/>
                                            <w:rPr>
                                              <w:caps/>
                                              <w:color w:val="191919" w:themeColor="text1" w:themeTint="E6"/>
                                              <w:sz w:val="72"/>
                                              <w:szCs w:val="72"/>
                                            </w:rPr>
                                          </w:pPr>
                                          <w:r w:rsidRPr="005B30AA">
                                            <w:rPr>
                                              <w:caps/>
                                              <w:color w:val="191919" w:themeColor="text1" w:themeTint="E6"/>
                                              <w:sz w:val="44"/>
                                              <w:szCs w:val="44"/>
                                            </w:rPr>
                                            <w:t>Critical evaluat</w:t>
                                          </w:r>
                                          <w:r w:rsidR="00080989">
                                            <w:rPr>
                                              <w:caps/>
                                              <w:color w:val="191919" w:themeColor="text1" w:themeTint="E6"/>
                                              <w:sz w:val="44"/>
                                              <w:szCs w:val="44"/>
                                            </w:rPr>
                                            <w:t>ion of</w:t>
                                          </w:r>
                                          <w:r w:rsidRPr="005B30AA">
                                            <w:rPr>
                                              <w:caps/>
                                              <w:color w:val="191919" w:themeColor="text1" w:themeTint="E6"/>
                                              <w:sz w:val="44"/>
                                              <w:szCs w:val="44"/>
                                            </w:rPr>
                                            <w:t xml:space="preserve"> diferent aproaches to leadership and thei</w:t>
                                          </w:r>
                                          <w:r w:rsidR="00E91B1B">
                                            <w:rPr>
                                              <w:caps/>
                                              <w:color w:val="191919" w:themeColor="text1" w:themeTint="E6"/>
                                              <w:sz w:val="44"/>
                                              <w:szCs w:val="44"/>
                                            </w:rPr>
                                            <w:t>r</w:t>
                                          </w:r>
                                          <w:r w:rsidRPr="005B30AA">
                                            <w:rPr>
                                              <w:caps/>
                                              <w:color w:val="191919" w:themeColor="text1" w:themeTint="E6"/>
                                              <w:sz w:val="44"/>
                                              <w:szCs w:val="44"/>
                                            </w:rPr>
                                            <w:t xml:space="preserve"> effectiveness w</w:t>
                                          </w:r>
                                          <w:r w:rsidR="005B30AA" w:rsidRPr="005B30AA">
                                            <w:rPr>
                                              <w:caps/>
                                              <w:color w:val="191919" w:themeColor="text1" w:themeTint="E6"/>
                                              <w:sz w:val="44"/>
                                              <w:szCs w:val="44"/>
                                            </w:rPr>
                                            <w:t>ithin the hotel industry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6802193" w14:textId="62EAFF56" w:rsidR="00822D53" w:rsidRDefault="00910915">
                                          <w:pPr>
                                            <w:jc w:val="right"/>
                                            <w:rPr>
                                              <w:sz w:val="24"/>
                                              <w:szCs w:val="24"/>
                                            </w:rPr>
                                          </w:pPr>
                                          <w:r>
                                            <w:rPr>
                                              <w:color w:val="000000" w:themeColor="text1"/>
                                              <w:sz w:val="24"/>
                                              <w:szCs w:val="24"/>
                                            </w:rPr>
                                            <w:t>Assignment 1 - Essay</w:t>
                                          </w:r>
                                        </w:p>
                                      </w:sdtContent>
                                    </w:sdt>
                                  </w:tc>
                                  <w:tc>
                                    <w:tcPr>
                                      <w:tcW w:w="2432" w:type="pct"/>
                                      <w:vAlign w:val="center"/>
                                    </w:tcPr>
                                    <w:p w14:paraId="2C9501C2" w14:textId="59B0C5A6" w:rsidR="00822D53" w:rsidRPr="00D17115" w:rsidRDefault="00910915">
                                      <w:pPr>
                                        <w:pStyle w:val="NoSpacing"/>
                                        <w:rPr>
                                          <w:caps/>
                                          <w:color w:val="E97132" w:themeColor="accent2"/>
                                          <w:sz w:val="40"/>
                                          <w:szCs w:val="40"/>
                                        </w:rPr>
                                      </w:pPr>
                                      <w:r w:rsidRPr="00D17115">
                                        <w:rPr>
                                          <w:caps/>
                                          <w:color w:val="E97132" w:themeColor="accent2"/>
                                          <w:sz w:val="40"/>
                                          <w:szCs w:val="40"/>
                                        </w:rPr>
                                        <w:t>MElania Kolozsi 22</w:t>
                                      </w:r>
                                      <w:r w:rsidR="00D17115" w:rsidRPr="00D17115">
                                        <w:rPr>
                                          <w:caps/>
                                          <w:color w:val="E97132" w:themeColor="accent2"/>
                                          <w:sz w:val="40"/>
                                          <w:szCs w:val="40"/>
                                        </w:rPr>
                                        <w:t>06485</w:t>
                                      </w:r>
                                    </w:p>
                                    <w:p w14:paraId="6B7144F8" w14:textId="1A410FD0" w:rsidR="00822D53" w:rsidRDefault="00822D53">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36FC199" w14:textId="0D85DC05" w:rsidR="00822D53" w:rsidRDefault="00822D53">
                                          <w:pPr>
                                            <w:pStyle w:val="NoSpacing"/>
                                            <w:rPr>
                                              <w:color w:val="E97132" w:themeColor="accent2"/>
                                              <w:sz w:val="26"/>
                                              <w:szCs w:val="26"/>
                                            </w:rPr>
                                          </w:pPr>
                                          <w:r>
                                            <w:rPr>
                                              <w:color w:val="E97132" w:themeColor="accent2"/>
                                              <w:sz w:val="26"/>
                                              <w:szCs w:val="26"/>
                                            </w:rPr>
                                            <w:t xml:space="preserve">   </w:t>
                                          </w:r>
                                        </w:p>
                                      </w:sdtContent>
                                    </w:sdt>
                                    <w:p w14:paraId="2162ECD1" w14:textId="719C7DE8" w:rsidR="00822D53" w:rsidRDefault="00000000">
                                      <w:pPr>
                                        <w:pStyle w:val="NoSpacing"/>
                                      </w:pPr>
                                      <w:sdt>
                                        <w:sdtPr>
                                          <w:rPr>
                                            <w:color w:val="0E2841"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B22CA">
                                            <w:rPr>
                                              <w:color w:val="0E2841" w:themeColor="text2"/>
                                              <w:sz w:val="36"/>
                                              <w:szCs w:val="36"/>
                                            </w:rPr>
                                            <w:t>Management and Organisational behaviour BMIH5004                                      Lecturer: Julia Ault</w:t>
                                          </w:r>
                                        </w:sdtContent>
                                      </w:sdt>
                                    </w:p>
                                  </w:tc>
                                </w:tr>
                              </w:tbl>
                              <w:p w14:paraId="5682D54B" w14:textId="68B18BA2" w:rsidR="00822D53" w:rsidRDefault="00B55B9C" w:rsidP="00E223FD">
                                <w:pPr>
                                  <w:jc w:val="center"/>
                                </w:pPr>
                                <w:r>
                                  <w:t>Word</w:t>
                                </w:r>
                                <w:r w:rsidR="00E223FD">
                                  <w:t>s</w:t>
                                </w:r>
                                <w:r>
                                  <w:t>: 19</w:t>
                                </w:r>
                                <w:r w:rsidR="00446D60">
                                  <w:t>36</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2C47CB39" id="Text Box 40"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3005"/>
                          </w:tblGrid>
                          <w:tr w:rsidR="00822D53" w14:paraId="6B23C67F" w14:textId="77777777">
                            <w:trPr>
                              <w:jc w:val="center"/>
                            </w:trPr>
                            <w:tc>
                              <w:tcPr>
                                <w:tcW w:w="2568" w:type="pct"/>
                                <w:vAlign w:val="center"/>
                              </w:tcPr>
                              <w:p w14:paraId="319352A8" w14:textId="77777777" w:rsidR="00822D53" w:rsidRDefault="00822D53">
                                <w:pPr>
                                  <w:jc w:val="right"/>
                                </w:pPr>
                                <w:r>
                                  <w:rPr>
                                    <w:noProof/>
                                  </w:rPr>
                                  <w:drawing>
                                    <wp:inline distT="0" distB="0" distL="0" distR="0" wp14:anchorId="743D9275" wp14:editId="7776A673">
                                      <wp:extent cx="3065006" cy="1751179"/>
                                      <wp:effectExtent l="0" t="0" r="2540" b="1905"/>
                                      <wp:docPr id="139" name="Picture 39" descr="A blue pendulum on an orang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A blue pendulum on an orange background"/>
                                              <pic:cNvPicPr/>
                                            </pic:nvPicPr>
                                            <pic:blipFill>
                                              <a:blip r:embed="rId5">
                                                <a:extLst>
                                                  <a:ext uri="{28A0092B-C50C-407E-A947-70E740481C1C}">
                                                    <a14:useLocalDpi xmlns:a14="http://schemas.microsoft.com/office/drawing/2010/main" val="0"/>
                                                  </a:ext>
                                                </a:extLst>
                                              </a:blip>
                                              <a:stretch>
                                                <a:fillRect/>
                                              </a:stretch>
                                            </pic:blipFill>
                                            <pic:spPr>
                                              <a:xfrm>
                                                <a:off x="0" y="0"/>
                                                <a:ext cx="3065006" cy="1751179"/>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D6B239" w14:textId="4A75FA97" w:rsidR="00822D53" w:rsidRDefault="001503DE">
                                    <w:pPr>
                                      <w:pStyle w:val="NoSpacing"/>
                                      <w:spacing w:line="312" w:lineRule="auto"/>
                                      <w:jc w:val="right"/>
                                      <w:rPr>
                                        <w:caps/>
                                        <w:color w:val="191919" w:themeColor="text1" w:themeTint="E6"/>
                                        <w:sz w:val="72"/>
                                        <w:szCs w:val="72"/>
                                      </w:rPr>
                                    </w:pPr>
                                    <w:r w:rsidRPr="005B30AA">
                                      <w:rPr>
                                        <w:caps/>
                                        <w:color w:val="191919" w:themeColor="text1" w:themeTint="E6"/>
                                        <w:sz w:val="44"/>
                                        <w:szCs w:val="44"/>
                                      </w:rPr>
                                      <w:t>Critical evaluat</w:t>
                                    </w:r>
                                    <w:r w:rsidR="00080989">
                                      <w:rPr>
                                        <w:caps/>
                                        <w:color w:val="191919" w:themeColor="text1" w:themeTint="E6"/>
                                        <w:sz w:val="44"/>
                                        <w:szCs w:val="44"/>
                                      </w:rPr>
                                      <w:t>ion of</w:t>
                                    </w:r>
                                    <w:r w:rsidRPr="005B30AA">
                                      <w:rPr>
                                        <w:caps/>
                                        <w:color w:val="191919" w:themeColor="text1" w:themeTint="E6"/>
                                        <w:sz w:val="44"/>
                                        <w:szCs w:val="44"/>
                                      </w:rPr>
                                      <w:t xml:space="preserve"> diferent aproaches to leadership and thei</w:t>
                                    </w:r>
                                    <w:r w:rsidR="00E91B1B">
                                      <w:rPr>
                                        <w:caps/>
                                        <w:color w:val="191919" w:themeColor="text1" w:themeTint="E6"/>
                                        <w:sz w:val="44"/>
                                        <w:szCs w:val="44"/>
                                      </w:rPr>
                                      <w:t>r</w:t>
                                    </w:r>
                                    <w:r w:rsidRPr="005B30AA">
                                      <w:rPr>
                                        <w:caps/>
                                        <w:color w:val="191919" w:themeColor="text1" w:themeTint="E6"/>
                                        <w:sz w:val="44"/>
                                        <w:szCs w:val="44"/>
                                      </w:rPr>
                                      <w:t xml:space="preserve"> effectiveness w</w:t>
                                    </w:r>
                                    <w:r w:rsidR="005B30AA" w:rsidRPr="005B30AA">
                                      <w:rPr>
                                        <w:caps/>
                                        <w:color w:val="191919" w:themeColor="text1" w:themeTint="E6"/>
                                        <w:sz w:val="44"/>
                                        <w:szCs w:val="44"/>
                                      </w:rPr>
                                      <w:t>ithin the hotel industry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6802193" w14:textId="62EAFF56" w:rsidR="00822D53" w:rsidRDefault="00910915">
                                    <w:pPr>
                                      <w:jc w:val="right"/>
                                      <w:rPr>
                                        <w:sz w:val="24"/>
                                        <w:szCs w:val="24"/>
                                      </w:rPr>
                                    </w:pPr>
                                    <w:r>
                                      <w:rPr>
                                        <w:color w:val="000000" w:themeColor="text1"/>
                                        <w:sz w:val="24"/>
                                        <w:szCs w:val="24"/>
                                      </w:rPr>
                                      <w:t>Assignment 1 - Essay</w:t>
                                    </w:r>
                                  </w:p>
                                </w:sdtContent>
                              </w:sdt>
                            </w:tc>
                            <w:tc>
                              <w:tcPr>
                                <w:tcW w:w="2432" w:type="pct"/>
                                <w:vAlign w:val="center"/>
                              </w:tcPr>
                              <w:p w14:paraId="2C9501C2" w14:textId="59B0C5A6" w:rsidR="00822D53" w:rsidRPr="00D17115" w:rsidRDefault="00910915">
                                <w:pPr>
                                  <w:pStyle w:val="NoSpacing"/>
                                  <w:rPr>
                                    <w:caps/>
                                    <w:color w:val="E97132" w:themeColor="accent2"/>
                                    <w:sz w:val="40"/>
                                    <w:szCs w:val="40"/>
                                  </w:rPr>
                                </w:pPr>
                                <w:r w:rsidRPr="00D17115">
                                  <w:rPr>
                                    <w:caps/>
                                    <w:color w:val="E97132" w:themeColor="accent2"/>
                                    <w:sz w:val="40"/>
                                    <w:szCs w:val="40"/>
                                  </w:rPr>
                                  <w:t>MElania Kolozsi 22</w:t>
                                </w:r>
                                <w:r w:rsidR="00D17115" w:rsidRPr="00D17115">
                                  <w:rPr>
                                    <w:caps/>
                                    <w:color w:val="E97132" w:themeColor="accent2"/>
                                    <w:sz w:val="40"/>
                                    <w:szCs w:val="40"/>
                                  </w:rPr>
                                  <w:t>06485</w:t>
                                </w:r>
                              </w:p>
                              <w:p w14:paraId="6B7144F8" w14:textId="1A410FD0" w:rsidR="00822D53" w:rsidRDefault="00822D53">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36FC199" w14:textId="0D85DC05" w:rsidR="00822D53" w:rsidRDefault="00822D53">
                                    <w:pPr>
                                      <w:pStyle w:val="NoSpacing"/>
                                      <w:rPr>
                                        <w:color w:val="E97132" w:themeColor="accent2"/>
                                        <w:sz w:val="26"/>
                                        <w:szCs w:val="26"/>
                                      </w:rPr>
                                    </w:pPr>
                                    <w:r>
                                      <w:rPr>
                                        <w:color w:val="E97132" w:themeColor="accent2"/>
                                        <w:sz w:val="26"/>
                                        <w:szCs w:val="26"/>
                                      </w:rPr>
                                      <w:t xml:space="preserve">   </w:t>
                                    </w:r>
                                  </w:p>
                                </w:sdtContent>
                              </w:sdt>
                              <w:p w14:paraId="2162ECD1" w14:textId="719C7DE8" w:rsidR="00822D53" w:rsidRDefault="00000000">
                                <w:pPr>
                                  <w:pStyle w:val="NoSpacing"/>
                                </w:pPr>
                                <w:sdt>
                                  <w:sdtPr>
                                    <w:rPr>
                                      <w:color w:val="0E2841"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B22CA">
                                      <w:rPr>
                                        <w:color w:val="0E2841" w:themeColor="text2"/>
                                        <w:sz w:val="36"/>
                                        <w:szCs w:val="36"/>
                                      </w:rPr>
                                      <w:t>Management and Organisational behaviour BMIH5004                                      Lecturer: Julia Ault</w:t>
                                    </w:r>
                                  </w:sdtContent>
                                </w:sdt>
                              </w:p>
                            </w:tc>
                          </w:tr>
                        </w:tbl>
                        <w:p w14:paraId="5682D54B" w14:textId="68B18BA2" w:rsidR="00822D53" w:rsidRDefault="00B55B9C" w:rsidP="00E223FD">
                          <w:pPr>
                            <w:jc w:val="center"/>
                          </w:pPr>
                          <w:r>
                            <w:t>Word</w:t>
                          </w:r>
                          <w:r w:rsidR="00E223FD">
                            <w:t>s</w:t>
                          </w:r>
                          <w:r>
                            <w:t>: 19</w:t>
                          </w:r>
                          <w:r w:rsidR="00446D60">
                            <w:t>36</w:t>
                          </w:r>
                        </w:p>
                      </w:txbxContent>
                    </v:textbox>
                    <w10:wrap anchorx="page" anchory="page"/>
                  </v:shape>
                </w:pict>
              </mc:Fallback>
            </mc:AlternateContent>
          </w:r>
          <w:r w:rsidR="00822D53">
            <w:rPr>
              <w:color w:val="156082" w:themeColor="accent1"/>
            </w:rPr>
            <w:br w:type="page"/>
          </w:r>
        </w:p>
      </w:sdtContent>
    </w:sdt>
    <w:p w14:paraId="4FCFB27D" w14:textId="77777777" w:rsidR="00107F5B" w:rsidRPr="00822D53" w:rsidRDefault="00107F5B" w:rsidP="00822D53">
      <w:pPr>
        <w:pStyle w:val="NoSpacing"/>
        <w:spacing w:before="1540" w:after="240"/>
        <w:rPr>
          <w:color w:val="156082" w:themeColor="accent1"/>
        </w:rPr>
      </w:pPr>
    </w:p>
    <w:p w14:paraId="1F75E798" w14:textId="3C6B93AC" w:rsidR="00D44605" w:rsidRPr="00E91B1B" w:rsidRDefault="00107F5B" w:rsidP="00107F5B">
      <w:pPr>
        <w:pStyle w:val="Title"/>
        <w:jc w:val="center"/>
        <w:rPr>
          <w:rFonts w:ascii="Arial" w:hAnsi="Arial" w:cs="Arial"/>
          <w:sz w:val="36"/>
          <w:szCs w:val="36"/>
        </w:rPr>
      </w:pPr>
      <w:r w:rsidRPr="00E91B1B">
        <w:rPr>
          <w:rFonts w:ascii="Arial" w:hAnsi="Arial" w:cs="Arial"/>
          <w:sz w:val="36"/>
          <w:szCs w:val="36"/>
        </w:rPr>
        <w:t>Critical evalua</w:t>
      </w:r>
      <w:r w:rsidR="00757136">
        <w:rPr>
          <w:rFonts w:ascii="Arial" w:hAnsi="Arial" w:cs="Arial"/>
          <w:sz w:val="36"/>
          <w:szCs w:val="36"/>
        </w:rPr>
        <w:t>tion of</w:t>
      </w:r>
      <w:r w:rsidRPr="00E91B1B">
        <w:rPr>
          <w:rFonts w:ascii="Arial" w:hAnsi="Arial" w:cs="Arial"/>
          <w:sz w:val="36"/>
          <w:szCs w:val="36"/>
        </w:rPr>
        <w:t xml:space="preserve"> the different approaches to leadership and their effectiveness within the Hotel Industry</w:t>
      </w:r>
    </w:p>
    <w:p w14:paraId="3EFD854E" w14:textId="77777777" w:rsidR="00107F5B" w:rsidRDefault="00107F5B" w:rsidP="00107F5B">
      <w:pPr>
        <w:rPr>
          <w:rFonts w:ascii="Arial" w:hAnsi="Arial" w:cs="Arial"/>
        </w:rPr>
      </w:pPr>
    </w:p>
    <w:p w14:paraId="66234A52" w14:textId="77777777" w:rsidR="00757136" w:rsidRPr="00107F5B" w:rsidRDefault="00757136" w:rsidP="00107F5B">
      <w:pPr>
        <w:rPr>
          <w:rFonts w:ascii="Arial" w:hAnsi="Arial" w:cs="Arial"/>
        </w:rPr>
      </w:pPr>
    </w:p>
    <w:p w14:paraId="73EE910D" w14:textId="0C21DDA1" w:rsidR="00107F5B" w:rsidRPr="00E223FD" w:rsidRDefault="00107F5B" w:rsidP="00107F5B">
      <w:pPr>
        <w:spacing w:line="480" w:lineRule="auto"/>
        <w:jc w:val="both"/>
        <w:rPr>
          <w:rFonts w:ascii="Arial" w:hAnsi="Arial" w:cs="Arial"/>
          <w:sz w:val="32"/>
          <w:szCs w:val="32"/>
        </w:rPr>
      </w:pPr>
    </w:p>
    <w:p w14:paraId="1DC23B59" w14:textId="501A2839" w:rsidR="00107F5B" w:rsidRDefault="00BC5DDF" w:rsidP="00107F5B">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hotel industry is a diverse and ever-changing sector in which good leadership drives customer experience and operational success. Hospitality executives shape the industry, and the ultimate consequence is visible in the visitor experience and employee retention (EHL Insights 2023).To gain a better understanding, this paper will evaluate various leadership methodologies, such as Adair's Action-</w:t>
      </w:r>
      <w:r w:rsidR="00756108">
        <w:rPr>
          <w:rFonts w:ascii="Arial" w:eastAsia="Times New Roman" w:hAnsi="Arial" w:cs="Arial"/>
          <w:sz w:val="24"/>
          <w:szCs w:val="24"/>
          <w:lang w:eastAsia="en-GB"/>
        </w:rPr>
        <w:t>Centred</w:t>
      </w:r>
      <w:r>
        <w:rPr>
          <w:rFonts w:ascii="Arial" w:eastAsia="Times New Roman" w:hAnsi="Arial" w:cs="Arial"/>
          <w:sz w:val="24"/>
          <w:szCs w:val="24"/>
          <w:lang w:eastAsia="en-GB"/>
        </w:rPr>
        <w:t xml:space="preserve"> Leadership (Aidar, 2018), Blake and Mouton's Managerial Grid, and McGregor's Theory X and Y, which provide a comprehensive framework for examining leadership efficacy in this specific setting. By evaluating these models and conducting critical analysis, we hope to discover their particular benefits and shortcomings, as well as establish a link between their actual application and the challenges of the hospitality industry. Investigate managerial approaches that are appropriate for the industry, supported by real examples from actual hospitality organisations that put these theories into practice. </w:t>
      </w:r>
    </w:p>
    <w:p w14:paraId="2726AD83" w14:textId="77777777" w:rsidR="00107F5B" w:rsidRDefault="00107F5B" w:rsidP="00107F5B">
      <w:pPr>
        <w:spacing w:after="0" w:line="480" w:lineRule="auto"/>
        <w:jc w:val="both"/>
        <w:rPr>
          <w:rFonts w:ascii="Arial" w:eastAsia="Times New Roman" w:hAnsi="Arial" w:cs="Arial"/>
          <w:sz w:val="24"/>
          <w:szCs w:val="24"/>
          <w:lang w:eastAsia="en-GB"/>
        </w:rPr>
      </w:pPr>
    </w:p>
    <w:p w14:paraId="260F13F6" w14:textId="60A0E6D1" w:rsidR="00107F5B" w:rsidRPr="00B04AA5" w:rsidRDefault="00107F5B" w:rsidP="00107F5B">
      <w:pPr>
        <w:spacing w:after="0" w:line="480" w:lineRule="auto"/>
        <w:jc w:val="both"/>
        <w:rPr>
          <w:rFonts w:ascii="Arial" w:eastAsia="Times New Roman" w:hAnsi="Arial" w:cs="Arial"/>
          <w:sz w:val="32"/>
          <w:szCs w:val="32"/>
          <w:lang w:eastAsia="en-GB"/>
        </w:rPr>
      </w:pPr>
    </w:p>
    <w:p w14:paraId="5D90420E" w14:textId="77777777" w:rsidR="00E55491" w:rsidRDefault="00E55491" w:rsidP="00107F5B">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Shaping organisational culture creates not just a sustainable industry but also accommodates the new generation's alter ego, where all decisions are carefully planned in order to generate the full potential of employees and services in the hospitality industry (McKinsey’s office, 2024). To better understand the importance of </w:t>
      </w:r>
      <w:r>
        <w:rPr>
          <w:rFonts w:ascii="Arial" w:eastAsia="Times New Roman" w:hAnsi="Arial" w:cs="Arial"/>
          <w:sz w:val="24"/>
          <w:szCs w:val="24"/>
          <w:lang w:eastAsia="en-GB"/>
        </w:rPr>
        <w:lastRenderedPageBreak/>
        <w:t>leadership in decision-making in order to drive a hospitality business to its full potential and constantly looking for new markets to explore, it is important to look into the leadership methodologies.</w:t>
      </w:r>
    </w:p>
    <w:p w14:paraId="5F3432FD" w14:textId="77777777" w:rsidR="00E55491" w:rsidRDefault="00E55491" w:rsidP="00107F5B">
      <w:pPr>
        <w:spacing w:after="0" w:line="480" w:lineRule="auto"/>
        <w:jc w:val="both"/>
        <w:rPr>
          <w:rFonts w:ascii="Arial" w:eastAsia="Times New Roman" w:hAnsi="Arial" w:cs="Arial"/>
          <w:sz w:val="24"/>
          <w:szCs w:val="24"/>
          <w:lang w:eastAsia="en-GB"/>
        </w:rPr>
      </w:pPr>
    </w:p>
    <w:p w14:paraId="24D44B30" w14:textId="630F7501" w:rsidR="00107F5B" w:rsidRDefault="00E55491" w:rsidP="00107F5B">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Adair's Action-Centred Leadership (Aidar, 2018), which highlights the simultaneous management of task, team, and individual requirements, is a classic framework in leadership philosophy. This model proposes that effective leadership necessitates balancing these three factors in order to achieve success, establish team cohesion, and meet individual goals. Adair's model also says that leadership performance in many situations, including the hotel business, is dependent on the leader's capacity to engage these aspects consistently; nevertheless, applying this model to the hotel industry reveals both strengths and limitations. Its strengths are its practical application and adaptability to varied organisational cultures and conditions (Scholarly &amp; Society, 2019). Adair's eight leadership responsibilities, including job definition, planning, motivation, and example-setting, are critical skills for hotel managers who must coordinate complicated operations and different personnel. The model's weakness is that it may be out of date in modern situations with flat organisational structures and a focus on innovation and empowerment (Live Culture Company, 2023). The model's simplicity overlooks the complexities of modern leadership difficulties, such as managing change and cultivating a creative environment. Despite these criticisms, Adair's emphasis on balancing task completion with team and individual growth remains important, serving as a core guide for hotel leaders as they adapt to their unique operating circumstances.</w:t>
      </w:r>
    </w:p>
    <w:p w14:paraId="415DC881" w14:textId="77777777" w:rsidR="00FE3997" w:rsidRDefault="00FE3997" w:rsidP="00107F5B">
      <w:pPr>
        <w:spacing w:after="0" w:line="480" w:lineRule="auto"/>
        <w:jc w:val="both"/>
        <w:rPr>
          <w:rFonts w:ascii="Arial" w:eastAsia="Times New Roman" w:hAnsi="Arial" w:cs="Arial"/>
          <w:sz w:val="24"/>
          <w:szCs w:val="24"/>
          <w:lang w:eastAsia="en-GB"/>
        </w:rPr>
      </w:pPr>
    </w:p>
    <w:p w14:paraId="01DA2161" w14:textId="35BB1262" w:rsidR="00FE3997" w:rsidRDefault="00DD067D" w:rsidP="00107F5B">
      <w:pPr>
        <w:spacing w:after="0" w:line="480" w:lineRule="auto"/>
        <w:jc w:val="both"/>
        <w:rPr>
          <w:rFonts w:ascii="Arial" w:eastAsia="Times New Roman" w:hAnsi="Arial" w:cs="Arial"/>
          <w:sz w:val="24"/>
          <w:szCs w:val="24"/>
          <w:lang w:eastAsia="en-GB"/>
        </w:rPr>
      </w:pPr>
      <w:proofErr w:type="spellStart"/>
      <w:r w:rsidRPr="000167AA">
        <w:rPr>
          <w:rFonts w:ascii="Arial" w:eastAsia="Times New Roman" w:hAnsi="Arial" w:cs="Arial"/>
          <w:sz w:val="24"/>
          <w:szCs w:val="24"/>
          <w:lang w:eastAsia="en-GB"/>
        </w:rPr>
        <w:lastRenderedPageBreak/>
        <w:t>S</w:t>
      </w:r>
      <w:r>
        <w:rPr>
          <w:rFonts w:ascii="Arial" w:eastAsia="Times New Roman" w:hAnsi="Arial" w:cs="Arial"/>
          <w:sz w:val="24"/>
          <w:szCs w:val="24"/>
          <w:lang w:eastAsia="en-GB"/>
        </w:rPr>
        <w:t>hinek</w:t>
      </w:r>
      <w:proofErr w:type="spellEnd"/>
      <w:r w:rsidRPr="000167AA">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0167AA">
        <w:rPr>
          <w:rFonts w:ascii="Arial" w:eastAsia="Times New Roman" w:hAnsi="Arial" w:cs="Arial"/>
          <w:sz w:val="24"/>
          <w:szCs w:val="24"/>
          <w:lang w:eastAsia="en-GB"/>
        </w:rPr>
        <w:t>2023)</w:t>
      </w:r>
      <w:r w:rsidR="00CD5203">
        <w:rPr>
          <w:rFonts w:ascii="Arial" w:eastAsia="Times New Roman" w:hAnsi="Arial" w:cs="Arial"/>
          <w:sz w:val="24"/>
          <w:szCs w:val="24"/>
          <w:lang w:eastAsia="en-GB"/>
        </w:rPr>
        <w:t xml:space="preserve"> suggests that</w:t>
      </w:r>
      <w:r>
        <w:rPr>
          <w:rFonts w:ascii="Arial" w:eastAsia="Times New Roman" w:hAnsi="Arial" w:cs="Arial"/>
          <w:sz w:val="24"/>
          <w:szCs w:val="24"/>
          <w:lang w:eastAsia="en-GB"/>
        </w:rPr>
        <w:t xml:space="preserve"> </w:t>
      </w:r>
      <w:r w:rsidR="00CD5203">
        <w:rPr>
          <w:rFonts w:ascii="Arial" w:eastAsia="Times New Roman" w:hAnsi="Arial" w:cs="Arial"/>
          <w:sz w:val="24"/>
          <w:szCs w:val="24"/>
          <w:lang w:eastAsia="en-GB"/>
        </w:rPr>
        <w:t>l</w:t>
      </w:r>
      <w:r>
        <w:rPr>
          <w:rFonts w:ascii="Arial" w:eastAsia="Times New Roman" w:hAnsi="Arial" w:cs="Arial"/>
          <w:sz w:val="24"/>
          <w:szCs w:val="24"/>
          <w:lang w:eastAsia="en-GB"/>
        </w:rPr>
        <w:t xml:space="preserve">eaders are </w:t>
      </w:r>
      <w:r w:rsidR="004A458F">
        <w:rPr>
          <w:rFonts w:ascii="Arial" w:eastAsia="Times New Roman" w:hAnsi="Arial" w:cs="Arial"/>
          <w:sz w:val="24"/>
          <w:szCs w:val="24"/>
          <w:lang w:eastAsia="en-GB"/>
        </w:rPr>
        <w:t>not responsible for the job</w:t>
      </w:r>
      <w:r w:rsidR="00AE3810">
        <w:rPr>
          <w:rFonts w:ascii="Arial" w:eastAsia="Times New Roman" w:hAnsi="Arial" w:cs="Arial"/>
          <w:sz w:val="24"/>
          <w:szCs w:val="24"/>
          <w:lang w:eastAsia="en-GB"/>
        </w:rPr>
        <w:t>,</w:t>
      </w:r>
      <w:r w:rsidR="004A458F">
        <w:rPr>
          <w:rFonts w:ascii="Arial" w:eastAsia="Times New Roman" w:hAnsi="Arial" w:cs="Arial"/>
          <w:sz w:val="24"/>
          <w:szCs w:val="24"/>
          <w:lang w:eastAsia="en-GB"/>
        </w:rPr>
        <w:t xml:space="preserve"> they are responsible</w:t>
      </w:r>
      <w:r>
        <w:rPr>
          <w:rFonts w:ascii="Arial" w:eastAsia="Times New Roman" w:hAnsi="Arial" w:cs="Arial"/>
          <w:sz w:val="24"/>
          <w:szCs w:val="24"/>
          <w:lang w:eastAsia="en-GB"/>
        </w:rPr>
        <w:t xml:space="preserve"> </w:t>
      </w:r>
      <w:r w:rsidR="00AE3810">
        <w:rPr>
          <w:rFonts w:ascii="Arial" w:eastAsia="Times New Roman" w:hAnsi="Arial" w:cs="Arial"/>
          <w:sz w:val="24"/>
          <w:szCs w:val="24"/>
          <w:lang w:eastAsia="en-GB"/>
        </w:rPr>
        <w:t xml:space="preserve">for </w:t>
      </w:r>
      <w:r>
        <w:rPr>
          <w:rFonts w:ascii="Arial" w:eastAsia="Times New Roman" w:hAnsi="Arial" w:cs="Arial"/>
          <w:sz w:val="24"/>
          <w:szCs w:val="24"/>
          <w:lang w:eastAsia="en-GB"/>
        </w:rPr>
        <w:t>the people who are doing the job</w:t>
      </w:r>
      <w:r w:rsidR="0020177C">
        <w:rPr>
          <w:rFonts w:ascii="Arial" w:eastAsia="Times New Roman" w:hAnsi="Arial" w:cs="Arial"/>
          <w:sz w:val="24"/>
          <w:szCs w:val="24"/>
          <w:lang w:eastAsia="en-GB"/>
        </w:rPr>
        <w:t xml:space="preserve">. </w:t>
      </w:r>
      <w:r w:rsidR="00AE3810">
        <w:rPr>
          <w:rFonts w:ascii="Arial" w:eastAsia="Times New Roman" w:hAnsi="Arial" w:cs="Arial"/>
          <w:sz w:val="24"/>
          <w:szCs w:val="24"/>
          <w:lang w:eastAsia="en-GB"/>
        </w:rPr>
        <w:t>Therefore,</w:t>
      </w:r>
      <w:r>
        <w:rPr>
          <w:rFonts w:ascii="Arial" w:eastAsia="Times New Roman" w:hAnsi="Arial" w:cs="Arial"/>
          <w:sz w:val="24"/>
          <w:szCs w:val="24"/>
          <w:lang w:eastAsia="en-GB"/>
        </w:rPr>
        <w:t xml:space="preserve"> </w:t>
      </w:r>
      <w:r w:rsidR="00FE3997" w:rsidRPr="00FE3997">
        <w:rPr>
          <w:rFonts w:ascii="Arial" w:eastAsia="Times New Roman" w:hAnsi="Arial" w:cs="Arial"/>
          <w:sz w:val="24"/>
          <w:szCs w:val="24"/>
          <w:lang w:eastAsia="en-GB"/>
        </w:rPr>
        <w:t>The Blake Mouton Grid</w:t>
      </w:r>
      <w:r w:rsidR="00061C1F">
        <w:rPr>
          <w:rFonts w:ascii="Arial" w:eastAsia="Times New Roman" w:hAnsi="Arial" w:cs="Arial"/>
          <w:sz w:val="24"/>
          <w:szCs w:val="24"/>
          <w:lang w:eastAsia="en-GB"/>
        </w:rPr>
        <w:t xml:space="preserve"> (Blake &amp; McCanse 1991)</w:t>
      </w:r>
      <w:r w:rsidR="004178B5">
        <w:rPr>
          <w:rFonts w:ascii="Arial" w:eastAsia="Times New Roman" w:hAnsi="Arial" w:cs="Arial"/>
          <w:sz w:val="24"/>
          <w:szCs w:val="24"/>
          <w:lang w:eastAsia="en-GB"/>
        </w:rPr>
        <w:t xml:space="preserve"> </w:t>
      </w:r>
      <w:r w:rsidR="00FE3997" w:rsidRPr="00FE3997">
        <w:rPr>
          <w:rFonts w:ascii="Arial" w:eastAsia="Times New Roman" w:hAnsi="Arial" w:cs="Arial"/>
          <w:sz w:val="24"/>
          <w:szCs w:val="24"/>
          <w:lang w:eastAsia="en-GB"/>
        </w:rPr>
        <w:t xml:space="preserve">emphasises task vs person orientation, </w:t>
      </w:r>
      <w:r w:rsidR="004178B5">
        <w:rPr>
          <w:rFonts w:ascii="Arial" w:eastAsia="Times New Roman" w:hAnsi="Arial" w:cs="Arial"/>
          <w:sz w:val="24"/>
          <w:szCs w:val="24"/>
          <w:lang w:eastAsia="en-GB"/>
        </w:rPr>
        <w:t>which is</w:t>
      </w:r>
      <w:r w:rsidR="00FE3997" w:rsidRPr="00FE3997">
        <w:rPr>
          <w:rFonts w:ascii="Arial" w:eastAsia="Times New Roman" w:hAnsi="Arial" w:cs="Arial"/>
          <w:sz w:val="24"/>
          <w:szCs w:val="24"/>
          <w:lang w:eastAsia="en-GB"/>
        </w:rPr>
        <w:t xml:space="preserve"> especially applicable in the hotel business, where operational efficiency and employee morale are critical. </w:t>
      </w:r>
      <w:r w:rsidR="002C56C0">
        <w:rPr>
          <w:rFonts w:ascii="Arial" w:eastAsia="Times New Roman" w:hAnsi="Arial" w:cs="Arial"/>
          <w:sz w:val="24"/>
          <w:szCs w:val="24"/>
          <w:lang w:eastAsia="en-GB"/>
        </w:rPr>
        <w:t xml:space="preserve">The grid is </w:t>
      </w:r>
      <w:r w:rsidR="00CE0757">
        <w:rPr>
          <w:rFonts w:ascii="Arial" w:eastAsia="Times New Roman" w:hAnsi="Arial" w:cs="Arial"/>
          <w:sz w:val="24"/>
          <w:szCs w:val="24"/>
          <w:lang w:eastAsia="en-GB"/>
        </w:rPr>
        <w:t>split in 5 sectors where the</w:t>
      </w:r>
      <w:r w:rsidR="00FE3997" w:rsidRPr="00FE3997">
        <w:rPr>
          <w:rFonts w:ascii="Arial" w:eastAsia="Times New Roman" w:hAnsi="Arial" w:cs="Arial"/>
          <w:sz w:val="24"/>
          <w:szCs w:val="24"/>
          <w:lang w:eastAsia="en-GB"/>
        </w:rPr>
        <w:t xml:space="preserve"> Team Management, </w:t>
      </w:r>
      <w:r w:rsidR="00CE0757">
        <w:rPr>
          <w:rFonts w:ascii="Arial" w:eastAsia="Times New Roman" w:hAnsi="Arial" w:cs="Arial"/>
          <w:sz w:val="24"/>
          <w:szCs w:val="24"/>
          <w:lang w:eastAsia="en-GB"/>
        </w:rPr>
        <w:t>shows the most</w:t>
      </w:r>
      <w:r w:rsidR="00FE3997" w:rsidRPr="00FE3997">
        <w:rPr>
          <w:rFonts w:ascii="Arial" w:eastAsia="Times New Roman" w:hAnsi="Arial" w:cs="Arial"/>
          <w:sz w:val="24"/>
          <w:szCs w:val="24"/>
          <w:lang w:eastAsia="en-GB"/>
        </w:rPr>
        <w:t xml:space="preserve"> effective approach, strikes a balance between great concern for production and employees' requirements</w:t>
      </w:r>
      <w:r w:rsidR="00190670">
        <w:rPr>
          <w:rFonts w:ascii="Arial" w:eastAsia="Times New Roman" w:hAnsi="Arial" w:cs="Arial"/>
          <w:sz w:val="24"/>
          <w:szCs w:val="24"/>
          <w:lang w:eastAsia="en-GB"/>
        </w:rPr>
        <w:t xml:space="preserve"> this segment</w:t>
      </w:r>
      <w:r w:rsidR="00C94B83">
        <w:rPr>
          <w:rFonts w:ascii="Arial" w:eastAsia="Times New Roman" w:hAnsi="Arial" w:cs="Arial"/>
          <w:sz w:val="24"/>
          <w:szCs w:val="24"/>
          <w:lang w:eastAsia="en-GB"/>
        </w:rPr>
        <w:t xml:space="preserve"> </w:t>
      </w:r>
      <w:r w:rsidR="00811BC5" w:rsidRPr="00811BC5">
        <w:rPr>
          <w:rFonts w:ascii="Arial" w:eastAsia="Times New Roman" w:hAnsi="Arial" w:cs="Arial"/>
          <w:sz w:val="24"/>
          <w:szCs w:val="24"/>
          <w:lang w:eastAsia="en-GB"/>
        </w:rPr>
        <w:t xml:space="preserve">(Islam and </w:t>
      </w:r>
      <w:proofErr w:type="spellStart"/>
      <w:r w:rsidR="00811BC5" w:rsidRPr="00811BC5">
        <w:rPr>
          <w:rFonts w:ascii="Arial" w:eastAsia="Times New Roman" w:hAnsi="Arial" w:cs="Arial"/>
          <w:sz w:val="24"/>
          <w:szCs w:val="24"/>
          <w:lang w:eastAsia="en-GB"/>
        </w:rPr>
        <w:t>Bhattachar</w:t>
      </w:r>
      <w:proofErr w:type="spellEnd"/>
      <w:r w:rsidR="00811BC5" w:rsidRPr="00811BC5">
        <w:rPr>
          <w:rFonts w:ascii="Arial" w:eastAsia="Times New Roman" w:hAnsi="Arial" w:cs="Arial"/>
          <w:sz w:val="24"/>
          <w:szCs w:val="24"/>
          <w:lang w:eastAsia="en-GB"/>
        </w:rPr>
        <w:t>, 2019)</w:t>
      </w:r>
      <w:r w:rsidR="00FE3997" w:rsidRPr="00FE3997">
        <w:rPr>
          <w:rFonts w:ascii="Arial" w:eastAsia="Times New Roman" w:hAnsi="Arial" w:cs="Arial"/>
          <w:sz w:val="24"/>
          <w:szCs w:val="24"/>
          <w:lang w:eastAsia="en-GB"/>
        </w:rPr>
        <w:t>.</w:t>
      </w:r>
      <w:r w:rsidR="00A618B0">
        <w:rPr>
          <w:rFonts w:ascii="Arial" w:eastAsia="Times New Roman" w:hAnsi="Arial" w:cs="Arial"/>
          <w:sz w:val="24"/>
          <w:szCs w:val="24"/>
          <w:lang w:eastAsia="en-GB"/>
        </w:rPr>
        <w:t xml:space="preserve"> </w:t>
      </w:r>
      <w:r w:rsidR="007E237F">
        <w:rPr>
          <w:rFonts w:ascii="Arial" w:eastAsia="Times New Roman" w:hAnsi="Arial" w:cs="Arial"/>
          <w:sz w:val="24"/>
          <w:szCs w:val="24"/>
          <w:lang w:eastAsia="en-GB"/>
        </w:rPr>
        <w:t xml:space="preserve">The </w:t>
      </w:r>
      <w:r w:rsidR="00FE3997" w:rsidRPr="00FE3997">
        <w:rPr>
          <w:rFonts w:ascii="Arial" w:eastAsia="Times New Roman" w:hAnsi="Arial" w:cs="Arial"/>
          <w:sz w:val="24"/>
          <w:szCs w:val="24"/>
          <w:lang w:eastAsia="en-GB"/>
        </w:rPr>
        <w:t>strategy is consistent with the hotel industry's emphasis on service quality and employee engagement, which could lead to increased customer satisfaction and staff retention</w:t>
      </w:r>
      <w:r w:rsidR="007E237F">
        <w:rPr>
          <w:rFonts w:ascii="Arial" w:eastAsia="Times New Roman" w:hAnsi="Arial" w:cs="Arial"/>
          <w:sz w:val="24"/>
          <w:szCs w:val="24"/>
          <w:lang w:eastAsia="en-GB"/>
        </w:rPr>
        <w:t xml:space="preserve"> which is discussed by </w:t>
      </w:r>
      <w:r w:rsidR="007E237F" w:rsidRPr="00A618B0">
        <w:rPr>
          <w:rFonts w:ascii="Arial" w:eastAsia="Times New Roman" w:hAnsi="Arial" w:cs="Arial"/>
          <w:sz w:val="24"/>
          <w:szCs w:val="24"/>
          <w:lang w:eastAsia="en-GB"/>
        </w:rPr>
        <w:t>Singh et al. (2021)</w:t>
      </w:r>
      <w:r w:rsidR="00FE3997" w:rsidRPr="00FE3997">
        <w:rPr>
          <w:rFonts w:ascii="Arial" w:eastAsia="Times New Roman" w:hAnsi="Arial" w:cs="Arial"/>
          <w:sz w:val="24"/>
          <w:szCs w:val="24"/>
          <w:lang w:eastAsia="en-GB"/>
        </w:rPr>
        <w:t>. However, the model's simplicity may cause it to ignore issues in modern hotel administration, such as the requirement for agility in customer service and innovative problem solutions</w:t>
      </w:r>
      <w:r w:rsidR="00F94361">
        <w:rPr>
          <w:rFonts w:ascii="Arial" w:eastAsia="Times New Roman" w:hAnsi="Arial" w:cs="Arial"/>
          <w:sz w:val="24"/>
          <w:szCs w:val="24"/>
          <w:lang w:eastAsia="en-GB"/>
        </w:rPr>
        <w:t xml:space="preserve"> </w:t>
      </w:r>
      <w:r w:rsidR="00F94361" w:rsidRPr="00F94361">
        <w:rPr>
          <w:rFonts w:ascii="Arial" w:eastAsia="Times New Roman" w:hAnsi="Arial" w:cs="Arial"/>
          <w:sz w:val="24"/>
          <w:szCs w:val="24"/>
          <w:lang w:eastAsia="en-GB"/>
        </w:rPr>
        <w:t>(EHL Holding SA, 2023)</w:t>
      </w:r>
      <w:r w:rsidR="00FE3997" w:rsidRPr="00FE3997">
        <w:rPr>
          <w:rFonts w:ascii="Arial" w:eastAsia="Times New Roman" w:hAnsi="Arial" w:cs="Arial"/>
          <w:sz w:val="24"/>
          <w:szCs w:val="24"/>
          <w:lang w:eastAsia="en-GB"/>
        </w:rPr>
        <w:t>. Although the model provides a framework for leadership development, it may not fully capture the dynamic leadership qualities needed in today's fast-paced</w:t>
      </w:r>
      <w:r w:rsidR="00AE20EE">
        <w:rPr>
          <w:rFonts w:ascii="Arial" w:eastAsia="Times New Roman" w:hAnsi="Arial" w:cs="Arial"/>
          <w:sz w:val="24"/>
          <w:szCs w:val="24"/>
          <w:lang w:eastAsia="en-GB"/>
        </w:rPr>
        <w:t xml:space="preserve"> organisati</w:t>
      </w:r>
      <w:r w:rsidR="00286A32">
        <w:rPr>
          <w:rFonts w:ascii="Arial" w:eastAsia="Times New Roman" w:hAnsi="Arial" w:cs="Arial"/>
          <w:sz w:val="24"/>
          <w:szCs w:val="24"/>
          <w:lang w:eastAsia="en-GB"/>
        </w:rPr>
        <w:t>ons</w:t>
      </w:r>
      <w:r w:rsidR="00FE3997" w:rsidRPr="00FE3997">
        <w:rPr>
          <w:rFonts w:ascii="Arial" w:eastAsia="Times New Roman" w:hAnsi="Arial" w:cs="Arial"/>
          <w:sz w:val="24"/>
          <w:szCs w:val="24"/>
          <w:lang w:eastAsia="en-GB"/>
        </w:rPr>
        <w:t xml:space="preserve">, where transformational leadership styles are increasingly </w:t>
      </w:r>
      <w:r w:rsidR="00B43C0F" w:rsidRPr="00FE3997">
        <w:rPr>
          <w:rFonts w:ascii="Arial" w:eastAsia="Times New Roman" w:hAnsi="Arial" w:cs="Arial"/>
          <w:sz w:val="24"/>
          <w:szCs w:val="24"/>
          <w:lang w:eastAsia="en-GB"/>
        </w:rPr>
        <w:t>preferred</w:t>
      </w:r>
      <w:r w:rsidR="00B43C0F">
        <w:rPr>
          <w:rFonts w:ascii="Arial" w:eastAsia="Times New Roman" w:hAnsi="Arial" w:cs="Arial"/>
          <w:sz w:val="24"/>
          <w:szCs w:val="24"/>
          <w:lang w:eastAsia="en-GB"/>
        </w:rPr>
        <w:t>.</w:t>
      </w:r>
    </w:p>
    <w:p w14:paraId="7AAE0BD2" w14:textId="16D37166" w:rsidR="000D132C" w:rsidRDefault="009F25C3" w:rsidP="00D2088A">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Mullins (2019) discusses how people's performance in an organisation typically falls short of their original excitement and potential due to how they perceive they are treated, with many issues arising from decision implementation rather than the intentions behind them. As a result, managers have a significant responsibility to create a positive work environment and implement effective motivation, job satisfaction, and reward systems to increase organisational performance through their staff. Another managerial style described by McGregor's (2006) X and Y theories of managerial styles, which differ greatly in approaches, is the X style, which assumes that individuals are inherently unmotivated and despise working, necessitating compulsion, direct supervision, and external rewards to achieve organisational goals. </w:t>
      </w:r>
      <w:r>
        <w:rPr>
          <w:rFonts w:ascii="Arial" w:eastAsia="Times New Roman" w:hAnsi="Arial" w:cs="Arial"/>
          <w:sz w:val="24"/>
          <w:szCs w:val="24"/>
          <w:lang w:eastAsia="en-GB"/>
        </w:rPr>
        <w:lastRenderedPageBreak/>
        <w:t>According to this viewpoint, managers must closely monitor and control their employees using tough regulations and punishments because people are thought to prioritise security above all else. Could be used in contexts where duties are repetitive or there is a large turnover rate among employees, such as housekeeping or front desk operations. Management may include stringent checklists, rigid schedules, and close monitoring of performance. This strategy can help assure consistency and efficiency in operations, which are critical in hotels where client satisfaction is strongly reliant on the cleanliness and readiness of rooms and amenities. However, relying too heavily on Theory X can lead to low employee morale and high turnover if employees feel overly managed or devalued. According to Peters (2024), employees depart for a variety of reasons, including discontent with their existing employment ('push' factors such as a lack of career chances or poor relationships with supervisors). According to Gürbüz, Şahin, and Köksal's (2014) study on Solders and their leaders, military organisations often use a task-oriented managerial style that emphasises standardisation and hierarchy, indicating a Theory X orientation. However, research suggests that a Theory Y orientation, which focuses on people-centred relationships, also exists between military personnel and their immediate supervisors. While both styles may be effective in the military, employees in the hospitality industry seek a positive work environment and leadership empowerment, as well as good work-life balance and personal wellbeing.</w:t>
      </w:r>
    </w:p>
    <w:p w14:paraId="63D048C6" w14:textId="77777777" w:rsidR="00C8355D" w:rsidRDefault="00C8355D" w:rsidP="003B20BE">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On the other hand, it claims that employees are self-motivated and thrive under pressure. It means that if employees like their work, they are more likely to be productive. According to this viewpoint, management should empower individuals by delegating authority, fostering empowerment through decision-making, and creating an environment in which employees can express themselves and improve their skills. </w:t>
      </w:r>
    </w:p>
    <w:p w14:paraId="59D9CCD9" w14:textId="77777777" w:rsidR="00C8355D" w:rsidRDefault="00C8355D" w:rsidP="003B20BE">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These theories have had an impact on management practices and are crucial to the study of organisational behaviour. They reflect a shift from traditional to more sophisticated management styles by analysing successful hotel businesses and leadership practices to discover the most effective leadership approaches in the hotel sector.</w:t>
      </w:r>
    </w:p>
    <w:p w14:paraId="39BB7292" w14:textId="1F7FEFE0" w:rsidR="005F3034" w:rsidRDefault="00C8355D" w:rsidP="003B20BE">
      <w:pPr>
        <w:spacing w:line="480" w:lineRule="auto"/>
        <w:jc w:val="both"/>
        <w:rPr>
          <w:rFonts w:ascii="Arial" w:hAnsi="Arial" w:cs="Arial"/>
          <w:color w:val="0D0D0D"/>
          <w:sz w:val="24"/>
          <w:szCs w:val="24"/>
          <w:shd w:val="clear" w:color="auto" w:fill="FFFFFF"/>
        </w:rPr>
      </w:pPr>
      <w:r>
        <w:rPr>
          <w:rFonts w:ascii="Arial" w:eastAsia="Times New Roman" w:hAnsi="Arial" w:cs="Arial"/>
          <w:sz w:val="24"/>
          <w:szCs w:val="24"/>
          <w:lang w:eastAsia="en-GB"/>
        </w:rPr>
        <w:t xml:space="preserve">The analysis of The Ritz Carlton's (2024) leadership practices indicates that the luxury hotel brand understands how to improve its leadership. The Ritz-Carlton leadership strategy focuses on demonstrating profound respect for people and cultivating trust, both of which are critical for creating a positive work environment that benefits both employees and customers. Ritz-Carlton leaders are regarded as imperfect, despite any appearance of perfection, yet the company's culture places a significant focus on empowerment and trust. Employees are given significant responsibilities and opportunities for personal development, which results in authentic, high-quality guest experiences. Implementing a trust-based strategy is critical for empowering employees to innovate and effectively satisfy the needs of guests, as well as establishing an environment in which employees feel valued and motivated to exceed expectations. This method has resulted in considerable improvements in customer service and employee satisfaction, as evidenced by positive customer responses and a detailed review of engagement. </w:t>
      </w:r>
    </w:p>
    <w:p w14:paraId="6F1A2C66" w14:textId="71B903B9" w:rsidR="00DC54FC" w:rsidRDefault="0048584E" w:rsidP="00F7455E">
      <w:p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The Ritz-Carlton leadership style is consistent with Douglas McGregor's Theory Y (2006), which states that employees are self-motivated, seek responsibility, and are driven by a desire for personal growth and fulfilment. The Ritz-Carlton's leadership strategy coincides with Theory Y by empowering employees to make decisions that affect the tourist experience, demonstrating faith in their employees' intrinsic motivation and accountability. To address the personal and professional development </w:t>
      </w:r>
      <w:r>
        <w:rPr>
          <w:rFonts w:ascii="Arial" w:hAnsi="Arial" w:cs="Arial"/>
          <w:color w:val="0D0D0D"/>
          <w:sz w:val="24"/>
          <w:szCs w:val="24"/>
          <w:shd w:val="clear" w:color="auto" w:fill="FFFFFF"/>
        </w:rPr>
        <w:lastRenderedPageBreak/>
        <w:t xml:space="preserve">needs of its employees, the organisation prioritises continuous learning and career advancement. Motivating individuals to go above and beyond their self-interests for the sake of the business, while also generating a sense of belonging and significance within the team, is an essential component of Theory Y (Kopelman, </w:t>
      </w:r>
      <w:proofErr w:type="spellStart"/>
      <w:r>
        <w:rPr>
          <w:rFonts w:ascii="Arial" w:hAnsi="Arial" w:cs="Arial"/>
          <w:color w:val="0D0D0D"/>
          <w:sz w:val="24"/>
          <w:szCs w:val="24"/>
          <w:shd w:val="clear" w:color="auto" w:fill="FFFFFF"/>
        </w:rPr>
        <w:t>Prottas</w:t>
      </w:r>
      <w:proofErr w:type="spellEnd"/>
      <w:r>
        <w:rPr>
          <w:rFonts w:ascii="Arial" w:hAnsi="Arial" w:cs="Arial"/>
          <w:color w:val="0D0D0D"/>
          <w:sz w:val="24"/>
          <w:szCs w:val="24"/>
          <w:shd w:val="clear" w:color="auto" w:fill="FFFFFF"/>
        </w:rPr>
        <w:t xml:space="preserve">, &amp; Davis, 2008). According to Organ (2023), the most effective leadership philosophy is transformational leadership, which is consistent with the hotel industry's aims of providing great service, adapting to change, and maintaining high levels of visitor satisfaction. This leadership approach not only improves operational efficiency but also leads to a sustained competitive advantage, as it demonstrates. The Ritz-Carlton's executives inspire individuals by developing a strong sense of organisational culture and mission; this strategy motivates personnel to go above and beyond normal expectations in order to give exceptional service. Ritz-Carlton leaders ensure that employees feel valued and understood by identifying and responding to unique employee needs. This is seen in their extensive employee development activities and tailored career paths. The Ritz-Carlton's leadership strategy focuses the growth and well-being of individuals and the communities in which they live. Ritz-Carlton executives prioritise their employees' needs by ensuring they are well-equipped, trained, and supported in order to appropriately serve guests. Leaders act as facilitators, creating a favourable environment for employees to grow. Changing leadership style based on staff demands and operational requirements. Ritz-Carlton leaders </w:t>
      </w:r>
      <w:proofErr w:type="spellStart"/>
      <w:r>
        <w:rPr>
          <w:rFonts w:ascii="Arial" w:hAnsi="Arial" w:cs="Arial"/>
          <w:color w:val="0D0D0D"/>
          <w:sz w:val="24"/>
          <w:szCs w:val="24"/>
          <w:shd w:val="clear" w:color="auto" w:fill="FFFFFF"/>
        </w:rPr>
        <w:t>skillfully</w:t>
      </w:r>
      <w:proofErr w:type="spellEnd"/>
      <w:r>
        <w:rPr>
          <w:rFonts w:ascii="Arial" w:hAnsi="Arial" w:cs="Arial"/>
          <w:color w:val="0D0D0D"/>
          <w:sz w:val="24"/>
          <w:szCs w:val="24"/>
          <w:shd w:val="clear" w:color="auto" w:fill="FFFFFF"/>
        </w:rPr>
        <w:t xml:space="preserve"> adapt their management style to their team's varied levels of development and confidence, using more directive ways for new hires and more supportive and delegative methods for experienced staff.</w:t>
      </w:r>
    </w:p>
    <w:p w14:paraId="238A964A" w14:textId="77777777" w:rsidR="00213604" w:rsidRDefault="00213604" w:rsidP="003A66C6">
      <w:p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The Ritz-Carlton leadership style exemplifies a complicated mix of employee trust and empowerment (Michelli, 2008).</w:t>
      </w:r>
    </w:p>
    <w:p w14:paraId="48A84FFA" w14:textId="77777777" w:rsidR="00213604" w:rsidRDefault="00213604" w:rsidP="003A66C6">
      <w:p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lastRenderedPageBreak/>
        <w:t>Marriott International acquired Ritz-Carlton following Steinbock's merger (2024), resulting in challenges due to the integration of two organisations with different corporate cultures and leadership styles. The merger originally had difficulties, primarily due to differences in ownership structures and leadership styles. The Ritz-Carlton (2024), formerly a privately held firm, pursued a sophisticated hospitality strategy that prioritised client happiness, employee respect, and empowerment. Marriott's public ownership and commercially driven management approaches contrasted with this plan (Marriott International, 2024).</w:t>
      </w:r>
    </w:p>
    <w:p w14:paraId="3E0283F2" w14:textId="77777777" w:rsidR="00213604" w:rsidRDefault="00213604" w:rsidP="003A66C6">
      <w:p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Ritz-Carlton addressed their employees as "Ladies and Gentlemen" to underline their commitment to respect and excellence. In contrast, Marriott referred to its staff as "associates," which initially made the Ritz-Carlton crew uncomfortable. Despite hurdles, Ritz-Carlton's leadership remained devoted to their basic values and principles, fostering the particular ethos that distinguishes their brand in the luxury hospitality business.</w:t>
      </w:r>
    </w:p>
    <w:p w14:paraId="0FCB0D19" w14:textId="77777777" w:rsidR="00213604" w:rsidRDefault="00213604" w:rsidP="003A66C6">
      <w:pPr>
        <w:spacing w:line="480" w:lineRule="auto"/>
        <w:jc w:val="both"/>
        <w:rPr>
          <w:rFonts w:ascii="Arial" w:hAnsi="Arial" w:cs="Arial"/>
          <w:color w:val="0D0D0D"/>
          <w:sz w:val="24"/>
          <w:szCs w:val="24"/>
          <w:shd w:val="clear" w:color="auto" w:fill="FFFFFF"/>
        </w:rPr>
      </w:pPr>
    </w:p>
    <w:p w14:paraId="380FE3E1" w14:textId="77777777" w:rsidR="00213604" w:rsidRDefault="00213604" w:rsidP="003A66C6">
      <w:p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Marriott finally recognised the value of Ritz-Carlton's leadership techniques, which emphasised providing excellent service and empowering staff. As a result of this acceptance, Marriott effectively integrated Ritz-Carlton's best practices into its operational structure while maintaining the Ritz-Carlton brand's uniqueness, resulting in a more harmonious mixing of the two cultures. Today, the effective blending of multiple management styles and concepts is regarded as one of the most successful mergers in the hospitality industry, illustrating the efficacy of flexible leadership and the importance of cultural respect in business transactions.</w:t>
      </w:r>
    </w:p>
    <w:p w14:paraId="7CD57347" w14:textId="77777777" w:rsidR="00213604" w:rsidRDefault="00213604" w:rsidP="003A66C6">
      <w:pPr>
        <w:spacing w:line="480" w:lineRule="auto"/>
        <w:jc w:val="both"/>
        <w:rPr>
          <w:rFonts w:ascii="Arial" w:hAnsi="Arial" w:cs="Arial"/>
          <w:color w:val="0D0D0D"/>
          <w:sz w:val="24"/>
          <w:szCs w:val="24"/>
          <w:shd w:val="clear" w:color="auto" w:fill="FFFFFF"/>
        </w:rPr>
      </w:pPr>
    </w:p>
    <w:p w14:paraId="53010312" w14:textId="54A5EF2D" w:rsidR="0020177C" w:rsidRDefault="0020177C" w:rsidP="003A66C6">
      <w:pPr>
        <w:spacing w:line="480" w:lineRule="auto"/>
        <w:jc w:val="both"/>
        <w:rPr>
          <w:rFonts w:ascii="Arial" w:hAnsi="Arial" w:cs="Arial"/>
          <w:color w:val="0D0D0D"/>
          <w:sz w:val="24"/>
          <w:szCs w:val="24"/>
          <w:shd w:val="clear" w:color="auto" w:fill="FFFFFF"/>
        </w:rPr>
      </w:pPr>
    </w:p>
    <w:p w14:paraId="6B283D80" w14:textId="77777777" w:rsidR="00E223FD" w:rsidRDefault="00E223FD" w:rsidP="003A66C6">
      <w:pPr>
        <w:spacing w:line="480" w:lineRule="auto"/>
        <w:jc w:val="both"/>
        <w:rPr>
          <w:rFonts w:ascii="Arial" w:hAnsi="Arial" w:cs="Arial"/>
          <w:color w:val="0D0D0D"/>
          <w:sz w:val="24"/>
          <w:szCs w:val="24"/>
          <w:shd w:val="clear" w:color="auto" w:fill="FFFFFF"/>
        </w:rPr>
      </w:pPr>
    </w:p>
    <w:p w14:paraId="7E656E0E" w14:textId="5378F395" w:rsidR="00A249AC" w:rsidRPr="00E223FD" w:rsidRDefault="00A249AC" w:rsidP="003A66C6">
      <w:pPr>
        <w:spacing w:line="480" w:lineRule="auto"/>
        <w:jc w:val="both"/>
        <w:rPr>
          <w:rFonts w:ascii="Arial" w:hAnsi="Arial" w:cs="Arial"/>
          <w:color w:val="0D0D0D"/>
          <w:sz w:val="32"/>
          <w:szCs w:val="32"/>
          <w:shd w:val="clear" w:color="auto" w:fill="FFFFFF"/>
        </w:rPr>
      </w:pPr>
    </w:p>
    <w:p w14:paraId="26C327D0" w14:textId="4F78652B" w:rsidR="00FC1527" w:rsidRPr="003A66C6" w:rsidRDefault="00446D60" w:rsidP="003A66C6">
      <w:pPr>
        <w:spacing w:line="48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In conclusion, many leadership techniques in the hotel industry, including Adair's Action-</w:t>
      </w:r>
      <w:proofErr w:type="spellStart"/>
      <w:r>
        <w:rPr>
          <w:rFonts w:ascii="Arial" w:hAnsi="Arial" w:cs="Arial"/>
          <w:color w:val="0D0D0D"/>
          <w:sz w:val="24"/>
          <w:szCs w:val="24"/>
          <w:shd w:val="clear" w:color="auto" w:fill="FFFFFF"/>
        </w:rPr>
        <w:t>Centered</w:t>
      </w:r>
      <w:proofErr w:type="spellEnd"/>
      <w:r>
        <w:rPr>
          <w:rFonts w:ascii="Arial" w:hAnsi="Arial" w:cs="Arial"/>
          <w:color w:val="0D0D0D"/>
          <w:sz w:val="24"/>
          <w:szCs w:val="24"/>
          <w:shd w:val="clear" w:color="auto" w:fill="FFFFFF"/>
        </w:rPr>
        <w:t xml:space="preserve"> Leadership (Aidar, 2018), Blake and Mouton's Managerial Grid (1991), and McGregor's Theory X and Y (1960), are thoroughly examined, emphasising their significance and practicality in contemporary hospitality management. A detailed investigation and comparison reveals that, while historical models like Adair's give a good foundation for understanding leadership dynamics, they may occasionally fall short in addressing the complexities of today's fast-paced and innovation-focused hotel sector. The study of how Ritz-Carlton (Michelli 2008) utilises Theory Y principles demonstrates the success of a transformative and empowering approach that closely matches the industry's desire for flexibility and exceptional customer service (Mind tool 2022; Organ 2023). This combination of academic understanding and actual execution emphasises the critical role of leadership in impacting not only hotel operational effectiveness, but also the total visitor experience and employee satisfaction. The study recommends that hoteliers embrace a more intelligent, adaptable, and human-focused leadership style in order to meet shifting challenges and capitalise on opportunities for long-term growth and achievement.</w:t>
      </w:r>
    </w:p>
    <w:p w14:paraId="692C33A5" w14:textId="77777777" w:rsidR="0020177C" w:rsidRDefault="0020177C" w:rsidP="00107F5B">
      <w:pPr>
        <w:spacing w:after="0" w:line="480" w:lineRule="auto"/>
        <w:jc w:val="both"/>
        <w:rPr>
          <w:rFonts w:ascii="Arial" w:eastAsia="Times New Roman" w:hAnsi="Arial" w:cs="Arial"/>
          <w:sz w:val="24"/>
          <w:szCs w:val="24"/>
          <w:lang w:eastAsia="en-GB"/>
        </w:rPr>
      </w:pPr>
    </w:p>
    <w:p w14:paraId="6648B854" w14:textId="52E52601" w:rsidR="00097548" w:rsidRDefault="00097548">
      <w:pPr>
        <w:rPr>
          <w:rFonts w:ascii="Arial" w:eastAsia="Times New Roman" w:hAnsi="Arial" w:cs="Arial"/>
          <w:sz w:val="24"/>
          <w:szCs w:val="24"/>
          <w:lang w:eastAsia="en-GB"/>
        </w:rPr>
      </w:pPr>
    </w:p>
    <w:p w14:paraId="73C7F09A" w14:textId="728B7C9B" w:rsidR="00097548" w:rsidRPr="00107F5B" w:rsidRDefault="00446D60" w:rsidP="00446D60">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7C90B05A" w14:textId="0E5A9F63" w:rsidR="00107F5B" w:rsidRPr="003A66C6" w:rsidRDefault="00A122D4" w:rsidP="00107F5B">
      <w:pPr>
        <w:rPr>
          <w:rFonts w:ascii="Arial" w:hAnsi="Arial" w:cs="Arial"/>
          <w:sz w:val="32"/>
          <w:szCs w:val="32"/>
        </w:rPr>
      </w:pPr>
      <w:r w:rsidRPr="003A66C6">
        <w:rPr>
          <w:rFonts w:ascii="Arial" w:hAnsi="Arial" w:cs="Arial"/>
          <w:sz w:val="32"/>
          <w:szCs w:val="32"/>
        </w:rPr>
        <w:lastRenderedPageBreak/>
        <w:t xml:space="preserve">References </w:t>
      </w:r>
    </w:p>
    <w:p w14:paraId="7EE32D14" w14:textId="40A1784A"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Adair, J. (2018)</w:t>
      </w:r>
      <w:r w:rsidRPr="007B5A69">
        <w:rPr>
          <w:rFonts w:ascii="Arial" w:eastAsia="Times New Roman" w:hAnsi="Arial" w:cs="Arial"/>
          <w:i/>
          <w:iCs/>
          <w:sz w:val="24"/>
          <w:szCs w:val="24"/>
          <w:lang w:eastAsia="en-GB"/>
        </w:rPr>
        <w:t xml:space="preserve"> Lessons in Leadership : 12 Key Concepts</w:t>
      </w:r>
      <w:r w:rsidRPr="003A66C6">
        <w:rPr>
          <w:rFonts w:ascii="Arial" w:eastAsia="Times New Roman" w:hAnsi="Arial" w:cs="Arial"/>
          <w:sz w:val="24"/>
          <w:szCs w:val="24"/>
          <w:lang w:eastAsia="en-GB"/>
        </w:rPr>
        <w:t xml:space="preserve">. [online] London, UNITED KINGDOM: Bloomsbury Publishing Plc. Available at: </w:t>
      </w:r>
      <w:hyperlink r:id="rId6" w:history="1">
        <w:r w:rsidRPr="003A66C6">
          <w:rPr>
            <w:rStyle w:val="Hyperlink"/>
            <w:rFonts w:ascii="Arial" w:eastAsia="Times New Roman" w:hAnsi="Arial" w:cs="Arial"/>
            <w:color w:val="auto"/>
            <w:sz w:val="24"/>
            <w:szCs w:val="24"/>
            <w:lang w:eastAsia="en-GB"/>
          </w:rPr>
          <w:t>http://ebookcentral.proquest.com/lib/trinity/detail.action?docID=5419445</w:t>
        </w:r>
      </w:hyperlink>
      <w:r w:rsidRPr="003A66C6">
        <w:rPr>
          <w:rFonts w:ascii="Arial" w:eastAsia="Times New Roman" w:hAnsi="Arial" w:cs="Arial"/>
          <w:sz w:val="24"/>
          <w:szCs w:val="24"/>
          <w:lang w:eastAsia="en-GB"/>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6C454FB3" w14:textId="77777777" w:rsidR="007B5A69" w:rsidRPr="003A66C6" w:rsidRDefault="007B5A69" w:rsidP="00D24900">
      <w:pPr>
        <w:spacing w:before="240" w:line="240" w:lineRule="auto"/>
        <w:rPr>
          <w:rFonts w:ascii="Arial" w:hAnsi="Arial" w:cs="Arial"/>
          <w:sz w:val="24"/>
          <w:szCs w:val="24"/>
        </w:rPr>
      </w:pPr>
      <w:r w:rsidRPr="003A66C6">
        <w:rPr>
          <w:rFonts w:ascii="Arial" w:hAnsi="Arial" w:cs="Arial"/>
          <w:sz w:val="24"/>
          <w:szCs w:val="24"/>
        </w:rPr>
        <w:t xml:space="preserve">Blake, R.R. and McCanse, A.A. (1991) </w:t>
      </w:r>
      <w:r w:rsidRPr="007B5A69">
        <w:rPr>
          <w:rFonts w:ascii="Arial" w:hAnsi="Arial" w:cs="Arial"/>
          <w:i/>
          <w:iCs/>
          <w:sz w:val="24"/>
          <w:szCs w:val="24"/>
        </w:rPr>
        <w:t>'Leadership Dilemmas-Grid® Solutions,'</w:t>
      </w:r>
      <w:r w:rsidRPr="003A66C6">
        <w:rPr>
          <w:rFonts w:ascii="Arial" w:hAnsi="Arial" w:cs="Arial"/>
          <w:sz w:val="24"/>
          <w:szCs w:val="24"/>
        </w:rPr>
        <w:t xml:space="preserve"> Houston: Gulf Publishing Company.</w:t>
      </w:r>
    </w:p>
    <w:p w14:paraId="3A0F748C" w14:textId="587FF991"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EHL Holding SA (2023) </w:t>
      </w:r>
      <w:r w:rsidRPr="007B5A69">
        <w:rPr>
          <w:rFonts w:ascii="Arial" w:eastAsia="Times New Roman" w:hAnsi="Arial" w:cs="Arial"/>
          <w:i/>
          <w:iCs/>
          <w:sz w:val="24"/>
          <w:szCs w:val="24"/>
          <w:lang w:eastAsia="en-GB"/>
        </w:rPr>
        <w:t>What does a Hotel Manager do?</w:t>
      </w:r>
      <w:r w:rsidRPr="003A66C6">
        <w:rPr>
          <w:rFonts w:ascii="Arial" w:eastAsia="Times New Roman" w:hAnsi="Arial" w:cs="Arial"/>
          <w:sz w:val="24"/>
          <w:szCs w:val="24"/>
          <w:lang w:eastAsia="en-GB"/>
        </w:rPr>
        <w:t xml:space="preserve"> [online] hospitalityinsights.ehl.edu. Available at: </w:t>
      </w:r>
      <w:hyperlink r:id="rId7" w:history="1">
        <w:r w:rsidRPr="003A66C6">
          <w:rPr>
            <w:rStyle w:val="Hyperlink"/>
            <w:rFonts w:ascii="Arial" w:eastAsia="Times New Roman" w:hAnsi="Arial" w:cs="Arial"/>
            <w:color w:val="auto"/>
            <w:sz w:val="24"/>
            <w:szCs w:val="24"/>
            <w:lang w:eastAsia="en-GB"/>
          </w:rPr>
          <w:t>https://hospitalityinsights.ehl.edu/what-does-hotel-manager-do</w:t>
        </w:r>
      </w:hyperlink>
      <w:r w:rsidRPr="003A66C6">
        <w:rPr>
          <w:rFonts w:ascii="Arial" w:eastAsia="Times New Roman" w:hAnsi="Arial" w:cs="Arial"/>
          <w:sz w:val="24"/>
          <w:szCs w:val="24"/>
          <w:lang w:eastAsia="en-GB"/>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7DF6F5B3" w14:textId="2CE85D44"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EHL Insights (2023) </w:t>
      </w:r>
      <w:r w:rsidRPr="007B5A69">
        <w:rPr>
          <w:rFonts w:ascii="Arial" w:eastAsia="Times New Roman" w:hAnsi="Arial" w:cs="Arial"/>
          <w:i/>
          <w:iCs/>
          <w:sz w:val="24"/>
          <w:szCs w:val="24"/>
          <w:lang w:eastAsia="en-GB"/>
        </w:rPr>
        <w:t>Leadership trends in global hospitality: stay ahead of the curve.</w:t>
      </w:r>
      <w:r w:rsidRPr="003A66C6">
        <w:rPr>
          <w:rFonts w:ascii="Arial" w:eastAsia="Times New Roman" w:hAnsi="Arial" w:cs="Arial"/>
          <w:sz w:val="24"/>
          <w:szCs w:val="24"/>
          <w:lang w:eastAsia="en-GB"/>
        </w:rPr>
        <w:t xml:space="preserve"> [online] hospitalityinsights.ehl.edu. Available at: https://hospitalityinsights.ehl.edu/leadership-trends-shaping-hospitality-businesses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063CC1E0" w14:textId="46AFD095"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Gürbüz, S., Şahin, F. and Köksal, O. (2014</w:t>
      </w:r>
      <w:r w:rsidR="00E1564F">
        <w:rPr>
          <w:rFonts w:ascii="Arial" w:eastAsia="Times New Roman" w:hAnsi="Arial" w:cs="Arial"/>
          <w:sz w:val="24"/>
          <w:szCs w:val="24"/>
          <w:lang w:eastAsia="en-GB"/>
        </w:rPr>
        <w:t>)</w:t>
      </w:r>
      <w:r w:rsidRPr="007B5A69">
        <w:rPr>
          <w:rFonts w:ascii="Arial" w:eastAsia="Times New Roman" w:hAnsi="Arial" w:cs="Arial"/>
          <w:i/>
          <w:iCs/>
          <w:sz w:val="24"/>
          <w:szCs w:val="24"/>
          <w:lang w:eastAsia="en-GB"/>
        </w:rPr>
        <w:t xml:space="preserve"> “Revisiting of Theory X and Y: A multilevel analysis of the effects of leaders’ managerial assumptions on followers’ attitudes,”</w:t>
      </w:r>
      <w:r w:rsidRPr="003A66C6">
        <w:rPr>
          <w:rFonts w:ascii="Arial" w:eastAsia="Times New Roman" w:hAnsi="Arial" w:cs="Arial"/>
          <w:sz w:val="24"/>
          <w:szCs w:val="24"/>
          <w:lang w:eastAsia="en-GB"/>
        </w:rPr>
        <w:t xml:space="preserve"> </w:t>
      </w:r>
      <w:r w:rsidRPr="003A66C6">
        <w:rPr>
          <w:rFonts w:ascii="Arial" w:eastAsia="Times New Roman" w:hAnsi="Arial" w:cs="Arial"/>
          <w:i/>
          <w:iCs/>
          <w:sz w:val="24"/>
          <w:szCs w:val="24"/>
          <w:lang w:eastAsia="en-GB"/>
        </w:rPr>
        <w:t>Management decision</w:t>
      </w:r>
      <w:r w:rsidRPr="003A66C6">
        <w:rPr>
          <w:rFonts w:ascii="Arial" w:eastAsia="Times New Roman" w:hAnsi="Arial" w:cs="Arial"/>
          <w:sz w:val="24"/>
          <w:szCs w:val="24"/>
          <w:lang w:eastAsia="en-GB"/>
        </w:rPr>
        <w:t xml:space="preserve">, 52(10), pp. 1888–1906. Available at: </w:t>
      </w:r>
      <w:hyperlink r:id="rId8" w:history="1">
        <w:r w:rsidRPr="003A66C6">
          <w:rPr>
            <w:rStyle w:val="Hyperlink"/>
            <w:rFonts w:ascii="Arial" w:eastAsia="Times New Roman" w:hAnsi="Arial" w:cs="Arial"/>
            <w:color w:val="auto"/>
            <w:sz w:val="24"/>
            <w:szCs w:val="24"/>
            <w:lang w:eastAsia="en-GB"/>
          </w:rPr>
          <w:t>https://doi.org/10.1108/MD-06-2013-0357</w:t>
        </w:r>
      </w:hyperlink>
      <w:r w:rsidRPr="003A66C6">
        <w:rPr>
          <w:rFonts w:ascii="Arial" w:eastAsia="Times New Roman" w:hAnsi="Arial" w:cs="Arial"/>
          <w:sz w:val="24"/>
          <w:szCs w:val="24"/>
          <w:lang w:eastAsia="en-GB"/>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63E66CF0" w14:textId="7C85CDC4" w:rsidR="007B5A69" w:rsidRPr="003A66C6" w:rsidRDefault="007B5A69" w:rsidP="00D24900">
      <w:pPr>
        <w:spacing w:before="240" w:after="0" w:line="240" w:lineRule="auto"/>
        <w:rPr>
          <w:rFonts w:ascii="Arial" w:eastAsia="Times New Roman" w:hAnsi="Arial" w:cs="Arial"/>
          <w:sz w:val="24"/>
          <w:szCs w:val="24"/>
          <w:lang w:eastAsia="en-GB"/>
        </w:rPr>
      </w:pPr>
      <w:r w:rsidRPr="002F7680">
        <w:rPr>
          <w:rFonts w:ascii="Arial" w:eastAsia="Times New Roman" w:hAnsi="Arial" w:cs="Arial"/>
          <w:sz w:val="24"/>
          <w:szCs w:val="24"/>
          <w:lang w:eastAsia="en-GB"/>
        </w:rPr>
        <w:t xml:space="preserve">Islam, M. and </w:t>
      </w:r>
      <w:proofErr w:type="spellStart"/>
      <w:r w:rsidRPr="002F7680">
        <w:rPr>
          <w:rFonts w:ascii="Arial" w:eastAsia="Times New Roman" w:hAnsi="Arial" w:cs="Arial"/>
          <w:sz w:val="24"/>
          <w:szCs w:val="24"/>
          <w:lang w:eastAsia="en-GB"/>
        </w:rPr>
        <w:t>Bhattachar</w:t>
      </w:r>
      <w:proofErr w:type="spellEnd"/>
      <w:r w:rsidRPr="002F7680">
        <w:rPr>
          <w:rFonts w:ascii="Arial" w:eastAsia="Times New Roman" w:hAnsi="Arial" w:cs="Arial"/>
          <w:sz w:val="24"/>
          <w:szCs w:val="24"/>
          <w:lang w:eastAsia="en-GB"/>
        </w:rPr>
        <w:t>, P. (2019</w:t>
      </w:r>
      <w:r w:rsidR="00E1564F">
        <w:rPr>
          <w:rFonts w:ascii="Arial" w:eastAsia="Times New Roman" w:hAnsi="Arial" w:cs="Arial"/>
          <w:sz w:val="24"/>
          <w:szCs w:val="24"/>
          <w:lang w:eastAsia="en-GB"/>
        </w:rPr>
        <w:t>)</w:t>
      </w:r>
      <w:r w:rsidRPr="00E1564F">
        <w:rPr>
          <w:rFonts w:ascii="Arial" w:eastAsia="Times New Roman" w:hAnsi="Arial" w:cs="Arial"/>
          <w:i/>
          <w:iCs/>
          <w:sz w:val="24"/>
          <w:szCs w:val="24"/>
          <w:lang w:eastAsia="en-GB"/>
        </w:rPr>
        <w:t xml:space="preserve"> A Review on Managerial Grid of Leadership and its Impact on Employees and Organization</w:t>
      </w:r>
      <w:r w:rsidRPr="002F7680">
        <w:rPr>
          <w:rFonts w:ascii="Arial" w:eastAsia="Times New Roman" w:hAnsi="Arial" w:cs="Arial"/>
          <w:sz w:val="24"/>
          <w:szCs w:val="24"/>
          <w:lang w:eastAsia="en-GB"/>
        </w:rPr>
        <w:t>. International Journal of Research, 06, pp.159–162.</w:t>
      </w:r>
    </w:p>
    <w:p w14:paraId="19EE26BB" w14:textId="4AFB8E8B" w:rsidR="007B5A69" w:rsidRPr="00651670" w:rsidRDefault="007B5A69" w:rsidP="00D24900">
      <w:pPr>
        <w:spacing w:before="240" w:after="0" w:line="240" w:lineRule="auto"/>
        <w:rPr>
          <w:rFonts w:ascii="Arial" w:eastAsia="Times New Roman" w:hAnsi="Arial" w:cs="Arial"/>
          <w:sz w:val="24"/>
          <w:szCs w:val="24"/>
          <w:lang w:eastAsia="en-GB"/>
        </w:rPr>
      </w:pPr>
      <w:r w:rsidRPr="007B5A69">
        <w:rPr>
          <w:rFonts w:ascii="Arial" w:eastAsia="Times New Roman" w:hAnsi="Arial" w:cs="Arial"/>
          <w:sz w:val="24"/>
          <w:szCs w:val="24"/>
          <w:lang w:eastAsia="en-GB"/>
        </w:rPr>
        <w:t xml:space="preserve">Kopelman, R., </w:t>
      </w:r>
      <w:proofErr w:type="spellStart"/>
      <w:r w:rsidRPr="007B5A69">
        <w:rPr>
          <w:rFonts w:ascii="Arial" w:eastAsia="Times New Roman" w:hAnsi="Arial" w:cs="Arial"/>
          <w:sz w:val="24"/>
          <w:szCs w:val="24"/>
          <w:lang w:eastAsia="en-GB"/>
        </w:rPr>
        <w:t>Prottas</w:t>
      </w:r>
      <w:proofErr w:type="spellEnd"/>
      <w:r w:rsidRPr="007B5A69">
        <w:rPr>
          <w:rFonts w:ascii="Arial" w:eastAsia="Times New Roman" w:hAnsi="Arial" w:cs="Arial"/>
          <w:sz w:val="24"/>
          <w:szCs w:val="24"/>
          <w:lang w:eastAsia="en-GB"/>
        </w:rPr>
        <w:t>, D. and Davis, A. (2008)</w:t>
      </w:r>
      <w:r w:rsidR="00E1564F">
        <w:rPr>
          <w:rFonts w:ascii="Arial" w:eastAsia="Times New Roman" w:hAnsi="Arial" w:cs="Arial"/>
          <w:sz w:val="24"/>
          <w:szCs w:val="24"/>
          <w:lang w:eastAsia="en-GB"/>
        </w:rPr>
        <w:t xml:space="preserve"> ‘</w:t>
      </w:r>
      <w:r w:rsidRPr="00E1564F">
        <w:rPr>
          <w:rFonts w:ascii="Arial" w:eastAsia="Times New Roman" w:hAnsi="Arial" w:cs="Arial"/>
          <w:i/>
          <w:iCs/>
          <w:sz w:val="24"/>
          <w:szCs w:val="24"/>
          <w:lang w:eastAsia="en-GB"/>
        </w:rPr>
        <w:t xml:space="preserve">Douglas McGregor’s Theory X and Y: Toward a </w:t>
      </w:r>
      <w:proofErr w:type="spellStart"/>
      <w:r w:rsidRPr="00E1564F">
        <w:rPr>
          <w:rFonts w:ascii="Arial" w:eastAsia="Times New Roman" w:hAnsi="Arial" w:cs="Arial"/>
          <w:i/>
          <w:iCs/>
          <w:sz w:val="24"/>
          <w:szCs w:val="24"/>
          <w:lang w:eastAsia="en-GB"/>
        </w:rPr>
        <w:t>ConstructValid</w:t>
      </w:r>
      <w:proofErr w:type="spellEnd"/>
      <w:r w:rsidRPr="00E1564F">
        <w:rPr>
          <w:rFonts w:ascii="Arial" w:eastAsia="Times New Roman" w:hAnsi="Arial" w:cs="Arial"/>
          <w:i/>
          <w:iCs/>
          <w:sz w:val="24"/>
          <w:szCs w:val="24"/>
          <w:lang w:eastAsia="en-GB"/>
        </w:rPr>
        <w:t xml:space="preserve"> Measure</w:t>
      </w:r>
      <w:r w:rsidR="00E1564F">
        <w:rPr>
          <w:rFonts w:ascii="Arial" w:eastAsia="Times New Roman" w:hAnsi="Arial" w:cs="Arial"/>
          <w:sz w:val="24"/>
          <w:szCs w:val="24"/>
          <w:lang w:eastAsia="en-GB"/>
        </w:rPr>
        <w:t>’</w:t>
      </w:r>
      <w:r w:rsidRPr="007B5A69">
        <w:rPr>
          <w:rFonts w:ascii="Arial" w:eastAsia="Times New Roman" w:hAnsi="Arial" w:cs="Arial"/>
          <w:sz w:val="24"/>
          <w:szCs w:val="24"/>
          <w:lang w:eastAsia="en-GB"/>
        </w:rPr>
        <w:t xml:space="preserve"> Journal of Managerial Issues, 20, p.2008.</w:t>
      </w:r>
    </w:p>
    <w:p w14:paraId="60508ADB" w14:textId="58448FED"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Live culture company (2023) </w:t>
      </w:r>
      <w:r w:rsidRPr="00E1564F">
        <w:rPr>
          <w:rFonts w:ascii="Arial" w:eastAsia="Times New Roman" w:hAnsi="Arial" w:cs="Arial"/>
          <w:i/>
          <w:iCs/>
          <w:sz w:val="24"/>
          <w:szCs w:val="24"/>
          <w:lang w:eastAsia="en-GB"/>
        </w:rPr>
        <w:t>Embracing a Flat Organisational Structure: Steps to Foster a Culture of Collaboration, Adaptability and Innovation.</w:t>
      </w:r>
      <w:r w:rsidRPr="003A66C6">
        <w:rPr>
          <w:rFonts w:ascii="Arial" w:eastAsia="Times New Roman" w:hAnsi="Arial" w:cs="Arial"/>
          <w:sz w:val="24"/>
          <w:szCs w:val="24"/>
          <w:lang w:eastAsia="en-GB"/>
        </w:rPr>
        <w:t xml:space="preserve"> [online] www.linkedin.com. Available at: https://www.linkedin.com/pulse/embracing-flat-organisational-structure-steps-foster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0CEBD2DF" w14:textId="313D714B"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Marriot international Inc (2024) </w:t>
      </w:r>
      <w:r w:rsidRPr="00E1564F">
        <w:rPr>
          <w:rFonts w:ascii="Arial" w:eastAsia="Times New Roman" w:hAnsi="Arial" w:cs="Arial"/>
          <w:i/>
          <w:iCs/>
          <w:sz w:val="24"/>
          <w:szCs w:val="24"/>
          <w:lang w:eastAsia="en-GB"/>
        </w:rPr>
        <w:t>Hotels &amp; Resorts</w:t>
      </w:r>
      <w:r w:rsidRPr="003A66C6">
        <w:rPr>
          <w:rFonts w:ascii="Arial" w:eastAsia="Times New Roman" w:hAnsi="Arial" w:cs="Arial"/>
          <w:sz w:val="24"/>
          <w:szCs w:val="24"/>
          <w:lang w:eastAsia="en-GB"/>
        </w:rPr>
        <w:t xml:space="preserve"> | Book your Hotel directly with Marriott Bonvoy. [online] Marriott Bonvoy. Available at: https://www.marriott.com/en-gb/default.mi?nst=paid&amp;cid=PAI_GLB00050J9_GLE000BM2H_GLF000OOX5&amp;ppc=ppc&amp;pId=uktbppc&amp;gclid=534ca45e6eab1914f151c272df627635&amp;gclsrc=3p.ds&amp;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w:t>
      </w:r>
      <w:r w:rsidR="001B2E59">
        <w:rPr>
          <w:rFonts w:ascii="Arial" w:eastAsia="Times New Roman" w:hAnsi="Arial" w:cs="Arial"/>
          <w:sz w:val="24"/>
          <w:szCs w:val="24"/>
          <w:lang w:eastAsia="en-GB"/>
        </w:rPr>
        <w:t>7</w:t>
      </w:r>
      <w:r w:rsidR="001B2E59" w:rsidRPr="003A66C6">
        <w:rPr>
          <w:rFonts w:ascii="Arial" w:eastAsia="Times New Roman" w:hAnsi="Arial" w:cs="Arial"/>
          <w:sz w:val="24"/>
          <w:szCs w:val="24"/>
          <w:lang w:eastAsia="en-GB"/>
        </w:rPr>
        <w:t xml:space="preserve">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4E056A49" w14:textId="71CF7D07" w:rsidR="007B5A69" w:rsidRPr="003A66C6" w:rsidRDefault="007B5A69" w:rsidP="00D24900">
      <w:pPr>
        <w:spacing w:before="240" w:after="0" w:line="240" w:lineRule="auto"/>
        <w:rPr>
          <w:rFonts w:ascii="Arial" w:eastAsia="Times New Roman" w:hAnsi="Arial" w:cs="Arial"/>
          <w:sz w:val="24"/>
          <w:szCs w:val="24"/>
          <w:lang w:eastAsia="en-GB"/>
        </w:rPr>
      </w:pPr>
      <w:r w:rsidRPr="00FB3CF3">
        <w:rPr>
          <w:rFonts w:ascii="Arial" w:eastAsia="Times New Roman" w:hAnsi="Arial" w:cs="Arial"/>
          <w:sz w:val="24"/>
          <w:szCs w:val="24"/>
          <w:lang w:eastAsia="en-GB"/>
        </w:rPr>
        <w:t>McGregor, D. (1960)</w:t>
      </w:r>
      <w:r w:rsidR="00E1564F">
        <w:rPr>
          <w:rFonts w:ascii="Arial" w:eastAsia="Times New Roman" w:hAnsi="Arial" w:cs="Arial"/>
          <w:sz w:val="24"/>
          <w:szCs w:val="24"/>
          <w:lang w:eastAsia="en-GB"/>
        </w:rPr>
        <w:t xml:space="preserve"> </w:t>
      </w:r>
      <w:r w:rsidRPr="00E1564F">
        <w:rPr>
          <w:rFonts w:ascii="Arial" w:eastAsia="Times New Roman" w:hAnsi="Arial" w:cs="Arial"/>
          <w:i/>
          <w:iCs/>
          <w:sz w:val="24"/>
          <w:szCs w:val="24"/>
          <w:lang w:eastAsia="en-GB"/>
        </w:rPr>
        <w:t>Theory X and theory Y</w:t>
      </w:r>
      <w:r w:rsidRPr="00FB3CF3">
        <w:rPr>
          <w:rFonts w:ascii="Arial" w:eastAsia="Times New Roman" w:hAnsi="Arial" w:cs="Arial"/>
          <w:sz w:val="24"/>
          <w:szCs w:val="24"/>
          <w:lang w:eastAsia="en-GB"/>
        </w:rPr>
        <w:t>. Organization theory, 358(374), 5.</w:t>
      </w:r>
    </w:p>
    <w:p w14:paraId="40CB51FA" w14:textId="699CD678" w:rsidR="007B5A69"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McKinsey &amp; Comp</w:t>
      </w:r>
      <w:r w:rsidR="00E1564F">
        <w:rPr>
          <w:rFonts w:ascii="Arial" w:eastAsia="Times New Roman" w:hAnsi="Arial" w:cs="Arial"/>
          <w:sz w:val="24"/>
          <w:szCs w:val="24"/>
          <w:lang w:eastAsia="en-GB"/>
        </w:rPr>
        <w:t>a</w:t>
      </w:r>
      <w:r w:rsidRPr="003A66C6">
        <w:rPr>
          <w:rFonts w:ascii="Arial" w:eastAsia="Times New Roman" w:hAnsi="Arial" w:cs="Arial"/>
          <w:sz w:val="24"/>
          <w:szCs w:val="24"/>
          <w:lang w:eastAsia="en-GB"/>
        </w:rPr>
        <w:t xml:space="preserve">ny (2023) </w:t>
      </w:r>
      <w:r w:rsidRPr="00E1564F">
        <w:rPr>
          <w:rFonts w:ascii="Arial" w:eastAsia="Times New Roman" w:hAnsi="Arial" w:cs="Arial"/>
          <w:i/>
          <w:iCs/>
          <w:sz w:val="24"/>
          <w:szCs w:val="24"/>
          <w:lang w:eastAsia="en-GB"/>
        </w:rPr>
        <w:t>The hotel of the future</w:t>
      </w:r>
      <w:r w:rsidRPr="003A66C6">
        <w:rPr>
          <w:rFonts w:ascii="Arial" w:eastAsia="Times New Roman" w:hAnsi="Arial" w:cs="Arial"/>
          <w:sz w:val="24"/>
          <w:szCs w:val="24"/>
          <w:lang w:eastAsia="en-GB"/>
        </w:rPr>
        <w:t xml:space="preserve"> | McKinsey. [online] www.mckinsey.com. Available at: </w:t>
      </w:r>
      <w:hyperlink r:id="rId9" w:history="1">
        <w:r w:rsidR="001B2E59" w:rsidRPr="00F72A08">
          <w:rPr>
            <w:rStyle w:val="Hyperlink"/>
            <w:rFonts w:ascii="Arial" w:eastAsia="Times New Roman" w:hAnsi="Arial" w:cs="Arial"/>
            <w:sz w:val="24"/>
            <w:szCs w:val="24"/>
            <w:lang w:eastAsia="en-GB"/>
          </w:rPr>
          <w:t>https://www.mckinsey.com/industries/travel-logistics-and-infrastructure/our-insights/the-hotel-of-the-future</w:t>
        </w:r>
      </w:hyperlink>
      <w:r w:rsidR="001B2E59">
        <w:rPr>
          <w:rFonts w:ascii="Arial" w:eastAsia="Times New Roman" w:hAnsi="Arial" w:cs="Arial"/>
          <w:sz w:val="24"/>
          <w:szCs w:val="24"/>
          <w:lang w:eastAsia="en-GB"/>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5314CD65" w14:textId="168737C1"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hAnsi="Arial" w:cs="Arial"/>
          <w:sz w:val="24"/>
          <w:szCs w:val="24"/>
          <w:shd w:val="clear" w:color="auto" w:fill="FFFFFF"/>
        </w:rPr>
        <w:t xml:space="preserve">Michelli, Joseph A. (2008) </w:t>
      </w:r>
      <w:r w:rsidRPr="003A66C6">
        <w:rPr>
          <w:rFonts w:ascii="Arial" w:hAnsi="Arial" w:cs="Arial"/>
          <w:i/>
          <w:iCs/>
          <w:sz w:val="24"/>
          <w:szCs w:val="24"/>
        </w:rPr>
        <w:t xml:space="preserve">The New Gold Standard: 5 Leadership Principles for Creating a Legendary Customer Experience Courtesy of the Ritz-Carlton Hotel </w:t>
      </w:r>
      <w:r w:rsidRPr="003A66C6">
        <w:rPr>
          <w:rFonts w:ascii="Arial" w:hAnsi="Arial" w:cs="Arial"/>
          <w:i/>
          <w:iCs/>
          <w:sz w:val="24"/>
          <w:szCs w:val="24"/>
        </w:rPr>
        <w:lastRenderedPageBreak/>
        <w:t>Company</w:t>
      </w:r>
      <w:r w:rsidRPr="003A66C6">
        <w:rPr>
          <w:rFonts w:ascii="Arial" w:hAnsi="Arial" w:cs="Arial"/>
          <w:sz w:val="24"/>
          <w:szCs w:val="24"/>
          <w:shd w:val="clear" w:color="auto" w:fill="FFFFFF"/>
        </w:rPr>
        <w:t>, McGraw-Hill Education.</w:t>
      </w:r>
      <w:r w:rsidRPr="003A66C6">
        <w:rPr>
          <w:rFonts w:ascii="Arial" w:hAnsi="Arial" w:cs="Arial"/>
          <w:i/>
          <w:iCs/>
          <w:sz w:val="24"/>
          <w:szCs w:val="24"/>
        </w:rPr>
        <w:t xml:space="preserve"> ProQuest </w:t>
      </w:r>
      <w:proofErr w:type="spellStart"/>
      <w:r w:rsidRPr="003A66C6">
        <w:rPr>
          <w:rFonts w:ascii="Arial" w:hAnsi="Arial" w:cs="Arial"/>
          <w:i/>
          <w:iCs/>
          <w:sz w:val="24"/>
          <w:szCs w:val="24"/>
        </w:rPr>
        <w:t>Ebook</w:t>
      </w:r>
      <w:proofErr w:type="spellEnd"/>
      <w:r w:rsidRPr="003A66C6">
        <w:rPr>
          <w:rFonts w:ascii="Arial" w:hAnsi="Arial" w:cs="Arial"/>
          <w:i/>
          <w:iCs/>
          <w:sz w:val="24"/>
          <w:szCs w:val="24"/>
        </w:rPr>
        <w:t xml:space="preserve"> Central</w:t>
      </w:r>
      <w:r w:rsidRPr="003A66C6">
        <w:rPr>
          <w:rFonts w:ascii="Arial" w:hAnsi="Arial" w:cs="Arial"/>
          <w:sz w:val="24"/>
          <w:szCs w:val="24"/>
          <w:shd w:val="clear" w:color="auto" w:fill="FFFFFF"/>
        </w:rPr>
        <w:t>, http://ebookcentral.proquest.com/lib/trinity/detail.action?docID=6255316.</w:t>
      </w:r>
      <w:r w:rsidRPr="003A66C6">
        <w:rPr>
          <w:rFonts w:ascii="Arial" w:hAnsi="Arial" w:cs="Arial"/>
          <w:sz w:val="24"/>
          <w:szCs w:val="24"/>
        </w:rPr>
        <w:br/>
      </w:r>
      <w:r w:rsidRPr="003A66C6">
        <w:rPr>
          <w:rFonts w:ascii="Arial" w:hAnsi="Arial" w:cs="Arial"/>
          <w:sz w:val="24"/>
          <w:szCs w:val="24"/>
          <w:shd w:val="clear" w:color="auto" w:fill="FFFFFF"/>
        </w:rPr>
        <w:t xml:space="preserve">Created from trinity on 2024-04-27 07:40:10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601872E8" w14:textId="7ABFB438"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hAnsi="Arial" w:cs="Arial"/>
          <w:sz w:val="24"/>
          <w:szCs w:val="24"/>
        </w:rPr>
        <w:t xml:space="preserve">Mullins, L (2019) </w:t>
      </w:r>
      <w:r w:rsidRPr="00E1564F">
        <w:rPr>
          <w:rFonts w:ascii="Arial" w:hAnsi="Arial" w:cs="Arial"/>
          <w:i/>
          <w:iCs/>
          <w:sz w:val="24"/>
          <w:szCs w:val="24"/>
        </w:rPr>
        <w:t>Organisational Behaviour in the Workplace,</w:t>
      </w:r>
      <w:r w:rsidRPr="003A66C6">
        <w:rPr>
          <w:rFonts w:ascii="Arial" w:hAnsi="Arial" w:cs="Arial"/>
          <w:sz w:val="24"/>
          <w:szCs w:val="24"/>
        </w:rPr>
        <w:t xml:space="preserve"> Pearson Education, Limited, Harlow. Available from: ProQuest </w:t>
      </w:r>
      <w:proofErr w:type="spellStart"/>
      <w:r w:rsidRPr="003A66C6">
        <w:rPr>
          <w:rFonts w:ascii="Arial" w:hAnsi="Arial" w:cs="Arial"/>
          <w:sz w:val="24"/>
          <w:szCs w:val="24"/>
        </w:rPr>
        <w:t>Ebook</w:t>
      </w:r>
      <w:proofErr w:type="spellEnd"/>
      <w:r w:rsidRPr="003A66C6">
        <w:rPr>
          <w:rFonts w:ascii="Arial" w:hAnsi="Arial" w:cs="Arial"/>
          <w:sz w:val="24"/>
          <w:szCs w:val="24"/>
        </w:rPr>
        <w:t xml:space="preserve"> Central. Available at: </w:t>
      </w:r>
      <w:hyperlink r:id="rId10" w:history="1">
        <w:r w:rsidRPr="003A66C6">
          <w:rPr>
            <w:rStyle w:val="Hyperlink"/>
            <w:rFonts w:ascii="Arial" w:hAnsi="Arial" w:cs="Arial"/>
            <w:color w:val="auto"/>
            <w:sz w:val="24"/>
            <w:szCs w:val="24"/>
          </w:rPr>
          <w:t xml:space="preserve">ProQuest </w:t>
        </w:r>
        <w:proofErr w:type="spellStart"/>
        <w:r w:rsidRPr="003A66C6">
          <w:rPr>
            <w:rStyle w:val="Hyperlink"/>
            <w:rFonts w:ascii="Arial" w:hAnsi="Arial" w:cs="Arial"/>
            <w:color w:val="auto"/>
            <w:sz w:val="24"/>
            <w:szCs w:val="24"/>
          </w:rPr>
          <w:t>Ebook</w:t>
        </w:r>
        <w:proofErr w:type="spellEnd"/>
        <w:r w:rsidRPr="003A66C6">
          <w:rPr>
            <w:rStyle w:val="Hyperlink"/>
            <w:rFonts w:ascii="Arial" w:hAnsi="Arial" w:cs="Arial"/>
            <w:color w:val="auto"/>
            <w:sz w:val="24"/>
            <w:szCs w:val="24"/>
          </w:rPr>
          <w:t xml:space="preserve"> Central - Reader</w:t>
        </w:r>
      </w:hyperlink>
      <w:r w:rsidRPr="003A66C6">
        <w:rPr>
          <w:rFonts w:ascii="Arial" w:hAnsi="Arial" w:cs="Arial"/>
          <w:sz w:val="24"/>
          <w:szCs w:val="24"/>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24FD189B" w14:textId="3DE7C156" w:rsidR="007B5A69" w:rsidRDefault="007B5A69" w:rsidP="00D24900">
      <w:pPr>
        <w:spacing w:before="240" w:after="0" w:line="240" w:lineRule="auto"/>
        <w:rPr>
          <w:rFonts w:ascii="Arial" w:hAnsi="Arial" w:cs="Arial"/>
          <w:sz w:val="24"/>
          <w:szCs w:val="24"/>
        </w:rPr>
      </w:pPr>
      <w:r w:rsidRPr="003A66C6">
        <w:rPr>
          <w:rFonts w:ascii="Arial" w:eastAsia="Times New Roman" w:hAnsi="Arial" w:cs="Arial"/>
          <w:sz w:val="24"/>
          <w:szCs w:val="24"/>
          <w:lang w:eastAsia="en-GB"/>
        </w:rPr>
        <w:t>Organ, A. (2023</w:t>
      </w:r>
      <w:r w:rsidR="00E1564F">
        <w:rPr>
          <w:rFonts w:ascii="Arial" w:eastAsia="Times New Roman" w:hAnsi="Arial" w:cs="Arial"/>
          <w:sz w:val="24"/>
          <w:szCs w:val="24"/>
          <w:lang w:eastAsia="en-GB"/>
        </w:rPr>
        <w:t>)</w:t>
      </w:r>
      <w:r w:rsidRPr="00E1564F">
        <w:rPr>
          <w:rFonts w:ascii="Arial" w:eastAsia="Times New Roman" w:hAnsi="Arial" w:cs="Arial"/>
          <w:i/>
          <w:iCs/>
          <w:sz w:val="24"/>
          <w:szCs w:val="24"/>
          <w:lang w:eastAsia="en-GB"/>
        </w:rPr>
        <w:t xml:space="preserve"> Suitable Leadership Type in the Hotel Industry Using</w:t>
      </w:r>
      <w:r w:rsidRPr="003A66C6">
        <w:rPr>
          <w:rFonts w:ascii="Arial" w:eastAsia="Times New Roman" w:hAnsi="Arial" w:cs="Arial"/>
          <w:sz w:val="24"/>
          <w:szCs w:val="24"/>
          <w:lang w:eastAsia="en-GB"/>
        </w:rPr>
        <w:t xml:space="preserve">. </w:t>
      </w:r>
      <w:hyperlink r:id="rId11" w:history="1">
        <w:r w:rsidRPr="003A66C6">
          <w:rPr>
            <w:rStyle w:val="Hyperlink"/>
            <w:rFonts w:ascii="Arial" w:hAnsi="Arial" w:cs="Arial"/>
            <w:color w:val="auto"/>
            <w:sz w:val="24"/>
            <w:szCs w:val="24"/>
          </w:rPr>
          <w:t>Determination-of-the-Most-Suitable-Leadership-Type-in-the-Hotel-Industry-Using-Best-Worst-Method.pdf (researchgate.net)</w:t>
        </w:r>
      </w:hyperlink>
      <w:r w:rsidRPr="003A66C6">
        <w:rPr>
          <w:rFonts w:ascii="Arial" w:hAnsi="Arial" w:cs="Arial"/>
          <w:sz w:val="24"/>
          <w:szCs w:val="24"/>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1CA5C27C" w14:textId="5C350309"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Panda, A. and Sahoo, C.K. (2021) </w:t>
      </w:r>
      <w:r w:rsidR="00CB730E">
        <w:rPr>
          <w:rFonts w:ascii="Arial" w:eastAsia="Times New Roman" w:hAnsi="Arial" w:cs="Arial"/>
          <w:sz w:val="24"/>
          <w:szCs w:val="24"/>
          <w:lang w:eastAsia="en-GB"/>
        </w:rPr>
        <w:t>‘</w:t>
      </w:r>
      <w:r w:rsidRPr="00CB730E">
        <w:rPr>
          <w:rFonts w:ascii="Arial" w:eastAsia="Times New Roman" w:hAnsi="Arial" w:cs="Arial"/>
          <w:i/>
          <w:iCs/>
          <w:sz w:val="24"/>
          <w:szCs w:val="24"/>
          <w:lang w:eastAsia="en-GB"/>
        </w:rPr>
        <w:t>Work–life balance, retention of professionals and psychological empowerment: an empirical validation</w:t>
      </w:r>
      <w:r w:rsidR="00CB730E">
        <w:rPr>
          <w:rFonts w:ascii="Arial" w:eastAsia="Times New Roman" w:hAnsi="Arial" w:cs="Arial"/>
          <w:i/>
          <w:iCs/>
          <w:sz w:val="24"/>
          <w:szCs w:val="24"/>
          <w:lang w:eastAsia="en-GB"/>
        </w:rPr>
        <w:t>’</w:t>
      </w:r>
      <w:r w:rsidRPr="00CB730E">
        <w:rPr>
          <w:rFonts w:ascii="Arial" w:eastAsia="Times New Roman" w:hAnsi="Arial" w:cs="Arial"/>
          <w:i/>
          <w:iCs/>
          <w:sz w:val="24"/>
          <w:szCs w:val="24"/>
          <w:lang w:eastAsia="en-GB"/>
        </w:rPr>
        <w:t>.</w:t>
      </w:r>
      <w:r w:rsidRPr="003A66C6">
        <w:rPr>
          <w:rFonts w:ascii="Arial" w:eastAsia="Times New Roman" w:hAnsi="Arial" w:cs="Arial"/>
          <w:sz w:val="24"/>
          <w:szCs w:val="24"/>
          <w:lang w:eastAsia="en-GB"/>
        </w:rPr>
        <w:t xml:space="preserve"> European Journal of Management Studies, [online] 26(2/3), pp.103–123. </w:t>
      </w:r>
      <w:proofErr w:type="spellStart"/>
      <w:r w:rsidRPr="003A66C6">
        <w:rPr>
          <w:rFonts w:ascii="Arial" w:eastAsia="Times New Roman" w:hAnsi="Arial" w:cs="Arial"/>
          <w:sz w:val="24"/>
          <w:szCs w:val="24"/>
          <w:lang w:eastAsia="en-GB"/>
        </w:rPr>
        <w:t>doi:https</w:t>
      </w:r>
      <w:proofErr w:type="spellEnd"/>
      <w:r w:rsidRPr="003A66C6">
        <w:rPr>
          <w:rFonts w:ascii="Arial" w:eastAsia="Times New Roman" w:hAnsi="Arial" w:cs="Arial"/>
          <w:sz w:val="24"/>
          <w:szCs w:val="24"/>
          <w:lang w:eastAsia="en-GB"/>
        </w:rPr>
        <w:t xml:space="preserve">://doi.org/10.1108/EJMS1220200003.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1E22D029" w14:textId="448AD7BD"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Peters, R. (2024) </w:t>
      </w:r>
      <w:r w:rsidRPr="00CB730E">
        <w:rPr>
          <w:rFonts w:ascii="Arial" w:eastAsia="Times New Roman" w:hAnsi="Arial" w:cs="Arial"/>
          <w:i/>
          <w:iCs/>
          <w:sz w:val="24"/>
          <w:szCs w:val="24"/>
          <w:lang w:eastAsia="en-GB"/>
        </w:rPr>
        <w:t xml:space="preserve">CIPD </w:t>
      </w:r>
      <w:r w:rsidRPr="003A66C6">
        <w:rPr>
          <w:rFonts w:ascii="Arial" w:eastAsia="Times New Roman" w:hAnsi="Arial" w:cs="Arial"/>
          <w:sz w:val="24"/>
          <w:szCs w:val="24"/>
          <w:lang w:eastAsia="en-GB"/>
        </w:rPr>
        <w:t xml:space="preserve">| Employee Turnover &amp; Retention | Factsheets. [online] CIPD. Available at: https://www.cipd.org/uk/knowledge/factsheets/turnover-retention-factsheet/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389888D1" w14:textId="4775B324"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Scholarly &amp;, D.A. and Society, S.R. (2019) </w:t>
      </w:r>
      <w:r w:rsidRPr="00CB730E">
        <w:rPr>
          <w:rFonts w:ascii="Arial" w:eastAsia="Times New Roman" w:hAnsi="Arial" w:cs="Arial"/>
          <w:i/>
          <w:iCs/>
          <w:sz w:val="24"/>
          <w:szCs w:val="24"/>
          <w:lang w:eastAsia="en-GB"/>
        </w:rPr>
        <w:t>Models of Leadership and Teamwork:</w:t>
      </w:r>
      <w:r w:rsidRPr="003A66C6">
        <w:rPr>
          <w:rFonts w:ascii="Arial" w:eastAsia="Times New Roman" w:hAnsi="Arial" w:cs="Arial"/>
          <w:sz w:val="24"/>
          <w:szCs w:val="24"/>
          <w:lang w:eastAsia="en-GB"/>
        </w:rPr>
        <w:t xml:space="preserve"> Adairs Action-Centred Leadership Model (1973. Worldwide Journal of Multi-disciplinary Studies, [online] 1(5). Available at: https://www.academia.edu/39246094/Models_of_Leadership_and_Teamwork_Adairs_Action_Centred_Leadership_Model_1973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w:t>
      </w:r>
    </w:p>
    <w:p w14:paraId="4EC57E2F" w14:textId="07B6D5FF" w:rsidR="007B5A69" w:rsidRPr="003A66C6" w:rsidRDefault="007B5A69" w:rsidP="00D24900">
      <w:pPr>
        <w:spacing w:before="240" w:after="0" w:line="240" w:lineRule="auto"/>
        <w:rPr>
          <w:rFonts w:ascii="Arial" w:eastAsia="Times New Roman" w:hAnsi="Arial" w:cs="Arial"/>
          <w:sz w:val="24"/>
          <w:szCs w:val="24"/>
          <w:lang w:eastAsia="en-GB"/>
        </w:rPr>
      </w:pPr>
      <w:proofErr w:type="spellStart"/>
      <w:r w:rsidRPr="003A66C6">
        <w:rPr>
          <w:rFonts w:ascii="Arial" w:eastAsia="Times New Roman" w:hAnsi="Arial" w:cs="Arial"/>
          <w:sz w:val="24"/>
          <w:szCs w:val="24"/>
          <w:lang w:eastAsia="en-GB"/>
        </w:rPr>
        <w:t>Shinek</w:t>
      </w:r>
      <w:proofErr w:type="spellEnd"/>
      <w:r w:rsidRPr="003A66C6">
        <w:rPr>
          <w:rFonts w:ascii="Arial" w:eastAsia="Times New Roman" w:hAnsi="Arial" w:cs="Arial"/>
          <w:sz w:val="24"/>
          <w:szCs w:val="24"/>
          <w:lang w:eastAsia="en-GB"/>
        </w:rPr>
        <w:t xml:space="preserve">, S. (2023) </w:t>
      </w:r>
      <w:r w:rsidRPr="00CB730E">
        <w:rPr>
          <w:rFonts w:ascii="Arial" w:eastAsia="Times New Roman" w:hAnsi="Arial" w:cs="Arial"/>
          <w:i/>
          <w:iCs/>
          <w:sz w:val="24"/>
          <w:szCs w:val="24"/>
          <w:lang w:eastAsia="en-GB"/>
        </w:rPr>
        <w:t>Simon Sinek’s guide to leadership</w:t>
      </w:r>
      <w:r w:rsidRPr="003A66C6">
        <w:rPr>
          <w:rFonts w:ascii="Arial" w:eastAsia="Times New Roman" w:hAnsi="Arial" w:cs="Arial"/>
          <w:sz w:val="24"/>
          <w:szCs w:val="24"/>
          <w:lang w:eastAsia="en-GB"/>
        </w:rPr>
        <w:t xml:space="preserve"> | </w:t>
      </w:r>
      <w:proofErr w:type="spellStart"/>
      <w:r w:rsidRPr="003A66C6">
        <w:rPr>
          <w:rFonts w:ascii="Arial" w:eastAsia="Times New Roman" w:hAnsi="Arial" w:cs="Arial"/>
          <w:sz w:val="24"/>
          <w:szCs w:val="24"/>
          <w:lang w:eastAsia="en-GB"/>
        </w:rPr>
        <w:t>MotivationArk</w:t>
      </w:r>
      <w:proofErr w:type="spellEnd"/>
      <w:r w:rsidRPr="003A66C6">
        <w:rPr>
          <w:rFonts w:ascii="Arial" w:eastAsia="Times New Roman" w:hAnsi="Arial" w:cs="Arial"/>
          <w:sz w:val="24"/>
          <w:szCs w:val="24"/>
          <w:lang w:eastAsia="en-GB"/>
        </w:rPr>
        <w:t xml:space="preserve">. [online] www.youtube.com. Available at: </w:t>
      </w:r>
      <w:hyperlink r:id="rId12" w:history="1">
        <w:r w:rsidR="001B2E59" w:rsidRPr="00F72A08">
          <w:rPr>
            <w:rStyle w:val="Hyperlink"/>
            <w:rFonts w:ascii="Arial" w:eastAsia="Times New Roman" w:hAnsi="Arial" w:cs="Arial"/>
            <w:sz w:val="24"/>
            <w:szCs w:val="24"/>
            <w:lang w:eastAsia="en-GB"/>
          </w:rPr>
          <w:t>https://www.youtube.com/watch?v=eXDNkwIeOqA</w:t>
        </w:r>
      </w:hyperlink>
      <w:r w:rsidR="001B2E59">
        <w:rPr>
          <w:rFonts w:ascii="Arial" w:eastAsia="Times New Roman" w:hAnsi="Arial" w:cs="Arial"/>
          <w:sz w:val="24"/>
          <w:szCs w:val="24"/>
          <w:lang w:eastAsia="en-GB"/>
        </w:rPr>
        <w:t xml:space="preserve"> </w:t>
      </w:r>
      <w:r w:rsidR="001B2E59">
        <w:rPr>
          <w:rFonts w:ascii="Arial" w:eastAsia="Times New Roman" w:hAnsi="Arial" w:cs="Arial"/>
          <w:sz w:val="24"/>
          <w:szCs w:val="24"/>
          <w:lang w:eastAsia="en-GB"/>
        </w:rPr>
        <w:t>(</w:t>
      </w:r>
      <w:r w:rsidR="001B2E59"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w:t>
      </w:r>
    </w:p>
    <w:p w14:paraId="0986BD20" w14:textId="35FAF247"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Singh, K., </w:t>
      </w:r>
      <w:proofErr w:type="spellStart"/>
      <w:r w:rsidRPr="003A66C6">
        <w:rPr>
          <w:rFonts w:ascii="Arial" w:eastAsia="Times New Roman" w:hAnsi="Arial" w:cs="Arial"/>
          <w:sz w:val="24"/>
          <w:szCs w:val="24"/>
          <w:lang w:eastAsia="en-GB"/>
        </w:rPr>
        <w:t>Kokkranikal</w:t>
      </w:r>
      <w:proofErr w:type="spellEnd"/>
      <w:r w:rsidRPr="003A66C6">
        <w:rPr>
          <w:rFonts w:ascii="Arial" w:eastAsia="Times New Roman" w:hAnsi="Arial" w:cs="Arial"/>
          <w:sz w:val="24"/>
          <w:szCs w:val="24"/>
          <w:lang w:eastAsia="en-GB"/>
        </w:rPr>
        <w:t xml:space="preserve">, J., Bharadwaj, R., Rai, S. and Antony, J. (2021) </w:t>
      </w:r>
      <w:r w:rsidR="00CB730E">
        <w:rPr>
          <w:rFonts w:ascii="Arial" w:eastAsia="Times New Roman" w:hAnsi="Arial" w:cs="Arial"/>
          <w:sz w:val="24"/>
          <w:szCs w:val="24"/>
          <w:lang w:eastAsia="en-GB"/>
        </w:rPr>
        <w:t>‘</w:t>
      </w:r>
      <w:r w:rsidRPr="00CB730E">
        <w:rPr>
          <w:rFonts w:ascii="Arial" w:eastAsia="Times New Roman" w:hAnsi="Arial" w:cs="Arial"/>
          <w:i/>
          <w:iCs/>
          <w:sz w:val="24"/>
          <w:szCs w:val="24"/>
          <w:lang w:eastAsia="en-GB"/>
        </w:rPr>
        <w:t>Service Quality and Customer Satisfaction in Hospitality, Leisure, Sport and Tourism: An Assessment of Research in Web of Science</w:t>
      </w:r>
      <w:r w:rsidR="00CB730E">
        <w:rPr>
          <w:rFonts w:ascii="Arial" w:eastAsia="Times New Roman" w:hAnsi="Arial" w:cs="Arial"/>
          <w:sz w:val="24"/>
          <w:szCs w:val="24"/>
          <w:lang w:eastAsia="en-GB"/>
        </w:rPr>
        <w:t>’</w:t>
      </w:r>
      <w:r w:rsidRPr="003A66C6">
        <w:rPr>
          <w:rFonts w:ascii="Arial" w:eastAsia="Times New Roman" w:hAnsi="Arial" w:cs="Arial"/>
          <w:sz w:val="24"/>
          <w:szCs w:val="24"/>
          <w:lang w:eastAsia="en-GB"/>
        </w:rPr>
        <w:t xml:space="preserve">. Journal of Quality Assurance in Hospitality &amp; Tourism, [online] 24(1), pp.1–27. </w:t>
      </w:r>
      <w:proofErr w:type="spellStart"/>
      <w:r w:rsidRPr="003A66C6">
        <w:rPr>
          <w:rFonts w:ascii="Arial" w:eastAsia="Times New Roman" w:hAnsi="Arial" w:cs="Arial"/>
          <w:sz w:val="24"/>
          <w:szCs w:val="24"/>
          <w:lang w:eastAsia="en-GB"/>
        </w:rPr>
        <w:t>doi:https</w:t>
      </w:r>
      <w:proofErr w:type="spellEnd"/>
      <w:r w:rsidRPr="003A66C6">
        <w:rPr>
          <w:rFonts w:ascii="Arial" w:eastAsia="Times New Roman" w:hAnsi="Arial" w:cs="Arial"/>
          <w:sz w:val="24"/>
          <w:szCs w:val="24"/>
          <w:lang w:eastAsia="en-GB"/>
        </w:rPr>
        <w:t xml:space="preserve">://doi.org/10.1080/1528008x.2021.2012735 </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w:t>
      </w:r>
    </w:p>
    <w:p w14:paraId="11122542" w14:textId="2E5BAF84"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Steinbock, E. (2024) </w:t>
      </w:r>
      <w:r w:rsidRPr="00CB730E">
        <w:rPr>
          <w:rFonts w:ascii="Arial" w:eastAsia="Times New Roman" w:hAnsi="Arial" w:cs="Arial"/>
          <w:i/>
          <w:iCs/>
          <w:sz w:val="24"/>
          <w:szCs w:val="24"/>
          <w:lang w:eastAsia="en-GB"/>
        </w:rPr>
        <w:t xml:space="preserve">Merging company culture: Marriott and Ritz-Carlton. </w:t>
      </w:r>
      <w:r w:rsidRPr="003A66C6">
        <w:rPr>
          <w:rFonts w:ascii="Arial" w:eastAsia="Times New Roman" w:hAnsi="Arial" w:cs="Arial"/>
          <w:sz w:val="24"/>
          <w:szCs w:val="24"/>
          <w:lang w:eastAsia="en-GB"/>
        </w:rPr>
        <w:t xml:space="preserve">London: Henry Stewart Talks https://hstalks-com.ezproxy.uwtsd.ac.uk/t/5534/merging-company-culture-marriott-and-ritz-carlton/?business </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Accessed 26 Apr. 2024</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w:t>
      </w:r>
    </w:p>
    <w:p w14:paraId="002C0409" w14:textId="4CD98C4E" w:rsidR="007B5A69" w:rsidRPr="003A66C6"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Steinbock, E. (2024) </w:t>
      </w:r>
      <w:r w:rsidRPr="00CB730E">
        <w:rPr>
          <w:rFonts w:ascii="Arial" w:eastAsia="Times New Roman" w:hAnsi="Arial" w:cs="Arial"/>
          <w:i/>
          <w:iCs/>
          <w:sz w:val="24"/>
          <w:szCs w:val="24"/>
          <w:lang w:eastAsia="en-GB"/>
        </w:rPr>
        <w:t xml:space="preserve">Merging company culture: Marriott and </w:t>
      </w:r>
      <w:proofErr w:type="spellStart"/>
      <w:r w:rsidRPr="00CB730E">
        <w:rPr>
          <w:rFonts w:ascii="Arial" w:eastAsia="Times New Roman" w:hAnsi="Arial" w:cs="Arial"/>
          <w:i/>
          <w:iCs/>
          <w:sz w:val="24"/>
          <w:szCs w:val="24"/>
          <w:lang w:eastAsia="en-GB"/>
        </w:rPr>
        <w:t>RitzCarlton</w:t>
      </w:r>
      <w:proofErr w:type="spellEnd"/>
      <w:r w:rsidRPr="00CB730E">
        <w:rPr>
          <w:rFonts w:ascii="Arial" w:eastAsia="Times New Roman" w:hAnsi="Arial" w:cs="Arial"/>
          <w:i/>
          <w:iCs/>
          <w:sz w:val="24"/>
          <w:szCs w:val="24"/>
          <w:lang w:eastAsia="en-GB"/>
        </w:rPr>
        <w:t>.</w:t>
      </w:r>
      <w:r w:rsidRPr="003A66C6">
        <w:rPr>
          <w:rFonts w:ascii="Arial" w:eastAsia="Times New Roman" w:hAnsi="Arial" w:cs="Arial"/>
          <w:sz w:val="24"/>
          <w:szCs w:val="24"/>
          <w:lang w:eastAsia="en-GB"/>
        </w:rPr>
        <w:t xml:space="preserve"> Available at: https://hstalks.com/bm/5534/ </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Accessed 27 Apr. 2024</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w:t>
      </w:r>
    </w:p>
    <w:p w14:paraId="33A38372" w14:textId="7DC5FBBB" w:rsidR="007B5A69" w:rsidRDefault="007B5A69" w:rsidP="00D24900">
      <w:pPr>
        <w:spacing w:before="240" w:after="0" w:line="240" w:lineRule="auto"/>
        <w:rPr>
          <w:rFonts w:ascii="Arial" w:eastAsia="Times New Roman" w:hAnsi="Arial" w:cs="Arial"/>
          <w:sz w:val="24"/>
          <w:szCs w:val="24"/>
          <w:lang w:eastAsia="en-GB"/>
        </w:rPr>
      </w:pPr>
      <w:r w:rsidRPr="003A66C6">
        <w:rPr>
          <w:rFonts w:ascii="Arial" w:eastAsia="Times New Roman" w:hAnsi="Arial" w:cs="Arial"/>
          <w:sz w:val="24"/>
          <w:szCs w:val="24"/>
          <w:lang w:eastAsia="en-GB"/>
        </w:rPr>
        <w:t xml:space="preserve">The Ritz-Carlton (2023) </w:t>
      </w:r>
      <w:r w:rsidRPr="00CB730E">
        <w:rPr>
          <w:rFonts w:ascii="Arial" w:eastAsia="Times New Roman" w:hAnsi="Arial" w:cs="Arial"/>
          <w:i/>
          <w:iCs/>
          <w:sz w:val="24"/>
          <w:szCs w:val="24"/>
          <w:lang w:eastAsia="en-GB"/>
        </w:rPr>
        <w:t>About The Ritz-Carlton</w:t>
      </w:r>
      <w:r w:rsidRPr="003A66C6">
        <w:rPr>
          <w:rFonts w:ascii="Arial" w:eastAsia="Times New Roman" w:hAnsi="Arial" w:cs="Arial"/>
          <w:sz w:val="24"/>
          <w:szCs w:val="24"/>
          <w:lang w:eastAsia="en-GB"/>
        </w:rPr>
        <w:t xml:space="preserve">. [online] www.ritzcarlton.com. Available at: https://www.ritzcarlton.com/en/about-the-ritz-carlton/ </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Accessed 27 Apr. 2024</w:t>
      </w:r>
      <w:r w:rsidR="001B2E59">
        <w:rPr>
          <w:rFonts w:ascii="Arial" w:eastAsia="Times New Roman" w:hAnsi="Arial" w:cs="Arial"/>
          <w:sz w:val="24"/>
          <w:szCs w:val="24"/>
          <w:lang w:eastAsia="en-GB"/>
        </w:rPr>
        <w:t>)</w:t>
      </w:r>
      <w:r w:rsidRPr="003A66C6">
        <w:rPr>
          <w:rFonts w:ascii="Arial" w:eastAsia="Times New Roman" w:hAnsi="Arial" w:cs="Arial"/>
          <w:sz w:val="24"/>
          <w:szCs w:val="24"/>
          <w:lang w:eastAsia="en-GB"/>
        </w:rPr>
        <w:t>.</w:t>
      </w:r>
    </w:p>
    <w:sectPr w:rsidR="007B5A69" w:rsidSect="004210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6B0402"/>
    <w:multiLevelType w:val="hybridMultilevel"/>
    <w:tmpl w:val="FFAAC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464125"/>
    <w:multiLevelType w:val="hybridMultilevel"/>
    <w:tmpl w:val="D5F84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3216429">
    <w:abstractNumId w:val="1"/>
  </w:num>
  <w:num w:numId="2" w16cid:durableId="1974017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F5B"/>
    <w:rsid w:val="0000360F"/>
    <w:rsid w:val="00003CBC"/>
    <w:rsid w:val="000053DE"/>
    <w:rsid w:val="000167AA"/>
    <w:rsid w:val="0002223A"/>
    <w:rsid w:val="00024E57"/>
    <w:rsid w:val="00025277"/>
    <w:rsid w:val="0004323C"/>
    <w:rsid w:val="00057B60"/>
    <w:rsid w:val="00061C1F"/>
    <w:rsid w:val="00075EF2"/>
    <w:rsid w:val="00080989"/>
    <w:rsid w:val="000860DB"/>
    <w:rsid w:val="00087380"/>
    <w:rsid w:val="000909B1"/>
    <w:rsid w:val="00090CAC"/>
    <w:rsid w:val="00092F9B"/>
    <w:rsid w:val="00097548"/>
    <w:rsid w:val="000C3221"/>
    <w:rsid w:val="000D132C"/>
    <w:rsid w:val="000F18CD"/>
    <w:rsid w:val="00106EDB"/>
    <w:rsid w:val="00107E8E"/>
    <w:rsid w:val="00107F5B"/>
    <w:rsid w:val="00112D58"/>
    <w:rsid w:val="00117262"/>
    <w:rsid w:val="0012479F"/>
    <w:rsid w:val="00125924"/>
    <w:rsid w:val="00144FCC"/>
    <w:rsid w:val="001503DE"/>
    <w:rsid w:val="001656B7"/>
    <w:rsid w:val="00171B3D"/>
    <w:rsid w:val="00173E58"/>
    <w:rsid w:val="00190670"/>
    <w:rsid w:val="001B2E59"/>
    <w:rsid w:val="001B4248"/>
    <w:rsid w:val="001B7BF7"/>
    <w:rsid w:val="001E044D"/>
    <w:rsid w:val="001F1D4C"/>
    <w:rsid w:val="001F4E6E"/>
    <w:rsid w:val="0020177C"/>
    <w:rsid w:val="0021173E"/>
    <w:rsid w:val="0021323B"/>
    <w:rsid w:val="00213604"/>
    <w:rsid w:val="002267F4"/>
    <w:rsid w:val="00267D58"/>
    <w:rsid w:val="00271033"/>
    <w:rsid w:val="0027325C"/>
    <w:rsid w:val="00281200"/>
    <w:rsid w:val="00286A32"/>
    <w:rsid w:val="0029484B"/>
    <w:rsid w:val="002C56C0"/>
    <w:rsid w:val="002D161B"/>
    <w:rsid w:val="002E5545"/>
    <w:rsid w:val="002F62D2"/>
    <w:rsid w:val="002F7680"/>
    <w:rsid w:val="00303BAE"/>
    <w:rsid w:val="00306B15"/>
    <w:rsid w:val="00317596"/>
    <w:rsid w:val="00325C01"/>
    <w:rsid w:val="00353D2A"/>
    <w:rsid w:val="00381940"/>
    <w:rsid w:val="0039353B"/>
    <w:rsid w:val="003A217C"/>
    <w:rsid w:val="003A66C6"/>
    <w:rsid w:val="003B20BE"/>
    <w:rsid w:val="003C0D9A"/>
    <w:rsid w:val="003C15BF"/>
    <w:rsid w:val="003F5EA2"/>
    <w:rsid w:val="00403641"/>
    <w:rsid w:val="00412913"/>
    <w:rsid w:val="004154C9"/>
    <w:rsid w:val="004178B5"/>
    <w:rsid w:val="00421015"/>
    <w:rsid w:val="00421F20"/>
    <w:rsid w:val="00426776"/>
    <w:rsid w:val="004310F4"/>
    <w:rsid w:val="00446D60"/>
    <w:rsid w:val="0048584E"/>
    <w:rsid w:val="004A458F"/>
    <w:rsid w:val="004B04DC"/>
    <w:rsid w:val="004B0E44"/>
    <w:rsid w:val="004B3F64"/>
    <w:rsid w:val="004B5B72"/>
    <w:rsid w:val="004D3F1F"/>
    <w:rsid w:val="004D464D"/>
    <w:rsid w:val="004E6672"/>
    <w:rsid w:val="004F5EF0"/>
    <w:rsid w:val="00506F1A"/>
    <w:rsid w:val="005071EF"/>
    <w:rsid w:val="00507761"/>
    <w:rsid w:val="005227D3"/>
    <w:rsid w:val="0053194D"/>
    <w:rsid w:val="00535E72"/>
    <w:rsid w:val="00541DC7"/>
    <w:rsid w:val="00576103"/>
    <w:rsid w:val="00577F68"/>
    <w:rsid w:val="005933AB"/>
    <w:rsid w:val="005955AB"/>
    <w:rsid w:val="005A4FD8"/>
    <w:rsid w:val="005A73F9"/>
    <w:rsid w:val="005B30AA"/>
    <w:rsid w:val="005C327C"/>
    <w:rsid w:val="005C543D"/>
    <w:rsid w:val="005D1801"/>
    <w:rsid w:val="005F3034"/>
    <w:rsid w:val="00623CAF"/>
    <w:rsid w:val="00625689"/>
    <w:rsid w:val="00636DE6"/>
    <w:rsid w:val="00640085"/>
    <w:rsid w:val="00651670"/>
    <w:rsid w:val="00656941"/>
    <w:rsid w:val="00691C45"/>
    <w:rsid w:val="0069466E"/>
    <w:rsid w:val="006A7568"/>
    <w:rsid w:val="006C299B"/>
    <w:rsid w:val="00756108"/>
    <w:rsid w:val="00757136"/>
    <w:rsid w:val="00766050"/>
    <w:rsid w:val="00775124"/>
    <w:rsid w:val="00783819"/>
    <w:rsid w:val="007B22CA"/>
    <w:rsid w:val="007B5193"/>
    <w:rsid w:val="007B5A69"/>
    <w:rsid w:val="007E0D15"/>
    <w:rsid w:val="007E237F"/>
    <w:rsid w:val="007E4B6C"/>
    <w:rsid w:val="00801B93"/>
    <w:rsid w:val="00811BC5"/>
    <w:rsid w:val="00822D53"/>
    <w:rsid w:val="00840454"/>
    <w:rsid w:val="008452CC"/>
    <w:rsid w:val="00883536"/>
    <w:rsid w:val="008C7B69"/>
    <w:rsid w:val="00905ED9"/>
    <w:rsid w:val="00910915"/>
    <w:rsid w:val="00924CA5"/>
    <w:rsid w:val="00925B8D"/>
    <w:rsid w:val="00934A16"/>
    <w:rsid w:val="0094496A"/>
    <w:rsid w:val="009458F4"/>
    <w:rsid w:val="009459E3"/>
    <w:rsid w:val="0096734F"/>
    <w:rsid w:val="00970272"/>
    <w:rsid w:val="009A4C93"/>
    <w:rsid w:val="009D2E0F"/>
    <w:rsid w:val="009E6D1D"/>
    <w:rsid w:val="009F1568"/>
    <w:rsid w:val="009F25C3"/>
    <w:rsid w:val="00A122D4"/>
    <w:rsid w:val="00A149CC"/>
    <w:rsid w:val="00A17644"/>
    <w:rsid w:val="00A22781"/>
    <w:rsid w:val="00A249AC"/>
    <w:rsid w:val="00A2588E"/>
    <w:rsid w:val="00A35909"/>
    <w:rsid w:val="00A4181B"/>
    <w:rsid w:val="00A618B0"/>
    <w:rsid w:val="00A75491"/>
    <w:rsid w:val="00A7702A"/>
    <w:rsid w:val="00A87DCB"/>
    <w:rsid w:val="00A919C5"/>
    <w:rsid w:val="00AA3C0A"/>
    <w:rsid w:val="00AA6729"/>
    <w:rsid w:val="00AC1890"/>
    <w:rsid w:val="00AD1931"/>
    <w:rsid w:val="00AE092D"/>
    <w:rsid w:val="00AE20EE"/>
    <w:rsid w:val="00AE3810"/>
    <w:rsid w:val="00AE6C4F"/>
    <w:rsid w:val="00B04AA5"/>
    <w:rsid w:val="00B16B03"/>
    <w:rsid w:val="00B17EC9"/>
    <w:rsid w:val="00B344B8"/>
    <w:rsid w:val="00B43C0F"/>
    <w:rsid w:val="00B44CDD"/>
    <w:rsid w:val="00B55B9C"/>
    <w:rsid w:val="00B75A2C"/>
    <w:rsid w:val="00B95036"/>
    <w:rsid w:val="00BA2945"/>
    <w:rsid w:val="00BB4EE6"/>
    <w:rsid w:val="00BC5DDF"/>
    <w:rsid w:val="00C02BBB"/>
    <w:rsid w:val="00C10210"/>
    <w:rsid w:val="00C208F3"/>
    <w:rsid w:val="00C22EBA"/>
    <w:rsid w:val="00C268A2"/>
    <w:rsid w:val="00C273E6"/>
    <w:rsid w:val="00C31746"/>
    <w:rsid w:val="00C339F6"/>
    <w:rsid w:val="00C40AB7"/>
    <w:rsid w:val="00C442ED"/>
    <w:rsid w:val="00C618E4"/>
    <w:rsid w:val="00C730A8"/>
    <w:rsid w:val="00C751F6"/>
    <w:rsid w:val="00C75B4F"/>
    <w:rsid w:val="00C82C68"/>
    <w:rsid w:val="00C8355D"/>
    <w:rsid w:val="00C94B83"/>
    <w:rsid w:val="00CA1EBD"/>
    <w:rsid w:val="00CB730E"/>
    <w:rsid w:val="00CC4388"/>
    <w:rsid w:val="00CC75D3"/>
    <w:rsid w:val="00CC7E5B"/>
    <w:rsid w:val="00CD5203"/>
    <w:rsid w:val="00CE0757"/>
    <w:rsid w:val="00CF33E0"/>
    <w:rsid w:val="00D125B6"/>
    <w:rsid w:val="00D14D12"/>
    <w:rsid w:val="00D15C8B"/>
    <w:rsid w:val="00D17115"/>
    <w:rsid w:val="00D2088A"/>
    <w:rsid w:val="00D24900"/>
    <w:rsid w:val="00D3036D"/>
    <w:rsid w:val="00D40307"/>
    <w:rsid w:val="00D44605"/>
    <w:rsid w:val="00D45BB4"/>
    <w:rsid w:val="00D672A7"/>
    <w:rsid w:val="00D67EE7"/>
    <w:rsid w:val="00DC53A3"/>
    <w:rsid w:val="00DC54FC"/>
    <w:rsid w:val="00DC6FF5"/>
    <w:rsid w:val="00DD067D"/>
    <w:rsid w:val="00DF4D17"/>
    <w:rsid w:val="00E1564F"/>
    <w:rsid w:val="00E223FD"/>
    <w:rsid w:val="00E55491"/>
    <w:rsid w:val="00E655D6"/>
    <w:rsid w:val="00E91B1B"/>
    <w:rsid w:val="00EC66F2"/>
    <w:rsid w:val="00EE0A52"/>
    <w:rsid w:val="00F06388"/>
    <w:rsid w:val="00F7455E"/>
    <w:rsid w:val="00F76F26"/>
    <w:rsid w:val="00F830BD"/>
    <w:rsid w:val="00F94361"/>
    <w:rsid w:val="00F968AF"/>
    <w:rsid w:val="00FB1891"/>
    <w:rsid w:val="00FB3CF3"/>
    <w:rsid w:val="00FB604C"/>
    <w:rsid w:val="00FC1246"/>
    <w:rsid w:val="00FC1527"/>
    <w:rsid w:val="00FE02A4"/>
    <w:rsid w:val="00FE3997"/>
    <w:rsid w:val="00FE6657"/>
    <w:rsid w:val="00FF5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BB520"/>
  <w15:chartTrackingRefBased/>
  <w15:docId w15:val="{23401F4E-3C4E-4783-B4EF-036C033C1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F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F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7F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F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F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F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F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F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F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F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F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7F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F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F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F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F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F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F5B"/>
    <w:rPr>
      <w:rFonts w:eastAsiaTheme="majorEastAsia" w:cstheme="majorBidi"/>
      <w:color w:val="272727" w:themeColor="text1" w:themeTint="D8"/>
    </w:rPr>
  </w:style>
  <w:style w:type="paragraph" w:styleId="Title">
    <w:name w:val="Title"/>
    <w:basedOn w:val="Normal"/>
    <w:next w:val="Normal"/>
    <w:link w:val="TitleChar"/>
    <w:uiPriority w:val="10"/>
    <w:qFormat/>
    <w:rsid w:val="00107F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F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F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F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F5B"/>
    <w:pPr>
      <w:spacing w:before="160"/>
      <w:jc w:val="center"/>
    </w:pPr>
    <w:rPr>
      <w:i/>
      <w:iCs/>
      <w:color w:val="404040" w:themeColor="text1" w:themeTint="BF"/>
    </w:rPr>
  </w:style>
  <w:style w:type="character" w:customStyle="1" w:styleId="QuoteChar">
    <w:name w:val="Quote Char"/>
    <w:basedOn w:val="DefaultParagraphFont"/>
    <w:link w:val="Quote"/>
    <w:uiPriority w:val="29"/>
    <w:rsid w:val="00107F5B"/>
    <w:rPr>
      <w:i/>
      <w:iCs/>
      <w:color w:val="404040" w:themeColor="text1" w:themeTint="BF"/>
    </w:rPr>
  </w:style>
  <w:style w:type="paragraph" w:styleId="ListParagraph">
    <w:name w:val="List Paragraph"/>
    <w:basedOn w:val="Normal"/>
    <w:uiPriority w:val="34"/>
    <w:qFormat/>
    <w:rsid w:val="00107F5B"/>
    <w:pPr>
      <w:ind w:left="720"/>
      <w:contextualSpacing/>
    </w:pPr>
  </w:style>
  <w:style w:type="character" w:styleId="IntenseEmphasis">
    <w:name w:val="Intense Emphasis"/>
    <w:basedOn w:val="DefaultParagraphFont"/>
    <w:uiPriority w:val="21"/>
    <w:qFormat/>
    <w:rsid w:val="00107F5B"/>
    <w:rPr>
      <w:i/>
      <w:iCs/>
      <w:color w:val="0F4761" w:themeColor="accent1" w:themeShade="BF"/>
    </w:rPr>
  </w:style>
  <w:style w:type="paragraph" w:styleId="IntenseQuote">
    <w:name w:val="Intense Quote"/>
    <w:basedOn w:val="Normal"/>
    <w:next w:val="Normal"/>
    <w:link w:val="IntenseQuoteChar"/>
    <w:uiPriority w:val="30"/>
    <w:qFormat/>
    <w:rsid w:val="00107F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F5B"/>
    <w:rPr>
      <w:i/>
      <w:iCs/>
      <w:color w:val="0F4761" w:themeColor="accent1" w:themeShade="BF"/>
    </w:rPr>
  </w:style>
  <w:style w:type="character" w:styleId="IntenseReference">
    <w:name w:val="Intense Reference"/>
    <w:basedOn w:val="DefaultParagraphFont"/>
    <w:uiPriority w:val="32"/>
    <w:qFormat/>
    <w:rsid w:val="00107F5B"/>
    <w:rPr>
      <w:b/>
      <w:bCs/>
      <w:smallCaps/>
      <w:color w:val="0F4761" w:themeColor="accent1" w:themeShade="BF"/>
      <w:spacing w:val="5"/>
    </w:rPr>
  </w:style>
  <w:style w:type="paragraph" w:styleId="NoSpacing">
    <w:name w:val="No Spacing"/>
    <w:link w:val="NoSpacingChar"/>
    <w:uiPriority w:val="1"/>
    <w:qFormat/>
    <w:rsid w:val="00107F5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07F5B"/>
    <w:rPr>
      <w:rFonts w:eastAsiaTheme="minorEastAsia"/>
      <w:lang w:eastAsia="en-GB"/>
    </w:rPr>
  </w:style>
  <w:style w:type="character" w:styleId="Hyperlink">
    <w:name w:val="Hyperlink"/>
    <w:basedOn w:val="DefaultParagraphFont"/>
    <w:uiPriority w:val="99"/>
    <w:unhideWhenUsed/>
    <w:rsid w:val="00097548"/>
    <w:rPr>
      <w:color w:val="467886" w:themeColor="hyperlink"/>
      <w:u w:val="single"/>
    </w:rPr>
  </w:style>
  <w:style w:type="character" w:styleId="UnresolvedMention">
    <w:name w:val="Unresolved Mention"/>
    <w:basedOn w:val="DefaultParagraphFont"/>
    <w:uiPriority w:val="99"/>
    <w:semiHidden/>
    <w:unhideWhenUsed/>
    <w:rsid w:val="000975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004695">
      <w:bodyDiv w:val="1"/>
      <w:marLeft w:val="0"/>
      <w:marRight w:val="0"/>
      <w:marTop w:val="0"/>
      <w:marBottom w:val="0"/>
      <w:divBdr>
        <w:top w:val="none" w:sz="0" w:space="0" w:color="auto"/>
        <w:left w:val="none" w:sz="0" w:space="0" w:color="auto"/>
        <w:bottom w:val="none" w:sz="0" w:space="0" w:color="auto"/>
        <w:right w:val="none" w:sz="0" w:space="0" w:color="auto"/>
      </w:divBdr>
    </w:div>
    <w:div w:id="123930727">
      <w:bodyDiv w:val="1"/>
      <w:marLeft w:val="0"/>
      <w:marRight w:val="0"/>
      <w:marTop w:val="0"/>
      <w:marBottom w:val="0"/>
      <w:divBdr>
        <w:top w:val="none" w:sz="0" w:space="0" w:color="auto"/>
        <w:left w:val="none" w:sz="0" w:space="0" w:color="auto"/>
        <w:bottom w:val="none" w:sz="0" w:space="0" w:color="auto"/>
        <w:right w:val="none" w:sz="0" w:space="0" w:color="auto"/>
      </w:divBdr>
      <w:divsChild>
        <w:div w:id="180903372">
          <w:marLeft w:val="0"/>
          <w:marRight w:val="0"/>
          <w:marTop w:val="0"/>
          <w:marBottom w:val="0"/>
          <w:divBdr>
            <w:top w:val="none" w:sz="0" w:space="0" w:color="auto"/>
            <w:left w:val="none" w:sz="0" w:space="0" w:color="auto"/>
            <w:bottom w:val="none" w:sz="0" w:space="0" w:color="auto"/>
            <w:right w:val="none" w:sz="0" w:space="0" w:color="auto"/>
          </w:divBdr>
        </w:div>
      </w:divsChild>
    </w:div>
    <w:div w:id="214044801">
      <w:bodyDiv w:val="1"/>
      <w:marLeft w:val="0"/>
      <w:marRight w:val="0"/>
      <w:marTop w:val="0"/>
      <w:marBottom w:val="0"/>
      <w:divBdr>
        <w:top w:val="none" w:sz="0" w:space="0" w:color="auto"/>
        <w:left w:val="none" w:sz="0" w:space="0" w:color="auto"/>
        <w:bottom w:val="none" w:sz="0" w:space="0" w:color="auto"/>
        <w:right w:val="none" w:sz="0" w:space="0" w:color="auto"/>
      </w:divBdr>
    </w:div>
    <w:div w:id="221915855">
      <w:bodyDiv w:val="1"/>
      <w:marLeft w:val="0"/>
      <w:marRight w:val="0"/>
      <w:marTop w:val="0"/>
      <w:marBottom w:val="0"/>
      <w:divBdr>
        <w:top w:val="none" w:sz="0" w:space="0" w:color="auto"/>
        <w:left w:val="none" w:sz="0" w:space="0" w:color="auto"/>
        <w:bottom w:val="none" w:sz="0" w:space="0" w:color="auto"/>
        <w:right w:val="none" w:sz="0" w:space="0" w:color="auto"/>
      </w:divBdr>
    </w:div>
    <w:div w:id="244993639">
      <w:bodyDiv w:val="1"/>
      <w:marLeft w:val="0"/>
      <w:marRight w:val="0"/>
      <w:marTop w:val="0"/>
      <w:marBottom w:val="0"/>
      <w:divBdr>
        <w:top w:val="none" w:sz="0" w:space="0" w:color="auto"/>
        <w:left w:val="none" w:sz="0" w:space="0" w:color="auto"/>
        <w:bottom w:val="none" w:sz="0" w:space="0" w:color="auto"/>
        <w:right w:val="none" w:sz="0" w:space="0" w:color="auto"/>
      </w:divBdr>
    </w:div>
    <w:div w:id="352194652">
      <w:bodyDiv w:val="1"/>
      <w:marLeft w:val="0"/>
      <w:marRight w:val="0"/>
      <w:marTop w:val="0"/>
      <w:marBottom w:val="0"/>
      <w:divBdr>
        <w:top w:val="none" w:sz="0" w:space="0" w:color="auto"/>
        <w:left w:val="none" w:sz="0" w:space="0" w:color="auto"/>
        <w:bottom w:val="none" w:sz="0" w:space="0" w:color="auto"/>
        <w:right w:val="none" w:sz="0" w:space="0" w:color="auto"/>
      </w:divBdr>
      <w:divsChild>
        <w:div w:id="650059728">
          <w:marLeft w:val="0"/>
          <w:marRight w:val="0"/>
          <w:marTop w:val="0"/>
          <w:marBottom w:val="0"/>
          <w:divBdr>
            <w:top w:val="single" w:sz="2" w:space="0" w:color="E3E3E3"/>
            <w:left w:val="single" w:sz="2" w:space="0" w:color="E3E3E3"/>
            <w:bottom w:val="single" w:sz="2" w:space="0" w:color="E3E3E3"/>
            <w:right w:val="single" w:sz="2" w:space="0" w:color="E3E3E3"/>
          </w:divBdr>
          <w:divsChild>
            <w:div w:id="528373924">
              <w:marLeft w:val="0"/>
              <w:marRight w:val="0"/>
              <w:marTop w:val="100"/>
              <w:marBottom w:val="100"/>
              <w:divBdr>
                <w:top w:val="single" w:sz="2" w:space="0" w:color="E3E3E3"/>
                <w:left w:val="single" w:sz="2" w:space="0" w:color="E3E3E3"/>
                <w:bottom w:val="single" w:sz="2" w:space="0" w:color="E3E3E3"/>
                <w:right w:val="single" w:sz="2" w:space="0" w:color="E3E3E3"/>
              </w:divBdr>
              <w:divsChild>
                <w:div w:id="629440325">
                  <w:marLeft w:val="0"/>
                  <w:marRight w:val="0"/>
                  <w:marTop w:val="0"/>
                  <w:marBottom w:val="0"/>
                  <w:divBdr>
                    <w:top w:val="single" w:sz="2" w:space="0" w:color="E3E3E3"/>
                    <w:left w:val="single" w:sz="2" w:space="0" w:color="E3E3E3"/>
                    <w:bottom w:val="single" w:sz="2" w:space="0" w:color="E3E3E3"/>
                    <w:right w:val="single" w:sz="2" w:space="0" w:color="E3E3E3"/>
                  </w:divBdr>
                  <w:divsChild>
                    <w:div w:id="277956250">
                      <w:marLeft w:val="0"/>
                      <w:marRight w:val="0"/>
                      <w:marTop w:val="0"/>
                      <w:marBottom w:val="0"/>
                      <w:divBdr>
                        <w:top w:val="single" w:sz="2" w:space="0" w:color="E3E3E3"/>
                        <w:left w:val="single" w:sz="2" w:space="0" w:color="E3E3E3"/>
                        <w:bottom w:val="single" w:sz="2" w:space="0" w:color="E3E3E3"/>
                        <w:right w:val="single" w:sz="2" w:space="0" w:color="E3E3E3"/>
                      </w:divBdr>
                      <w:divsChild>
                        <w:div w:id="1404447127">
                          <w:marLeft w:val="0"/>
                          <w:marRight w:val="0"/>
                          <w:marTop w:val="0"/>
                          <w:marBottom w:val="0"/>
                          <w:divBdr>
                            <w:top w:val="single" w:sz="2" w:space="0" w:color="E3E3E3"/>
                            <w:left w:val="single" w:sz="2" w:space="0" w:color="E3E3E3"/>
                            <w:bottom w:val="single" w:sz="2" w:space="0" w:color="E3E3E3"/>
                            <w:right w:val="single" w:sz="2" w:space="0" w:color="E3E3E3"/>
                          </w:divBdr>
                          <w:divsChild>
                            <w:div w:id="1916549463">
                              <w:marLeft w:val="0"/>
                              <w:marRight w:val="0"/>
                              <w:marTop w:val="0"/>
                              <w:marBottom w:val="0"/>
                              <w:divBdr>
                                <w:top w:val="single" w:sz="2" w:space="0" w:color="E3E3E3"/>
                                <w:left w:val="single" w:sz="2" w:space="0" w:color="E3E3E3"/>
                                <w:bottom w:val="single" w:sz="2" w:space="0" w:color="E3E3E3"/>
                                <w:right w:val="single" w:sz="2" w:space="0" w:color="E3E3E3"/>
                              </w:divBdr>
                              <w:divsChild>
                                <w:div w:id="1220358043">
                                  <w:marLeft w:val="0"/>
                                  <w:marRight w:val="0"/>
                                  <w:marTop w:val="0"/>
                                  <w:marBottom w:val="0"/>
                                  <w:divBdr>
                                    <w:top w:val="single" w:sz="2" w:space="0" w:color="E3E3E3"/>
                                    <w:left w:val="single" w:sz="2" w:space="0" w:color="E3E3E3"/>
                                    <w:bottom w:val="single" w:sz="2" w:space="0" w:color="E3E3E3"/>
                                    <w:right w:val="single" w:sz="2" w:space="0" w:color="E3E3E3"/>
                                  </w:divBdr>
                                  <w:divsChild>
                                    <w:div w:id="4512914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38914737">
      <w:bodyDiv w:val="1"/>
      <w:marLeft w:val="0"/>
      <w:marRight w:val="0"/>
      <w:marTop w:val="0"/>
      <w:marBottom w:val="0"/>
      <w:divBdr>
        <w:top w:val="none" w:sz="0" w:space="0" w:color="auto"/>
        <w:left w:val="none" w:sz="0" w:space="0" w:color="auto"/>
        <w:bottom w:val="none" w:sz="0" w:space="0" w:color="auto"/>
        <w:right w:val="none" w:sz="0" w:space="0" w:color="auto"/>
      </w:divBdr>
    </w:div>
    <w:div w:id="476647516">
      <w:bodyDiv w:val="1"/>
      <w:marLeft w:val="0"/>
      <w:marRight w:val="0"/>
      <w:marTop w:val="0"/>
      <w:marBottom w:val="0"/>
      <w:divBdr>
        <w:top w:val="none" w:sz="0" w:space="0" w:color="auto"/>
        <w:left w:val="none" w:sz="0" w:space="0" w:color="auto"/>
        <w:bottom w:val="none" w:sz="0" w:space="0" w:color="auto"/>
        <w:right w:val="none" w:sz="0" w:space="0" w:color="auto"/>
      </w:divBdr>
    </w:div>
    <w:div w:id="569657406">
      <w:bodyDiv w:val="1"/>
      <w:marLeft w:val="0"/>
      <w:marRight w:val="0"/>
      <w:marTop w:val="0"/>
      <w:marBottom w:val="0"/>
      <w:divBdr>
        <w:top w:val="none" w:sz="0" w:space="0" w:color="auto"/>
        <w:left w:val="none" w:sz="0" w:space="0" w:color="auto"/>
        <w:bottom w:val="none" w:sz="0" w:space="0" w:color="auto"/>
        <w:right w:val="none" w:sz="0" w:space="0" w:color="auto"/>
      </w:divBdr>
    </w:div>
    <w:div w:id="642780200">
      <w:bodyDiv w:val="1"/>
      <w:marLeft w:val="0"/>
      <w:marRight w:val="0"/>
      <w:marTop w:val="0"/>
      <w:marBottom w:val="0"/>
      <w:divBdr>
        <w:top w:val="none" w:sz="0" w:space="0" w:color="auto"/>
        <w:left w:val="none" w:sz="0" w:space="0" w:color="auto"/>
        <w:bottom w:val="none" w:sz="0" w:space="0" w:color="auto"/>
        <w:right w:val="none" w:sz="0" w:space="0" w:color="auto"/>
      </w:divBdr>
      <w:divsChild>
        <w:div w:id="508372819">
          <w:marLeft w:val="0"/>
          <w:marRight w:val="0"/>
          <w:marTop w:val="0"/>
          <w:marBottom w:val="0"/>
          <w:divBdr>
            <w:top w:val="none" w:sz="0" w:space="0" w:color="auto"/>
            <w:left w:val="none" w:sz="0" w:space="0" w:color="auto"/>
            <w:bottom w:val="none" w:sz="0" w:space="0" w:color="auto"/>
            <w:right w:val="none" w:sz="0" w:space="0" w:color="auto"/>
          </w:divBdr>
          <w:divsChild>
            <w:div w:id="162295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92642">
      <w:bodyDiv w:val="1"/>
      <w:marLeft w:val="0"/>
      <w:marRight w:val="0"/>
      <w:marTop w:val="0"/>
      <w:marBottom w:val="0"/>
      <w:divBdr>
        <w:top w:val="none" w:sz="0" w:space="0" w:color="auto"/>
        <w:left w:val="none" w:sz="0" w:space="0" w:color="auto"/>
        <w:bottom w:val="none" w:sz="0" w:space="0" w:color="auto"/>
        <w:right w:val="none" w:sz="0" w:space="0" w:color="auto"/>
      </w:divBdr>
    </w:div>
    <w:div w:id="974412947">
      <w:bodyDiv w:val="1"/>
      <w:marLeft w:val="0"/>
      <w:marRight w:val="0"/>
      <w:marTop w:val="0"/>
      <w:marBottom w:val="0"/>
      <w:divBdr>
        <w:top w:val="none" w:sz="0" w:space="0" w:color="auto"/>
        <w:left w:val="none" w:sz="0" w:space="0" w:color="auto"/>
        <w:bottom w:val="none" w:sz="0" w:space="0" w:color="auto"/>
        <w:right w:val="none" w:sz="0" w:space="0" w:color="auto"/>
      </w:divBdr>
      <w:divsChild>
        <w:div w:id="1983925468">
          <w:marLeft w:val="0"/>
          <w:marRight w:val="0"/>
          <w:marTop w:val="0"/>
          <w:marBottom w:val="0"/>
          <w:divBdr>
            <w:top w:val="none" w:sz="0" w:space="0" w:color="auto"/>
            <w:left w:val="none" w:sz="0" w:space="0" w:color="auto"/>
            <w:bottom w:val="none" w:sz="0" w:space="0" w:color="auto"/>
            <w:right w:val="none" w:sz="0" w:space="0" w:color="auto"/>
          </w:divBdr>
        </w:div>
      </w:divsChild>
    </w:div>
    <w:div w:id="975987736">
      <w:bodyDiv w:val="1"/>
      <w:marLeft w:val="0"/>
      <w:marRight w:val="0"/>
      <w:marTop w:val="0"/>
      <w:marBottom w:val="0"/>
      <w:divBdr>
        <w:top w:val="none" w:sz="0" w:space="0" w:color="auto"/>
        <w:left w:val="none" w:sz="0" w:space="0" w:color="auto"/>
        <w:bottom w:val="none" w:sz="0" w:space="0" w:color="auto"/>
        <w:right w:val="none" w:sz="0" w:space="0" w:color="auto"/>
      </w:divBdr>
    </w:div>
    <w:div w:id="992685054">
      <w:bodyDiv w:val="1"/>
      <w:marLeft w:val="0"/>
      <w:marRight w:val="0"/>
      <w:marTop w:val="0"/>
      <w:marBottom w:val="0"/>
      <w:divBdr>
        <w:top w:val="none" w:sz="0" w:space="0" w:color="auto"/>
        <w:left w:val="none" w:sz="0" w:space="0" w:color="auto"/>
        <w:bottom w:val="none" w:sz="0" w:space="0" w:color="auto"/>
        <w:right w:val="none" w:sz="0" w:space="0" w:color="auto"/>
      </w:divBdr>
    </w:div>
    <w:div w:id="1003821338">
      <w:bodyDiv w:val="1"/>
      <w:marLeft w:val="0"/>
      <w:marRight w:val="0"/>
      <w:marTop w:val="0"/>
      <w:marBottom w:val="0"/>
      <w:divBdr>
        <w:top w:val="none" w:sz="0" w:space="0" w:color="auto"/>
        <w:left w:val="none" w:sz="0" w:space="0" w:color="auto"/>
        <w:bottom w:val="none" w:sz="0" w:space="0" w:color="auto"/>
        <w:right w:val="none" w:sz="0" w:space="0" w:color="auto"/>
      </w:divBdr>
      <w:divsChild>
        <w:div w:id="1242371549">
          <w:marLeft w:val="0"/>
          <w:marRight w:val="0"/>
          <w:marTop w:val="0"/>
          <w:marBottom w:val="0"/>
          <w:divBdr>
            <w:top w:val="none" w:sz="0" w:space="0" w:color="auto"/>
            <w:left w:val="none" w:sz="0" w:space="0" w:color="auto"/>
            <w:bottom w:val="none" w:sz="0" w:space="0" w:color="auto"/>
            <w:right w:val="none" w:sz="0" w:space="0" w:color="auto"/>
          </w:divBdr>
        </w:div>
      </w:divsChild>
    </w:div>
    <w:div w:id="1031300045">
      <w:bodyDiv w:val="1"/>
      <w:marLeft w:val="0"/>
      <w:marRight w:val="0"/>
      <w:marTop w:val="0"/>
      <w:marBottom w:val="0"/>
      <w:divBdr>
        <w:top w:val="none" w:sz="0" w:space="0" w:color="auto"/>
        <w:left w:val="none" w:sz="0" w:space="0" w:color="auto"/>
        <w:bottom w:val="none" w:sz="0" w:space="0" w:color="auto"/>
        <w:right w:val="none" w:sz="0" w:space="0" w:color="auto"/>
      </w:divBdr>
    </w:div>
    <w:div w:id="1139490565">
      <w:bodyDiv w:val="1"/>
      <w:marLeft w:val="0"/>
      <w:marRight w:val="0"/>
      <w:marTop w:val="0"/>
      <w:marBottom w:val="0"/>
      <w:divBdr>
        <w:top w:val="none" w:sz="0" w:space="0" w:color="auto"/>
        <w:left w:val="none" w:sz="0" w:space="0" w:color="auto"/>
        <w:bottom w:val="none" w:sz="0" w:space="0" w:color="auto"/>
        <w:right w:val="none" w:sz="0" w:space="0" w:color="auto"/>
      </w:divBdr>
    </w:div>
    <w:div w:id="1285774286">
      <w:bodyDiv w:val="1"/>
      <w:marLeft w:val="0"/>
      <w:marRight w:val="0"/>
      <w:marTop w:val="0"/>
      <w:marBottom w:val="0"/>
      <w:divBdr>
        <w:top w:val="none" w:sz="0" w:space="0" w:color="auto"/>
        <w:left w:val="none" w:sz="0" w:space="0" w:color="auto"/>
        <w:bottom w:val="none" w:sz="0" w:space="0" w:color="auto"/>
        <w:right w:val="none" w:sz="0" w:space="0" w:color="auto"/>
      </w:divBdr>
    </w:div>
    <w:div w:id="1333021310">
      <w:bodyDiv w:val="1"/>
      <w:marLeft w:val="0"/>
      <w:marRight w:val="0"/>
      <w:marTop w:val="0"/>
      <w:marBottom w:val="0"/>
      <w:divBdr>
        <w:top w:val="none" w:sz="0" w:space="0" w:color="auto"/>
        <w:left w:val="none" w:sz="0" w:space="0" w:color="auto"/>
        <w:bottom w:val="none" w:sz="0" w:space="0" w:color="auto"/>
        <w:right w:val="none" w:sz="0" w:space="0" w:color="auto"/>
      </w:divBdr>
    </w:div>
    <w:div w:id="1352102156">
      <w:bodyDiv w:val="1"/>
      <w:marLeft w:val="0"/>
      <w:marRight w:val="0"/>
      <w:marTop w:val="0"/>
      <w:marBottom w:val="0"/>
      <w:divBdr>
        <w:top w:val="none" w:sz="0" w:space="0" w:color="auto"/>
        <w:left w:val="none" w:sz="0" w:space="0" w:color="auto"/>
        <w:bottom w:val="none" w:sz="0" w:space="0" w:color="auto"/>
        <w:right w:val="none" w:sz="0" w:space="0" w:color="auto"/>
      </w:divBdr>
      <w:divsChild>
        <w:div w:id="8071910">
          <w:marLeft w:val="0"/>
          <w:marRight w:val="0"/>
          <w:marTop w:val="0"/>
          <w:marBottom w:val="0"/>
          <w:divBdr>
            <w:top w:val="none" w:sz="0" w:space="0" w:color="auto"/>
            <w:left w:val="none" w:sz="0" w:space="0" w:color="auto"/>
            <w:bottom w:val="none" w:sz="0" w:space="0" w:color="auto"/>
            <w:right w:val="none" w:sz="0" w:space="0" w:color="auto"/>
          </w:divBdr>
        </w:div>
      </w:divsChild>
    </w:div>
    <w:div w:id="1403257413">
      <w:bodyDiv w:val="1"/>
      <w:marLeft w:val="0"/>
      <w:marRight w:val="0"/>
      <w:marTop w:val="0"/>
      <w:marBottom w:val="0"/>
      <w:divBdr>
        <w:top w:val="none" w:sz="0" w:space="0" w:color="auto"/>
        <w:left w:val="none" w:sz="0" w:space="0" w:color="auto"/>
        <w:bottom w:val="none" w:sz="0" w:space="0" w:color="auto"/>
        <w:right w:val="none" w:sz="0" w:space="0" w:color="auto"/>
      </w:divBdr>
    </w:div>
    <w:div w:id="1449163696">
      <w:bodyDiv w:val="1"/>
      <w:marLeft w:val="0"/>
      <w:marRight w:val="0"/>
      <w:marTop w:val="0"/>
      <w:marBottom w:val="0"/>
      <w:divBdr>
        <w:top w:val="none" w:sz="0" w:space="0" w:color="auto"/>
        <w:left w:val="none" w:sz="0" w:space="0" w:color="auto"/>
        <w:bottom w:val="none" w:sz="0" w:space="0" w:color="auto"/>
        <w:right w:val="none" w:sz="0" w:space="0" w:color="auto"/>
      </w:divBdr>
      <w:divsChild>
        <w:div w:id="1639413343">
          <w:marLeft w:val="0"/>
          <w:marRight w:val="0"/>
          <w:marTop w:val="0"/>
          <w:marBottom w:val="0"/>
          <w:divBdr>
            <w:top w:val="none" w:sz="0" w:space="0" w:color="auto"/>
            <w:left w:val="none" w:sz="0" w:space="0" w:color="auto"/>
            <w:bottom w:val="none" w:sz="0" w:space="0" w:color="auto"/>
            <w:right w:val="none" w:sz="0" w:space="0" w:color="auto"/>
          </w:divBdr>
        </w:div>
      </w:divsChild>
    </w:div>
    <w:div w:id="1526672635">
      <w:bodyDiv w:val="1"/>
      <w:marLeft w:val="0"/>
      <w:marRight w:val="0"/>
      <w:marTop w:val="0"/>
      <w:marBottom w:val="0"/>
      <w:divBdr>
        <w:top w:val="none" w:sz="0" w:space="0" w:color="auto"/>
        <w:left w:val="none" w:sz="0" w:space="0" w:color="auto"/>
        <w:bottom w:val="none" w:sz="0" w:space="0" w:color="auto"/>
        <w:right w:val="none" w:sz="0" w:space="0" w:color="auto"/>
      </w:divBdr>
    </w:div>
    <w:div w:id="1532960368">
      <w:bodyDiv w:val="1"/>
      <w:marLeft w:val="0"/>
      <w:marRight w:val="0"/>
      <w:marTop w:val="0"/>
      <w:marBottom w:val="0"/>
      <w:divBdr>
        <w:top w:val="none" w:sz="0" w:space="0" w:color="auto"/>
        <w:left w:val="none" w:sz="0" w:space="0" w:color="auto"/>
        <w:bottom w:val="none" w:sz="0" w:space="0" w:color="auto"/>
        <w:right w:val="none" w:sz="0" w:space="0" w:color="auto"/>
      </w:divBdr>
    </w:div>
    <w:div w:id="1770655838">
      <w:bodyDiv w:val="1"/>
      <w:marLeft w:val="0"/>
      <w:marRight w:val="0"/>
      <w:marTop w:val="0"/>
      <w:marBottom w:val="0"/>
      <w:divBdr>
        <w:top w:val="none" w:sz="0" w:space="0" w:color="auto"/>
        <w:left w:val="none" w:sz="0" w:space="0" w:color="auto"/>
        <w:bottom w:val="none" w:sz="0" w:space="0" w:color="auto"/>
        <w:right w:val="none" w:sz="0" w:space="0" w:color="auto"/>
      </w:divBdr>
    </w:div>
    <w:div w:id="1804928763">
      <w:bodyDiv w:val="1"/>
      <w:marLeft w:val="0"/>
      <w:marRight w:val="0"/>
      <w:marTop w:val="0"/>
      <w:marBottom w:val="0"/>
      <w:divBdr>
        <w:top w:val="none" w:sz="0" w:space="0" w:color="auto"/>
        <w:left w:val="none" w:sz="0" w:space="0" w:color="auto"/>
        <w:bottom w:val="none" w:sz="0" w:space="0" w:color="auto"/>
        <w:right w:val="none" w:sz="0" w:space="0" w:color="auto"/>
      </w:divBdr>
    </w:div>
    <w:div w:id="1951008758">
      <w:bodyDiv w:val="1"/>
      <w:marLeft w:val="0"/>
      <w:marRight w:val="0"/>
      <w:marTop w:val="0"/>
      <w:marBottom w:val="0"/>
      <w:divBdr>
        <w:top w:val="none" w:sz="0" w:space="0" w:color="auto"/>
        <w:left w:val="none" w:sz="0" w:space="0" w:color="auto"/>
        <w:bottom w:val="none" w:sz="0" w:space="0" w:color="auto"/>
        <w:right w:val="none" w:sz="0" w:space="0" w:color="auto"/>
      </w:divBdr>
    </w:div>
    <w:div w:id="1958633558">
      <w:bodyDiv w:val="1"/>
      <w:marLeft w:val="0"/>
      <w:marRight w:val="0"/>
      <w:marTop w:val="0"/>
      <w:marBottom w:val="0"/>
      <w:divBdr>
        <w:top w:val="none" w:sz="0" w:space="0" w:color="auto"/>
        <w:left w:val="none" w:sz="0" w:space="0" w:color="auto"/>
        <w:bottom w:val="none" w:sz="0" w:space="0" w:color="auto"/>
        <w:right w:val="none" w:sz="0" w:space="0" w:color="auto"/>
      </w:divBdr>
      <w:divsChild>
        <w:div w:id="298651312">
          <w:marLeft w:val="0"/>
          <w:marRight w:val="0"/>
          <w:marTop w:val="0"/>
          <w:marBottom w:val="0"/>
          <w:divBdr>
            <w:top w:val="none" w:sz="0" w:space="0" w:color="auto"/>
            <w:left w:val="none" w:sz="0" w:space="0" w:color="auto"/>
            <w:bottom w:val="none" w:sz="0" w:space="0" w:color="auto"/>
            <w:right w:val="none" w:sz="0" w:space="0" w:color="auto"/>
          </w:divBdr>
        </w:div>
      </w:divsChild>
    </w:div>
    <w:div w:id="210949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MD-06-2013-035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ospitalityinsights.ehl.edu/what-does-hotel-manager-do" TargetMode="External"/><Relationship Id="rId12" Type="http://schemas.openxmlformats.org/officeDocument/2006/relationships/hyperlink" Target="https://www.youtube.com/watch?v=eXDNkwIeOq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bookcentral.proquest.com/lib/trinity/detail.action?docID=5419445" TargetMode="External"/><Relationship Id="rId11" Type="http://schemas.openxmlformats.org/officeDocument/2006/relationships/hyperlink" Target="https://www.researchgate.net/profile/Kevser-Arman/publication/368399332_Determination_of_the_Most_Suitable_Leadership_Type_in_the_Hotel_Industry_Using_Best-Worst_Method/links/64e48d0a434d3f628c3f60e7/Determination-of-the-Most-Suitable-Leadership-Type-in-the-Hotel-Industry-Using-Best-Worst-Method.pdf" TargetMode="External"/><Relationship Id="rId5" Type="http://schemas.openxmlformats.org/officeDocument/2006/relationships/image" Target="media/image1.jpeg"/><Relationship Id="rId10" Type="http://schemas.openxmlformats.org/officeDocument/2006/relationships/hyperlink" Target="https://ebookcentral.proquest.com/lib/trinity/reader.action?docID=5830196&amp;ppg=58" TargetMode="External"/><Relationship Id="rId4" Type="http://schemas.openxmlformats.org/officeDocument/2006/relationships/webSettings" Target="webSettings.xml"/><Relationship Id="rId9" Type="http://schemas.openxmlformats.org/officeDocument/2006/relationships/hyperlink" Target="https://www.mckinsey.com/industries/travel-logistics-and-infrastructure/our-insights/the-hotel-of-the-futu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D76583-85C6-4535-BE56-39EA7DE7FD78}">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1577</TotalTime>
  <Pages>11</Pages>
  <Words>2996</Words>
  <Characters>17079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diferent aproaches to leadership and their effectiveness within the hotel industry</dc:title>
  <dc:subject>Assignment 1 - Essay</dc:subject>
  <dc:creator>   </dc:creator>
  <cp:keywords/>
  <dc:description/>
  <cp:lastModifiedBy>   </cp:lastModifiedBy>
  <cp:revision>239</cp:revision>
  <dcterms:created xsi:type="dcterms:W3CDTF">2024-04-25T17:22:00Z</dcterms:created>
  <dcterms:modified xsi:type="dcterms:W3CDTF">2024-05-01T08:59:00Z</dcterms:modified>
  <cp:category>Management and Organisational behaviour BMIH5004                                      Lecturer: Julia Ault</cp:category>
</cp:coreProperties>
</file>