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8F722" w14:textId="3236EAD1" w:rsidR="00724B65" w:rsidRDefault="00611D2D" w:rsidP="00724B65">
      <w:pPr>
        <w:spacing w:after="160" w:line="259" w:lineRule="auto"/>
        <w:jc w:val="center"/>
        <w:rPr>
          <w:b/>
          <w:bCs/>
          <w:sz w:val="36"/>
          <w:szCs w:val="36"/>
        </w:rPr>
      </w:pPr>
      <w:r w:rsidRPr="00611D2D">
        <w:rPr>
          <w:b/>
          <w:bCs/>
          <w:sz w:val="36"/>
          <w:szCs w:val="36"/>
        </w:rPr>
        <w:t>UNIVERSITY OF WALES</w:t>
      </w:r>
    </w:p>
    <w:p w14:paraId="125B7936" w14:textId="29FC098E" w:rsidR="00611D2D" w:rsidRPr="00611D2D" w:rsidRDefault="00611D2D" w:rsidP="00724B65">
      <w:pPr>
        <w:spacing w:after="160" w:line="259" w:lineRule="auto"/>
        <w:jc w:val="center"/>
        <w:rPr>
          <w:b/>
          <w:bCs/>
          <w:szCs w:val="24"/>
        </w:rPr>
      </w:pPr>
      <w:r w:rsidRPr="00611D2D">
        <w:rPr>
          <w:b/>
          <w:bCs/>
          <w:szCs w:val="24"/>
        </w:rPr>
        <w:t>Trinity Saint David</w:t>
      </w:r>
    </w:p>
    <w:p w14:paraId="06B6B1CF" w14:textId="77777777" w:rsidR="00611D2D" w:rsidRDefault="00611D2D" w:rsidP="00724B65">
      <w:pPr>
        <w:spacing w:after="160" w:line="259" w:lineRule="auto"/>
        <w:jc w:val="center"/>
        <w:rPr>
          <w:b/>
          <w:bCs/>
          <w:sz w:val="36"/>
          <w:szCs w:val="36"/>
        </w:rPr>
      </w:pPr>
    </w:p>
    <w:p w14:paraId="584FDDBF" w14:textId="77777777" w:rsidR="00724B65" w:rsidRDefault="00724B65" w:rsidP="00724B65">
      <w:pPr>
        <w:spacing w:after="160" w:line="259" w:lineRule="auto"/>
        <w:jc w:val="center"/>
        <w:rPr>
          <w:b/>
          <w:bCs/>
          <w:sz w:val="36"/>
          <w:szCs w:val="36"/>
        </w:rPr>
      </w:pPr>
    </w:p>
    <w:p w14:paraId="511C7B31" w14:textId="77777777" w:rsidR="00724B65" w:rsidRDefault="00724B65" w:rsidP="00724B65">
      <w:pPr>
        <w:spacing w:after="160" w:line="259" w:lineRule="auto"/>
        <w:jc w:val="center"/>
        <w:rPr>
          <w:b/>
          <w:bCs/>
          <w:sz w:val="36"/>
          <w:szCs w:val="36"/>
        </w:rPr>
      </w:pPr>
    </w:p>
    <w:p w14:paraId="2F08A595" w14:textId="4CAED51A" w:rsidR="00724B65" w:rsidRPr="000351A1" w:rsidRDefault="000918C2" w:rsidP="00724B65">
      <w:pPr>
        <w:spacing w:after="160" w:line="259" w:lineRule="auto"/>
        <w:jc w:val="center"/>
        <w:rPr>
          <w:b/>
          <w:bCs/>
          <w:sz w:val="36"/>
          <w:szCs w:val="36"/>
        </w:rPr>
      </w:pPr>
      <w:r w:rsidRPr="000351A1">
        <w:rPr>
          <w:b/>
          <w:bCs/>
          <w:sz w:val="36"/>
          <w:szCs w:val="36"/>
        </w:rPr>
        <w:t>Module Title: Community Engagement</w:t>
      </w:r>
    </w:p>
    <w:p w14:paraId="17BDFEBD" w14:textId="7BDB8283" w:rsidR="00724B65" w:rsidRDefault="000918C2" w:rsidP="00611D2D">
      <w:pPr>
        <w:spacing w:after="160" w:line="259" w:lineRule="auto"/>
        <w:jc w:val="center"/>
        <w:rPr>
          <w:b/>
          <w:bCs/>
          <w:sz w:val="36"/>
          <w:szCs w:val="36"/>
        </w:rPr>
      </w:pPr>
      <w:r w:rsidRPr="000351A1">
        <w:rPr>
          <w:b/>
          <w:bCs/>
          <w:sz w:val="36"/>
          <w:szCs w:val="36"/>
        </w:rPr>
        <w:t>Module Code: LCBB</w:t>
      </w:r>
      <w:r w:rsidR="00611D2D">
        <w:rPr>
          <w:b/>
          <w:bCs/>
          <w:sz w:val="36"/>
          <w:szCs w:val="36"/>
        </w:rPr>
        <w:t>4002</w:t>
      </w:r>
    </w:p>
    <w:p w14:paraId="6EE24E3B" w14:textId="77777777" w:rsidR="00724B65" w:rsidRDefault="00724B65" w:rsidP="00724B65">
      <w:pPr>
        <w:spacing w:after="160" w:line="259" w:lineRule="auto"/>
        <w:jc w:val="center"/>
        <w:rPr>
          <w:b/>
          <w:bCs/>
          <w:sz w:val="36"/>
          <w:szCs w:val="36"/>
        </w:rPr>
      </w:pPr>
    </w:p>
    <w:p w14:paraId="7AE028C3" w14:textId="77777777" w:rsidR="00724B65" w:rsidRDefault="00724B65" w:rsidP="00724B65">
      <w:pPr>
        <w:spacing w:after="160" w:line="259" w:lineRule="auto"/>
        <w:jc w:val="center"/>
        <w:rPr>
          <w:b/>
          <w:bCs/>
          <w:sz w:val="36"/>
          <w:szCs w:val="36"/>
        </w:rPr>
      </w:pPr>
    </w:p>
    <w:p w14:paraId="0488C072" w14:textId="77777777" w:rsidR="00724B65" w:rsidRDefault="00724B65" w:rsidP="00724B65">
      <w:pPr>
        <w:spacing w:after="160" w:line="259" w:lineRule="auto"/>
        <w:jc w:val="center"/>
        <w:rPr>
          <w:b/>
          <w:bCs/>
          <w:sz w:val="36"/>
          <w:szCs w:val="36"/>
        </w:rPr>
      </w:pPr>
    </w:p>
    <w:p w14:paraId="0D4B95C8" w14:textId="77777777" w:rsidR="00724B65" w:rsidRDefault="00724B65" w:rsidP="00724B65">
      <w:pPr>
        <w:spacing w:after="160" w:line="259" w:lineRule="auto"/>
        <w:jc w:val="center"/>
        <w:rPr>
          <w:b/>
          <w:bCs/>
          <w:sz w:val="36"/>
          <w:szCs w:val="36"/>
        </w:rPr>
      </w:pPr>
    </w:p>
    <w:p w14:paraId="379E8116" w14:textId="77777777" w:rsidR="00724B65" w:rsidRDefault="00724B65" w:rsidP="00724B65">
      <w:pPr>
        <w:spacing w:after="160" w:line="259" w:lineRule="auto"/>
        <w:jc w:val="center"/>
        <w:rPr>
          <w:b/>
          <w:bCs/>
          <w:sz w:val="36"/>
          <w:szCs w:val="36"/>
        </w:rPr>
      </w:pPr>
    </w:p>
    <w:p w14:paraId="505B7F94" w14:textId="77777777" w:rsidR="00724B65" w:rsidRDefault="00724B65" w:rsidP="00724B65">
      <w:pPr>
        <w:spacing w:after="160" w:line="259" w:lineRule="auto"/>
        <w:jc w:val="center"/>
        <w:rPr>
          <w:b/>
          <w:bCs/>
          <w:sz w:val="36"/>
          <w:szCs w:val="36"/>
        </w:rPr>
      </w:pPr>
    </w:p>
    <w:p w14:paraId="56CAEAEE" w14:textId="77777777" w:rsidR="00724B65" w:rsidRDefault="00724B65" w:rsidP="00724B65">
      <w:pPr>
        <w:spacing w:after="160" w:line="259" w:lineRule="auto"/>
        <w:jc w:val="center"/>
        <w:rPr>
          <w:b/>
          <w:bCs/>
          <w:sz w:val="36"/>
          <w:szCs w:val="36"/>
        </w:rPr>
      </w:pPr>
    </w:p>
    <w:p w14:paraId="41A3804E" w14:textId="77777777" w:rsidR="00724B65" w:rsidRPr="000351A1" w:rsidRDefault="00724B65" w:rsidP="00724B65">
      <w:pPr>
        <w:spacing w:after="160" w:line="259" w:lineRule="auto"/>
        <w:jc w:val="center"/>
        <w:rPr>
          <w:b/>
          <w:bCs/>
          <w:sz w:val="30"/>
          <w:szCs w:val="30"/>
        </w:rPr>
      </w:pPr>
    </w:p>
    <w:p w14:paraId="387E13FE" w14:textId="6BE43D8A" w:rsidR="00724B65" w:rsidRPr="000918C2" w:rsidRDefault="000918C2" w:rsidP="00724B65">
      <w:pPr>
        <w:spacing w:after="160" w:line="259" w:lineRule="auto"/>
        <w:jc w:val="center"/>
        <w:rPr>
          <w:b/>
          <w:bCs/>
          <w:sz w:val="32"/>
          <w:szCs w:val="32"/>
        </w:rPr>
      </w:pPr>
      <w:r w:rsidRPr="000918C2">
        <w:rPr>
          <w:b/>
          <w:bCs/>
          <w:sz w:val="32"/>
          <w:szCs w:val="32"/>
        </w:rPr>
        <w:t>Student Name:</w:t>
      </w:r>
      <w:r w:rsidR="00611D2D" w:rsidRPr="000918C2">
        <w:rPr>
          <w:b/>
          <w:bCs/>
          <w:sz w:val="32"/>
          <w:szCs w:val="32"/>
        </w:rPr>
        <w:t xml:space="preserve"> Farida</w:t>
      </w:r>
      <w:r>
        <w:rPr>
          <w:b/>
          <w:bCs/>
          <w:sz w:val="32"/>
          <w:szCs w:val="32"/>
        </w:rPr>
        <w:t xml:space="preserve"> Ahmed</w:t>
      </w:r>
    </w:p>
    <w:p w14:paraId="2D6192DB" w14:textId="77777777" w:rsidR="000918C2" w:rsidRDefault="000918C2" w:rsidP="00724B65">
      <w:pPr>
        <w:spacing w:after="160" w:line="259" w:lineRule="auto"/>
        <w:jc w:val="center"/>
        <w:rPr>
          <w:b/>
          <w:bCs/>
          <w:sz w:val="28"/>
          <w:szCs w:val="28"/>
        </w:rPr>
      </w:pPr>
      <w:r w:rsidRPr="000351A1">
        <w:rPr>
          <w:b/>
          <w:bCs/>
          <w:sz w:val="30"/>
          <w:szCs w:val="30"/>
        </w:rPr>
        <w:t>Student I</w:t>
      </w:r>
      <w:r w:rsidRPr="00724B65">
        <w:rPr>
          <w:b/>
          <w:bCs/>
          <w:sz w:val="30"/>
          <w:szCs w:val="30"/>
        </w:rPr>
        <w:t>D</w:t>
      </w:r>
      <w:r w:rsidRPr="000918C2">
        <w:rPr>
          <w:szCs w:val="24"/>
        </w:rPr>
        <w:t>:</w:t>
      </w:r>
      <w:r w:rsidRPr="000918C2">
        <w:rPr>
          <w:b/>
          <w:bCs/>
          <w:sz w:val="28"/>
          <w:szCs w:val="28"/>
        </w:rPr>
        <w:t xml:space="preserve"> 2123556</w:t>
      </w:r>
    </w:p>
    <w:p w14:paraId="47008F1C" w14:textId="266EDEAA" w:rsidR="00A40907" w:rsidRPr="000918C2" w:rsidRDefault="000918C2" w:rsidP="00724B65">
      <w:pPr>
        <w:spacing w:after="160" w:line="259" w:lineRule="auto"/>
        <w:jc w:val="center"/>
        <w:rPr>
          <w:rFonts w:eastAsiaTheme="majorEastAsia" w:cstheme="majorBidi"/>
          <w:b/>
          <w:bCs/>
          <w:sz w:val="32"/>
          <w:szCs w:val="32"/>
        </w:rPr>
      </w:pPr>
      <w:r w:rsidRPr="000918C2">
        <w:rPr>
          <w:b/>
          <w:bCs/>
          <w:sz w:val="32"/>
          <w:szCs w:val="32"/>
        </w:rPr>
        <w:t>Lecturer: Dr Molly Jack</w:t>
      </w:r>
      <w:r w:rsidRPr="000918C2">
        <w:rPr>
          <w:b/>
          <w:bCs/>
          <w:sz w:val="32"/>
          <w:szCs w:val="32"/>
        </w:rPr>
        <w:br w:type="page"/>
      </w:r>
    </w:p>
    <w:sdt>
      <w:sdtPr>
        <w:rPr>
          <w:rFonts w:ascii="Times New Roman" w:eastAsiaTheme="minorHAnsi" w:hAnsi="Times New Roman" w:cstheme="minorBidi"/>
          <w:color w:val="000000" w:themeColor="text1"/>
          <w:kern w:val="2"/>
          <w:sz w:val="24"/>
          <w:szCs w:val="22"/>
          <w:lang w:val="en-GB"/>
          <w14:ligatures w14:val="standardContextual"/>
        </w:rPr>
        <w:id w:val="-1445541986"/>
        <w:docPartObj>
          <w:docPartGallery w:val="Table of Contents"/>
          <w:docPartUnique/>
        </w:docPartObj>
      </w:sdtPr>
      <w:sdtEndPr>
        <w:rPr>
          <w:b/>
          <w:bCs/>
          <w:noProof/>
        </w:rPr>
      </w:sdtEndPr>
      <w:sdtContent>
        <w:p w14:paraId="4CA4F575" w14:textId="676D5816" w:rsidR="00A40907" w:rsidRPr="00A40907" w:rsidRDefault="000918C2" w:rsidP="00A40907">
          <w:pPr>
            <w:pStyle w:val="TOCHeading"/>
            <w:jc w:val="center"/>
            <w:rPr>
              <w:rFonts w:ascii="Times New Roman" w:hAnsi="Times New Roman" w:cs="Times New Roman"/>
              <w:b/>
              <w:bCs/>
              <w:color w:val="auto"/>
              <w:sz w:val="28"/>
              <w:szCs w:val="28"/>
            </w:rPr>
          </w:pPr>
          <w:r w:rsidRPr="00A40907">
            <w:rPr>
              <w:rFonts w:ascii="Times New Roman" w:hAnsi="Times New Roman" w:cs="Times New Roman"/>
              <w:b/>
              <w:bCs/>
              <w:color w:val="auto"/>
              <w:sz w:val="28"/>
              <w:szCs w:val="28"/>
            </w:rPr>
            <w:t>Table of Contents</w:t>
          </w:r>
        </w:p>
        <w:p w14:paraId="306ED779" w14:textId="6A1AB733" w:rsidR="00724B65" w:rsidRDefault="000918C2">
          <w:pPr>
            <w:pStyle w:val="TOC1"/>
            <w:tabs>
              <w:tab w:val="right" w:leader="dot" w:pos="9016"/>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152884218" w:history="1">
            <w:r w:rsidRPr="004A24C3">
              <w:rPr>
                <w:rStyle w:val="Hyperlink"/>
                <w:noProof/>
              </w:rPr>
              <w:t>1. Introduction</w:t>
            </w:r>
            <w:r>
              <w:rPr>
                <w:noProof/>
                <w:webHidden/>
              </w:rPr>
              <w:tab/>
            </w:r>
            <w:r>
              <w:rPr>
                <w:noProof/>
                <w:webHidden/>
              </w:rPr>
              <w:fldChar w:fldCharType="begin"/>
            </w:r>
            <w:r>
              <w:rPr>
                <w:noProof/>
                <w:webHidden/>
              </w:rPr>
              <w:instrText xml:space="preserve"> PAGEREF _Toc152884218 \h </w:instrText>
            </w:r>
            <w:r>
              <w:rPr>
                <w:noProof/>
                <w:webHidden/>
              </w:rPr>
            </w:r>
            <w:r>
              <w:rPr>
                <w:noProof/>
                <w:webHidden/>
              </w:rPr>
              <w:fldChar w:fldCharType="separate"/>
            </w:r>
            <w:r>
              <w:rPr>
                <w:noProof/>
                <w:webHidden/>
              </w:rPr>
              <w:t>3</w:t>
            </w:r>
            <w:r>
              <w:rPr>
                <w:noProof/>
                <w:webHidden/>
              </w:rPr>
              <w:fldChar w:fldCharType="end"/>
            </w:r>
          </w:hyperlink>
        </w:p>
        <w:p w14:paraId="274D117A" w14:textId="3219E088" w:rsidR="00724B65" w:rsidRDefault="000918C2">
          <w:pPr>
            <w:pStyle w:val="TOC1"/>
            <w:tabs>
              <w:tab w:val="right" w:leader="dot" w:pos="9016"/>
            </w:tabs>
            <w:rPr>
              <w:rFonts w:asciiTheme="minorHAnsi" w:eastAsiaTheme="minorEastAsia" w:hAnsiTheme="minorHAnsi"/>
              <w:noProof/>
              <w:color w:val="auto"/>
              <w:sz w:val="22"/>
              <w:lang w:val="en-IN" w:eastAsia="en-IN"/>
            </w:rPr>
          </w:pPr>
          <w:hyperlink w:anchor="_Toc152884219" w:history="1">
            <w:r w:rsidRPr="004A24C3">
              <w:rPr>
                <w:rStyle w:val="Hyperlink"/>
                <w:noProof/>
              </w:rPr>
              <w:t>2. Body</w:t>
            </w:r>
            <w:r>
              <w:rPr>
                <w:noProof/>
                <w:webHidden/>
              </w:rPr>
              <w:tab/>
            </w:r>
            <w:r>
              <w:rPr>
                <w:noProof/>
                <w:webHidden/>
              </w:rPr>
              <w:fldChar w:fldCharType="begin"/>
            </w:r>
            <w:r>
              <w:rPr>
                <w:noProof/>
                <w:webHidden/>
              </w:rPr>
              <w:instrText xml:space="preserve"> PAGEREF _Toc152884219 \h </w:instrText>
            </w:r>
            <w:r>
              <w:rPr>
                <w:noProof/>
                <w:webHidden/>
              </w:rPr>
            </w:r>
            <w:r>
              <w:rPr>
                <w:noProof/>
                <w:webHidden/>
              </w:rPr>
              <w:fldChar w:fldCharType="separate"/>
            </w:r>
            <w:r>
              <w:rPr>
                <w:noProof/>
                <w:webHidden/>
              </w:rPr>
              <w:t>3</w:t>
            </w:r>
            <w:r>
              <w:rPr>
                <w:noProof/>
                <w:webHidden/>
              </w:rPr>
              <w:fldChar w:fldCharType="end"/>
            </w:r>
          </w:hyperlink>
        </w:p>
        <w:p w14:paraId="52A44AF6" w14:textId="6E31F582" w:rsidR="00724B65" w:rsidRDefault="000918C2">
          <w:pPr>
            <w:pStyle w:val="TOC1"/>
            <w:tabs>
              <w:tab w:val="right" w:leader="dot" w:pos="9016"/>
            </w:tabs>
            <w:rPr>
              <w:rFonts w:asciiTheme="minorHAnsi" w:eastAsiaTheme="minorEastAsia" w:hAnsiTheme="minorHAnsi"/>
              <w:noProof/>
              <w:color w:val="auto"/>
              <w:sz w:val="22"/>
              <w:lang w:val="en-IN" w:eastAsia="en-IN"/>
            </w:rPr>
          </w:pPr>
          <w:hyperlink w:anchor="_Toc152884220" w:history="1">
            <w:r w:rsidRPr="004A24C3">
              <w:rPr>
                <w:rStyle w:val="Hyperlink"/>
                <w:noProof/>
              </w:rPr>
              <w:t>3. Conclusion</w:t>
            </w:r>
            <w:r>
              <w:rPr>
                <w:noProof/>
                <w:webHidden/>
              </w:rPr>
              <w:tab/>
            </w:r>
            <w:r>
              <w:rPr>
                <w:noProof/>
                <w:webHidden/>
              </w:rPr>
              <w:fldChar w:fldCharType="begin"/>
            </w:r>
            <w:r>
              <w:rPr>
                <w:noProof/>
                <w:webHidden/>
              </w:rPr>
              <w:instrText xml:space="preserve"> PAGEREF _Toc152884220 \h </w:instrText>
            </w:r>
            <w:r>
              <w:rPr>
                <w:noProof/>
                <w:webHidden/>
              </w:rPr>
            </w:r>
            <w:r>
              <w:rPr>
                <w:noProof/>
                <w:webHidden/>
              </w:rPr>
              <w:fldChar w:fldCharType="separate"/>
            </w:r>
            <w:r>
              <w:rPr>
                <w:noProof/>
                <w:webHidden/>
              </w:rPr>
              <w:t>7</w:t>
            </w:r>
            <w:r>
              <w:rPr>
                <w:noProof/>
                <w:webHidden/>
              </w:rPr>
              <w:fldChar w:fldCharType="end"/>
            </w:r>
          </w:hyperlink>
        </w:p>
        <w:p w14:paraId="03DCB0D0" w14:textId="3D683DEA" w:rsidR="00724B65" w:rsidRDefault="000918C2">
          <w:pPr>
            <w:pStyle w:val="TOC1"/>
            <w:tabs>
              <w:tab w:val="right" w:leader="dot" w:pos="9016"/>
            </w:tabs>
            <w:rPr>
              <w:rFonts w:asciiTheme="minorHAnsi" w:eastAsiaTheme="minorEastAsia" w:hAnsiTheme="minorHAnsi"/>
              <w:noProof/>
              <w:color w:val="auto"/>
              <w:sz w:val="22"/>
              <w:lang w:val="en-IN" w:eastAsia="en-IN"/>
            </w:rPr>
          </w:pPr>
          <w:hyperlink w:anchor="_Toc152884221" w:history="1">
            <w:r w:rsidRPr="004A24C3">
              <w:rPr>
                <w:rStyle w:val="Hyperlink"/>
                <w:noProof/>
              </w:rPr>
              <w:t>4. Reference List</w:t>
            </w:r>
            <w:r>
              <w:rPr>
                <w:noProof/>
                <w:webHidden/>
              </w:rPr>
              <w:tab/>
            </w:r>
            <w:r>
              <w:rPr>
                <w:noProof/>
                <w:webHidden/>
              </w:rPr>
              <w:fldChar w:fldCharType="begin"/>
            </w:r>
            <w:r>
              <w:rPr>
                <w:noProof/>
                <w:webHidden/>
              </w:rPr>
              <w:instrText xml:space="preserve"> PAGEREF _Toc152884221 \h </w:instrText>
            </w:r>
            <w:r>
              <w:rPr>
                <w:noProof/>
                <w:webHidden/>
              </w:rPr>
            </w:r>
            <w:r>
              <w:rPr>
                <w:noProof/>
                <w:webHidden/>
              </w:rPr>
              <w:fldChar w:fldCharType="separate"/>
            </w:r>
            <w:r>
              <w:rPr>
                <w:noProof/>
                <w:webHidden/>
              </w:rPr>
              <w:t>9</w:t>
            </w:r>
            <w:r>
              <w:rPr>
                <w:noProof/>
                <w:webHidden/>
              </w:rPr>
              <w:fldChar w:fldCharType="end"/>
            </w:r>
          </w:hyperlink>
        </w:p>
        <w:p w14:paraId="6F69770C" w14:textId="4477CF30" w:rsidR="00A40907" w:rsidRDefault="000918C2">
          <w:r>
            <w:rPr>
              <w:b/>
              <w:bCs/>
              <w:noProof/>
            </w:rPr>
            <w:fldChar w:fldCharType="end"/>
          </w:r>
        </w:p>
      </w:sdtContent>
    </w:sdt>
    <w:p w14:paraId="526303C0" w14:textId="77777777" w:rsidR="00A40907" w:rsidRDefault="000918C2">
      <w:pPr>
        <w:spacing w:after="160" w:line="259" w:lineRule="auto"/>
        <w:jc w:val="left"/>
        <w:rPr>
          <w:rFonts w:eastAsiaTheme="majorEastAsia" w:cstheme="majorBidi"/>
          <w:b/>
          <w:sz w:val="28"/>
          <w:szCs w:val="32"/>
        </w:rPr>
      </w:pPr>
      <w:r>
        <w:br w:type="page"/>
      </w:r>
    </w:p>
    <w:p w14:paraId="6C2AD5D8" w14:textId="7B7F0155" w:rsidR="009D1F9B" w:rsidRDefault="000918C2" w:rsidP="009D1F9B">
      <w:pPr>
        <w:pStyle w:val="Heading1"/>
      </w:pPr>
      <w:bookmarkStart w:id="0" w:name="_Toc152884218"/>
      <w:r>
        <w:lastRenderedPageBreak/>
        <w:t xml:space="preserve">1. </w:t>
      </w:r>
      <w:r w:rsidRPr="009D1F9B">
        <w:t>Introduction</w:t>
      </w:r>
      <w:bookmarkEnd w:id="0"/>
    </w:p>
    <w:p w14:paraId="0E5CA250" w14:textId="523F2991" w:rsidR="00B72FEC" w:rsidRDefault="000918C2" w:rsidP="00B72FEC">
      <w:r w:rsidRPr="005013FF">
        <w:t xml:space="preserve">The selected project is a progressive community engagement project exertion set in the fantastic area of </w:t>
      </w:r>
      <w:r w:rsidRPr="00CB03C7">
        <w:rPr>
          <w:color w:val="FF0000"/>
        </w:rPr>
        <w:t>Holland Park, London</w:t>
      </w:r>
      <w:r w:rsidRPr="005013FF">
        <w:t xml:space="preserve">. This innovative effort </w:t>
      </w:r>
      <w:r w:rsidR="00C23070" w:rsidRPr="005013FF">
        <w:t>centres</w:t>
      </w:r>
      <w:r w:rsidRPr="005013FF">
        <w:t xml:space="preserve"> around the blend of local area gardening and urban growing, hoping to foster economical farming, joint success and natural awareness. At the core of this careful examination is the confirmation of the venture's duty to local area improvement, underlined by its obedience to doable practices and social enhancement. </w:t>
      </w:r>
      <w:r w:rsidR="004B46D4" w:rsidRPr="00CB03C7">
        <w:rPr>
          <w:color w:val="FF0000"/>
        </w:rPr>
        <w:t xml:space="preserve">Holland Park is an area of Kensington, London, within the Royal Borough of Chelsea and Kensington. The park itself offers a variety of sights, including thick forest, wide grounds, sports fields and beautiful gardens such as the Kyoto Garden. </w:t>
      </w:r>
      <w:r w:rsidRPr="005013FF">
        <w:t>The mix of nature and urbanity offered in Holland Park goes about as a unique basis, allowing residents a once-in-a-lifetime opportunity to work with both natural growing and active local area exercises</w:t>
      </w:r>
      <w:r>
        <w:t>.</w:t>
      </w:r>
    </w:p>
    <w:p w14:paraId="3FFB5A5A" w14:textId="5115120E" w:rsidR="009D1F9B" w:rsidRDefault="000918C2" w:rsidP="00B72FEC">
      <w:r w:rsidRPr="00C23070">
        <w:t xml:space="preserve">Presenting the reflective learning model put out by Graham Gibbs, this basic analysis uses the periods of description, feelings, evaluation, analysis, conclusion and action plan to give an orderly method for examining the local area contribution drive. The reflection model gives a measured approach, combining the study of individual meetings, project systems and the bigger effect on the local </w:t>
      </w:r>
      <w:r w:rsidR="00A40907">
        <w:t>community (Soundiraraj and Babu, 2022)</w:t>
      </w:r>
      <w:r w:rsidRPr="00C23070">
        <w:t>. The need for basic and intelligent thought turns out to be clear inside this structure, as it offers a more prominent understanding of the undertaking's start, improvement and effects. Through the resulting thought, the peruse will go out going through the complexity of the program, having the significant job of local area input in developing a practical and connected urban climate</w:t>
      </w:r>
      <w:r>
        <w:t>.</w:t>
      </w:r>
    </w:p>
    <w:p w14:paraId="2FE0C6A0" w14:textId="36575091" w:rsidR="00E01CE7" w:rsidRDefault="000918C2" w:rsidP="004C6518">
      <w:pPr>
        <w:pStyle w:val="Heading1"/>
      </w:pPr>
      <w:bookmarkStart w:id="1" w:name="_Toc152884219"/>
      <w:r>
        <w:t xml:space="preserve">2. </w:t>
      </w:r>
      <w:r w:rsidR="0049138D">
        <w:t>Body</w:t>
      </w:r>
      <w:bookmarkEnd w:id="1"/>
    </w:p>
    <w:p w14:paraId="45DE0332" w14:textId="651B6C4B" w:rsidR="004C6518" w:rsidRDefault="000918C2" w:rsidP="004C6518">
      <w:r w:rsidRPr="004C6518">
        <w:t>Gibbs Reflective Learning Model is an organised approach to reflection, encompassing six stages: Description, Feelings, Evaluation, Analysis, Conclusion</w:t>
      </w:r>
      <w:r w:rsidR="00D21249">
        <w:t xml:space="preserve"> and</w:t>
      </w:r>
      <w:r w:rsidRPr="004C6518">
        <w:t xml:space="preserve"> Action Plan. It enables people to methodically investigate experiences, emotions</w:t>
      </w:r>
      <w:r w:rsidR="00D21249">
        <w:t xml:space="preserve"> and</w:t>
      </w:r>
      <w:r w:rsidRPr="004C6518">
        <w:t xml:space="preserve"> results, promoting a greater understanding of events.</w:t>
      </w:r>
      <w:r w:rsidR="0049138D">
        <w:t xml:space="preserve"> </w:t>
      </w:r>
      <w:r w:rsidR="0049138D" w:rsidRPr="0049138D">
        <w:t>In applying the Gibbs Reflective Learning Model, this investigation looks into the community engagement project, unveiling its goals and objectives</w:t>
      </w:r>
      <w:r w:rsidR="00A40907">
        <w:t xml:space="preserve"> (Golumbic </w:t>
      </w:r>
      <w:r w:rsidR="00A40907" w:rsidRPr="0026142C">
        <w:rPr>
          <w:i/>
          <w:iCs/>
        </w:rPr>
        <w:t>et al</w:t>
      </w:r>
      <w:r w:rsidR="00A40907">
        <w:t>., 2022)</w:t>
      </w:r>
      <w:r w:rsidR="0049138D" w:rsidRPr="0049138D">
        <w:t>. It examines the best practices implemented, stressing active consultation, communication, stakeholders' engagement, diversity, inclusion and multi-agency partnerships.</w:t>
      </w:r>
    </w:p>
    <w:p w14:paraId="689AF82A" w14:textId="33018703" w:rsidR="000420CF" w:rsidRPr="00234691" w:rsidRDefault="000918C2" w:rsidP="004C6518">
      <w:pPr>
        <w:rPr>
          <w:b/>
          <w:bCs/>
        </w:rPr>
      </w:pPr>
      <w:r w:rsidRPr="00234691">
        <w:rPr>
          <w:b/>
          <w:bCs/>
        </w:rPr>
        <w:t>Descriptions</w:t>
      </w:r>
    </w:p>
    <w:p w14:paraId="2CA81326" w14:textId="5FCD82DA" w:rsidR="0033430B" w:rsidRDefault="000918C2" w:rsidP="0033430B">
      <w:r w:rsidRPr="00C25EAC">
        <w:t xml:space="preserve">The community engagement plan is created as a creative project set in the middle of the rich greenery </w:t>
      </w:r>
      <w:r w:rsidRPr="00CB03C7">
        <w:rPr>
          <w:color w:val="FF0000"/>
        </w:rPr>
        <w:t>of Holland Park, London</w:t>
      </w:r>
      <w:r w:rsidRPr="00C25EAC">
        <w:t xml:space="preserve">. Essentially focused on community gardening and urban growing, the drive lays forward an extensive plan aiming at creating economical farming, </w:t>
      </w:r>
      <w:r w:rsidRPr="00C25EAC">
        <w:lastRenderedPageBreak/>
        <w:t>shared wealth and ecology still, a small voice. A clear aim is to fabricate a public region that develops new, privately made veggies yet in addition works as a comprehensive community for instructional, sports and get-togethers. The venture firmly puts itself inside the lively urban climate of Holland Park, giving people a remarkable opportun</w:t>
      </w:r>
      <w:r w:rsidRPr="00C25EAC">
        <w:t>ity to beat any barrier between metropolitan life and farming approaches. The program means to spark a peaceful interaction between the urban climate and supportable gardening methods by creating natural nursery plots, green areas and shared growing regions.</w:t>
      </w:r>
    </w:p>
    <w:p w14:paraId="49F80780" w14:textId="6D307142" w:rsidR="0033430B" w:rsidRDefault="000918C2" w:rsidP="0033430B">
      <w:r w:rsidRPr="00091CD0">
        <w:t>The points of the project are varied, meaning to lay out an actual spot for natural growing as well as a community atmosphere ideal for shared learning, happiness and social grit. Through the structure of complete community workshops, social trade programs and the joining of web-based entertainment stages, the project tries to make a unique common texture that spreads out past farming techniques. The procedures accepted for exploration and community planning incorporate a total system that includes customar</w:t>
      </w:r>
      <w:r w:rsidRPr="00091CD0">
        <w:t>y community talks, open gatherings and workshops</w:t>
      </w:r>
      <w:r w:rsidR="00A40907">
        <w:t xml:space="preserve"> (Edge </w:t>
      </w:r>
      <w:r w:rsidR="00A40907" w:rsidRPr="0026142C">
        <w:rPr>
          <w:i/>
          <w:iCs/>
        </w:rPr>
        <w:t>et al</w:t>
      </w:r>
      <w:r w:rsidR="00A40907">
        <w:t>., 2020)</w:t>
      </w:r>
      <w:r w:rsidRPr="00091CD0">
        <w:t>. This enables a thorough dynamic engagement symbolic of the various requirements and wishes of the community. The review approach incorporates a nitty gritty handle of the community's social, semantic and financial assortment, allowing personalised interaction techniques that connect with the various populaces. Through these exact systems, the drive assembles the reason for a complete and realistic community investment process</w:t>
      </w:r>
      <w:r>
        <w:t>.</w:t>
      </w:r>
    </w:p>
    <w:p w14:paraId="3EC04671" w14:textId="103A22FF" w:rsidR="00947B47" w:rsidRPr="00947B47" w:rsidRDefault="000918C2" w:rsidP="0033430B">
      <w:pPr>
        <w:rPr>
          <w:b/>
          <w:bCs/>
        </w:rPr>
      </w:pPr>
      <w:r w:rsidRPr="00947B47">
        <w:rPr>
          <w:b/>
          <w:bCs/>
        </w:rPr>
        <w:t>Feelings</w:t>
      </w:r>
    </w:p>
    <w:p w14:paraId="34E6F44F" w14:textId="50940BD6" w:rsidR="00947B47" w:rsidRDefault="000918C2" w:rsidP="00947B47">
      <w:r w:rsidRPr="005E4ED8">
        <w:t>Taking part in the community project has been an extremely satisfying experience, showcasing a span of unique thoughts and pieces of information</w:t>
      </w:r>
      <w:r w:rsidR="000D7C2B">
        <w:t xml:space="preserve"> in this </w:t>
      </w:r>
      <w:r w:rsidR="000D7C2B" w:rsidRPr="00CB03C7">
        <w:rPr>
          <w:color w:val="FF0000"/>
        </w:rPr>
        <w:t>community engagement park in Holand Park, London</w:t>
      </w:r>
      <w:r w:rsidRPr="005E4ED8">
        <w:t>. All along, an exceptional sense of focus and energy moved my duty. The potential adding to feasible nurturing and community improvement put new life into a real rush, committing to the project's general places. In any case, as the project was produced, several feelings were formed</w:t>
      </w:r>
      <w:r w:rsidR="00A40907">
        <w:t xml:space="preserve"> (Hertel, Bacq and Belz, 2019)</w:t>
      </w:r>
      <w:r w:rsidRPr="005E4ED8">
        <w:t>. Great experiences, for instance, seeing the community engaging in workshops and social exchange works out, conveyed an unquestionable tenden</w:t>
      </w:r>
      <w:r w:rsidRPr="005E4ED8">
        <w:t>cy of happiness and accomplishment. These events filled in as updates that community collaboration isn't just about accomplishing important goals but also about making critical partnerships and shared experiences</w:t>
      </w:r>
      <w:r>
        <w:t>.</w:t>
      </w:r>
    </w:p>
    <w:p w14:paraId="58C4A53E" w14:textId="4F061CB5" w:rsidR="00947B47" w:rsidRDefault="000918C2" w:rsidP="00947B47">
      <w:r w:rsidRPr="00AE3DF3">
        <w:t xml:space="preserve">The journey was not without hurdles. Investigating the changed ideas inside the community needed a careful balance, making seasons of disturbing impact and diverse design. Regardless, </w:t>
      </w:r>
      <w:r w:rsidRPr="00AE3DF3">
        <w:lastRenderedPageBreak/>
        <w:t xml:space="preserve">every problem turned into a chance for individual and group growth. Beating these hurdles produced a vibe of camaraderie and variety, developing my trust in the noteworthy capacity of thorough community support. The near and dear influence of these obstacles was heavy, </w:t>
      </w:r>
      <w:r w:rsidR="00B07216">
        <w:t>concentrating</w:t>
      </w:r>
      <w:r w:rsidRPr="00AE3DF3">
        <w:t xml:space="preserve"> on the importance of flexibility and openness even with community components. Considering the major effect of community commitment shows its huge importance in building a typical vibe of bearing and association</w:t>
      </w:r>
      <w:r w:rsidR="00A40907">
        <w:t xml:space="preserve"> (Bowe </w:t>
      </w:r>
      <w:r w:rsidR="00A40907" w:rsidRPr="0026142C">
        <w:rPr>
          <w:i/>
          <w:iCs/>
        </w:rPr>
        <w:t>et al</w:t>
      </w:r>
      <w:r w:rsidR="00A40907">
        <w:t>., 2020)</w:t>
      </w:r>
      <w:r w:rsidRPr="00AE3DF3">
        <w:t xml:space="preserve">. The drive changed into a route for making ties and teamwork among </w:t>
      </w:r>
      <w:r w:rsidR="00584F25" w:rsidRPr="00AE3DF3">
        <w:t>neighbourhood</w:t>
      </w:r>
      <w:r w:rsidRPr="00AE3DF3">
        <w:t xml:space="preserve"> people. Seeing people from vacillated businesses give, share thoughts and participate in the project showed the changing effect of building an image of backbone. In these models, the significant resonation of community affiliation ended up being clear, </w:t>
      </w:r>
      <w:r w:rsidR="00B07216">
        <w:t>concentrating</w:t>
      </w:r>
      <w:r w:rsidRPr="00AE3DF3">
        <w:t xml:space="preserve"> on that decent headway isn't simply assessed by genuine outcomes but is correspondingly established on the up close and personal surface of shared experiences an</w:t>
      </w:r>
      <w:r w:rsidRPr="00AE3DF3">
        <w:t>d aggregate progression</w:t>
      </w:r>
      <w:r>
        <w:t>.</w:t>
      </w:r>
    </w:p>
    <w:p w14:paraId="0B042926" w14:textId="339D723F" w:rsidR="00947B47" w:rsidRPr="00234691" w:rsidRDefault="000918C2" w:rsidP="00947B47">
      <w:pPr>
        <w:rPr>
          <w:b/>
          <w:bCs/>
        </w:rPr>
      </w:pPr>
      <w:r w:rsidRPr="00234691">
        <w:rPr>
          <w:b/>
          <w:bCs/>
        </w:rPr>
        <w:t>Evaluation</w:t>
      </w:r>
    </w:p>
    <w:p w14:paraId="4FC67F4B" w14:textId="55924196" w:rsidR="00234691" w:rsidRDefault="000918C2" w:rsidP="00234691">
      <w:r w:rsidRPr="00AD3854">
        <w:t xml:space="preserve">The selected community engagement project </w:t>
      </w:r>
      <w:r w:rsidR="000D7C2B">
        <w:t xml:space="preserve">in </w:t>
      </w:r>
      <w:r w:rsidR="000D7C2B" w:rsidRPr="00CB03C7">
        <w:rPr>
          <w:color w:val="FF0000"/>
        </w:rPr>
        <w:t xml:space="preserve">Holand Park, London </w:t>
      </w:r>
      <w:r w:rsidRPr="00AD3854">
        <w:t>needs an itemi</w:t>
      </w:r>
      <w:r w:rsidR="003A6BDD">
        <w:t>s</w:t>
      </w:r>
      <w:r w:rsidRPr="00AD3854">
        <w:t>ed examination and evaluation to gauge its outcome in achieving project objectives. Dynamic discussion and correspondence arose as key parts, extensively influencing project results. The normal requesting of community assessment through open discussions and studios fostered a sensation of incorporation and proprietorship</w:t>
      </w:r>
      <w:r w:rsidR="00A40907">
        <w:t xml:space="preserve"> (Asuman and Diedong, 2019)</w:t>
      </w:r>
      <w:r w:rsidRPr="00AD3854">
        <w:t>. This proactive interest not only ensured that the project related to the various prerequisites of the community but additio</w:t>
      </w:r>
      <w:r w:rsidRPr="00AD3854">
        <w:t>nally offered a discussion for partners to impact its improvement effectively. The methodology showed a fruitful strategy, giving a majority rule space for discussion and cooperation that, thus, solidified the community's connection to the project</w:t>
      </w:r>
      <w:r>
        <w:t>.</w:t>
      </w:r>
    </w:p>
    <w:p w14:paraId="1128EAB7" w14:textId="2771E6F1" w:rsidR="00234691" w:rsidRDefault="000918C2" w:rsidP="00234691">
      <w:r w:rsidRPr="00AD3854">
        <w:t>Stakeholders' engagement played a critical part in the project's success. The drive completed a thorough picture of community worries by recogni</w:t>
      </w:r>
      <w:r w:rsidR="003A6BDD">
        <w:t>s</w:t>
      </w:r>
      <w:r w:rsidRPr="00AD3854">
        <w:t xml:space="preserve">ing and drawing in significant players going from </w:t>
      </w:r>
      <w:r w:rsidR="00DC1232" w:rsidRPr="00AD3854">
        <w:t>neighbourhood</w:t>
      </w:r>
      <w:r w:rsidRPr="00AD3854">
        <w:t xml:space="preserve"> residents to educational businesses and ecological support gatherings. The amount of partner teamwork turned into a basis for impacting the project's course. The commitment to variety and thought further helped community engagement methods</w:t>
      </w:r>
      <w:r w:rsidR="000D7C2B">
        <w:t xml:space="preserve"> in this project</w:t>
      </w:r>
      <w:r w:rsidRPr="00AD3854">
        <w:t>. The comprehension drive might read social, semantic and financial assortment was clear in the customi</w:t>
      </w:r>
      <w:r w:rsidR="003A6BDD">
        <w:t>s</w:t>
      </w:r>
      <w:r w:rsidRPr="00AD3854">
        <w:t>ed interaction strategies used, ensuring that the contribution was wide as well as delicate to the different foundations inside the community</w:t>
      </w:r>
      <w:r w:rsidR="00A40907">
        <w:t xml:space="preserve"> (Singh, 2020)</w:t>
      </w:r>
      <w:r w:rsidRPr="00AD3854">
        <w:t xml:space="preserve">. The effect of these thorough strategies echoed in the </w:t>
      </w:r>
      <w:r w:rsidR="000D7C2B">
        <w:t>community engagement project in Holand Park, London</w:t>
      </w:r>
      <w:r w:rsidRPr="00AD3854">
        <w:t xml:space="preserve"> ability to reach and draw in a bigger crowd, building a community soul that respected difference. The multi-organi</w:t>
      </w:r>
      <w:r w:rsidR="003A6BDD">
        <w:t>s</w:t>
      </w:r>
      <w:r w:rsidRPr="00AD3854">
        <w:t xml:space="preserve">ation exchanges inside the drive showed a complete way to deal </w:t>
      </w:r>
      <w:r w:rsidRPr="00AD3854">
        <w:lastRenderedPageBreak/>
        <w:t>with community growth. Teaming up with neighbourhood schools, ecological gatherings, wellbeing administrations and community focuses laid out an organi</w:t>
      </w:r>
      <w:r w:rsidR="003A6BDD">
        <w:t>s</w:t>
      </w:r>
      <w:r w:rsidRPr="00AD3854">
        <w:t>ation that tended to a range of worries from training and health to nat</w:t>
      </w:r>
      <w:r w:rsidRPr="00AD3854">
        <w:t>ural maintainability, exhibiting the viability of a cooperative and differentiated technique in gathering different community needs</w:t>
      </w:r>
      <w:r>
        <w:t>.</w:t>
      </w:r>
    </w:p>
    <w:p w14:paraId="1A6E8FF5" w14:textId="4453BAB2" w:rsidR="00CD6B98" w:rsidRPr="00CD6B98" w:rsidRDefault="000918C2" w:rsidP="00CD6B98">
      <w:pPr>
        <w:rPr>
          <w:b/>
          <w:bCs/>
        </w:rPr>
      </w:pPr>
      <w:r w:rsidRPr="00CD6B98">
        <w:rPr>
          <w:b/>
          <w:bCs/>
        </w:rPr>
        <w:t>Analysis</w:t>
      </w:r>
    </w:p>
    <w:p w14:paraId="60175536" w14:textId="40AB36DE" w:rsidR="00054679" w:rsidRDefault="000918C2" w:rsidP="00CD6B98">
      <w:r w:rsidRPr="00414B4D">
        <w:t xml:space="preserve">The research method accepted in the community engagement project </w:t>
      </w:r>
      <w:r w:rsidR="00305C21">
        <w:t xml:space="preserve">of </w:t>
      </w:r>
      <w:r w:rsidR="00305C21" w:rsidRPr="00CB03C7">
        <w:rPr>
          <w:color w:val="FF0000"/>
        </w:rPr>
        <w:t xml:space="preserve">Holand Park, London </w:t>
      </w:r>
      <w:r w:rsidRPr="00414B4D">
        <w:t>displayed the two traits and limitations. A huge resource was the devotion to community engagement, including various talks, open meetings and workshops to get nearby feelings. This strategy ensured that leadership was broad and agent, tied up with the various prerequisites of the community</w:t>
      </w:r>
      <w:r w:rsidR="00A40907">
        <w:t xml:space="preserve"> (Palombi </w:t>
      </w:r>
      <w:r w:rsidR="00A40907" w:rsidRPr="0026142C">
        <w:rPr>
          <w:i/>
          <w:iCs/>
        </w:rPr>
        <w:t>et al</w:t>
      </w:r>
      <w:r w:rsidR="00A40907">
        <w:t>., 2019)</w:t>
      </w:r>
      <w:r w:rsidRPr="00414B4D">
        <w:t xml:space="preserve">. Notwithstanding, a possible disadvantage lives in the depth of information analysis, even though community cooperation was successfully asked, the project might profit from </w:t>
      </w:r>
      <w:r w:rsidRPr="00414B4D">
        <w:t>a greater investigation of the material. Moreover, there can be limits on the representativeness of community participation, since specific opinions might be erroneously ignored</w:t>
      </w:r>
      <w:r>
        <w:t xml:space="preserve">. </w:t>
      </w:r>
    </w:p>
    <w:p w14:paraId="02EEEB5D" w14:textId="3D95B13B" w:rsidR="00CD6B98" w:rsidRDefault="000918C2" w:rsidP="00CD6B98">
      <w:r w:rsidRPr="00414B4D">
        <w:t xml:space="preserve">Community mapping demonstrated value in deciphering nearby elements. It gave a visual portrayal of basic highlights inside the community, empowering the distinguishing proof of </w:t>
      </w:r>
      <w:r w:rsidR="00B72C60" w:rsidRPr="00414B4D">
        <w:t>centre</w:t>
      </w:r>
      <w:r w:rsidR="00B72C60">
        <w:t>s</w:t>
      </w:r>
      <w:r w:rsidRPr="00414B4D">
        <w:t xml:space="preserve">, conceivable participation destinations and spots in rough shape. This exploration gave extensive information on the community's geological and social texture, prompting more engaged community engagement measures. The adequacy of virtual entertainment stages in empowering social association was </w:t>
      </w:r>
      <w:r w:rsidR="003A6BDD" w:rsidRPr="00414B4D">
        <w:t>ama</w:t>
      </w:r>
      <w:r w:rsidR="003A6BDD">
        <w:t>z</w:t>
      </w:r>
      <w:r w:rsidR="003A6BDD" w:rsidRPr="00414B4D">
        <w:t>ing</w:t>
      </w:r>
      <w:r w:rsidRPr="00414B4D">
        <w:t xml:space="preserve">. </w:t>
      </w:r>
      <w:r w:rsidR="00A40907">
        <w:t>Platforms</w:t>
      </w:r>
      <w:r w:rsidRPr="00414B4D">
        <w:t xml:space="preserve"> like Instagram and Twitter give various styles of correspondence, incorporating outwardly determined material with constant updates</w:t>
      </w:r>
      <w:r w:rsidR="00A40907">
        <w:t xml:space="preserve"> (Ye and Zhao, 2023)</w:t>
      </w:r>
      <w:r w:rsidRPr="00414B4D">
        <w:t>. This different technique empowered a</w:t>
      </w:r>
      <w:r w:rsidRPr="00414B4D">
        <w:t xml:space="preserve"> more prominent reach and different engagement strategies, empowering a more unique contact with the community. The distinguished accepted procedures in community engagement, like ordinary counsels, broadened stakeholder association and social awareness, were approved by their substantial advantages on project results. These strategies helped the project's consideration as well as cultivated a genuine sensation of community proprietorship. The progress of the project in connecting social and social contrast</w:t>
      </w:r>
      <w:r w:rsidRPr="00414B4D">
        <w:t>s vouches for the convenience of these procedures in laying out a serene and dynamic culture</w:t>
      </w:r>
      <w:r>
        <w:t>.</w:t>
      </w:r>
    </w:p>
    <w:p w14:paraId="6FA3C3A6" w14:textId="04E95EA5" w:rsidR="00CD6B98" w:rsidRPr="00CD6B98" w:rsidRDefault="000918C2" w:rsidP="00CD6B98">
      <w:pPr>
        <w:rPr>
          <w:b/>
          <w:bCs/>
        </w:rPr>
      </w:pPr>
      <w:r w:rsidRPr="00CD6B98">
        <w:rPr>
          <w:b/>
          <w:bCs/>
        </w:rPr>
        <w:t>Conclusion</w:t>
      </w:r>
    </w:p>
    <w:p w14:paraId="1ED99427" w14:textId="73014523" w:rsidR="00CD6B98" w:rsidRDefault="000918C2" w:rsidP="00CD6B98">
      <w:r w:rsidRPr="00F46646">
        <w:t>Reflecting on the community engagement project</w:t>
      </w:r>
      <w:r w:rsidR="00305C21">
        <w:t xml:space="preserve"> of </w:t>
      </w:r>
      <w:r w:rsidR="00305C21" w:rsidRPr="00CB03C7">
        <w:rPr>
          <w:color w:val="FF0000"/>
        </w:rPr>
        <w:t>Holand Park, London</w:t>
      </w:r>
      <w:r w:rsidRPr="00CB03C7">
        <w:rPr>
          <w:color w:val="FF0000"/>
        </w:rPr>
        <w:t xml:space="preserve"> </w:t>
      </w:r>
      <w:r w:rsidRPr="00F46646">
        <w:t xml:space="preserve">gives essential bits of knowledge regarding the pertinence of dynamic discussion, great correspondence and </w:t>
      </w:r>
      <w:r w:rsidRPr="00F46646">
        <w:lastRenderedPageBreak/>
        <w:t>stakeholder association. The idea of coordinating the community into dynamic cycles demonstrated significance in building a project immovably imbued in the neighbourhood texture</w:t>
      </w:r>
      <w:r w:rsidR="00A40907">
        <w:t xml:space="preserve"> (Corbin </w:t>
      </w:r>
      <w:r w:rsidR="00A40907" w:rsidRPr="0026142C">
        <w:rPr>
          <w:i/>
          <w:iCs/>
        </w:rPr>
        <w:t>et al</w:t>
      </w:r>
      <w:r w:rsidR="00A40907">
        <w:t>., 2021)</w:t>
      </w:r>
      <w:r w:rsidRPr="00F46646">
        <w:t>. The progress of the project, recogni</w:t>
      </w:r>
      <w:r w:rsidR="003A6BDD">
        <w:t>s</w:t>
      </w:r>
      <w:r w:rsidRPr="00F46646">
        <w:t>ed by noticeable advantages and a sensation of community pride, stresses the meaning of building genuine ties and shared responsibility. The dy</w:t>
      </w:r>
      <w:r w:rsidRPr="00F46646">
        <w:t>namic contribution of stakeholders, along with changed and comprehensive methodologies, assumed a vital part in laying out a community engagement process that stretches out past surface contacts</w:t>
      </w:r>
      <w:r>
        <w:t>.</w:t>
      </w:r>
    </w:p>
    <w:p w14:paraId="78863FA5" w14:textId="142685CF" w:rsidR="00CD6B98" w:rsidRDefault="000918C2" w:rsidP="00CD6B98">
      <w:r w:rsidRPr="00F46646">
        <w:t>The attention to diversity, inclusiveness and multi-agency interactions created fundamental points of support in community advancement. Praising diversity, making multifaceted interactions and banding together with different associations brought up a far-reaching system that covered a wide scope of community needs</w:t>
      </w:r>
      <w:r w:rsidR="00A40907">
        <w:t xml:space="preserve"> (Reopell </w:t>
      </w:r>
      <w:r w:rsidR="00A40907" w:rsidRPr="0026142C">
        <w:rPr>
          <w:i/>
          <w:iCs/>
        </w:rPr>
        <w:t>et al</w:t>
      </w:r>
      <w:r w:rsidR="00A40907">
        <w:t>., 2023)</w:t>
      </w:r>
      <w:r w:rsidRPr="00F46646">
        <w:t xml:space="preserve">. The project featured that </w:t>
      </w:r>
      <w:r w:rsidRPr="00F46646">
        <w:t>veritable outcome in community engagement dwells in achieving specific targets as well as in fostering a versatile and coordinated community</w:t>
      </w:r>
      <w:r>
        <w:t>.</w:t>
      </w:r>
    </w:p>
    <w:p w14:paraId="4F6D3046" w14:textId="3D0679E8" w:rsidR="00CD6B98" w:rsidRPr="00CD6B98" w:rsidRDefault="000918C2" w:rsidP="00CD6B98">
      <w:pPr>
        <w:rPr>
          <w:b/>
          <w:bCs/>
        </w:rPr>
      </w:pPr>
      <w:r w:rsidRPr="00CD6B98">
        <w:rPr>
          <w:b/>
          <w:bCs/>
        </w:rPr>
        <w:t>Action Plan</w:t>
      </w:r>
    </w:p>
    <w:p w14:paraId="52A0F17A" w14:textId="1D7FDBB8" w:rsidR="00CD6B98" w:rsidRDefault="000918C2" w:rsidP="00CD6B98">
      <w:r w:rsidRPr="00C10211">
        <w:t xml:space="preserve">Expanding upon basic views, specific actions and changes might push future community engagement projects </w:t>
      </w:r>
      <w:r w:rsidR="00305C21">
        <w:t xml:space="preserve">of </w:t>
      </w:r>
      <w:r w:rsidR="00305C21" w:rsidRPr="00CB03C7">
        <w:rPr>
          <w:color w:val="FF0000"/>
        </w:rPr>
        <w:t xml:space="preserve">Holand Park, London </w:t>
      </w:r>
      <w:r w:rsidRPr="00C10211">
        <w:t xml:space="preserve">to significantly better progress. Reinforcing the review approach ought to incorporate accepting more thorough information analysis tools to guarantee a full handle of community elements. Also, attempts ought to be made towards lowering any predispositions and ensuring the support of alternate points of view in community input. Resolving known problems includes further developing the communication method via online entertainment outlets. Persistent checking and analysis of engagement </w:t>
      </w:r>
      <w:r w:rsidRPr="00C10211">
        <w:t>information might inspire changes to content drives, keeping up with ideal feedback with the community</w:t>
      </w:r>
      <w:r>
        <w:t xml:space="preserve">. </w:t>
      </w:r>
    </w:p>
    <w:p w14:paraId="186A379C" w14:textId="0634F00D" w:rsidR="00724A10" w:rsidRPr="004C6518" w:rsidRDefault="000918C2" w:rsidP="0033430B">
      <w:r w:rsidRPr="00C10211">
        <w:t xml:space="preserve">A more fitting way to deal with virtual entertainment showing, lined up with specific project successes or situations, may support general inclusion and effect. </w:t>
      </w:r>
      <w:r w:rsidR="00A40907">
        <w:t>Recommendation</w:t>
      </w:r>
      <w:r w:rsidRPr="00C10211">
        <w:t>s for future community engagement programs combine advanced progress with community training</w:t>
      </w:r>
      <w:r w:rsidR="00A40907">
        <w:t xml:space="preserve"> (O'Meara and Jaeger, 2019)</w:t>
      </w:r>
      <w:r w:rsidRPr="00C10211">
        <w:t>. Carrying out classes, workshops and awareness programs that offer community people with abilities and data gives a strong and flexible community. Moreover, accepting models learnt in this project, future efforts ought to strongly look for associations with a wide range of associations, building an organi</w:t>
      </w:r>
      <w:r w:rsidR="003A6BDD">
        <w:t>s</w:t>
      </w:r>
      <w:r w:rsidRPr="00C10211">
        <w:t>ation that comprehensively settles community needs. The accentuation ou</w:t>
      </w:r>
      <w:r w:rsidRPr="00C10211">
        <w:t>ght to be on putting out a group that not just answers problems but rather successfully chooses its stable future</w:t>
      </w:r>
      <w:r>
        <w:t>.</w:t>
      </w:r>
    </w:p>
    <w:p w14:paraId="42AC471B" w14:textId="6E531993" w:rsidR="009D1F9B" w:rsidRDefault="000918C2" w:rsidP="009D1F9B">
      <w:pPr>
        <w:pStyle w:val="Heading1"/>
      </w:pPr>
      <w:bookmarkStart w:id="2" w:name="_Toc152884220"/>
      <w:r>
        <w:lastRenderedPageBreak/>
        <w:t xml:space="preserve">3. </w:t>
      </w:r>
      <w:r w:rsidRPr="009D1F9B">
        <w:t>Conclusion</w:t>
      </w:r>
      <w:bookmarkEnd w:id="2"/>
    </w:p>
    <w:p w14:paraId="2AE437E7" w14:textId="49316A55" w:rsidR="001323C1" w:rsidRDefault="000918C2" w:rsidP="001323C1">
      <w:r w:rsidRPr="007A7745">
        <w:t xml:space="preserve">The community engagement project in Holland Park, London, fills in as a landmark to the changing </w:t>
      </w:r>
      <w:r w:rsidRPr="007A7745">
        <w:t>capability of building sensible gardening and eager social regions. The work beautifully wound around together nature nurturing, social improvement and social cohesion, providing a lively needlework that resounded with the various people from the area. The project's success was based on the active engagement of partners, traditional meetings and a pledge to variety and incorporation. The project expanded its reach and linked with the community in a different talk by really utili</w:t>
      </w:r>
      <w:r w:rsidR="003A6BDD">
        <w:t>s</w:t>
      </w:r>
      <w:r w:rsidRPr="007A7745">
        <w:t>ing virtual entertainment ou</w:t>
      </w:r>
      <w:r w:rsidRPr="007A7745">
        <w:t>tlets, showing the worth of innovation in community improvement. Basic thought played an essential part in defining the project's course and results. The combined review utili</w:t>
      </w:r>
      <w:r w:rsidR="003A6BDD">
        <w:t>s</w:t>
      </w:r>
      <w:r w:rsidRPr="007A7745">
        <w:t>ing the Gibbs Reflective Learning Model takes into consideration a nitty gritty evaluation of individual encounters, project systems and community elements</w:t>
      </w:r>
      <w:r>
        <w:t xml:space="preserve">. </w:t>
      </w:r>
    </w:p>
    <w:p w14:paraId="171E2F3D" w14:textId="487C07CB" w:rsidR="007A7938" w:rsidRDefault="000918C2" w:rsidP="001323C1">
      <w:r w:rsidRPr="007A7745">
        <w:t>This reflective method worked as a guide, directing the project towards consideration, adaptability and continuous advancement. The pertinence of truly inspecting the qualities and flaws of community engagement methods can't be stressed, as it makes the reason for informed direction and practical growth. Key important points from this experience underline the meaning of lively talk, great communication and partner association in community engagement programs</w:t>
      </w:r>
      <w:r w:rsidR="00A40907">
        <w:t xml:space="preserve"> (Goulbourne, 2022)</w:t>
      </w:r>
      <w:r w:rsidRPr="007A7745">
        <w:t>. The success of the project lay in making genuine ties inside the community, allowing variety and effectively appealing to various groups. The project's effect stretched past real successes, leaving a lasting stamp on the community's feeling of personality and shared duty. The models gained from the community engagement project become core beliefs for future projects. The constant quest for comprehensive practices, the improvement of communication processes and the direct involvement wit</w:t>
      </w:r>
      <w:r w:rsidRPr="007A7745">
        <w:t>h shifting partners appear as significant parts of successful community engagement. At last, this groundbreaking trip underlines that reasonable community improvement isn't a goal but a ceaseless interaction affected by reflective learning, adaptability and a typical obligation to create flexible and connected networks</w:t>
      </w:r>
      <w:r>
        <w:t>.</w:t>
      </w:r>
    </w:p>
    <w:p w14:paraId="5943BFCD" w14:textId="77777777" w:rsidR="007A7938" w:rsidRDefault="000918C2">
      <w:pPr>
        <w:spacing w:after="160" w:line="259" w:lineRule="auto"/>
        <w:jc w:val="left"/>
      </w:pPr>
      <w:r>
        <w:br w:type="page"/>
      </w:r>
    </w:p>
    <w:p w14:paraId="29AF632A" w14:textId="61C15746" w:rsidR="001323C1" w:rsidRDefault="000918C2" w:rsidP="007A7938">
      <w:pPr>
        <w:pStyle w:val="Heading1"/>
      </w:pPr>
      <w:bookmarkStart w:id="3" w:name="_Toc152884221"/>
      <w:r>
        <w:lastRenderedPageBreak/>
        <w:t>4. Reference List</w:t>
      </w:r>
      <w:bookmarkEnd w:id="3"/>
    </w:p>
    <w:p w14:paraId="247F0363" w14:textId="77777777" w:rsidR="007A7938" w:rsidRPr="00950C52" w:rsidRDefault="000918C2" w:rsidP="007A7938">
      <w:pPr>
        <w:rPr>
          <w:shd w:val="clear" w:color="auto" w:fill="FFFFFF"/>
        </w:rPr>
      </w:pPr>
      <w:r w:rsidRPr="00950C52">
        <w:rPr>
          <w:shd w:val="clear" w:color="auto" w:fill="FFFFFF"/>
        </w:rPr>
        <w:t>Asuman, M.K. and Diedong, A.L., 2019. Multiplicity of voices in community development through radio in Fanteakwa district, Ghana. </w:t>
      </w:r>
      <w:r w:rsidRPr="00950C52">
        <w:rPr>
          <w:i/>
          <w:iCs/>
          <w:shd w:val="clear" w:color="auto" w:fill="FFFFFF"/>
        </w:rPr>
        <w:t>Ghana Journal of Development Studies</w:t>
      </w:r>
      <w:r w:rsidRPr="00950C52">
        <w:rPr>
          <w:shd w:val="clear" w:color="auto" w:fill="FFFFFF"/>
        </w:rPr>
        <w:t>, </w:t>
      </w:r>
      <w:r w:rsidRPr="00950C52">
        <w:rPr>
          <w:i/>
          <w:iCs/>
          <w:shd w:val="clear" w:color="auto" w:fill="FFFFFF"/>
        </w:rPr>
        <w:t>16</w:t>
      </w:r>
      <w:r w:rsidRPr="00950C52">
        <w:rPr>
          <w:shd w:val="clear" w:color="auto" w:fill="FFFFFF"/>
        </w:rPr>
        <w:t>(2), pp.178-198.</w:t>
      </w:r>
    </w:p>
    <w:p w14:paraId="37B1BEA4" w14:textId="77777777" w:rsidR="007A7938" w:rsidRPr="00950C52" w:rsidRDefault="000918C2" w:rsidP="007A7938">
      <w:pPr>
        <w:rPr>
          <w:shd w:val="clear" w:color="auto" w:fill="FFFFFF"/>
        </w:rPr>
      </w:pPr>
      <w:r w:rsidRPr="00950C52">
        <w:rPr>
          <w:shd w:val="clear" w:color="auto" w:fill="FFFFFF"/>
        </w:rPr>
        <w:t>Bowe, M., Gray, D., Stevenson, C., McNamara, N., Wakefield, J.R., Kellezi, B., Wilson, I., Cleveland, M., Mair, E., Halder, M. and Costa, S., 2020. A social cure in the community: A mixed</w:t>
      </w:r>
      <w:r w:rsidRPr="00950C52">
        <w:rPr>
          <w:rFonts w:ascii="Cambria Math" w:hAnsi="Cambria Math" w:cs="Cambria Math"/>
          <w:shd w:val="clear" w:color="auto" w:fill="FFFFFF"/>
        </w:rPr>
        <w:t>‐</w:t>
      </w:r>
      <w:r w:rsidRPr="00950C52">
        <w:rPr>
          <w:shd w:val="clear" w:color="auto" w:fill="FFFFFF"/>
        </w:rPr>
        <w:t xml:space="preserve">method </w:t>
      </w:r>
      <w:r w:rsidRPr="00950C52">
        <w:rPr>
          <w:shd w:val="clear" w:color="auto" w:fill="FFFFFF"/>
        </w:rPr>
        <w:t>exploration of the role of social identity in the experiences and well</w:t>
      </w:r>
      <w:r w:rsidRPr="00950C52">
        <w:rPr>
          <w:rFonts w:ascii="Cambria Math" w:hAnsi="Cambria Math" w:cs="Cambria Math"/>
          <w:shd w:val="clear" w:color="auto" w:fill="FFFFFF"/>
        </w:rPr>
        <w:t>‐</w:t>
      </w:r>
      <w:r w:rsidRPr="00950C52">
        <w:rPr>
          <w:shd w:val="clear" w:color="auto" w:fill="FFFFFF"/>
        </w:rPr>
        <w:t>being of community volunteers. </w:t>
      </w:r>
      <w:r w:rsidRPr="00950C52">
        <w:rPr>
          <w:i/>
          <w:iCs/>
          <w:shd w:val="clear" w:color="auto" w:fill="FFFFFF"/>
        </w:rPr>
        <w:t>European Journal of Social Psychology</w:t>
      </w:r>
      <w:r w:rsidRPr="00950C52">
        <w:rPr>
          <w:shd w:val="clear" w:color="auto" w:fill="FFFFFF"/>
        </w:rPr>
        <w:t>, </w:t>
      </w:r>
      <w:r w:rsidRPr="00950C52">
        <w:rPr>
          <w:i/>
          <w:iCs/>
          <w:shd w:val="clear" w:color="auto" w:fill="FFFFFF"/>
        </w:rPr>
        <w:t>50</w:t>
      </w:r>
      <w:r w:rsidRPr="00950C52">
        <w:rPr>
          <w:shd w:val="clear" w:color="auto" w:fill="FFFFFF"/>
        </w:rPr>
        <w:t>(7), pp.1523-1539.</w:t>
      </w:r>
    </w:p>
    <w:p w14:paraId="38EB5AFE" w14:textId="77777777" w:rsidR="007A7938" w:rsidRPr="00950C52" w:rsidRDefault="000918C2" w:rsidP="007A7938">
      <w:pPr>
        <w:rPr>
          <w:shd w:val="clear" w:color="auto" w:fill="FFFFFF"/>
        </w:rPr>
      </w:pPr>
      <w:r w:rsidRPr="00950C52">
        <w:rPr>
          <w:shd w:val="clear" w:color="auto" w:fill="FFFFFF"/>
        </w:rPr>
        <w:t>Corbin, J.H., Oyene, U.E., Manoncourt, E., Onya, H., Kwamboka, M., Amuyunzu-Nyamongo, M., Sørensen, K., Mweemba, O., Barry, M.M., Munodawafa, D. and Bayugo, Y.V., 2021. A health promotion approach to emergency management: effective community engagement strategies from five cases. </w:t>
      </w:r>
      <w:r w:rsidRPr="00950C52">
        <w:rPr>
          <w:i/>
          <w:iCs/>
          <w:shd w:val="clear" w:color="auto" w:fill="FFFFFF"/>
        </w:rPr>
        <w:t>Health promotion international</w:t>
      </w:r>
      <w:r w:rsidRPr="00950C52">
        <w:rPr>
          <w:shd w:val="clear" w:color="auto" w:fill="FFFFFF"/>
        </w:rPr>
        <w:t>, </w:t>
      </w:r>
      <w:r w:rsidRPr="00950C52">
        <w:rPr>
          <w:i/>
          <w:iCs/>
          <w:shd w:val="clear" w:color="auto" w:fill="FFFFFF"/>
        </w:rPr>
        <w:t>36</w:t>
      </w:r>
      <w:r w:rsidRPr="00950C52">
        <w:rPr>
          <w:shd w:val="clear" w:color="auto" w:fill="FFFFFF"/>
        </w:rPr>
        <w:t>(Supplement_1), pp.i24-i38.</w:t>
      </w:r>
    </w:p>
    <w:p w14:paraId="380E8BB4" w14:textId="77777777" w:rsidR="007A7938" w:rsidRPr="00950C52" w:rsidRDefault="000918C2" w:rsidP="007A7938">
      <w:pPr>
        <w:rPr>
          <w:shd w:val="clear" w:color="auto" w:fill="FFFFFF"/>
        </w:rPr>
      </w:pPr>
      <w:r w:rsidRPr="00950C52">
        <w:rPr>
          <w:shd w:val="clear" w:color="auto" w:fill="FFFFFF"/>
        </w:rPr>
        <w:t>Edge, S., Boluk, K., Groulx, M. and Quick, M., 2020. Exploring diverse lived experiences in the Smart City through Creative Analytic Practice. </w:t>
      </w:r>
      <w:r w:rsidRPr="00950C52">
        <w:rPr>
          <w:i/>
          <w:iCs/>
          <w:shd w:val="clear" w:color="auto" w:fill="FFFFFF"/>
        </w:rPr>
        <w:t>Cities</w:t>
      </w:r>
      <w:r w:rsidRPr="00950C52">
        <w:rPr>
          <w:shd w:val="clear" w:color="auto" w:fill="FFFFFF"/>
        </w:rPr>
        <w:t>, </w:t>
      </w:r>
      <w:r w:rsidRPr="00950C52">
        <w:rPr>
          <w:i/>
          <w:iCs/>
          <w:shd w:val="clear" w:color="auto" w:fill="FFFFFF"/>
        </w:rPr>
        <w:t>96</w:t>
      </w:r>
      <w:r w:rsidRPr="00950C52">
        <w:rPr>
          <w:shd w:val="clear" w:color="auto" w:fill="FFFFFF"/>
        </w:rPr>
        <w:t>, p.102478.</w:t>
      </w:r>
    </w:p>
    <w:p w14:paraId="21125288" w14:textId="77777777" w:rsidR="007A7938" w:rsidRPr="00950C52" w:rsidRDefault="000918C2" w:rsidP="007A7938">
      <w:pPr>
        <w:rPr>
          <w:shd w:val="clear" w:color="auto" w:fill="FFFFFF"/>
        </w:rPr>
      </w:pPr>
      <w:r w:rsidRPr="00950C52">
        <w:rPr>
          <w:shd w:val="clear" w:color="auto" w:fill="FFFFFF"/>
        </w:rPr>
        <w:t>Golumbic, Y.N., Motion, A., Chau, A., Choi, L., D'Silva, D., Ho, J., Nielsen, M., Shi, K., Son, C.D., Wu, O. and Zhang, S., 2022. Self-reflection promotes learning in citizen science and serves as an effective assessment tool. </w:t>
      </w:r>
      <w:r w:rsidRPr="00950C52">
        <w:rPr>
          <w:i/>
          <w:iCs/>
          <w:shd w:val="clear" w:color="auto" w:fill="FFFFFF"/>
        </w:rPr>
        <w:t>Computers and Education Open</w:t>
      </w:r>
      <w:r w:rsidRPr="00950C52">
        <w:rPr>
          <w:shd w:val="clear" w:color="auto" w:fill="FFFFFF"/>
        </w:rPr>
        <w:t>, </w:t>
      </w:r>
      <w:r w:rsidRPr="00950C52">
        <w:rPr>
          <w:i/>
          <w:iCs/>
          <w:shd w:val="clear" w:color="auto" w:fill="FFFFFF"/>
        </w:rPr>
        <w:t>3</w:t>
      </w:r>
      <w:r w:rsidRPr="00950C52">
        <w:rPr>
          <w:shd w:val="clear" w:color="auto" w:fill="FFFFFF"/>
        </w:rPr>
        <w:t>, p.100104.</w:t>
      </w:r>
    </w:p>
    <w:p w14:paraId="56F4F296" w14:textId="77777777" w:rsidR="007A7938" w:rsidRPr="00950C52" w:rsidRDefault="000918C2" w:rsidP="007A7938">
      <w:pPr>
        <w:rPr>
          <w:shd w:val="clear" w:color="auto" w:fill="FFFFFF"/>
        </w:rPr>
      </w:pPr>
      <w:r w:rsidRPr="00950C52">
        <w:rPr>
          <w:shd w:val="clear" w:color="auto" w:fill="FFFFFF"/>
        </w:rPr>
        <w:t>Goulbourne, T., 2022. Clarifying the Why, What, How</w:t>
      </w:r>
      <w:r>
        <w:rPr>
          <w:shd w:val="clear" w:color="auto" w:fill="FFFFFF"/>
        </w:rPr>
        <w:t xml:space="preserve"> and</w:t>
      </w:r>
      <w:r w:rsidRPr="00950C52">
        <w:rPr>
          <w:shd w:val="clear" w:color="auto" w:fill="FFFFFF"/>
        </w:rPr>
        <w:t xml:space="preserve"> When of Community Engagement: Exploring the Communication Tactics Employed by Community-Based Organizations To Engage Underserved Communities (Doctoral dissertation, Rutgers The State University of New Jersey, School of Graduate Studies).</w:t>
      </w:r>
    </w:p>
    <w:p w14:paraId="0E0B53C4" w14:textId="77777777" w:rsidR="007A7938" w:rsidRPr="00950C52" w:rsidRDefault="000918C2" w:rsidP="007A7938">
      <w:pPr>
        <w:rPr>
          <w:shd w:val="clear" w:color="auto" w:fill="FFFFFF"/>
        </w:rPr>
      </w:pPr>
      <w:r w:rsidRPr="00950C52">
        <w:rPr>
          <w:shd w:val="clear" w:color="auto" w:fill="FFFFFF"/>
        </w:rPr>
        <w:t>Hertel, C., Bacq, S. and Belz, F.M., 2019. It takes a village to sustain a village: A social identity perspective on successful community-based enterprise creation. </w:t>
      </w:r>
      <w:r w:rsidRPr="00950C52">
        <w:rPr>
          <w:i/>
          <w:iCs/>
          <w:shd w:val="clear" w:color="auto" w:fill="FFFFFF"/>
        </w:rPr>
        <w:t>Academy of Management Discoveries</w:t>
      </w:r>
      <w:r w:rsidRPr="00950C52">
        <w:rPr>
          <w:shd w:val="clear" w:color="auto" w:fill="FFFFFF"/>
        </w:rPr>
        <w:t>, </w:t>
      </w:r>
      <w:r w:rsidRPr="00950C52">
        <w:rPr>
          <w:i/>
          <w:iCs/>
          <w:shd w:val="clear" w:color="auto" w:fill="FFFFFF"/>
        </w:rPr>
        <w:t>5</w:t>
      </w:r>
      <w:r w:rsidRPr="00950C52">
        <w:rPr>
          <w:shd w:val="clear" w:color="auto" w:fill="FFFFFF"/>
        </w:rPr>
        <w:t>(4), pp.438-464.</w:t>
      </w:r>
    </w:p>
    <w:p w14:paraId="63992F90" w14:textId="77777777" w:rsidR="007A7938" w:rsidRPr="00950C52" w:rsidRDefault="000918C2" w:rsidP="007A7938">
      <w:pPr>
        <w:rPr>
          <w:shd w:val="clear" w:color="auto" w:fill="FFFFFF"/>
        </w:rPr>
      </w:pPr>
      <w:r w:rsidRPr="00950C52">
        <w:rPr>
          <w:shd w:val="clear" w:color="auto" w:fill="FFFFFF"/>
        </w:rPr>
        <w:t>O'Meara, K. and Jaeger, A.J., 2019. Preparing future faculty for community engagement: Barriers, facilitators, models</w:t>
      </w:r>
      <w:r>
        <w:rPr>
          <w:shd w:val="clear" w:color="auto" w:fill="FFFFFF"/>
        </w:rPr>
        <w:t xml:space="preserve"> and</w:t>
      </w:r>
      <w:r w:rsidRPr="00950C52">
        <w:rPr>
          <w:shd w:val="clear" w:color="auto" w:fill="FFFFFF"/>
        </w:rPr>
        <w:t xml:space="preserve"> recommendations. </w:t>
      </w:r>
      <w:r w:rsidRPr="00950C52">
        <w:rPr>
          <w:i/>
          <w:iCs/>
          <w:shd w:val="clear" w:color="auto" w:fill="FFFFFF"/>
        </w:rPr>
        <w:t>Building the Field of Higher Education Engagement</w:t>
      </w:r>
      <w:r w:rsidRPr="00950C52">
        <w:rPr>
          <w:shd w:val="clear" w:color="auto" w:fill="FFFFFF"/>
        </w:rPr>
        <w:t>, pp.111-131.</w:t>
      </w:r>
    </w:p>
    <w:p w14:paraId="06C28B58" w14:textId="77777777" w:rsidR="007A7938" w:rsidRPr="00950C52" w:rsidRDefault="000918C2" w:rsidP="007A7938">
      <w:pPr>
        <w:rPr>
          <w:shd w:val="clear" w:color="auto" w:fill="FFFFFF"/>
        </w:rPr>
      </w:pPr>
      <w:r w:rsidRPr="00950C52">
        <w:rPr>
          <w:shd w:val="clear" w:color="auto" w:fill="FFFFFF"/>
        </w:rPr>
        <w:t>Palombi, L., Olivarez, M., Bennett, L. and Hawthorne, A.N., 2019. Community forums to address the opioid crisis: an effective grassroots approach to rural community engagement. </w:t>
      </w:r>
      <w:r w:rsidRPr="00950C52">
        <w:rPr>
          <w:i/>
          <w:iCs/>
          <w:shd w:val="clear" w:color="auto" w:fill="FFFFFF"/>
        </w:rPr>
        <w:t>Substance abuse: research and treatment</w:t>
      </w:r>
      <w:r w:rsidRPr="00950C52">
        <w:rPr>
          <w:shd w:val="clear" w:color="auto" w:fill="FFFFFF"/>
        </w:rPr>
        <w:t>, </w:t>
      </w:r>
      <w:r w:rsidRPr="00950C52">
        <w:rPr>
          <w:i/>
          <w:iCs/>
          <w:shd w:val="clear" w:color="auto" w:fill="FFFFFF"/>
        </w:rPr>
        <w:t>13</w:t>
      </w:r>
      <w:r w:rsidRPr="00950C52">
        <w:rPr>
          <w:shd w:val="clear" w:color="auto" w:fill="FFFFFF"/>
        </w:rPr>
        <w:t>, p.1178221819827595.</w:t>
      </w:r>
    </w:p>
    <w:p w14:paraId="70687540" w14:textId="77777777" w:rsidR="007A7938" w:rsidRPr="00950C52" w:rsidRDefault="000918C2" w:rsidP="007A7938">
      <w:pPr>
        <w:rPr>
          <w:shd w:val="clear" w:color="auto" w:fill="FFFFFF"/>
        </w:rPr>
      </w:pPr>
      <w:r w:rsidRPr="00950C52">
        <w:rPr>
          <w:shd w:val="clear" w:color="auto" w:fill="FFFFFF"/>
        </w:rPr>
        <w:lastRenderedPageBreak/>
        <w:t>Reopell, L., Nolan, T.S., Gray, D.M., Williams, A., Brewer, L.C., Bryant, A.L., Wilson, G., Williams, E., Jones, C., McKoy, A. and Grever, J., 2023. Community engagement and clinical trial diversity: Navigating barriers and co-designing solutions—A report from the “Health Equity through Diversity” seminar series. </w:t>
      </w:r>
      <w:r w:rsidRPr="00950C52">
        <w:rPr>
          <w:i/>
          <w:iCs/>
          <w:shd w:val="clear" w:color="auto" w:fill="FFFFFF"/>
        </w:rPr>
        <w:t>PloS one</w:t>
      </w:r>
      <w:r w:rsidRPr="00950C52">
        <w:rPr>
          <w:shd w:val="clear" w:color="auto" w:fill="FFFFFF"/>
        </w:rPr>
        <w:t>, </w:t>
      </w:r>
      <w:r w:rsidRPr="00950C52">
        <w:rPr>
          <w:i/>
          <w:iCs/>
          <w:shd w:val="clear" w:color="auto" w:fill="FFFFFF"/>
        </w:rPr>
        <w:t>18</w:t>
      </w:r>
      <w:r w:rsidRPr="00950C52">
        <w:rPr>
          <w:shd w:val="clear" w:color="auto" w:fill="FFFFFF"/>
        </w:rPr>
        <w:t>(2), p.e0281940.</w:t>
      </w:r>
    </w:p>
    <w:p w14:paraId="7267009F" w14:textId="77777777" w:rsidR="007A7938" w:rsidRPr="00950C52" w:rsidRDefault="000918C2" w:rsidP="007A7938">
      <w:pPr>
        <w:rPr>
          <w:shd w:val="clear" w:color="auto" w:fill="FFFFFF"/>
        </w:rPr>
      </w:pPr>
      <w:r w:rsidRPr="00950C52">
        <w:rPr>
          <w:shd w:val="clear" w:color="auto" w:fill="FFFFFF"/>
        </w:rPr>
        <w:t>Singh, R., 2020. Promoting civic engagement through cultivating culturally competent self-reflexive information professionals. </w:t>
      </w:r>
      <w:r w:rsidRPr="00950C52">
        <w:rPr>
          <w:i/>
          <w:iCs/>
          <w:shd w:val="clear" w:color="auto" w:fill="FFFFFF"/>
        </w:rPr>
        <w:t>Journal of the Australian Library and Information Association</w:t>
      </w:r>
      <w:r w:rsidRPr="00950C52">
        <w:rPr>
          <w:shd w:val="clear" w:color="auto" w:fill="FFFFFF"/>
        </w:rPr>
        <w:t>, </w:t>
      </w:r>
      <w:r w:rsidRPr="00950C52">
        <w:rPr>
          <w:i/>
          <w:iCs/>
          <w:shd w:val="clear" w:color="auto" w:fill="FFFFFF"/>
        </w:rPr>
        <w:t>69</w:t>
      </w:r>
      <w:r w:rsidRPr="00950C52">
        <w:rPr>
          <w:shd w:val="clear" w:color="auto" w:fill="FFFFFF"/>
        </w:rPr>
        <w:t>(3), pp.302-315.</w:t>
      </w:r>
    </w:p>
    <w:p w14:paraId="748FD503" w14:textId="77777777" w:rsidR="007A7938" w:rsidRDefault="000918C2" w:rsidP="007A7938">
      <w:r w:rsidRPr="00950C52">
        <w:rPr>
          <w:shd w:val="clear" w:color="auto" w:fill="FFFFFF"/>
        </w:rPr>
        <w:t>Soundiraraj, S. and Babu, B.A., 2022. Reflective Practice for Teachers in the Post-Method Era. </w:t>
      </w:r>
      <w:r w:rsidRPr="00950C52">
        <w:rPr>
          <w:i/>
          <w:iCs/>
          <w:shd w:val="clear" w:color="auto" w:fill="FFFFFF"/>
        </w:rPr>
        <w:t>Contemporary ELT Strategies in Engineering Pedagogy: Theory and Practice</w:t>
      </w:r>
      <w:r w:rsidRPr="00950C52">
        <w:rPr>
          <w:shd w:val="clear" w:color="auto" w:fill="FFFFFF"/>
        </w:rPr>
        <w:t>.</w:t>
      </w:r>
    </w:p>
    <w:p w14:paraId="063FF733" w14:textId="4CEBBAAB" w:rsidR="007A7938" w:rsidRPr="001323C1" w:rsidRDefault="000918C2" w:rsidP="007A7938">
      <w:r w:rsidRPr="00950C52">
        <w:rPr>
          <w:shd w:val="clear" w:color="auto" w:fill="FFFFFF"/>
        </w:rPr>
        <w:t>Ye, C. and Zhao, L., 2023. Teaching Tip: A Social Media Analytics Capstone Research Project with Community Engagement. </w:t>
      </w:r>
      <w:r w:rsidRPr="00950C52">
        <w:rPr>
          <w:i/>
          <w:iCs/>
          <w:shd w:val="clear" w:color="auto" w:fill="FFFFFF"/>
        </w:rPr>
        <w:t>Journal of Information Systems Education</w:t>
      </w:r>
      <w:r w:rsidRPr="00950C52">
        <w:rPr>
          <w:shd w:val="clear" w:color="auto" w:fill="FFFFFF"/>
        </w:rPr>
        <w:t>, </w:t>
      </w:r>
      <w:r w:rsidRPr="00950C52">
        <w:rPr>
          <w:i/>
          <w:iCs/>
          <w:shd w:val="clear" w:color="auto" w:fill="FFFFFF"/>
        </w:rPr>
        <w:t>34</w:t>
      </w:r>
      <w:r w:rsidRPr="00950C52">
        <w:rPr>
          <w:shd w:val="clear" w:color="auto" w:fill="FFFFFF"/>
        </w:rPr>
        <w:t>(4), pp.406-417.</w:t>
      </w:r>
    </w:p>
    <w:sectPr w:rsidR="007A7938" w:rsidRPr="001323C1" w:rsidSect="00724B65">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7AEDF" w14:textId="77777777" w:rsidR="000918C2" w:rsidRDefault="000918C2">
      <w:pPr>
        <w:spacing w:after="0" w:line="240" w:lineRule="auto"/>
      </w:pPr>
      <w:r>
        <w:separator/>
      </w:r>
    </w:p>
  </w:endnote>
  <w:endnote w:type="continuationSeparator" w:id="0">
    <w:p w14:paraId="744BDF1A" w14:textId="77777777" w:rsidR="000918C2" w:rsidRDefault="00091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912970"/>
      <w:docPartObj>
        <w:docPartGallery w:val="Page Numbers (Bottom of Page)"/>
        <w:docPartUnique/>
      </w:docPartObj>
    </w:sdtPr>
    <w:sdtEndPr>
      <w:rPr>
        <w:color w:val="7F7F7F" w:themeColor="background1" w:themeShade="7F"/>
        <w:spacing w:val="60"/>
      </w:rPr>
    </w:sdtEndPr>
    <w:sdtContent>
      <w:p w14:paraId="723F5622" w14:textId="41520DC3" w:rsidR="00A40907" w:rsidRDefault="000918C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23C4F86" w14:textId="77777777" w:rsidR="00A40907" w:rsidRDefault="00A40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19F70" w14:textId="77777777" w:rsidR="000918C2" w:rsidRDefault="000918C2">
      <w:pPr>
        <w:spacing w:after="0" w:line="240" w:lineRule="auto"/>
      </w:pPr>
      <w:r>
        <w:separator/>
      </w:r>
    </w:p>
  </w:footnote>
  <w:footnote w:type="continuationSeparator" w:id="0">
    <w:p w14:paraId="6C68D06F" w14:textId="77777777" w:rsidR="000918C2" w:rsidRDefault="000918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0BB"/>
    <w:rsid w:val="000351A1"/>
    <w:rsid w:val="000420CF"/>
    <w:rsid w:val="00054679"/>
    <w:rsid w:val="000918C2"/>
    <w:rsid w:val="00091CD0"/>
    <w:rsid w:val="00093FE9"/>
    <w:rsid w:val="000D7C2B"/>
    <w:rsid w:val="001323C1"/>
    <w:rsid w:val="001E7611"/>
    <w:rsid w:val="002029A5"/>
    <w:rsid w:val="00234691"/>
    <w:rsid w:val="0024069B"/>
    <w:rsid w:val="0026142C"/>
    <w:rsid w:val="002625B4"/>
    <w:rsid w:val="00305C21"/>
    <w:rsid w:val="0033430B"/>
    <w:rsid w:val="003A6BDD"/>
    <w:rsid w:val="003C10BB"/>
    <w:rsid w:val="003F07F5"/>
    <w:rsid w:val="00414B4D"/>
    <w:rsid w:val="0049138D"/>
    <w:rsid w:val="004A24C3"/>
    <w:rsid w:val="004B46D4"/>
    <w:rsid w:val="004C6518"/>
    <w:rsid w:val="005013FF"/>
    <w:rsid w:val="00584F25"/>
    <w:rsid w:val="005E4ED8"/>
    <w:rsid w:val="00600AB6"/>
    <w:rsid w:val="006047CE"/>
    <w:rsid w:val="00611D2D"/>
    <w:rsid w:val="00660633"/>
    <w:rsid w:val="00724A10"/>
    <w:rsid w:val="00724B65"/>
    <w:rsid w:val="007A7745"/>
    <w:rsid w:val="007A7938"/>
    <w:rsid w:val="00821087"/>
    <w:rsid w:val="0084234D"/>
    <w:rsid w:val="00890D4C"/>
    <w:rsid w:val="00947B47"/>
    <w:rsid w:val="00950C52"/>
    <w:rsid w:val="009A4A2C"/>
    <w:rsid w:val="009D1F9B"/>
    <w:rsid w:val="009E3998"/>
    <w:rsid w:val="00A40907"/>
    <w:rsid w:val="00AA0497"/>
    <w:rsid w:val="00AA5B40"/>
    <w:rsid w:val="00AD3854"/>
    <w:rsid w:val="00AE3DF3"/>
    <w:rsid w:val="00B07216"/>
    <w:rsid w:val="00B72C60"/>
    <w:rsid w:val="00B72FEC"/>
    <w:rsid w:val="00C10211"/>
    <w:rsid w:val="00C23070"/>
    <w:rsid w:val="00C25EAC"/>
    <w:rsid w:val="00C94355"/>
    <w:rsid w:val="00CB03C7"/>
    <w:rsid w:val="00CB2EB6"/>
    <w:rsid w:val="00CD6B98"/>
    <w:rsid w:val="00D21249"/>
    <w:rsid w:val="00D45891"/>
    <w:rsid w:val="00D66FAA"/>
    <w:rsid w:val="00DB63BD"/>
    <w:rsid w:val="00DC1232"/>
    <w:rsid w:val="00E01CE7"/>
    <w:rsid w:val="00E96836"/>
    <w:rsid w:val="00EF542C"/>
    <w:rsid w:val="00F46646"/>
    <w:rsid w:val="00F751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BCC51"/>
  <w15:chartTrackingRefBased/>
  <w15:docId w15:val="{E2ACFC22-D4E8-4F2A-A3F2-BD925F020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633"/>
    <w:pPr>
      <w:spacing w:after="12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660633"/>
    <w:pPr>
      <w:keepNext/>
      <w:keepLines/>
      <w:spacing w:before="16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60633"/>
    <w:pPr>
      <w:keepNext/>
      <w:keepLines/>
      <w:spacing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D45891"/>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633"/>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660633"/>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D45891"/>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A40907"/>
    <w:pPr>
      <w:spacing w:before="240"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40907"/>
    <w:pPr>
      <w:spacing w:after="100"/>
    </w:pPr>
  </w:style>
  <w:style w:type="character" w:styleId="Hyperlink">
    <w:name w:val="Hyperlink"/>
    <w:basedOn w:val="DefaultParagraphFont"/>
    <w:uiPriority w:val="99"/>
    <w:unhideWhenUsed/>
    <w:rsid w:val="00A40907"/>
    <w:rPr>
      <w:color w:val="0563C1" w:themeColor="hyperlink"/>
      <w:u w:val="single"/>
    </w:rPr>
  </w:style>
  <w:style w:type="paragraph" w:styleId="Header">
    <w:name w:val="header"/>
    <w:basedOn w:val="Normal"/>
    <w:link w:val="HeaderChar"/>
    <w:uiPriority w:val="99"/>
    <w:unhideWhenUsed/>
    <w:rsid w:val="00A40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907"/>
    <w:rPr>
      <w:rFonts w:ascii="Times New Roman" w:hAnsi="Times New Roman"/>
      <w:color w:val="000000" w:themeColor="text1"/>
      <w:sz w:val="24"/>
      <w:lang w:val="en-GB"/>
    </w:rPr>
  </w:style>
  <w:style w:type="paragraph" w:styleId="Footer">
    <w:name w:val="footer"/>
    <w:basedOn w:val="Normal"/>
    <w:link w:val="FooterChar"/>
    <w:uiPriority w:val="99"/>
    <w:unhideWhenUsed/>
    <w:rsid w:val="00A40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907"/>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D0E0F1-D74B-439B-8F55-96D3B7124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2902</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cp:lastModifiedBy>
  <cp:revision>2</cp:revision>
  <dcterms:created xsi:type="dcterms:W3CDTF">2023-12-22T17:14:00Z</dcterms:created>
  <dcterms:modified xsi:type="dcterms:W3CDTF">2023-12-22T17:14:00Z</dcterms:modified>
</cp:coreProperties>
</file>