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511DBF" w14:textId="695CC117" w:rsidR="00DE735E" w:rsidRDefault="00DE735E" w:rsidP="00DE735E">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2C7CEB06" wp14:editId="40827F5C">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5EEF6AF" w14:textId="77777777" w:rsidR="00DE735E" w:rsidRDefault="00DE735E" w:rsidP="00DE735E">
      <w:pPr>
        <w:pStyle w:val="Heading1"/>
        <w:jc w:val="center"/>
        <w:rPr>
          <w:lang w:val="cy-GB"/>
        </w:rPr>
      </w:pPr>
      <w:r>
        <w:rPr>
          <w:lang w:val="cy-GB"/>
        </w:rPr>
        <w:t>Undergraduate assignment feedback form</w:t>
      </w:r>
    </w:p>
    <w:p w14:paraId="6B7A90A8" w14:textId="77777777" w:rsidR="00DE735E" w:rsidRDefault="00DE735E" w:rsidP="00DE735E">
      <w:pPr>
        <w:jc w:val="center"/>
        <w:rPr>
          <w:rFonts w:ascii="Arial" w:hAnsi="Arial" w:cs="Arial"/>
          <w:b/>
          <w:lang w:val="cy-GB"/>
        </w:rPr>
      </w:pPr>
      <w:r>
        <w:rPr>
          <w:rFonts w:ascii="Arial" w:hAnsi="Arial" w:cs="Arial"/>
          <w:b/>
          <w:lang w:val="cy-GB"/>
        </w:rPr>
        <w:t>(to be completed by marker)</w:t>
      </w:r>
    </w:p>
    <w:p w14:paraId="580C6B40" w14:textId="77777777" w:rsidR="00DE735E" w:rsidRDefault="00DE735E" w:rsidP="00DE735E">
      <w:pPr>
        <w:jc w:val="center"/>
        <w:rPr>
          <w:rFonts w:ascii="Arial" w:hAnsi="Arial" w:cs="Arial"/>
          <w:b/>
          <w:lang w:val="cy-GB"/>
        </w:rPr>
      </w:pPr>
    </w:p>
    <w:p w14:paraId="6F7B5794" w14:textId="77777777" w:rsidR="00DE735E" w:rsidRDefault="00DE735E" w:rsidP="00DE735E">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DE735E" w14:paraId="3AF1D811" w14:textId="77777777" w:rsidTr="00DE735E">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9DBC718" w14:textId="77777777" w:rsidR="00DE735E" w:rsidRDefault="00DE735E">
            <w:pPr>
              <w:pStyle w:val="NormalW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Student Name: Daegan Simpson</w:t>
            </w:r>
          </w:p>
          <w:p w14:paraId="2F71C726" w14:textId="77777777" w:rsidR="00DE735E" w:rsidRDefault="00DE735E">
            <w:pPr>
              <w:pStyle w:val="NormalWeb"/>
              <w:spacing w:before="0" w:beforeAutospacing="0" w:after="0" w:afterAutospacing="0" w:line="256" w:lineRule="auto"/>
              <w:ind w:right="34"/>
              <w:rPr>
                <w:rFonts w:ascii="Calibri" w:hAnsi="Calibri" w:cs="Tahoma"/>
                <w:i/>
                <w:sz w:val="24"/>
                <w:szCs w:val="24"/>
              </w:rPr>
            </w:pPr>
          </w:p>
        </w:tc>
      </w:tr>
      <w:tr w:rsidR="00DE735E" w14:paraId="319DCEFB" w14:textId="77777777" w:rsidTr="00DE735E">
        <w:trPr>
          <w:trHeight w:val="1619"/>
        </w:trPr>
        <w:tc>
          <w:tcPr>
            <w:tcW w:w="4788" w:type="dxa"/>
            <w:tcBorders>
              <w:top w:val="single" w:sz="4" w:space="0" w:color="auto"/>
              <w:left w:val="single" w:sz="4" w:space="0" w:color="auto"/>
              <w:bottom w:val="single" w:sz="4" w:space="0" w:color="auto"/>
              <w:right w:val="single" w:sz="4" w:space="0" w:color="auto"/>
            </w:tcBorders>
            <w:vAlign w:val="center"/>
          </w:tcPr>
          <w:p w14:paraId="6AFAE727" w14:textId="77777777" w:rsidR="00DE735E" w:rsidRDefault="00DE735E">
            <w:pPr>
              <w:pStyle w:val="NormalW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Module Code: HPAN6006</w:t>
            </w:r>
          </w:p>
          <w:p w14:paraId="3682C159" w14:textId="77777777" w:rsidR="00DE735E" w:rsidRDefault="00DE735E">
            <w:pPr>
              <w:pStyle w:val="NormalWeb"/>
              <w:spacing w:before="0" w:beforeAutospacing="0" w:after="0" w:afterAutospacing="0" w:line="256" w:lineRule="auto"/>
              <w:ind w:right="34"/>
              <w:rPr>
                <w:rFonts w:ascii="Calibri" w:hAnsi="Calibri" w:cs="Tahoma"/>
                <w:i/>
                <w:sz w:val="24"/>
                <w:szCs w:val="24"/>
              </w:rPr>
            </w:pPr>
          </w:p>
          <w:p w14:paraId="514048AD" w14:textId="77777777" w:rsidR="00DE735E" w:rsidRDefault="00DE735E">
            <w:pPr>
              <w:pStyle w:val="NormalWeb"/>
              <w:spacing w:line="256" w:lineRule="auto"/>
              <w:ind w:right="34"/>
              <w:rPr>
                <w:rFonts w:ascii="Calibri" w:hAnsi="Calibri" w:cs="Tahoma"/>
                <w:i/>
                <w:sz w:val="24"/>
                <w:szCs w:val="24"/>
              </w:rPr>
            </w:pPr>
            <w:r>
              <w:rPr>
                <w:rFonts w:ascii="Calibri" w:hAnsi="Calibri" w:cs="Tahoma"/>
                <w:i/>
                <w:sz w:val="24"/>
                <w:szCs w:val="24"/>
              </w:rPr>
              <w:t>Module title: Political Anthropology: Theorising to Power</w:t>
            </w:r>
          </w:p>
        </w:tc>
        <w:tc>
          <w:tcPr>
            <w:tcW w:w="3967" w:type="dxa"/>
            <w:gridSpan w:val="2"/>
            <w:tcBorders>
              <w:top w:val="single" w:sz="4" w:space="0" w:color="auto"/>
              <w:left w:val="single" w:sz="4" w:space="0" w:color="auto"/>
              <w:bottom w:val="single" w:sz="4" w:space="0" w:color="auto"/>
              <w:right w:val="single" w:sz="4" w:space="0" w:color="auto"/>
            </w:tcBorders>
            <w:hideMark/>
          </w:tcPr>
          <w:p w14:paraId="2A30EA6B" w14:textId="77777777" w:rsidR="00DE735E" w:rsidRDefault="00DE735E">
            <w:pPr>
              <w:pStyle w:val="NormalW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Student number: 1003107</w:t>
            </w:r>
          </w:p>
        </w:tc>
      </w:tr>
      <w:tr w:rsidR="00DE735E" w14:paraId="5D14F12C" w14:textId="77777777" w:rsidTr="00DE735E">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0E1A514C" w14:textId="77777777" w:rsidR="00DE735E" w:rsidRDefault="00DE735E">
            <w:pPr>
              <w:pStyle w:val="NormalWeb"/>
              <w:spacing w:before="0" w:beforeAutospacing="0" w:after="0" w:afterAutospacing="0" w:line="256" w:lineRule="auto"/>
              <w:rPr>
                <w:rFonts w:ascii="Calibri" w:hAnsi="Calibri" w:cs="Tahoma"/>
                <w:i/>
                <w:sz w:val="24"/>
                <w:szCs w:val="24"/>
              </w:rPr>
            </w:pPr>
            <w:r>
              <w:rPr>
                <w:rFonts w:ascii="Calibri" w:hAnsi="Calibri" w:cs="Tahoma"/>
                <w:i/>
                <w:sz w:val="24"/>
                <w:szCs w:val="24"/>
              </w:rPr>
              <w:t>For completion by marker:</w:t>
            </w:r>
          </w:p>
          <w:p w14:paraId="22AD897B" w14:textId="77777777" w:rsidR="00DE735E" w:rsidRDefault="00DE735E">
            <w:pPr>
              <w:pStyle w:val="NormalWeb"/>
              <w:spacing w:line="256" w:lineRule="auto"/>
              <w:rPr>
                <w:rFonts w:ascii="Calibri" w:hAnsi="Calibri" w:cs="Tahoma"/>
                <w:i/>
                <w:sz w:val="24"/>
                <w:szCs w:val="24"/>
              </w:rPr>
            </w:pPr>
            <w:r>
              <w:rPr>
                <w:rFonts w:ascii="Calibri" w:hAnsi="Calibri" w:cs="Tahoma"/>
                <w:i/>
                <w:sz w:val="24"/>
                <w:szCs w:val="24"/>
              </w:rPr>
              <w:t>Comments:</w:t>
            </w:r>
          </w:p>
          <w:p w14:paraId="76800859" w14:textId="77777777" w:rsidR="00DE735E" w:rsidRDefault="00DE735E">
            <w:pPr>
              <w:pStyle w:val="NormalWeb"/>
              <w:spacing w:line="256" w:lineRule="auto"/>
              <w:rPr>
                <w:rFonts w:ascii="Calibri" w:hAnsi="Calibri" w:cs="Tahoma"/>
                <w:i/>
                <w:sz w:val="24"/>
                <w:szCs w:val="24"/>
              </w:rPr>
            </w:pPr>
          </w:p>
          <w:p w14:paraId="28CD4847" w14:textId="77777777" w:rsidR="00DE735E" w:rsidRDefault="00DE735E">
            <w:pPr>
              <w:pStyle w:val="NormalWeb"/>
              <w:spacing w:line="256" w:lineRule="auto"/>
              <w:rPr>
                <w:rFonts w:ascii="Calibri" w:hAnsi="Calibri" w:cs="Tahoma"/>
                <w:i/>
                <w:sz w:val="24"/>
                <w:szCs w:val="24"/>
              </w:rPr>
            </w:pPr>
          </w:p>
          <w:p w14:paraId="665A8EB4" w14:textId="77777777" w:rsidR="00DE735E" w:rsidRDefault="00DE735E">
            <w:pPr>
              <w:pStyle w:val="NormalWeb"/>
              <w:spacing w:line="256" w:lineRule="auto"/>
              <w:rPr>
                <w:rFonts w:ascii="Calibri" w:hAnsi="Calibri" w:cs="Tahoma"/>
                <w:i/>
                <w:sz w:val="24"/>
                <w:szCs w:val="24"/>
              </w:rPr>
            </w:pPr>
          </w:p>
          <w:p w14:paraId="3B217119" w14:textId="77777777" w:rsidR="00DE735E" w:rsidRDefault="00DE735E">
            <w:pPr>
              <w:pStyle w:val="NormalWeb"/>
              <w:spacing w:line="256" w:lineRule="auto"/>
              <w:rPr>
                <w:rFonts w:ascii="Calibri" w:hAnsi="Calibri" w:cs="Tahoma"/>
                <w:i/>
                <w:sz w:val="24"/>
                <w:szCs w:val="24"/>
              </w:rPr>
            </w:pPr>
          </w:p>
          <w:p w14:paraId="0CFCA088" w14:textId="77777777" w:rsidR="00DE735E" w:rsidRDefault="00DE735E">
            <w:pPr>
              <w:pStyle w:val="NormalWeb"/>
              <w:spacing w:line="256" w:lineRule="auto"/>
              <w:rPr>
                <w:rFonts w:ascii="Calibri" w:hAnsi="Calibri" w:cs="Tahoma"/>
                <w:i/>
                <w:sz w:val="24"/>
                <w:szCs w:val="24"/>
              </w:rPr>
            </w:pPr>
          </w:p>
          <w:p w14:paraId="52A729B8" w14:textId="77777777" w:rsidR="00DE735E" w:rsidRDefault="00DE735E">
            <w:pPr>
              <w:pStyle w:val="NormalWeb"/>
              <w:spacing w:line="256" w:lineRule="auto"/>
              <w:rPr>
                <w:rFonts w:ascii="Calibri" w:hAnsi="Calibri" w:cs="Tahoma"/>
                <w:i/>
                <w:sz w:val="24"/>
                <w:szCs w:val="24"/>
              </w:rPr>
            </w:pPr>
          </w:p>
          <w:p w14:paraId="71F8470A" w14:textId="77777777" w:rsidR="00DE735E" w:rsidRDefault="00DE735E">
            <w:pPr>
              <w:pStyle w:val="NormalWeb"/>
              <w:spacing w:line="256" w:lineRule="auto"/>
              <w:rPr>
                <w:rFonts w:ascii="Calibri" w:hAnsi="Calibri" w:cs="Tahoma"/>
                <w:i/>
                <w:sz w:val="24"/>
                <w:szCs w:val="24"/>
              </w:rPr>
            </w:pPr>
          </w:p>
          <w:p w14:paraId="5CCA4A9C" w14:textId="77777777" w:rsidR="00DE735E" w:rsidRDefault="00DE735E">
            <w:pPr>
              <w:pStyle w:val="NormalWeb"/>
              <w:spacing w:line="256" w:lineRule="auto"/>
              <w:rPr>
                <w:rFonts w:ascii="Calibri" w:hAnsi="Calibri" w:cs="Tahoma"/>
                <w:i/>
                <w:sz w:val="24"/>
                <w:szCs w:val="24"/>
              </w:rPr>
            </w:pPr>
          </w:p>
          <w:p w14:paraId="579D25CD" w14:textId="77777777" w:rsidR="00DE735E" w:rsidRDefault="00DE735E">
            <w:pPr>
              <w:pStyle w:val="NormalWeb"/>
              <w:spacing w:line="256" w:lineRule="auto"/>
              <w:rPr>
                <w:rFonts w:ascii="Calibri" w:hAnsi="Calibri" w:cs="Tahoma"/>
                <w:i/>
                <w:sz w:val="24"/>
                <w:szCs w:val="24"/>
              </w:rPr>
            </w:pPr>
          </w:p>
          <w:p w14:paraId="42C00F3A" w14:textId="77777777" w:rsidR="00DE735E" w:rsidRDefault="00DE735E">
            <w:pPr>
              <w:pStyle w:val="NormalWeb"/>
              <w:spacing w:line="256" w:lineRule="auto"/>
              <w:rPr>
                <w:rFonts w:ascii="Calibri" w:hAnsi="Calibri" w:cs="Tahoma"/>
                <w:i/>
                <w:sz w:val="24"/>
                <w:szCs w:val="24"/>
              </w:rPr>
            </w:pPr>
          </w:p>
        </w:tc>
      </w:tr>
      <w:tr w:rsidR="00DE735E" w14:paraId="1051F6AF" w14:textId="77777777" w:rsidTr="00DE735E">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0774FB4E" w14:textId="77777777" w:rsidR="00DE735E" w:rsidRDefault="00DE735E">
            <w:pPr>
              <w:pStyle w:val="NormalWeb"/>
              <w:spacing w:beforeAutospacing="0" w:afterAutospacing="0" w:line="256" w:lineRule="auto"/>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2DD99C67" w14:textId="77777777" w:rsidR="00DE735E" w:rsidRDefault="00DE735E">
            <w:pPr>
              <w:pStyle w:val="NormalWeb"/>
              <w:spacing w:beforeAutospacing="0" w:after="0" w:afterAutospacing="0" w:line="256" w:lineRule="auto"/>
              <w:ind w:left="142" w:right="34"/>
              <w:rPr>
                <w:rFonts w:ascii="Calibri" w:hAnsi="Calibri" w:cs="Tahoma"/>
                <w:i/>
                <w:sz w:val="24"/>
                <w:szCs w:val="24"/>
              </w:rPr>
            </w:pPr>
            <w:r>
              <w:rPr>
                <w:rFonts w:ascii="Calibri" w:hAnsi="Calibri" w:cs="Tahoma"/>
                <w:i/>
                <w:sz w:val="24"/>
                <w:szCs w:val="24"/>
              </w:rPr>
              <w:t>Date:</w:t>
            </w:r>
          </w:p>
        </w:tc>
      </w:tr>
      <w:tr w:rsidR="00DE735E" w14:paraId="2B7289BE" w14:textId="77777777" w:rsidTr="00DE735E">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33715431" w14:textId="77777777" w:rsidR="00DE735E" w:rsidRDefault="00DE735E">
            <w:pPr>
              <w:pStyle w:val="NormalWeb"/>
              <w:spacing w:before="0" w:beforeAutospacing="0" w:after="0" w:afterAutospacing="0" w:line="256" w:lineRule="auto"/>
              <w:ind w:left="142" w:right="34"/>
              <w:rPr>
                <w:rFonts w:ascii="Calibri" w:hAnsi="Calibri" w:cs="Tahoma"/>
                <w:i/>
                <w:sz w:val="24"/>
                <w:szCs w:val="24"/>
              </w:rPr>
            </w:pPr>
            <w:r>
              <w:rPr>
                <w:rFonts w:ascii="Calibri" w:hAnsi="Calibri" w:cs="Tahoma"/>
                <w:i/>
                <w:sz w:val="24"/>
                <w:szCs w:val="24"/>
              </w:rPr>
              <w:t xml:space="preserve">Provisional mark: </w:t>
            </w:r>
          </w:p>
          <w:p w14:paraId="1DB7B39F" w14:textId="77777777" w:rsidR="00DE735E" w:rsidRDefault="00DE735E">
            <w:pPr>
              <w:pStyle w:val="NormalWeb"/>
              <w:spacing w:before="0" w:beforeAutospacing="0" w:after="0" w:afterAutospacing="0" w:line="256" w:lineRule="auto"/>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14:paraId="51BE18B6" w14:textId="61ACF5C5" w:rsidR="00342059" w:rsidRDefault="00CE4989">
      <w:bookmarkStart w:id="0" w:name="_GoBack"/>
      <w:bookmarkEnd w:id="0"/>
      <w:r w:rsidRPr="00626DB2">
        <w:rPr>
          <w:b/>
          <w:u w:val="single"/>
        </w:rPr>
        <w:lastRenderedPageBreak/>
        <w:t>How can a focus on ‘the body’ help to illuminate our understanding of power dynamics?</w:t>
      </w:r>
    </w:p>
    <w:p w14:paraId="1BB3CA84" w14:textId="66E18501" w:rsidR="00DC3DD8" w:rsidRDefault="001D52D9" w:rsidP="00933B95">
      <w:r>
        <w:t xml:space="preserve">When we discuss power dynamics in terms of the body, we must look at a different scope of power; not strength of body or the wielding of royal authority over the peasants, but the normalising power structures we are surrounded with that dictate what is ‘normal’ for society do to, wear, eat, even like or dislike. To look at power in this way, one must make reference to </w:t>
      </w:r>
      <w:r w:rsidR="00933B95">
        <w:t xml:space="preserve">some of the most significant concepts in the discourse; those of Michel Foucault and Karl Marx. Indeed, it could be said that one cannot even discuss power without discussing Marx and Foucault. </w:t>
      </w:r>
    </w:p>
    <w:p w14:paraId="21378472" w14:textId="2A864D09" w:rsidR="008C4E34" w:rsidRDefault="008C4E34" w:rsidP="00E90EA9">
      <w:r>
        <w:t xml:space="preserve">A focus on the individual body in discussion of power dynamics enables a narrowing of the viewpoint to the level of individuals. </w:t>
      </w:r>
      <w:r w:rsidR="00E90EA9">
        <w:t xml:space="preserve">This tighter focus brings light to how the grand social theories proposed by thinkers such as Marx and Foucault are applicable at a human and individual level; a more relatable level of the human lived experience. This provides examples of the </w:t>
      </w:r>
      <w:r>
        <w:t xml:space="preserve">ways in which the body is controlled, manipulated, and even commodified </w:t>
      </w:r>
      <w:r w:rsidR="00E90EA9">
        <w:t>in society.</w:t>
      </w:r>
    </w:p>
    <w:p w14:paraId="2040E042" w14:textId="46C3FDB6" w:rsidR="00CB7DBE" w:rsidRPr="00AE58C4" w:rsidRDefault="00933B95" w:rsidP="00A3659C">
      <w:r>
        <w:t>Us</w:t>
      </w:r>
      <w:r w:rsidR="00984AC7">
        <w:t xml:space="preserve">ing the theoretical frameworks set by Marx and Foucault, a number of ethnographical case studies are examined to explore the relations between the body and the surrounding dynamics of power. </w:t>
      </w:r>
    </w:p>
    <w:p w14:paraId="1CD40116" w14:textId="177EC9A5" w:rsidR="00B33389" w:rsidRDefault="00CB7DBE" w:rsidP="00B33389">
      <w:r w:rsidRPr="00CB7DBE">
        <w:t>The</w:t>
      </w:r>
      <w:r>
        <w:t xml:space="preserve"> discourse on power has been largely dominated by Michel Foucault and Karl Marx. Therefore, any study on the dynamics of power must at least include reference to their ideas and how they relate to the body. </w:t>
      </w:r>
      <w:r w:rsidR="000C306A">
        <w:t>Marx sees power in a hierarchy whereby those in power control the capital and the means of production</w:t>
      </w:r>
      <w:r w:rsidR="00213E12">
        <w:t xml:space="preserve"> </w:t>
      </w:r>
      <w:r w:rsidR="00213E12">
        <w:fldChar w:fldCharType="begin"/>
      </w:r>
      <w:r w:rsidR="00213E12">
        <w:instrText xml:space="preserve"> ADDIN ZOTERO_ITEM CSL_CITATION {"citationID":"ZC1Jk7O2","properties":{"formattedCitation":"(Marx, 1844)","plainCitation":"(Marx, 1844)","noteIndex":0},"citationItems":[{"id":443,"uris":["http://zotero.org/users/local/fHDFbT8E/items/6EK7L5ST"],"uri":["http://zotero.org/users/local/fHDFbT8E/items/6EK7L5ST"],"itemData":{"id":443,"type":"manuscript","title":"The Economic and Philosophical Manuscripts - First Manuscript","publisher-place":"Paris","source":"Zotero","event-place":"Paris","language":"en","author":[{"family":"Marx","given":"Karl"}],"issued":{"date-parts":[["1844"]]}}}],"schema":"https://github.com/citation-style-language/schema/raw/master/csl-citation.json"} </w:instrText>
      </w:r>
      <w:r w:rsidR="00213E12">
        <w:fldChar w:fldCharType="separate"/>
      </w:r>
      <w:r w:rsidR="00213E12" w:rsidRPr="00213E12">
        <w:rPr>
          <w:rFonts w:ascii="Calibri" w:hAnsi="Calibri" w:cs="Calibri"/>
        </w:rPr>
        <w:t>(Marx, 1844)</w:t>
      </w:r>
      <w:r w:rsidR="00213E12">
        <w:fldChar w:fldCharType="end"/>
      </w:r>
      <w:r w:rsidR="00213E12">
        <w:t>.</w:t>
      </w:r>
      <w:r>
        <w:t xml:space="preserve"> Class struggle exemplifies the power dynamic within capitalism. While more focused on group dynamics than individual dynamics, the individual within a capitalist system is seen as an economic body, especially in terms of the labour hour but also in the view of the body as a commodity. </w:t>
      </w:r>
      <w:r w:rsidR="00B33389">
        <w:t xml:space="preserve">Commodification of the body comes within a Marxist framework, whereby bodies, their labour, and their parts are all seen within a capitalist marketplace. </w:t>
      </w:r>
    </w:p>
    <w:p w14:paraId="75E9819F" w14:textId="0E2AFFE3" w:rsidR="003F28BE" w:rsidRDefault="00B33389" w:rsidP="003F28BE">
      <w:r>
        <w:t xml:space="preserve">The labour hour has become a commodity within the capitalist system, through the changes that have arisen within industrialised modes of production. </w:t>
      </w:r>
      <w:r w:rsidR="005671F5">
        <w:t xml:space="preserve">In traditional rural economies, time is measured through culturally relevant tasks and events that relate to the natural world. Thompson defines these as ‘”natural” work rhythms’ </w:t>
      </w:r>
      <w:r w:rsidR="005671F5">
        <w:fldChar w:fldCharType="begin"/>
      </w:r>
      <w:r w:rsidR="00213E12">
        <w:instrText xml:space="preserve"> ADDIN ZOTERO_ITEM CSL_CITATION {"citationID":"f0j5eXZL","properties":{"formattedCitation":"(Thompson, 1967)","plainCitation":"(Thompson, 1967)","dontUpdate":true,"noteIndex":0},"citationItems":[{"id":402,"uris":["http://zotero.org/users/local/fHDFbT8E/items/2KWA35EK"],"uri":["http://zotero.org/users/local/fHDFbT8E/items/2KWA35EK"],"itemData":{"id":402,"type":"article-journal","title":"Time, Work-Discipline, and Industrial Capitalism","container-title":"Past &amp; Present","page":"56-97","issue":"38","source":"JSTOR","archive":"JSTOR","ISSN":"0031-2746","author":[{"family":"Thompson","given":"E. P."}],"issued":{"date-parts":[["1967"]]}}}],"schema":"https://github.com/citation-style-language/schema/raw/master/csl-citation.json"} </w:instrText>
      </w:r>
      <w:r w:rsidR="005671F5">
        <w:fldChar w:fldCharType="separate"/>
      </w:r>
      <w:r w:rsidR="005671F5" w:rsidRPr="005671F5">
        <w:rPr>
          <w:rFonts w:ascii="Calibri" w:hAnsi="Calibri" w:cs="Calibri"/>
        </w:rPr>
        <w:t>(Thompson, 1967</w:t>
      </w:r>
      <w:r w:rsidR="005671F5">
        <w:rPr>
          <w:rFonts w:ascii="Calibri" w:hAnsi="Calibri" w:cs="Calibri"/>
        </w:rPr>
        <w:t>. p.60</w:t>
      </w:r>
      <w:r w:rsidR="005671F5" w:rsidRPr="005671F5">
        <w:rPr>
          <w:rFonts w:ascii="Calibri" w:hAnsi="Calibri" w:cs="Calibri"/>
        </w:rPr>
        <w:t>)</w:t>
      </w:r>
      <w:r w:rsidR="005671F5">
        <w:fldChar w:fldCharType="end"/>
      </w:r>
      <w:r w:rsidR="003F28BE">
        <w:t xml:space="preserve">, describing the measurement of time through these notations as ‘task-orientation’ </w:t>
      </w:r>
      <w:r w:rsidR="003F28BE">
        <w:fldChar w:fldCharType="begin"/>
      </w:r>
      <w:r w:rsidR="00213E12">
        <w:instrText xml:space="preserve"> ADDIN ZOTERO_ITEM CSL_CITATION {"citationID":"kk2U9GTO","properties":{"formattedCitation":"(Thompson, 1967)","plainCitation":"(Thompson, 1967)","dontUpdate":true,"noteIndex":0},"citationItems":[{"id":402,"uris":["http://zotero.org/users/local/fHDFbT8E/items/2KWA35EK"],"uri":["http://zotero.org/users/local/fHDFbT8E/items/2KWA35EK"],"itemData":{"id":402,"type":"article-journal","title":"Time, Work-Discipline, and Industrial Capitalism","container-title":"Past &amp; Present","page":"56-97","issue":"38","source":"JSTOR","archive":"JSTOR","ISSN":"0031-2746","author":[{"family":"Thompson","given":"E. P."}],"issued":{"date-parts":[["1967"]]}}}],"schema":"https://github.com/citation-style-language/schema/raw/master/csl-citation.json"} </w:instrText>
      </w:r>
      <w:r w:rsidR="003F28BE">
        <w:fldChar w:fldCharType="separate"/>
      </w:r>
      <w:r w:rsidR="003F28BE" w:rsidRPr="005671F5">
        <w:rPr>
          <w:rFonts w:ascii="Calibri" w:hAnsi="Calibri" w:cs="Calibri"/>
        </w:rPr>
        <w:t>(Thompson, 1967</w:t>
      </w:r>
      <w:r w:rsidR="003F28BE">
        <w:rPr>
          <w:rFonts w:ascii="Calibri" w:hAnsi="Calibri" w:cs="Calibri"/>
        </w:rPr>
        <w:t>. p.60</w:t>
      </w:r>
      <w:r w:rsidR="003F28BE" w:rsidRPr="005671F5">
        <w:rPr>
          <w:rFonts w:ascii="Calibri" w:hAnsi="Calibri" w:cs="Calibri"/>
        </w:rPr>
        <w:t>)</w:t>
      </w:r>
      <w:r w:rsidR="003F28BE">
        <w:fldChar w:fldCharType="end"/>
      </w:r>
      <w:r w:rsidR="003F28BE">
        <w:t xml:space="preserve">. </w:t>
      </w:r>
      <w:r w:rsidR="00FC36D8">
        <w:t>In contrast to this, Thomp</w:t>
      </w:r>
      <w:r w:rsidR="003F28BE">
        <w:t>s</w:t>
      </w:r>
      <w:r w:rsidR="00FC36D8">
        <w:t>on shows</w:t>
      </w:r>
      <w:r w:rsidR="003F28BE">
        <w:t xml:space="preserve"> how the labour hour comes into being – as soon as money changes hands and an employer-employee relationship is formed, there is a shift from task-orientation to timed, paid labour</w:t>
      </w:r>
      <w:r w:rsidR="00A847F2">
        <w:t xml:space="preserve"> -</w:t>
      </w:r>
      <w:r w:rsidR="003F28BE">
        <w:t xml:space="preserve"> ‘time is beginning to become money, the employer’s money.’ </w:t>
      </w:r>
      <w:r w:rsidR="00427E8B">
        <w:fldChar w:fldCharType="begin"/>
      </w:r>
      <w:r w:rsidR="00213E12">
        <w:instrText xml:space="preserve"> ADDIN ZOTERO_ITEM CSL_CITATION {"citationID":"yDBlxdas","properties":{"formattedCitation":"(Thompson, 1967)","plainCitation":"(Thompson, 1967)","noteIndex":0},"citationItems":[{"id":402,"uris":["http://zotero.org/users/local/fHDFbT8E/items/2KWA35EK"],"uri":["http://zotero.org/users/local/fHDFbT8E/items/2KWA35EK"],"itemData":{"id":402,"type":"article-journal","title":"Time, Work-Discipline, and Industrial Capitalism","container-title":"Past &amp; Present","page":"56-97","issue":"38","source":"JSTOR","archive":"JSTOR","ISSN":"0031-2746","author":[{"family":"Thompson","given":"E. P."}],"issued":{"date-parts":[["1967"]]}}}],"schema":"https://github.com/citation-style-language/schema/raw/master/csl-citation.json"} </w:instrText>
      </w:r>
      <w:r w:rsidR="00427E8B">
        <w:fldChar w:fldCharType="separate"/>
      </w:r>
      <w:r w:rsidR="00213E12" w:rsidRPr="00213E12">
        <w:rPr>
          <w:rFonts w:ascii="Calibri" w:hAnsi="Calibri" w:cs="Calibri"/>
        </w:rPr>
        <w:t>(Thompson, 1967)</w:t>
      </w:r>
      <w:r w:rsidR="00427E8B">
        <w:fldChar w:fldCharType="end"/>
      </w:r>
      <w:r w:rsidR="00A847F2">
        <w:t>.</w:t>
      </w:r>
      <w:r w:rsidR="003F28BE">
        <w:t xml:space="preserve"> Suddenly a value is placed on denominations of time. This concept of the labour hour comes into full manifestation in heavily industrialised settings such as factories. Here, the task has become irrelevant and it does not matter who is performing the work, as much factory work is (at least seen as) unskilled, and so the relationship between the task and the labour is gone; the only thing of apparent value is the time put in.</w:t>
      </w:r>
      <w:r w:rsidR="00427E8B">
        <w:t xml:space="preserve"> In the impersonal and dehumanising context of the factory, as Marx would say, they are detached from their tasks and alienated from the products of their labour. </w:t>
      </w:r>
      <w:r w:rsidR="00A847F2">
        <w:t xml:space="preserve">The value of the worker as an individual seems to decline and the value is instead placed on the time they give to the factory. Clocking in and out to determine payment based on the time worked is in direct opposition to task-oriented work; it was even put in place as a means of disciplining workers into following the labour hour. </w:t>
      </w:r>
      <w:r w:rsidR="00A847F2">
        <w:fldChar w:fldCharType="begin"/>
      </w:r>
      <w:r w:rsidR="00A847F2">
        <w:instrText xml:space="preserve"> ADDIN ZOTERO_ITEM CSL_CITATION {"citationID":"eh97vG0o","properties":{"formattedCitation":"(Thompson, 1967)","plainCitation":"(Thompson, 1967)","noteIndex":0},"citationItems":[{"id":402,"uris":["http://zotero.org/users/local/fHDFbT8E/items/2KWA35EK"],"uri":["http://zotero.org/users/local/fHDFbT8E/items/2KWA35EK"],"itemData":{"id":402,"type":"article-journal","title":"Time, Work-Discipline, and Industrial Capitalism","container-title":"Past &amp; Present","page":"56-97","issue":"38","source":"JSTOR","archive":"JSTOR","ISSN":"0031-2746","author":[{"family":"Thompson","given":"E. P."}],"issued":{"date-parts":[["1967"]]}}}],"schema":"https://github.com/citation-style-language/schema/raw/master/csl-citation.json"} </w:instrText>
      </w:r>
      <w:r w:rsidR="00A847F2">
        <w:fldChar w:fldCharType="separate"/>
      </w:r>
      <w:r w:rsidR="00A847F2" w:rsidRPr="00A847F2">
        <w:rPr>
          <w:rFonts w:ascii="Calibri" w:hAnsi="Calibri" w:cs="Calibri"/>
        </w:rPr>
        <w:t>(Thompson, 1967)</w:t>
      </w:r>
      <w:r w:rsidR="00A847F2">
        <w:fldChar w:fldCharType="end"/>
      </w:r>
    </w:p>
    <w:p w14:paraId="2C2EDD2D" w14:textId="1DD86EA2" w:rsidR="00B33389" w:rsidRDefault="00031DB6" w:rsidP="00903F54">
      <w:r>
        <w:t>Even bodies themselves can become commodities within a capitalist system.</w:t>
      </w:r>
      <w:r w:rsidR="00903F54">
        <w:t xml:space="preserve"> </w:t>
      </w:r>
      <w:r>
        <w:t xml:space="preserve">Scheper-Hughes’ (2000) study titled </w:t>
      </w:r>
      <w:r w:rsidRPr="00903F54">
        <w:rPr>
          <w:i/>
        </w:rPr>
        <w:t>The Global Traffic in Human Organs</w:t>
      </w:r>
      <w:r>
        <w:t xml:space="preserve"> demonstrates ho</w:t>
      </w:r>
      <w:r w:rsidR="00FB6153">
        <w:t xml:space="preserve">w commodification of the body occurs through bringing (parts of) the human body to sale on the market. </w:t>
      </w:r>
      <w:r w:rsidR="005C69B5">
        <w:t xml:space="preserve">However, </w:t>
      </w:r>
      <w:r w:rsidR="00B914F0">
        <w:t xml:space="preserve">bodily commodification is not the only result of bringing the human body to market. Scheper-Hughes states </w:t>
      </w:r>
      <w:r w:rsidR="00B914F0">
        <w:lastRenderedPageBreak/>
        <w:t>that</w:t>
      </w:r>
      <w:r w:rsidR="005C69B5">
        <w:t xml:space="preserve"> “Transplant surgery has reconceptualized social relations between self and other, between individual and society, and among the </w:t>
      </w:r>
      <w:r w:rsidR="00AA10C4">
        <w:t>‘</w:t>
      </w:r>
      <w:r w:rsidR="005C69B5">
        <w:t>“three bodies”—the existential lived body-self, the social, representationa</w:t>
      </w:r>
      <w:r w:rsidR="00AA10C4">
        <w:t>l body, and the body political.’</w:t>
      </w:r>
      <w:r w:rsidR="005C69B5">
        <w:t xml:space="preserve"> </w:t>
      </w:r>
      <w:r w:rsidR="005C69B5">
        <w:fldChar w:fldCharType="begin"/>
      </w:r>
      <w:r w:rsidR="005671F5">
        <w:instrText xml:space="preserve"> ADDIN ZOTERO_ITEM CSL_CITATION {"citationID":"iazg7sWW","properties":{"formattedCitation":"(Scheper-Hugher, 2000)","plainCitation":"(Scheper-Hugher, 2000)","dontUpdate":true,"noteIndex":0},"citationItems":[{"id":143,"uris":["http://zotero.org/users/local/fHDFbT8E/items/ZMRYUMGB"],"uri":["http://zotero.org/users/local/fHDFbT8E/items/ZMRYUMGB"],"itemData":{"id":143,"type":"article-journal","title":"The Global Traffic in Human Organs","container-title":"Current Anthropology","page":"191 - 224","volume":"41","issue":"2","author":[{"family":"Scheper-Hugher","given":"Nancy"}],"issued":{"date-parts":[["2000"]]}}}],"schema":"https://github.com/citation-style-language/schema/raw/master/csl-citation.json"} </w:instrText>
      </w:r>
      <w:r w:rsidR="005C69B5">
        <w:fldChar w:fldCharType="separate"/>
      </w:r>
      <w:r w:rsidR="005C69B5" w:rsidRPr="00903F54">
        <w:rPr>
          <w:rFonts w:ascii="Calibri" w:hAnsi="Calibri" w:cs="Calibri"/>
        </w:rPr>
        <w:t>(Scheper-</w:t>
      </w:r>
      <w:proofErr w:type="spellStart"/>
      <w:r w:rsidR="005C69B5" w:rsidRPr="00903F54">
        <w:rPr>
          <w:rFonts w:ascii="Calibri" w:hAnsi="Calibri" w:cs="Calibri"/>
        </w:rPr>
        <w:t>Hugher</w:t>
      </w:r>
      <w:proofErr w:type="spellEnd"/>
      <w:r w:rsidR="005C69B5" w:rsidRPr="00903F54">
        <w:rPr>
          <w:rFonts w:ascii="Calibri" w:hAnsi="Calibri" w:cs="Calibri"/>
        </w:rPr>
        <w:t>, 2000, p.193)</w:t>
      </w:r>
      <w:r w:rsidR="005C69B5">
        <w:fldChar w:fldCharType="end"/>
      </w:r>
      <w:r w:rsidR="005C69B5">
        <w:t>.</w:t>
      </w:r>
      <w:r w:rsidR="00BC210C">
        <w:t xml:space="preserve"> The lived body-self is perhaps the most affected of all of these, as to recognise </w:t>
      </w:r>
      <w:proofErr w:type="gramStart"/>
      <w:r w:rsidR="00BC210C">
        <w:t>ourselves</w:t>
      </w:r>
      <w:proofErr w:type="gramEnd"/>
      <w:r w:rsidR="00BC210C">
        <w:t xml:space="preserve"> is to recognise as physically and mentally different from others, and taking on a part of another’s body seems to somewhat defy this individuality.</w:t>
      </w:r>
      <w:r w:rsidR="00A847F2">
        <w:t xml:space="preserve"> W</w:t>
      </w:r>
      <w:r w:rsidR="00B914F0">
        <w:t xml:space="preserve">hen </w:t>
      </w:r>
      <w:r w:rsidR="00A847F2">
        <w:t xml:space="preserve">the body </w:t>
      </w:r>
      <w:r w:rsidR="00B914F0">
        <w:t>is reduced to a sum of its parts and the parts are interchangeable between bodies</w:t>
      </w:r>
      <w:r w:rsidR="00A847F2">
        <w:t xml:space="preserve">, the </w:t>
      </w:r>
      <w:r w:rsidR="00A847F2">
        <w:t>boundaries of the body become blurred</w:t>
      </w:r>
      <w:r w:rsidR="00A847F2">
        <w:t xml:space="preserve">. Organ donation or sale </w:t>
      </w:r>
      <w:r w:rsidR="003F2DF4">
        <w:t>could also be said to give one power over oneself - a</w:t>
      </w:r>
      <w:r w:rsidR="003F2DF4">
        <w:t>n individual who sells a kidney</w:t>
      </w:r>
      <w:r w:rsidR="003F2DF4">
        <w:t>, for example</w:t>
      </w:r>
      <w:r w:rsidR="003F2DF4">
        <w:t xml:space="preserve"> could be said to claim autonomy over natural processes</w:t>
      </w:r>
      <w:r w:rsidR="003F2DF4">
        <w:t xml:space="preserve">. </w:t>
      </w:r>
      <w:r w:rsidR="00014F17">
        <w:t xml:space="preserve"> </w:t>
      </w:r>
      <w:r w:rsidR="00B33389">
        <w:t xml:space="preserve">In capitalism, power is attributed to and held by those who control the resources. </w:t>
      </w:r>
      <w:r w:rsidR="005C69B5">
        <w:t>Alongside transplant surgery, all body parts on the market can be said to be related to power</w:t>
      </w:r>
      <w:r w:rsidR="00B33389">
        <w:t>.</w:t>
      </w:r>
      <w:r w:rsidR="005C69B5">
        <w:t xml:space="preserve"> If the body itself is seen as a resource, different dynamics of power arise. A distinction </w:t>
      </w:r>
      <w:proofErr w:type="gramStart"/>
      <w:r w:rsidR="005C69B5">
        <w:t>has to</w:t>
      </w:r>
      <w:proofErr w:type="gramEnd"/>
      <w:r w:rsidR="005C69B5">
        <w:t xml:space="preserve"> be made between willing commodification of the body – selling hair, semen or an organ, for example, and enforced control over the body – such as a pimp, slaveowner</w:t>
      </w:r>
      <w:r w:rsidR="00B914F0">
        <w:t xml:space="preserve">, or </w:t>
      </w:r>
      <w:r w:rsidR="00014F17">
        <w:t xml:space="preserve">human </w:t>
      </w:r>
      <w:r w:rsidR="00B914F0">
        <w:t>trafficker</w:t>
      </w:r>
      <w:r w:rsidR="005C69B5">
        <w:t xml:space="preserve">. </w:t>
      </w:r>
    </w:p>
    <w:p w14:paraId="51EA2298" w14:textId="567AC7B5" w:rsidR="007978EE" w:rsidRDefault="00BC210C" w:rsidP="007978EE">
      <w:r w:rsidRPr="00BC210C">
        <w:t>B</w:t>
      </w:r>
      <w:r w:rsidR="00B33389" w:rsidRPr="00BC210C">
        <w:t>onded labour and wage slavery are</w:t>
      </w:r>
      <w:r w:rsidRPr="00BC210C">
        <w:t xml:space="preserve"> also</w:t>
      </w:r>
      <w:r w:rsidR="00B33389" w:rsidRPr="00BC210C">
        <w:t xml:space="preserve"> both ways in which bodies are exploited and controlled. </w:t>
      </w:r>
      <w:r w:rsidR="00AA10C4">
        <w:t xml:space="preserve">Bonded labour can be said to directly compare the body to a currency, using manual labour as an enforced repayment of debts. </w:t>
      </w:r>
      <w:r w:rsidR="007978EE">
        <w:t>Wage slavery, also, creates avenues for the control of others’ bodies, as Moore writes for The Guardian – ‘</w:t>
      </w:r>
      <w:r w:rsidR="007978EE" w:rsidRPr="007978EE">
        <w:t>This model of working – long hours, very few holidays, few breaks, two incomes needed to raise kids, crazed loyalty demanded by huge corporations, the American way – is where we’re heading. Except now the model is even more punishing. It is China. We are expected to compete with an economy whose workers are often closer to indentured slaves than anything else.</w:t>
      </w:r>
      <w:r>
        <w:t xml:space="preserve">’ </w:t>
      </w:r>
      <w:r>
        <w:fldChar w:fldCharType="begin"/>
      </w:r>
      <w:r>
        <w:instrText xml:space="preserve"> ADDIN ZOTERO_ITEM CSL_CITATION {"citationID":"XSQjC75V","properties":{"formattedCitation":"(Moore, 2015)","plainCitation":"(Moore, 2015)","noteIndex":0},"citationItems":[{"id":445,"uris":["http://zotero.org/users/local/fHDFbT8E/items/QU26H89A"],"uri":["http://zotero.org/users/local/fHDFbT8E/items/QU26H89A"],"itemData":{"id":445,"type":"webpage","title":"Phone in sick: it's a small act of rebellion against wage slavery | Opinion | The Guardian","container-title":"The Guardian","genre":"Online Newspaper","URL":"https://www.theguardian.com/commentisfree/2015/oct/21/phone-in-sick-its-a-small-act-of-rebellion-against-wage-slavery","author":[{"family":"Moore","given":"Suzanne"}],"issued":{"date-parts":[["2015"]]},"accessed":{"date-parts":[["2019",3,15]]}}}],"schema":"https://github.com/citation-style-language/schema/raw/master/csl-citation.json"} </w:instrText>
      </w:r>
      <w:r>
        <w:fldChar w:fldCharType="separate"/>
      </w:r>
      <w:r w:rsidRPr="00BC210C">
        <w:rPr>
          <w:rFonts w:ascii="Calibri" w:hAnsi="Calibri" w:cs="Calibri"/>
        </w:rPr>
        <w:t>(Moore, 2015)</w:t>
      </w:r>
      <w:r>
        <w:fldChar w:fldCharType="end"/>
      </w:r>
      <w:r>
        <w:t>. This model seems to describe a lifestyle where one has no freedom, no time to enjoy the fruits of their labour</w:t>
      </w:r>
      <w:r w:rsidR="00344FD9">
        <w:t xml:space="preserve">, giving their time in return for money they use more to survive and less for enjoyment. The body becomes a means of production, and rarely a producer of something unique to them; merely a part of the transaction, mediating the exchange of time or labour and money.  </w:t>
      </w:r>
    </w:p>
    <w:p w14:paraId="4AA18273" w14:textId="418E331D" w:rsidR="007978EE" w:rsidRDefault="007978EE" w:rsidP="007978EE"/>
    <w:p w14:paraId="526963AC" w14:textId="0101D34F" w:rsidR="00A3659C" w:rsidRDefault="00344FD9" w:rsidP="009D4D9F">
      <w:r>
        <w:t>A less obvious example of commodification of the body can be seen in professional football. A</w:t>
      </w:r>
      <w:r w:rsidR="00794310">
        <w:t xml:space="preserve">n article on </w:t>
      </w:r>
      <w:proofErr w:type="spellStart"/>
      <w:r w:rsidR="00794310">
        <w:rPr>
          <w:i/>
        </w:rPr>
        <w:t>TalkSport</w:t>
      </w:r>
      <w:proofErr w:type="spellEnd"/>
      <w:r w:rsidR="00794310">
        <w:rPr>
          <w:i/>
        </w:rPr>
        <w:t xml:space="preserve"> </w:t>
      </w:r>
      <w:r w:rsidR="00794310" w:rsidRPr="00794310">
        <w:rPr>
          <w:rFonts w:ascii="Calibri" w:hAnsi="Calibri" w:cs="Calibri"/>
          <w:i/>
        </w:rPr>
        <w:t>(Mannion, 2017)</w:t>
      </w:r>
      <w:r w:rsidR="00794310">
        <w:rPr>
          <w:rFonts w:ascii="Calibri" w:hAnsi="Calibri" w:cs="Calibri"/>
          <w:i/>
        </w:rPr>
        <w:t xml:space="preserve"> </w:t>
      </w:r>
      <w:r w:rsidR="00794310">
        <w:rPr>
          <w:rFonts w:ascii="Calibri" w:hAnsi="Calibri" w:cs="Calibri"/>
        </w:rPr>
        <w:t>d</w:t>
      </w:r>
      <w:r>
        <w:rPr>
          <w:rFonts w:ascii="Calibri" w:hAnsi="Calibri" w:cs="Calibri"/>
        </w:rPr>
        <w:t>escribes</w:t>
      </w:r>
      <w:r w:rsidR="00794310">
        <w:rPr>
          <w:rFonts w:ascii="Calibri" w:hAnsi="Calibri" w:cs="Calibri"/>
        </w:rPr>
        <w:t xml:space="preserve"> the selling of football players to other teams against their will. </w:t>
      </w:r>
      <w:r w:rsidR="009D4D9F">
        <w:rPr>
          <w:rFonts w:ascii="Calibri" w:hAnsi="Calibri" w:cs="Calibri"/>
        </w:rPr>
        <w:t>In 2000, the president of Real Madrid C.F decided to sell Fernando Redondo to AC Milan for eleven million dollars. The article quotes a statement by Redondo that read</w:t>
      </w:r>
      <w:r w:rsidR="009D4D9F" w:rsidRPr="009D4D9F">
        <w:rPr>
          <w:rFonts w:ascii="Calibri" w:hAnsi="Calibri" w:cs="Calibri"/>
        </w:rPr>
        <w:t xml:space="preserve"> </w:t>
      </w:r>
      <w:r w:rsidR="009D4D9F">
        <w:rPr>
          <w:rFonts w:ascii="Calibri" w:hAnsi="Calibri" w:cs="Calibri"/>
        </w:rPr>
        <w:t>‘</w:t>
      </w:r>
      <w:r w:rsidR="009D4D9F" w:rsidRPr="009D4D9F">
        <w:rPr>
          <w:rFonts w:ascii="Calibri" w:hAnsi="Calibri" w:cs="Calibri"/>
        </w:rPr>
        <w:t>It really hurts that Real have tried to confuse the fans by claiming it was my expressed desire to leave</w:t>
      </w:r>
      <w:r w:rsidR="009D4D9F">
        <w:rPr>
          <w:rFonts w:ascii="Calibri" w:hAnsi="Calibri" w:cs="Calibri"/>
        </w:rPr>
        <w:t xml:space="preserve">. </w:t>
      </w:r>
      <w:r w:rsidR="009D4D9F" w:rsidRPr="009D4D9F">
        <w:rPr>
          <w:rFonts w:ascii="Calibri" w:hAnsi="Calibri" w:cs="Calibri"/>
        </w:rPr>
        <w:t xml:space="preserve">That is not </w:t>
      </w:r>
      <w:proofErr w:type="gramStart"/>
      <w:r w:rsidR="009D4D9F" w:rsidRPr="009D4D9F">
        <w:rPr>
          <w:rFonts w:ascii="Calibri" w:hAnsi="Calibri" w:cs="Calibri"/>
        </w:rPr>
        <w:t>true</w:t>
      </w:r>
      <w:proofErr w:type="gramEnd"/>
      <w:r w:rsidR="009D4D9F" w:rsidRPr="009D4D9F">
        <w:rPr>
          <w:rFonts w:ascii="Calibri" w:hAnsi="Calibri" w:cs="Calibri"/>
        </w:rPr>
        <w:t xml:space="preserve"> and I refuse to allow my honour to be put in doubt. This has been done to stain my name and my image.</w:t>
      </w:r>
      <w:r w:rsidR="009D4D9F">
        <w:rPr>
          <w:rFonts w:ascii="Calibri" w:hAnsi="Calibri" w:cs="Calibri"/>
        </w:rPr>
        <w:t xml:space="preserve">’ </w:t>
      </w:r>
      <w:r w:rsidR="009D4D9F">
        <w:rPr>
          <w:rFonts w:ascii="Calibri" w:hAnsi="Calibri" w:cs="Calibri"/>
          <w:i/>
        </w:rPr>
        <w:t xml:space="preserve">(Mannion, 2017). </w:t>
      </w:r>
      <w:r w:rsidR="009D4D9F">
        <w:rPr>
          <w:rFonts w:ascii="Calibri" w:hAnsi="Calibri" w:cs="Calibri"/>
        </w:rPr>
        <w:t>Under examination, this appears to be a direct form of bodily commodification, as Redondo seems to have had no power over the sale of his own body.</w:t>
      </w:r>
    </w:p>
    <w:p w14:paraId="7354F573" w14:textId="19159B67" w:rsidR="00F56FEB" w:rsidRPr="00331510" w:rsidRDefault="00344FD9" w:rsidP="00331510">
      <w:pPr>
        <w:rPr>
          <w:b/>
        </w:rPr>
      </w:pPr>
      <w:r>
        <w:t>In societies where men and women have different social status, power dynamics become a gendered issue</w:t>
      </w:r>
      <w:r w:rsidR="00462FA5">
        <w:t xml:space="preserve">. </w:t>
      </w:r>
      <w:r w:rsidR="009C062A">
        <w:t xml:space="preserve">Lewis </w:t>
      </w:r>
      <w:r w:rsidR="00462FA5">
        <w:t xml:space="preserve">(1966) </w:t>
      </w:r>
      <w:r w:rsidR="009C062A">
        <w:t>observes that in</w:t>
      </w:r>
      <w:r w:rsidR="00462FA5">
        <w:t xml:space="preserve"> patriarchal </w:t>
      </w:r>
      <w:r w:rsidR="009136C1">
        <w:t xml:space="preserve">and polygynous </w:t>
      </w:r>
      <w:r w:rsidR="00462FA5">
        <w:t>societies of North East Africa,</w:t>
      </w:r>
      <w:r w:rsidR="009C062A">
        <w:t xml:space="preserve"> female bodies become a site of resistance against male dominance.</w:t>
      </w:r>
      <w:r w:rsidR="00462FA5">
        <w:t xml:space="preserve"> Specifically, in </w:t>
      </w:r>
      <w:proofErr w:type="spellStart"/>
      <w:r w:rsidR="00462FA5" w:rsidRPr="00626DB2">
        <w:rPr>
          <w:i/>
        </w:rPr>
        <w:t>zar</w:t>
      </w:r>
      <w:proofErr w:type="spellEnd"/>
      <w:r w:rsidR="00014F17">
        <w:rPr>
          <w:i/>
        </w:rPr>
        <w:t xml:space="preserve"> </w:t>
      </w:r>
      <w:r w:rsidR="00014F17">
        <w:t xml:space="preserve">(also called </w:t>
      </w:r>
      <w:proofErr w:type="spellStart"/>
      <w:r w:rsidR="00014F17">
        <w:rPr>
          <w:i/>
        </w:rPr>
        <w:t>sar</w:t>
      </w:r>
      <w:proofErr w:type="spellEnd"/>
      <w:r w:rsidR="00014F17">
        <w:rPr>
          <w:i/>
        </w:rPr>
        <w:t>)</w:t>
      </w:r>
      <w:r w:rsidR="00462FA5" w:rsidRPr="00626DB2">
        <w:rPr>
          <w:i/>
        </w:rPr>
        <w:t xml:space="preserve"> </w:t>
      </w:r>
      <w:r w:rsidR="00626DB2">
        <w:t xml:space="preserve">spirit possession </w:t>
      </w:r>
      <w:r w:rsidR="00462FA5">
        <w:t>cults found mostly in Egypt, Ethiopia, Northern Sudan, and Somaliland. These cults appear to be</w:t>
      </w:r>
      <w:r w:rsidR="00626DB2">
        <w:t xml:space="preserve"> formed to fill the space left in women’s exclusion or distancing from certain ceremonial acts and the differences in how they are expected to act in public (in comparison to men). According to Lewis, the ‘prominent role of women in spirit possession acts a compensation for their exclusion and lack of authority in other spheres.’ (Lewis, 1966</w:t>
      </w:r>
      <w:r w:rsidR="00181571">
        <w:t>, p.310</w:t>
      </w:r>
      <w:r w:rsidR="00626DB2">
        <w:t>)</w:t>
      </w:r>
      <w:r w:rsidR="007978EE">
        <w:t>.</w:t>
      </w:r>
      <w:r w:rsidR="00CC4045">
        <w:t xml:space="preserve"> </w:t>
      </w:r>
      <w:r w:rsidR="00014F17">
        <w:t xml:space="preserve">In discussion of Somali women facing attacks by </w:t>
      </w:r>
      <w:proofErr w:type="spellStart"/>
      <w:r w:rsidR="00014F17">
        <w:rPr>
          <w:i/>
        </w:rPr>
        <w:t>sar</w:t>
      </w:r>
      <w:proofErr w:type="spellEnd"/>
      <w:r w:rsidR="00014F17">
        <w:t xml:space="preserve"> spirits, Lewis describes a typical example; a wife struggling to live and to raise a family in a nomadic lifestyle, whose husband regularly and often suddenly leaves to attend to male affairs. This can lead to feelings of neglect, and whether accompanied by physical symptoms or </w:t>
      </w:r>
      <w:r w:rsidR="00014F17">
        <w:lastRenderedPageBreak/>
        <w:t xml:space="preserve">not, these ailments can be interpreted by the women as </w:t>
      </w:r>
      <w:r w:rsidR="009136C1">
        <w:t>possession attacks</w:t>
      </w:r>
      <w:r w:rsidR="00331510">
        <w:t xml:space="preserve"> (Lewis, 1966). </w:t>
      </w:r>
      <w:r w:rsidR="00014F17">
        <w:t xml:space="preserve">During the periods of possession, the </w:t>
      </w:r>
      <w:proofErr w:type="spellStart"/>
      <w:r w:rsidR="00014F17">
        <w:rPr>
          <w:i/>
        </w:rPr>
        <w:t>sar</w:t>
      </w:r>
      <w:proofErr w:type="spellEnd"/>
      <w:r w:rsidR="00014F17">
        <w:rPr>
          <w:i/>
        </w:rPr>
        <w:t xml:space="preserve"> </w:t>
      </w:r>
      <w:r w:rsidR="00014F17">
        <w:t>spirit inhabiting the women demands</w:t>
      </w:r>
      <w:r w:rsidR="00014F17">
        <w:t xml:space="preserve"> </w:t>
      </w:r>
      <w:r w:rsidR="00014F17">
        <w:t>‘</w:t>
      </w:r>
      <w:r w:rsidR="00014F17">
        <w:t>luxurious clothes, perfume, and delicate foods from their m</w:t>
      </w:r>
      <w:r w:rsidR="00014F17">
        <w:t xml:space="preserve">enfolk’ </w:t>
      </w:r>
      <w:r w:rsidR="00014F17">
        <w:fldChar w:fldCharType="begin"/>
      </w:r>
      <w:r w:rsidR="00014F17">
        <w:instrText xml:space="preserve"> ADDIN ZOTERO_ITEM CSL_CITATION {"citationID":"ghlnuU7l","properties":{"formattedCitation":"(Lewis, 1966)","plainCitation":"(Lewis, 1966)","noteIndex":0},"citationItems":[{"id":375,"uris":["http://zotero.org/users/local/fHDFbT8E/items/UE8MY9J4"],"uri":["http://zotero.org/users/local/fHDFbT8E/items/UE8MY9J4"],"itemData":{"id":375,"type":"article-journal","title":"Spirit Possession and Deprivation Cults","container-title":"Man","page":"307-329","volume":"1","issue":"3","source":"JSTOR","archive":"JSTOR","DOI":"10.2307/2796794","ISSN":"0025-1496","author":[{"family":"Lewis","given":"I. M."}],"issued":{"date-parts":[["1966"]]}}}],"schema":"https://github.com/citation-style-language/schema/raw/master/csl-citation.json"} </w:instrText>
      </w:r>
      <w:r w:rsidR="00014F17">
        <w:fldChar w:fldCharType="separate"/>
      </w:r>
      <w:r w:rsidR="00014F17" w:rsidRPr="00014F17">
        <w:rPr>
          <w:rFonts w:ascii="Calibri" w:hAnsi="Calibri" w:cs="Calibri"/>
        </w:rPr>
        <w:t>(Lewis, 1966</w:t>
      </w:r>
      <w:r w:rsidR="00014F17">
        <w:rPr>
          <w:rFonts w:ascii="Calibri" w:hAnsi="Calibri" w:cs="Calibri"/>
        </w:rPr>
        <w:t>, p.314</w:t>
      </w:r>
      <w:r w:rsidR="00014F17" w:rsidRPr="00014F17">
        <w:rPr>
          <w:rFonts w:ascii="Calibri" w:hAnsi="Calibri" w:cs="Calibri"/>
        </w:rPr>
        <w:t>)</w:t>
      </w:r>
      <w:r w:rsidR="00014F17">
        <w:fldChar w:fldCharType="end"/>
      </w:r>
      <w:r w:rsidR="00014F17">
        <w:t xml:space="preserve">, </w:t>
      </w:r>
      <w:r w:rsidR="009136C1">
        <w:t xml:space="preserve">in apparent resistance to their neglect or mistreatment. Although, as Lewis states, these </w:t>
      </w:r>
      <w:proofErr w:type="spellStart"/>
      <w:r w:rsidR="009136C1">
        <w:rPr>
          <w:i/>
        </w:rPr>
        <w:t>sar</w:t>
      </w:r>
      <w:proofErr w:type="spellEnd"/>
      <w:r w:rsidR="009136C1">
        <w:t xml:space="preserve"> attacks typically occur when the women are struggling with feelings of neglect, such as when their spouse takes steps towards finding a second wife. In such polygynous societies, this is a culturally acceptable action and so openly resisting this casts a poor light on the protesting woman. </w:t>
      </w:r>
      <w:proofErr w:type="gramStart"/>
      <w:r w:rsidR="009136C1">
        <w:t>Therefore</w:t>
      </w:r>
      <w:proofErr w:type="gramEnd"/>
      <w:r w:rsidR="009136C1">
        <w:t xml:space="preserve"> in this case, it is not difficult to see a correlation between periods of neglect and the following possession attacks that demands luxurious treatment</w:t>
      </w:r>
      <w:r w:rsidR="00331510">
        <w:t xml:space="preserve">. In a society where a women’s thoughts and actions are culturally controlled, and verbally resisting a spouse taking another wife offers no aid, “attacks” by </w:t>
      </w:r>
      <w:proofErr w:type="spellStart"/>
      <w:r w:rsidR="00331510">
        <w:rPr>
          <w:i/>
        </w:rPr>
        <w:t>sar</w:t>
      </w:r>
      <w:proofErr w:type="spellEnd"/>
      <w:r w:rsidR="00331510">
        <w:t xml:space="preserve"> seem to use the body as a site of resistance against the male oppression. </w:t>
      </w:r>
      <w:r w:rsidR="0094767D">
        <w:t>Bodies as sites of resistance can also be found in modern industrial settings, where those with the least autonomy find ways to negotiate their status through their bodies. Ong</w:t>
      </w:r>
      <w:r w:rsidR="00AA10C4">
        <w:t xml:space="preserve"> </w:t>
      </w:r>
      <w:r w:rsidR="00331510">
        <w:fldChar w:fldCharType="begin"/>
      </w:r>
      <w:r w:rsidR="00331510">
        <w:instrText xml:space="preserve"> ADDIN ZOTERO_ITEM CSL_CITATION {"citationID":"bVkiRoQk","properties":{"formattedCitation":"(Ong, 1988)","plainCitation":"(Ong, 1988)","noteIndex":0},"citationItems":[{"id":145,"uris":["http://zotero.org/users/local/fHDFbT8E/items/FN2W56B3"],"uri":["http://zotero.org/users/local/fHDFbT8E/items/FN2W56B3"],"itemData":{"id":145,"type":"article-journal","title":"The Production of Possession: Spirits and the Multinational Corporation in Malaysia","container-title":"American Ethnologist","page":"28–42","volume":"15","issue":"1","source":"whel-primo.com","DOI":"10.1525/ae.1988.15.1.02a00030","ISSN":"0094-0496","shortTitle":"The Production of Possession","author":[{"family":"Ong","given":"Aihwa"}],"issued":{"date-parts":[["1988"]]}}}],"schema":"https://github.com/citation-style-language/schema/raw/master/csl-citation.json"} </w:instrText>
      </w:r>
      <w:r w:rsidR="00331510">
        <w:fldChar w:fldCharType="separate"/>
      </w:r>
      <w:r w:rsidR="00331510" w:rsidRPr="00331510">
        <w:rPr>
          <w:rFonts w:ascii="Calibri" w:hAnsi="Calibri" w:cs="Calibri"/>
        </w:rPr>
        <w:t>(1988)</w:t>
      </w:r>
      <w:r w:rsidR="00331510">
        <w:fldChar w:fldCharType="end"/>
      </w:r>
      <w:r w:rsidR="0094767D">
        <w:t xml:space="preserve"> describes young Malay girls under pressure from two sides; the industrial capital</w:t>
      </w:r>
      <w:r w:rsidR="007B7167">
        <w:t>ist</w:t>
      </w:r>
      <w:r w:rsidR="0094767D">
        <w:t xml:space="preserve"> setting of the factory necessary to earn money, and the social obligation and scrutiny of the village elders. </w:t>
      </w:r>
      <w:r w:rsidR="00BB0933">
        <w:t xml:space="preserve">A Marxist analysis of this sees that the factory workers’ spirit attacks reveal a class struggle; the Malay worker </w:t>
      </w:r>
      <w:r w:rsidR="00DC3DD8">
        <w:t>proletariats</w:t>
      </w:r>
      <w:r w:rsidR="00BB0933">
        <w:t xml:space="preserve"> against the </w:t>
      </w:r>
      <w:r w:rsidR="00DC3DD8">
        <w:t>bourgeoisie</w:t>
      </w:r>
      <w:r w:rsidR="00BB0933">
        <w:t xml:space="preserve"> owning and managing the factory.  It is a form of protest in which one cannot be held personally responsible.</w:t>
      </w:r>
    </w:p>
    <w:p w14:paraId="4B5817D7" w14:textId="53B98B1E" w:rsidR="00F56FEB" w:rsidRPr="00903F54" w:rsidRDefault="00A323E2" w:rsidP="00903F54">
      <w:pPr>
        <w:rPr>
          <w:b/>
          <w:sz w:val="24"/>
          <w:u w:val="single"/>
        </w:rPr>
      </w:pPr>
      <w:r>
        <w:t>Foucault’s ideas on power differ radically from Marx’, and his concept of normalising power is as such; power is neither owned nor held, instead affecting every person equally</w:t>
      </w:r>
      <w:r w:rsidR="0054525C">
        <w:t xml:space="preserve">. In his work </w:t>
      </w:r>
      <w:r w:rsidR="0054525C" w:rsidRPr="00903F54">
        <w:rPr>
          <w:i/>
        </w:rPr>
        <w:t>Dis</w:t>
      </w:r>
      <w:r w:rsidR="00330E01">
        <w:rPr>
          <w:i/>
        </w:rPr>
        <w:t xml:space="preserve">cipline and Punish </w:t>
      </w:r>
      <w:r w:rsidR="00330E01" w:rsidRPr="00330E01">
        <w:t>(1977)</w:t>
      </w:r>
      <w:r w:rsidR="00331510" w:rsidRPr="00331510">
        <w:t xml:space="preserve">, </w:t>
      </w:r>
      <w:r w:rsidR="0054525C">
        <w:t xml:space="preserve">he draws on Bentham’s Panopticon to exemplify the reach of normalising power. The Panopticon is a conceptual building </w:t>
      </w:r>
      <w:r w:rsidR="00476FBE">
        <w:t>consisting of</w:t>
      </w:r>
      <w:r w:rsidR="0054525C">
        <w:t xml:space="preserve"> a central tower above an institution (for example, a prison)</w:t>
      </w:r>
      <w:r w:rsidR="00476FBE">
        <w:t>. From this tower, it is possible to see into each cell; every prisoner is under surveillance. However, from the cells, it is impossible to tell where the guard is looking, or even if there is a guard at all. The building is a representation of a means of social control, where the threat of surveillance and observatio</w:t>
      </w:r>
      <w:r w:rsidR="00330E01">
        <w:t>n keeps subjects from breaking the rules while reducing the amount of actual surveillance needing to be done (Foucault, 1997).</w:t>
      </w:r>
      <w:r w:rsidR="00476FBE">
        <w:t xml:space="preserve"> This can be seen in common phenomena such as fake CCTV cameras to act as a deterrence, or during exams with more than one invigilator. The concept behind the Panopticon spreads through society</w:t>
      </w:r>
      <w:r w:rsidR="00C54F53">
        <w:t xml:space="preserve"> as one of the three primary </w:t>
      </w:r>
      <w:r w:rsidR="00441A9E">
        <w:t>systems of control</w:t>
      </w:r>
      <w:r w:rsidR="00C54F53">
        <w:t xml:space="preserve"> behind what Foucault calls a disciplinary society</w:t>
      </w:r>
      <w:r w:rsidR="009464A6">
        <w:t xml:space="preserve"> (Foucault, 1997).</w:t>
      </w:r>
      <w:r w:rsidR="00C54F53">
        <w:t xml:space="preserve"> The first is hierarchical observation – the Panopticon, the second is normalising judgement or power, which dictates what we find it acceptable to wear, eat, even like and dislike</w:t>
      </w:r>
      <w:r w:rsidR="00441A9E">
        <w:t>. For example (at least in British culture), it is considered ‘weird’ for a male to wear a dress or makeup, though nothing is inherently wrong with the act. The third system is examination, and this can be seen as a combination of hierarchical observation and normalisi</w:t>
      </w:r>
      <w:r w:rsidR="009464A6">
        <w:t xml:space="preserve">ng power. Foucault describes examination as a procedure that ‘manifests the subjection of those who are perceived as objects and the objectification of those who are subjected’ (Foucault, 1997, p.184-5) </w:t>
      </w:r>
      <w:r w:rsidR="00441A9E">
        <w:t xml:space="preserve">as it both establishes truth – the health of an </w:t>
      </w:r>
      <w:r w:rsidR="00E74A92">
        <w:t xml:space="preserve">unwell </w:t>
      </w:r>
      <w:r w:rsidR="00441A9E">
        <w:t xml:space="preserve">individual or the knowledge of a student, for example, but also </w:t>
      </w:r>
      <w:r w:rsidR="00E74A92">
        <w:t xml:space="preserve">dictates their behaviour after the examination – forcing the student to revise or the unwell person to undergo treatment.  </w:t>
      </w:r>
    </w:p>
    <w:p w14:paraId="769DDFDC" w14:textId="08C4495D" w:rsidR="00F56FEB" w:rsidRDefault="00031DB6" w:rsidP="00903F54">
      <w:r>
        <w:t xml:space="preserve">Foucault’s idea of normalising power is one way to understand and explain the possession attack behaviour of the Malay girls in the factory. </w:t>
      </w:r>
      <w:r w:rsidR="00476FBE">
        <w:t>Under surveillance, p</w:t>
      </w:r>
      <w:r>
        <w:t>eople act the way they believe they should be acting, so those under observation act ‘normal’. This means that scrutiny maintains the status quo. The behaviour and conducts of the girls are highly managed and observed within the factory</w:t>
      </w:r>
      <w:r w:rsidR="00476FBE">
        <w:t xml:space="preserve">, from being followed to the bathroom on breaks to having to make requests for </w:t>
      </w:r>
      <w:r w:rsidR="00C54F53">
        <w:t>sanitary pads.</w:t>
      </w:r>
      <w:r>
        <w:t xml:space="preserve"> However, they are also scrutinised in the village, being judged differently for breaking the village cultural norms by working in a factory; especially one built on a non-human space.</w:t>
      </w:r>
      <w:r w:rsidR="00F56FEB">
        <w:t xml:space="preserve"> Therefore, they seem to exist somewhat in a liminal space between two opposing cultural worlds, each with their own form of normalising power</w:t>
      </w:r>
      <w:r w:rsidR="00C54F53">
        <w:t>.</w:t>
      </w:r>
      <w:r>
        <w:t xml:space="preserve"> Looking at this collision of two spheres of normalising power, </w:t>
      </w:r>
      <w:r>
        <w:lastRenderedPageBreak/>
        <w:t>it is no wonder these outbursts occur.</w:t>
      </w:r>
      <w:r w:rsidR="00F56FEB" w:rsidRPr="00F56FEB">
        <w:t xml:space="preserve"> </w:t>
      </w:r>
      <w:r w:rsidR="00F56FEB">
        <w:t xml:space="preserve">Therefore to be an acceptable response, the attacks must fall within and be able to be framed within both worlds. To the factory owners and management, the women undergo fits of hysteria, and to the villagers, they are attacks by spirits. This means that the attacks, be they hysteria or genuine spiritual encounters, do not breach cultural norms. </w:t>
      </w:r>
    </w:p>
    <w:p w14:paraId="1CF534C3" w14:textId="7FA543D4" w:rsidR="009C062A" w:rsidRDefault="009C062A" w:rsidP="00331510">
      <w:pPr>
        <w:pStyle w:val="Subtitle"/>
      </w:pPr>
    </w:p>
    <w:p w14:paraId="022825D0" w14:textId="593F5189" w:rsidR="00331510" w:rsidRPr="00331510" w:rsidRDefault="00331510" w:rsidP="00331510"/>
    <w:p w14:paraId="6D27DEB8" w14:textId="2D98238B" w:rsidR="00331510" w:rsidRPr="00331510" w:rsidRDefault="00331510" w:rsidP="00331510"/>
    <w:p w14:paraId="40985826" w14:textId="2F7A7CAD" w:rsidR="00331510" w:rsidRPr="00331510" w:rsidRDefault="00331510" w:rsidP="00331510"/>
    <w:p w14:paraId="090DCEA5" w14:textId="71BD4297" w:rsidR="00331510" w:rsidRPr="00331510" w:rsidRDefault="00331510" w:rsidP="00331510"/>
    <w:p w14:paraId="04B092F8" w14:textId="0502EE2B" w:rsidR="00331510" w:rsidRPr="00331510" w:rsidRDefault="00331510" w:rsidP="00331510"/>
    <w:p w14:paraId="5C779254" w14:textId="72358EE2" w:rsidR="00331510" w:rsidRPr="00331510" w:rsidRDefault="00331510" w:rsidP="00331510"/>
    <w:p w14:paraId="0BB7634C" w14:textId="1569235E" w:rsidR="00331510" w:rsidRPr="00331510" w:rsidRDefault="00331510" w:rsidP="00331510"/>
    <w:p w14:paraId="7D7E8EEF" w14:textId="7B3E5318" w:rsidR="00331510" w:rsidRPr="00331510" w:rsidRDefault="00331510" w:rsidP="00331510"/>
    <w:p w14:paraId="2106ABB1" w14:textId="17F57567" w:rsidR="00331510" w:rsidRPr="00331510" w:rsidRDefault="00331510" w:rsidP="00331510"/>
    <w:p w14:paraId="3EA5AA90" w14:textId="748D2E5A" w:rsidR="00331510" w:rsidRDefault="00331510" w:rsidP="00331510">
      <w:pPr>
        <w:rPr>
          <w:rFonts w:eastAsiaTheme="minorEastAsia"/>
          <w:color w:val="5A5A5A" w:themeColor="text1" w:themeTint="A5"/>
          <w:spacing w:val="15"/>
        </w:rPr>
      </w:pPr>
    </w:p>
    <w:p w14:paraId="67381CF1" w14:textId="6EBB3944" w:rsidR="00331510" w:rsidRDefault="00331510" w:rsidP="00331510"/>
    <w:p w14:paraId="1F90DF3D" w14:textId="13D0F29E" w:rsidR="00331510" w:rsidRDefault="00331510" w:rsidP="00331510"/>
    <w:p w14:paraId="51F84780" w14:textId="3CDBEADE" w:rsidR="00331510" w:rsidRDefault="00331510" w:rsidP="00331510"/>
    <w:p w14:paraId="5BCE19AB" w14:textId="0CBB98DB" w:rsidR="00331510" w:rsidRDefault="00331510" w:rsidP="00331510"/>
    <w:p w14:paraId="13E3B3F9" w14:textId="217C0398" w:rsidR="00331510" w:rsidRDefault="00331510" w:rsidP="00331510"/>
    <w:p w14:paraId="2DA2912C" w14:textId="50A80C3E" w:rsidR="00331510" w:rsidRDefault="00331510" w:rsidP="00331510"/>
    <w:p w14:paraId="59EA7665" w14:textId="12CCF2A9" w:rsidR="00331510" w:rsidRDefault="00331510" w:rsidP="00331510"/>
    <w:p w14:paraId="5B85FB6F" w14:textId="3E0BBA73" w:rsidR="00331510" w:rsidRDefault="00331510" w:rsidP="00331510"/>
    <w:p w14:paraId="62FCA18C" w14:textId="10CE548D" w:rsidR="00331510" w:rsidRDefault="00331510" w:rsidP="00331510"/>
    <w:p w14:paraId="568E4CC9" w14:textId="2C249143" w:rsidR="00331510" w:rsidRDefault="00331510" w:rsidP="00331510"/>
    <w:p w14:paraId="11E593CE" w14:textId="2F63FEDC" w:rsidR="00331510" w:rsidRDefault="00331510" w:rsidP="00331510"/>
    <w:p w14:paraId="2A34FA2A" w14:textId="4D6DF898" w:rsidR="00331510" w:rsidRDefault="00331510" w:rsidP="00331510"/>
    <w:p w14:paraId="0EE6C92C" w14:textId="46C04A51" w:rsidR="00331510" w:rsidRDefault="00331510" w:rsidP="00331510"/>
    <w:p w14:paraId="59EFDB24" w14:textId="61B6EC7C" w:rsidR="00331510" w:rsidRDefault="00331510" w:rsidP="00331510"/>
    <w:p w14:paraId="419B4D47" w14:textId="7DF07CC6" w:rsidR="00331510" w:rsidRDefault="00331510" w:rsidP="00331510"/>
    <w:p w14:paraId="0DEFABEC" w14:textId="3EA3371B" w:rsidR="00331510" w:rsidRDefault="00331510" w:rsidP="00331510"/>
    <w:p w14:paraId="1685CD65" w14:textId="26255337" w:rsidR="00331510" w:rsidRDefault="00331510" w:rsidP="00331510"/>
    <w:p w14:paraId="00F62F50" w14:textId="7F81CABA" w:rsidR="00331510" w:rsidRDefault="00331510" w:rsidP="00331510"/>
    <w:p w14:paraId="1C535E1F" w14:textId="77777777" w:rsidR="00331510" w:rsidRPr="00331510" w:rsidRDefault="00331510" w:rsidP="00331510">
      <w:pPr>
        <w:spacing w:after="0" w:line="240" w:lineRule="auto"/>
        <w:ind w:hanging="480"/>
        <w:rPr>
          <w:rFonts w:ascii="Times New Roman" w:eastAsia="Times New Roman" w:hAnsi="Times New Roman" w:cs="Times New Roman"/>
          <w:b/>
          <w:sz w:val="24"/>
          <w:szCs w:val="24"/>
          <w:lang w:eastAsia="en-GB"/>
        </w:rPr>
      </w:pPr>
      <w:r w:rsidRPr="00331510">
        <w:rPr>
          <w:rFonts w:ascii="Times New Roman" w:eastAsia="Times New Roman" w:hAnsi="Times New Roman" w:cs="Times New Roman"/>
          <w:b/>
          <w:sz w:val="24"/>
          <w:szCs w:val="24"/>
          <w:lang w:eastAsia="en-GB"/>
        </w:rPr>
        <w:t>Bibliography</w:t>
      </w:r>
    </w:p>
    <w:p w14:paraId="73437D95" w14:textId="77777777" w:rsidR="00331510" w:rsidRDefault="00331510" w:rsidP="00331510">
      <w:pPr>
        <w:spacing w:after="0" w:line="240" w:lineRule="auto"/>
        <w:ind w:hanging="480"/>
        <w:rPr>
          <w:rFonts w:ascii="Times New Roman" w:eastAsia="Times New Roman" w:hAnsi="Times New Roman" w:cs="Times New Roman"/>
          <w:sz w:val="24"/>
          <w:szCs w:val="24"/>
          <w:lang w:eastAsia="en-GB"/>
        </w:rPr>
      </w:pPr>
    </w:p>
    <w:p w14:paraId="40FA60EB" w14:textId="454E98AA" w:rsidR="00331510" w:rsidRPr="00331510" w:rsidRDefault="00331510" w:rsidP="00331510">
      <w:pPr>
        <w:spacing w:after="0" w:line="240" w:lineRule="auto"/>
        <w:ind w:hanging="480"/>
        <w:rPr>
          <w:rFonts w:ascii="Times New Roman" w:eastAsia="Times New Roman" w:hAnsi="Times New Roman" w:cs="Times New Roman"/>
          <w:sz w:val="24"/>
          <w:szCs w:val="24"/>
          <w:lang w:eastAsia="en-GB"/>
        </w:rPr>
      </w:pPr>
      <w:r w:rsidRPr="00331510">
        <w:rPr>
          <w:rFonts w:ascii="Times New Roman" w:eastAsia="Times New Roman" w:hAnsi="Times New Roman" w:cs="Times New Roman"/>
          <w:sz w:val="24"/>
          <w:szCs w:val="24"/>
          <w:lang w:eastAsia="en-GB"/>
        </w:rPr>
        <w:t xml:space="preserve">Lewis, I.M., 1966. Spirit Possession and Deprivation Cults. Man 1, 307–329. </w:t>
      </w:r>
      <w:hyperlink r:id="rId9" w:history="1">
        <w:r w:rsidRPr="00331510">
          <w:rPr>
            <w:rFonts w:ascii="Times New Roman" w:eastAsia="Times New Roman" w:hAnsi="Times New Roman" w:cs="Times New Roman"/>
            <w:color w:val="0000FF"/>
            <w:sz w:val="24"/>
            <w:szCs w:val="24"/>
            <w:u w:val="single"/>
            <w:lang w:eastAsia="en-GB"/>
          </w:rPr>
          <w:t>https://doi.org/10.2307/2796794</w:t>
        </w:r>
      </w:hyperlink>
    </w:p>
    <w:p w14:paraId="6064FA80" w14:textId="77777777" w:rsidR="00331510" w:rsidRPr="00331510" w:rsidRDefault="00331510" w:rsidP="00331510">
      <w:pPr>
        <w:spacing w:after="0" w:line="240" w:lineRule="auto"/>
        <w:ind w:hanging="480"/>
        <w:rPr>
          <w:rFonts w:ascii="Times New Roman" w:eastAsia="Times New Roman" w:hAnsi="Times New Roman" w:cs="Times New Roman"/>
          <w:sz w:val="24"/>
          <w:szCs w:val="24"/>
          <w:lang w:eastAsia="en-GB"/>
        </w:rPr>
      </w:pPr>
      <w:r w:rsidRPr="00331510">
        <w:rPr>
          <w:rFonts w:ascii="Times New Roman" w:eastAsia="Times New Roman" w:hAnsi="Times New Roman" w:cs="Times New Roman"/>
          <w:sz w:val="24"/>
          <w:szCs w:val="24"/>
          <w:lang w:eastAsia="en-GB"/>
        </w:rPr>
        <w:t xml:space="preserve">Mannion, D., 2017. When footballers are sold against their will and forced out of a club they love. </w:t>
      </w:r>
      <w:proofErr w:type="spellStart"/>
      <w:r w:rsidRPr="00331510">
        <w:rPr>
          <w:rFonts w:ascii="Times New Roman" w:eastAsia="Times New Roman" w:hAnsi="Times New Roman" w:cs="Times New Roman"/>
          <w:sz w:val="24"/>
          <w:szCs w:val="24"/>
          <w:lang w:eastAsia="en-GB"/>
        </w:rPr>
        <w:t>talkSPORT</w:t>
      </w:r>
      <w:proofErr w:type="spellEnd"/>
      <w:r w:rsidRPr="00331510">
        <w:rPr>
          <w:rFonts w:ascii="Times New Roman" w:eastAsia="Times New Roman" w:hAnsi="Times New Roman" w:cs="Times New Roman"/>
          <w:sz w:val="24"/>
          <w:szCs w:val="24"/>
          <w:lang w:eastAsia="en-GB"/>
        </w:rPr>
        <w:t>.</w:t>
      </w:r>
    </w:p>
    <w:p w14:paraId="1CEAE641" w14:textId="77777777" w:rsidR="00331510" w:rsidRPr="00331510" w:rsidRDefault="00331510" w:rsidP="00331510">
      <w:pPr>
        <w:spacing w:after="0" w:line="240" w:lineRule="auto"/>
        <w:ind w:hanging="480"/>
        <w:rPr>
          <w:rFonts w:ascii="Times New Roman" w:eastAsia="Times New Roman" w:hAnsi="Times New Roman" w:cs="Times New Roman"/>
          <w:sz w:val="24"/>
          <w:szCs w:val="24"/>
          <w:lang w:eastAsia="en-GB"/>
        </w:rPr>
      </w:pPr>
      <w:r w:rsidRPr="00331510">
        <w:rPr>
          <w:rFonts w:ascii="Times New Roman" w:eastAsia="Times New Roman" w:hAnsi="Times New Roman" w:cs="Times New Roman"/>
          <w:sz w:val="24"/>
          <w:szCs w:val="24"/>
          <w:lang w:eastAsia="en-GB"/>
        </w:rPr>
        <w:t>Marx, K., 1844. The Economic and Philosophical Manuscripts - First Manuscript.</w:t>
      </w:r>
    </w:p>
    <w:p w14:paraId="7A9018B6" w14:textId="77777777" w:rsidR="00331510" w:rsidRPr="00331510" w:rsidRDefault="00331510" w:rsidP="00331510">
      <w:pPr>
        <w:spacing w:after="0" w:line="240" w:lineRule="auto"/>
        <w:ind w:hanging="480"/>
        <w:rPr>
          <w:rFonts w:ascii="Times New Roman" w:eastAsia="Times New Roman" w:hAnsi="Times New Roman" w:cs="Times New Roman"/>
          <w:sz w:val="24"/>
          <w:szCs w:val="24"/>
          <w:lang w:eastAsia="en-GB"/>
        </w:rPr>
      </w:pPr>
      <w:r w:rsidRPr="00331510">
        <w:rPr>
          <w:rFonts w:ascii="Times New Roman" w:eastAsia="Times New Roman" w:hAnsi="Times New Roman" w:cs="Times New Roman"/>
          <w:sz w:val="24"/>
          <w:szCs w:val="24"/>
          <w:lang w:eastAsia="en-GB"/>
        </w:rPr>
        <w:t xml:space="preserve">Moore, S., 2015. Phone in sick: it’s a small act of rebellion against wage slavery | Opinion | The Guardian [WWW Document]. The Guardian. URL </w:t>
      </w:r>
      <w:hyperlink r:id="rId10" w:history="1">
        <w:r w:rsidRPr="00331510">
          <w:rPr>
            <w:rFonts w:ascii="Times New Roman" w:eastAsia="Times New Roman" w:hAnsi="Times New Roman" w:cs="Times New Roman"/>
            <w:color w:val="0000FF"/>
            <w:sz w:val="24"/>
            <w:szCs w:val="24"/>
            <w:u w:val="single"/>
            <w:lang w:eastAsia="en-GB"/>
          </w:rPr>
          <w:t>https://www.theguardian.com/commentisfree/2015/oct/21/phone-in-sick-its-a-small-act-of-rebellion-against-wage-slavery</w:t>
        </w:r>
      </w:hyperlink>
      <w:r w:rsidRPr="00331510">
        <w:rPr>
          <w:rFonts w:ascii="Times New Roman" w:eastAsia="Times New Roman" w:hAnsi="Times New Roman" w:cs="Times New Roman"/>
          <w:sz w:val="24"/>
          <w:szCs w:val="24"/>
          <w:lang w:eastAsia="en-GB"/>
        </w:rPr>
        <w:t xml:space="preserve"> (accessed 3.15.19).</w:t>
      </w:r>
    </w:p>
    <w:p w14:paraId="0510FACD" w14:textId="77777777" w:rsidR="00331510" w:rsidRPr="00331510" w:rsidRDefault="00331510" w:rsidP="00331510">
      <w:pPr>
        <w:spacing w:after="0" w:line="240" w:lineRule="auto"/>
        <w:ind w:hanging="480"/>
        <w:rPr>
          <w:rFonts w:ascii="Times New Roman" w:eastAsia="Times New Roman" w:hAnsi="Times New Roman" w:cs="Times New Roman"/>
          <w:sz w:val="24"/>
          <w:szCs w:val="24"/>
          <w:lang w:eastAsia="en-GB"/>
        </w:rPr>
      </w:pPr>
      <w:r w:rsidRPr="00331510">
        <w:rPr>
          <w:rFonts w:ascii="Times New Roman" w:eastAsia="Times New Roman" w:hAnsi="Times New Roman" w:cs="Times New Roman"/>
          <w:sz w:val="24"/>
          <w:szCs w:val="24"/>
          <w:lang w:eastAsia="en-GB"/>
        </w:rPr>
        <w:t xml:space="preserve">Ong, A., 1988. The Production of Possession: Spirits and the Multinational Corporation in Malaysia. American Ethnologist 15, 28–42. </w:t>
      </w:r>
      <w:hyperlink r:id="rId11" w:history="1">
        <w:r w:rsidRPr="00331510">
          <w:rPr>
            <w:rFonts w:ascii="Times New Roman" w:eastAsia="Times New Roman" w:hAnsi="Times New Roman" w:cs="Times New Roman"/>
            <w:color w:val="0000FF"/>
            <w:sz w:val="24"/>
            <w:szCs w:val="24"/>
            <w:u w:val="single"/>
            <w:lang w:eastAsia="en-GB"/>
          </w:rPr>
          <w:t>https://doi.org/10.1525/ae.1988.15.1.02a00030</w:t>
        </w:r>
      </w:hyperlink>
    </w:p>
    <w:p w14:paraId="77724789" w14:textId="77777777" w:rsidR="00331510" w:rsidRPr="00331510" w:rsidRDefault="00331510" w:rsidP="00331510">
      <w:pPr>
        <w:spacing w:after="0" w:line="240" w:lineRule="auto"/>
        <w:ind w:hanging="480"/>
        <w:rPr>
          <w:rFonts w:ascii="Times New Roman" w:eastAsia="Times New Roman" w:hAnsi="Times New Roman" w:cs="Times New Roman"/>
          <w:sz w:val="24"/>
          <w:szCs w:val="24"/>
          <w:lang w:eastAsia="en-GB"/>
        </w:rPr>
      </w:pPr>
      <w:r w:rsidRPr="00331510">
        <w:rPr>
          <w:rFonts w:ascii="Times New Roman" w:eastAsia="Times New Roman" w:hAnsi="Times New Roman" w:cs="Times New Roman"/>
          <w:sz w:val="24"/>
          <w:szCs w:val="24"/>
          <w:lang w:eastAsia="en-GB"/>
        </w:rPr>
        <w:t>Scheper-Hughes, N., 2000. The Global Traffic in Human Organs. Current Anthropology 41, 191–224.</w:t>
      </w:r>
    </w:p>
    <w:p w14:paraId="762F5464" w14:textId="77777777" w:rsidR="00331510" w:rsidRPr="00331510" w:rsidRDefault="00331510" w:rsidP="00331510">
      <w:pPr>
        <w:spacing w:after="0" w:line="240" w:lineRule="auto"/>
        <w:ind w:hanging="480"/>
        <w:rPr>
          <w:rFonts w:ascii="Times New Roman" w:eastAsia="Times New Roman" w:hAnsi="Times New Roman" w:cs="Times New Roman"/>
          <w:sz w:val="24"/>
          <w:szCs w:val="24"/>
          <w:lang w:eastAsia="en-GB"/>
        </w:rPr>
      </w:pPr>
      <w:r w:rsidRPr="00331510">
        <w:rPr>
          <w:rFonts w:ascii="Times New Roman" w:eastAsia="Times New Roman" w:hAnsi="Times New Roman" w:cs="Times New Roman"/>
          <w:sz w:val="24"/>
          <w:szCs w:val="24"/>
          <w:lang w:eastAsia="en-GB"/>
        </w:rPr>
        <w:t xml:space="preserve">Sharp, L., 2000. The Commodification of the Body and its Parts. Annual review of anthropology. 29, 287–328. </w:t>
      </w:r>
      <w:hyperlink r:id="rId12" w:history="1">
        <w:r w:rsidRPr="00331510">
          <w:rPr>
            <w:rFonts w:ascii="Times New Roman" w:eastAsia="Times New Roman" w:hAnsi="Times New Roman" w:cs="Times New Roman"/>
            <w:color w:val="0000FF"/>
            <w:sz w:val="24"/>
            <w:szCs w:val="24"/>
            <w:u w:val="single"/>
            <w:lang w:eastAsia="en-GB"/>
          </w:rPr>
          <w:t>https://doi.org/10.1146/annurev.anthro.29.1.287</w:t>
        </w:r>
      </w:hyperlink>
    </w:p>
    <w:p w14:paraId="10C589D3" w14:textId="77777777" w:rsidR="00331510" w:rsidRPr="00331510" w:rsidRDefault="00331510" w:rsidP="00331510">
      <w:pPr>
        <w:spacing w:after="0" w:line="240" w:lineRule="auto"/>
        <w:ind w:hanging="480"/>
        <w:rPr>
          <w:rFonts w:ascii="Times New Roman" w:eastAsia="Times New Roman" w:hAnsi="Times New Roman" w:cs="Times New Roman"/>
          <w:sz w:val="24"/>
          <w:szCs w:val="24"/>
          <w:lang w:eastAsia="en-GB"/>
        </w:rPr>
      </w:pPr>
      <w:r w:rsidRPr="00331510">
        <w:rPr>
          <w:rFonts w:ascii="Times New Roman" w:eastAsia="Times New Roman" w:hAnsi="Times New Roman" w:cs="Times New Roman"/>
          <w:sz w:val="24"/>
          <w:szCs w:val="24"/>
          <w:lang w:eastAsia="en-GB"/>
        </w:rPr>
        <w:t>Thompson, E.P., 1967. Time, Work-Discipline, and Industrial Capitalism. Past &amp; Present 56–97.</w:t>
      </w:r>
    </w:p>
    <w:p w14:paraId="314B4A64" w14:textId="77777777" w:rsidR="00331510" w:rsidRPr="00331510" w:rsidRDefault="00331510" w:rsidP="00331510"/>
    <w:sectPr w:rsidR="00331510" w:rsidRPr="003315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D90B3D" w14:textId="77777777" w:rsidR="00F25450" w:rsidRDefault="00F25450" w:rsidP="00331510">
      <w:pPr>
        <w:spacing w:after="0" w:line="240" w:lineRule="auto"/>
      </w:pPr>
      <w:r>
        <w:separator/>
      </w:r>
    </w:p>
  </w:endnote>
  <w:endnote w:type="continuationSeparator" w:id="0">
    <w:p w14:paraId="3538B257" w14:textId="77777777" w:rsidR="00F25450" w:rsidRDefault="00F25450" w:rsidP="00331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AEC3BB" w14:textId="77777777" w:rsidR="00F25450" w:rsidRDefault="00F25450" w:rsidP="00331510">
      <w:pPr>
        <w:spacing w:after="0" w:line="240" w:lineRule="auto"/>
      </w:pPr>
      <w:r>
        <w:separator/>
      </w:r>
    </w:p>
  </w:footnote>
  <w:footnote w:type="continuationSeparator" w:id="0">
    <w:p w14:paraId="442BFD06" w14:textId="77777777" w:rsidR="00F25450" w:rsidRDefault="00F25450" w:rsidP="003315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D544C"/>
    <w:multiLevelType w:val="hybridMultilevel"/>
    <w:tmpl w:val="59A69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D372E"/>
    <w:multiLevelType w:val="hybridMultilevel"/>
    <w:tmpl w:val="219496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D45D8F"/>
    <w:multiLevelType w:val="hybridMultilevel"/>
    <w:tmpl w:val="E8B622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543F2F"/>
    <w:multiLevelType w:val="hybridMultilevel"/>
    <w:tmpl w:val="B69AB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DC2497"/>
    <w:multiLevelType w:val="hybridMultilevel"/>
    <w:tmpl w:val="D7988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301983"/>
    <w:multiLevelType w:val="hybridMultilevel"/>
    <w:tmpl w:val="B2E223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4734A0"/>
    <w:multiLevelType w:val="hybridMultilevel"/>
    <w:tmpl w:val="24AEB3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7C6B8C"/>
    <w:multiLevelType w:val="hybridMultilevel"/>
    <w:tmpl w:val="5A1C4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2"/>
  </w:num>
  <w:num w:numId="4">
    <w:abstractNumId w:val="5"/>
  </w:num>
  <w:num w:numId="5">
    <w:abstractNumId w:val="7"/>
  </w:num>
  <w:num w:numId="6">
    <w:abstractNumId w:val="4"/>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4989"/>
    <w:rsid w:val="00014F17"/>
    <w:rsid w:val="00031DB6"/>
    <w:rsid w:val="000476EA"/>
    <w:rsid w:val="00087548"/>
    <w:rsid w:val="000C306A"/>
    <w:rsid w:val="00181571"/>
    <w:rsid w:val="001C702A"/>
    <w:rsid w:val="001D52D9"/>
    <w:rsid w:val="00213E12"/>
    <w:rsid w:val="00283513"/>
    <w:rsid w:val="002D166E"/>
    <w:rsid w:val="00330E01"/>
    <w:rsid w:val="00331510"/>
    <w:rsid w:val="00342059"/>
    <w:rsid w:val="00344FD9"/>
    <w:rsid w:val="003A2394"/>
    <w:rsid w:val="003C0F3C"/>
    <w:rsid w:val="003E721A"/>
    <w:rsid w:val="003F28BE"/>
    <w:rsid w:val="003F2DF4"/>
    <w:rsid w:val="00407BCB"/>
    <w:rsid w:val="004141F3"/>
    <w:rsid w:val="00427E8B"/>
    <w:rsid w:val="00441A9E"/>
    <w:rsid w:val="00462FA5"/>
    <w:rsid w:val="00476FBE"/>
    <w:rsid w:val="0054525C"/>
    <w:rsid w:val="005671F5"/>
    <w:rsid w:val="005B4BDB"/>
    <w:rsid w:val="005C69B5"/>
    <w:rsid w:val="00615E0A"/>
    <w:rsid w:val="00626DB2"/>
    <w:rsid w:val="006440C4"/>
    <w:rsid w:val="00704349"/>
    <w:rsid w:val="00794310"/>
    <w:rsid w:val="007978EE"/>
    <w:rsid w:val="007B018A"/>
    <w:rsid w:val="007B7167"/>
    <w:rsid w:val="00813462"/>
    <w:rsid w:val="0085374A"/>
    <w:rsid w:val="008963B6"/>
    <w:rsid w:val="008C4E34"/>
    <w:rsid w:val="00903F54"/>
    <w:rsid w:val="009136C1"/>
    <w:rsid w:val="00933B95"/>
    <w:rsid w:val="009464A6"/>
    <w:rsid w:val="0094767D"/>
    <w:rsid w:val="00984AC7"/>
    <w:rsid w:val="009C062A"/>
    <w:rsid w:val="009D4D9F"/>
    <w:rsid w:val="00A31ED1"/>
    <w:rsid w:val="00A323E2"/>
    <w:rsid w:val="00A3536D"/>
    <w:rsid w:val="00A3659C"/>
    <w:rsid w:val="00A847F2"/>
    <w:rsid w:val="00AA10C4"/>
    <w:rsid w:val="00AC0152"/>
    <w:rsid w:val="00AE49BA"/>
    <w:rsid w:val="00AE58C4"/>
    <w:rsid w:val="00B33389"/>
    <w:rsid w:val="00B6359B"/>
    <w:rsid w:val="00B914F0"/>
    <w:rsid w:val="00BB0933"/>
    <w:rsid w:val="00BC210C"/>
    <w:rsid w:val="00C54F53"/>
    <w:rsid w:val="00CA2860"/>
    <w:rsid w:val="00CB7DBE"/>
    <w:rsid w:val="00CC4045"/>
    <w:rsid w:val="00CE4989"/>
    <w:rsid w:val="00DC3DD8"/>
    <w:rsid w:val="00DE735E"/>
    <w:rsid w:val="00E63A26"/>
    <w:rsid w:val="00E74A92"/>
    <w:rsid w:val="00E90EA9"/>
    <w:rsid w:val="00EC61DB"/>
    <w:rsid w:val="00F25450"/>
    <w:rsid w:val="00F407A7"/>
    <w:rsid w:val="00F56FEB"/>
    <w:rsid w:val="00FB6153"/>
    <w:rsid w:val="00FC3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B107A"/>
  <w15:chartTrackingRefBased/>
  <w15:docId w15:val="{D3542104-658C-4123-863E-D3DAAB669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DE735E"/>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semiHidden/>
    <w:unhideWhenUsed/>
    <w:qFormat/>
    <w:rsid w:val="00DE735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062A"/>
    <w:pPr>
      <w:ind w:left="720"/>
      <w:contextualSpacing/>
    </w:pPr>
  </w:style>
  <w:style w:type="paragraph" w:styleId="Bibliography">
    <w:name w:val="Bibliography"/>
    <w:basedOn w:val="Normal"/>
    <w:next w:val="Normal"/>
    <w:uiPriority w:val="37"/>
    <w:unhideWhenUsed/>
    <w:rsid w:val="00213E12"/>
    <w:pPr>
      <w:spacing w:after="0" w:line="240" w:lineRule="auto"/>
      <w:ind w:left="720" w:hanging="720"/>
    </w:pPr>
  </w:style>
  <w:style w:type="paragraph" w:styleId="Header">
    <w:name w:val="header"/>
    <w:basedOn w:val="Normal"/>
    <w:link w:val="HeaderChar"/>
    <w:uiPriority w:val="99"/>
    <w:unhideWhenUsed/>
    <w:rsid w:val="00331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510"/>
  </w:style>
  <w:style w:type="paragraph" w:styleId="Footer">
    <w:name w:val="footer"/>
    <w:basedOn w:val="Normal"/>
    <w:link w:val="FooterChar"/>
    <w:uiPriority w:val="99"/>
    <w:unhideWhenUsed/>
    <w:rsid w:val="00331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510"/>
  </w:style>
  <w:style w:type="paragraph" w:styleId="Subtitle">
    <w:name w:val="Subtitle"/>
    <w:basedOn w:val="Normal"/>
    <w:next w:val="Normal"/>
    <w:link w:val="SubtitleChar"/>
    <w:uiPriority w:val="11"/>
    <w:qFormat/>
    <w:rsid w:val="0033151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31510"/>
    <w:rPr>
      <w:rFonts w:eastAsiaTheme="minorEastAsia"/>
      <w:color w:val="5A5A5A" w:themeColor="text1" w:themeTint="A5"/>
      <w:spacing w:val="15"/>
    </w:rPr>
  </w:style>
  <w:style w:type="character" w:styleId="Hyperlink">
    <w:name w:val="Hyperlink"/>
    <w:basedOn w:val="DefaultParagraphFont"/>
    <w:uiPriority w:val="99"/>
    <w:semiHidden/>
    <w:unhideWhenUsed/>
    <w:rsid w:val="00331510"/>
    <w:rPr>
      <w:color w:val="0000FF"/>
      <w:u w:val="single"/>
    </w:rPr>
  </w:style>
  <w:style w:type="character" w:customStyle="1" w:styleId="Heading1Char">
    <w:name w:val="Heading 1 Char"/>
    <w:basedOn w:val="DefaultParagraphFont"/>
    <w:link w:val="Heading1"/>
    <w:rsid w:val="00DE735E"/>
    <w:rPr>
      <w:rFonts w:ascii="Arial" w:eastAsia="SimSun" w:hAnsi="Arial" w:cs="Arial"/>
      <w:b/>
      <w:bCs/>
      <w:kern w:val="32"/>
      <w:sz w:val="32"/>
      <w:szCs w:val="32"/>
      <w:lang w:eastAsia="zh-CN"/>
    </w:rPr>
  </w:style>
  <w:style w:type="character" w:customStyle="1" w:styleId="Heading3Char">
    <w:name w:val="Heading 3 Char"/>
    <w:basedOn w:val="DefaultParagraphFont"/>
    <w:link w:val="Heading3"/>
    <w:semiHidden/>
    <w:rsid w:val="00DE735E"/>
    <w:rPr>
      <w:rFonts w:ascii="Tahoma" w:eastAsia="SimSun" w:hAnsi="Tahoma" w:cs="Tahoma"/>
      <w:b/>
      <w:bCs/>
      <w:sz w:val="20"/>
      <w:szCs w:val="20"/>
      <w:lang w:eastAsia="zh-CN"/>
    </w:rPr>
  </w:style>
  <w:style w:type="paragraph" w:styleId="NormalWeb">
    <w:name w:val="Normal (Web)"/>
    <w:basedOn w:val="Normal"/>
    <w:uiPriority w:val="99"/>
    <w:semiHidden/>
    <w:unhideWhenUsed/>
    <w:rsid w:val="00DE735E"/>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DE73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73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198882">
      <w:bodyDiv w:val="1"/>
      <w:marLeft w:val="0"/>
      <w:marRight w:val="0"/>
      <w:marTop w:val="0"/>
      <w:marBottom w:val="0"/>
      <w:divBdr>
        <w:top w:val="none" w:sz="0" w:space="0" w:color="auto"/>
        <w:left w:val="none" w:sz="0" w:space="0" w:color="auto"/>
        <w:bottom w:val="none" w:sz="0" w:space="0" w:color="auto"/>
        <w:right w:val="none" w:sz="0" w:space="0" w:color="auto"/>
      </w:divBdr>
      <w:divsChild>
        <w:div w:id="765342810">
          <w:marLeft w:val="480"/>
          <w:marRight w:val="0"/>
          <w:marTop w:val="0"/>
          <w:marBottom w:val="0"/>
          <w:divBdr>
            <w:top w:val="none" w:sz="0" w:space="0" w:color="auto"/>
            <w:left w:val="none" w:sz="0" w:space="0" w:color="auto"/>
            <w:bottom w:val="none" w:sz="0" w:space="0" w:color="auto"/>
            <w:right w:val="none" w:sz="0" w:space="0" w:color="auto"/>
          </w:divBdr>
          <w:divsChild>
            <w:div w:id="1742555173">
              <w:marLeft w:val="0"/>
              <w:marRight w:val="0"/>
              <w:marTop w:val="0"/>
              <w:marBottom w:val="0"/>
              <w:divBdr>
                <w:top w:val="none" w:sz="0" w:space="0" w:color="auto"/>
                <w:left w:val="none" w:sz="0" w:space="0" w:color="auto"/>
                <w:bottom w:val="none" w:sz="0" w:space="0" w:color="auto"/>
                <w:right w:val="none" w:sz="0" w:space="0" w:color="auto"/>
              </w:divBdr>
            </w:div>
            <w:div w:id="1100639570">
              <w:marLeft w:val="0"/>
              <w:marRight w:val="0"/>
              <w:marTop w:val="0"/>
              <w:marBottom w:val="0"/>
              <w:divBdr>
                <w:top w:val="none" w:sz="0" w:space="0" w:color="auto"/>
                <w:left w:val="none" w:sz="0" w:space="0" w:color="auto"/>
                <w:bottom w:val="none" w:sz="0" w:space="0" w:color="auto"/>
                <w:right w:val="none" w:sz="0" w:space="0" w:color="auto"/>
              </w:divBdr>
            </w:div>
            <w:div w:id="2045599453">
              <w:marLeft w:val="0"/>
              <w:marRight w:val="0"/>
              <w:marTop w:val="0"/>
              <w:marBottom w:val="0"/>
              <w:divBdr>
                <w:top w:val="none" w:sz="0" w:space="0" w:color="auto"/>
                <w:left w:val="none" w:sz="0" w:space="0" w:color="auto"/>
                <w:bottom w:val="none" w:sz="0" w:space="0" w:color="auto"/>
                <w:right w:val="none" w:sz="0" w:space="0" w:color="auto"/>
              </w:divBdr>
            </w:div>
            <w:div w:id="1888368660">
              <w:marLeft w:val="0"/>
              <w:marRight w:val="0"/>
              <w:marTop w:val="0"/>
              <w:marBottom w:val="0"/>
              <w:divBdr>
                <w:top w:val="none" w:sz="0" w:space="0" w:color="auto"/>
                <w:left w:val="none" w:sz="0" w:space="0" w:color="auto"/>
                <w:bottom w:val="none" w:sz="0" w:space="0" w:color="auto"/>
                <w:right w:val="none" w:sz="0" w:space="0" w:color="auto"/>
              </w:divBdr>
            </w:div>
            <w:div w:id="1590310019">
              <w:marLeft w:val="0"/>
              <w:marRight w:val="0"/>
              <w:marTop w:val="0"/>
              <w:marBottom w:val="0"/>
              <w:divBdr>
                <w:top w:val="none" w:sz="0" w:space="0" w:color="auto"/>
                <w:left w:val="none" w:sz="0" w:space="0" w:color="auto"/>
                <w:bottom w:val="none" w:sz="0" w:space="0" w:color="auto"/>
                <w:right w:val="none" w:sz="0" w:space="0" w:color="auto"/>
              </w:divBdr>
            </w:div>
            <w:div w:id="734469002">
              <w:marLeft w:val="0"/>
              <w:marRight w:val="0"/>
              <w:marTop w:val="0"/>
              <w:marBottom w:val="0"/>
              <w:divBdr>
                <w:top w:val="none" w:sz="0" w:space="0" w:color="auto"/>
                <w:left w:val="none" w:sz="0" w:space="0" w:color="auto"/>
                <w:bottom w:val="none" w:sz="0" w:space="0" w:color="auto"/>
                <w:right w:val="none" w:sz="0" w:space="0" w:color="auto"/>
              </w:divBdr>
            </w:div>
            <w:div w:id="2145539105">
              <w:marLeft w:val="0"/>
              <w:marRight w:val="0"/>
              <w:marTop w:val="0"/>
              <w:marBottom w:val="0"/>
              <w:divBdr>
                <w:top w:val="none" w:sz="0" w:space="0" w:color="auto"/>
                <w:left w:val="none" w:sz="0" w:space="0" w:color="auto"/>
                <w:bottom w:val="none" w:sz="0" w:space="0" w:color="auto"/>
                <w:right w:val="none" w:sz="0" w:space="0" w:color="auto"/>
              </w:divBdr>
            </w:div>
            <w:div w:id="61487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369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46/annurev.anthro.29.1.28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525/ae.1988.15.1.02a00030" TargetMode="External"/><Relationship Id="rId5" Type="http://schemas.openxmlformats.org/officeDocument/2006/relationships/webSettings" Target="webSettings.xml"/><Relationship Id="rId10" Type="http://schemas.openxmlformats.org/officeDocument/2006/relationships/hyperlink" Target="https://www.theguardian.com/commentisfree/2015/oct/21/phone-in-sick-its-a-small-act-of-rebellion-against-wage-slavery" TargetMode="External"/><Relationship Id="rId4" Type="http://schemas.openxmlformats.org/officeDocument/2006/relationships/settings" Target="settings.xml"/><Relationship Id="rId9" Type="http://schemas.openxmlformats.org/officeDocument/2006/relationships/hyperlink" Target="https://doi.org/10.2307/279679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551F1-7270-455C-A06A-F1C8B6537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3570</TotalTime>
  <Pages>6</Pages>
  <Words>3275</Words>
  <Characters>18672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Daegan Simpson (1003107)</dc:creator>
  <cp:keywords/>
  <dc:description/>
  <cp:lastModifiedBy>Daegan Simpson (1003107)</cp:lastModifiedBy>
  <cp:revision>23</cp:revision>
  <dcterms:created xsi:type="dcterms:W3CDTF">2019-02-26T14:18:00Z</dcterms:created>
  <dcterms:modified xsi:type="dcterms:W3CDTF">2019-03-15T23:58:00Z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zotero-version="5.0.62"&gt;&lt;session id="fsXv9MWU"/&gt;&lt;style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