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00821E" w14:textId="6D899687" w:rsidR="009C07A0" w:rsidRPr="006209D6" w:rsidRDefault="00023117" w:rsidP="00023117">
      <w:pPr>
        <w:jc w:val="center"/>
        <w:rPr>
          <w:rFonts w:ascii="Arial" w:hAnsi="Arial" w:cs="Arial"/>
          <w:b/>
          <w:spacing w:val="-2"/>
          <w:u w:val="single"/>
        </w:rPr>
      </w:pPr>
      <w:r w:rsidRPr="006209D6">
        <w:rPr>
          <w:rFonts w:ascii="Arial" w:hAnsi="Arial" w:cs="Arial"/>
          <w:b/>
          <w:spacing w:val="-2"/>
          <w:u w:val="single"/>
        </w:rPr>
        <w:t>Psychology in health and social care</w:t>
      </w:r>
    </w:p>
    <w:p w14:paraId="04AC8FEE" w14:textId="73544D39" w:rsidR="00023117" w:rsidRPr="006209D6" w:rsidRDefault="00023117" w:rsidP="00023117">
      <w:pPr>
        <w:jc w:val="center"/>
        <w:rPr>
          <w:rFonts w:ascii="Arial" w:hAnsi="Arial" w:cs="Arial"/>
          <w:b/>
          <w:u w:val="single"/>
        </w:rPr>
      </w:pPr>
      <w:r w:rsidRPr="006209D6">
        <w:rPr>
          <w:rFonts w:ascii="Arial" w:hAnsi="Arial" w:cs="Arial"/>
          <w:b/>
          <w:spacing w:val="-2"/>
          <w:u w:val="single"/>
        </w:rPr>
        <w:t>LCHS4010</w:t>
      </w:r>
    </w:p>
    <w:p w14:paraId="018266FE" w14:textId="3C585DB3" w:rsidR="00046C20" w:rsidRDefault="00023117" w:rsidP="00163688">
      <w:pPr>
        <w:pStyle w:val="NormalWeb"/>
        <w:rPr>
          <w:rFonts w:ascii="Arial" w:hAnsi="Arial" w:cs="Arial"/>
          <w:sz w:val="22"/>
          <w:szCs w:val="22"/>
        </w:rPr>
      </w:pPr>
      <w:r w:rsidRPr="006209D6">
        <w:rPr>
          <w:rFonts w:ascii="Arial" w:hAnsi="Arial" w:cs="Arial"/>
          <w:sz w:val="22"/>
          <w:szCs w:val="22"/>
        </w:rPr>
        <w:t xml:space="preserve">Student number </w:t>
      </w:r>
      <w:r w:rsidR="00BD44C2">
        <w:rPr>
          <w:rFonts w:ascii="Arial" w:hAnsi="Arial" w:cs="Arial"/>
          <w:sz w:val="22"/>
          <w:szCs w:val="22"/>
        </w:rPr>
        <w:t>–</w:t>
      </w:r>
      <w:r w:rsidR="00140DBE" w:rsidRPr="006209D6">
        <w:rPr>
          <w:rFonts w:ascii="Arial" w:hAnsi="Arial" w:cs="Arial"/>
          <w:sz w:val="22"/>
          <w:szCs w:val="22"/>
        </w:rPr>
        <w:t xml:space="preserve"> 24</w:t>
      </w:r>
      <w:r w:rsidR="00C96C05" w:rsidRPr="006209D6">
        <w:rPr>
          <w:rFonts w:ascii="Arial" w:hAnsi="Arial" w:cs="Arial"/>
          <w:sz w:val="22"/>
          <w:szCs w:val="22"/>
        </w:rPr>
        <w:t>07952</w:t>
      </w:r>
    </w:p>
    <w:p w14:paraId="7422CD72" w14:textId="59D4D003" w:rsidR="00BD44C2" w:rsidRPr="006209D6" w:rsidRDefault="00BD44C2" w:rsidP="00163688">
      <w:pPr>
        <w:pStyle w:val="NormalWeb"/>
        <w:rPr>
          <w:rFonts w:ascii="Arial" w:hAnsi="Arial" w:cs="Arial"/>
          <w:sz w:val="22"/>
          <w:szCs w:val="22"/>
        </w:rPr>
      </w:pPr>
      <w:r>
        <w:rPr>
          <w:rFonts w:ascii="Arial" w:hAnsi="Arial" w:cs="Arial"/>
          <w:sz w:val="22"/>
          <w:szCs w:val="22"/>
        </w:rPr>
        <w:t>Maria Nadeem</w:t>
      </w:r>
    </w:p>
    <w:p w14:paraId="0F6FF0E6" w14:textId="77777777" w:rsidR="00BD44C2" w:rsidRDefault="00BD44C2" w:rsidP="00FA5F08">
      <w:pPr>
        <w:pStyle w:val="NormalWeb"/>
        <w:spacing w:line="360" w:lineRule="auto"/>
        <w:rPr>
          <w:rFonts w:ascii="Arial" w:hAnsi="Arial" w:cs="Arial"/>
          <w:sz w:val="22"/>
          <w:szCs w:val="22"/>
        </w:rPr>
      </w:pPr>
    </w:p>
    <w:p w14:paraId="49731A34" w14:textId="44E48FDD" w:rsidR="00D11460" w:rsidRPr="00FA5F08" w:rsidRDefault="00D11460" w:rsidP="00FA5F08">
      <w:pPr>
        <w:pStyle w:val="NormalWeb"/>
        <w:spacing w:line="360" w:lineRule="auto"/>
        <w:rPr>
          <w:rFonts w:ascii="Arial" w:hAnsi="Arial" w:cs="Arial"/>
          <w:sz w:val="22"/>
          <w:szCs w:val="22"/>
        </w:rPr>
      </w:pPr>
      <w:r w:rsidRPr="00FA5F08">
        <w:rPr>
          <w:rFonts w:ascii="Arial" w:hAnsi="Arial" w:cs="Arial"/>
          <w:sz w:val="22"/>
          <w:szCs w:val="22"/>
        </w:rPr>
        <w:t>The focus of this report is on adults aged 65 and over living in dementia care home settings. Residents in these environments often face a variety of challenges in addition to dementia, such as depression, anxiety, agitation, behavioural changes, loss of identity, social isolation, and low mood (depression and dementia, 2025). These emotional and psychological difficulties are well-documented in both research and care guidelines (</w:t>
      </w:r>
      <w:r w:rsidR="00BB449D">
        <w:rPr>
          <w:rFonts w:ascii="Arial" w:hAnsi="Arial" w:cs="Arial"/>
          <w:sz w:val="22"/>
          <w:szCs w:val="22"/>
        </w:rPr>
        <w:t>NHS</w:t>
      </w:r>
      <w:r w:rsidRPr="00FA5F08">
        <w:rPr>
          <w:rFonts w:ascii="Arial" w:hAnsi="Arial" w:cs="Arial"/>
          <w:sz w:val="22"/>
          <w:szCs w:val="22"/>
        </w:rPr>
        <w:t>, 2025). Health and social care professionals—including care staff, nurses, psychologists, and activity coordinators—play a key role in supporting residents’ mental health, maintaining their sense of self, managing behavioural symptoms, and enhancing overall quality of life.</w:t>
      </w:r>
    </w:p>
    <w:p w14:paraId="5FC12351" w14:textId="77777777" w:rsidR="00D11460" w:rsidRPr="00FA5F08" w:rsidRDefault="00D11460" w:rsidP="00FA5F08">
      <w:pPr>
        <w:pStyle w:val="NormalWeb"/>
        <w:spacing w:line="360" w:lineRule="auto"/>
        <w:rPr>
          <w:rFonts w:ascii="Arial" w:hAnsi="Arial" w:cs="Arial"/>
          <w:sz w:val="22"/>
          <w:szCs w:val="22"/>
        </w:rPr>
      </w:pPr>
      <w:r w:rsidRPr="00FA5F08">
        <w:rPr>
          <w:rFonts w:ascii="Arial" w:hAnsi="Arial" w:cs="Arial"/>
          <w:sz w:val="22"/>
          <w:szCs w:val="22"/>
        </w:rPr>
        <w:t>To address these needs, professionals develop person-centred care plans informed by developmental understanding, which take into account each resident’s history, preferences, and individual requirements. These plans aim to maintain stability, support cognitive and emotional functioning, and minimise further decline where possible (World Health Organization, 2023). By applying psychological theories and research, professionals can anticipate potential difficulties and implement evidence-based strategies to manage them effectively. Incorporating relevant psychological concepts allows staff to foster a more compassionate and therapeutic environment, promoting both emotional and cognitive wellbeing. Therefore, integrating theory into care is essential for improving person-centred practice and enhancing residents’ overall quality of life.</w:t>
      </w:r>
    </w:p>
    <w:p w14:paraId="0F74BFE2" w14:textId="77777777" w:rsidR="00D11460" w:rsidRPr="00FA5F08" w:rsidRDefault="00D11460" w:rsidP="00FA5F08">
      <w:pPr>
        <w:pStyle w:val="NormalWeb"/>
        <w:spacing w:line="360" w:lineRule="auto"/>
        <w:rPr>
          <w:rFonts w:ascii="Arial" w:hAnsi="Arial" w:cs="Arial"/>
          <w:sz w:val="22"/>
          <w:szCs w:val="22"/>
        </w:rPr>
      </w:pPr>
      <w:r w:rsidRPr="00FA5F08">
        <w:rPr>
          <w:rFonts w:ascii="Arial" w:hAnsi="Arial" w:cs="Arial"/>
          <w:sz w:val="22"/>
          <w:szCs w:val="22"/>
        </w:rPr>
        <w:t>Psychological theories offer frameworks that help health and social care professionals understand and respond to the emotional and developmental needs of people with dementia. Two particularly relevant theories for this report are Erikson’s psychosocial development theory and Carl Rogers’ person-centred theory. The next section will explore these theories and their significance for late adulthood and dementia care.</w:t>
      </w:r>
    </w:p>
    <w:p w14:paraId="0CF1F255" w14:textId="77777777" w:rsidR="00D11460" w:rsidRPr="00FA5F08" w:rsidRDefault="00D11460" w:rsidP="00FA5F08">
      <w:pPr>
        <w:pStyle w:val="NormalWeb"/>
        <w:spacing w:line="360" w:lineRule="auto"/>
        <w:rPr>
          <w:rFonts w:ascii="Arial" w:hAnsi="Arial" w:cs="Arial"/>
          <w:sz w:val="22"/>
          <w:szCs w:val="22"/>
        </w:rPr>
      </w:pPr>
      <w:r w:rsidRPr="00FA5F08">
        <w:rPr>
          <w:rFonts w:ascii="Arial" w:hAnsi="Arial" w:cs="Arial"/>
          <w:sz w:val="22"/>
          <w:szCs w:val="22"/>
        </w:rPr>
        <w:t xml:space="preserve">Understanding psychological theories in dementia care is essential because they help professionals understand the emotional and developmental needs of older adults. Considering how ageing, life experiences, and cognitive changes affect residents allows staff to anticipate challenges and provide more tailored support. Two theories are especially </w:t>
      </w:r>
      <w:r w:rsidRPr="00FA5F08">
        <w:rPr>
          <w:rFonts w:ascii="Arial" w:hAnsi="Arial" w:cs="Arial"/>
          <w:sz w:val="22"/>
          <w:szCs w:val="22"/>
        </w:rPr>
        <w:lastRenderedPageBreak/>
        <w:t>useful in this context: Erikson’s psychosocial development theory and Carl Rogers’ person-centred theory. Erikson’s framework focuses on the final stage of life—integrity versus despair—highlighting how older adults reflect on their life and seek meaning, while Rogers’ approach emphasises empathy, respect, and supporting everyone’s sense of self. Exploring both theories gives care staff practical tools to promote emotional wellbeing, maintain identity, and deliver person-centred support for people living with dementia. This report will first examine Erikson’s theory in detail before discussing how Rogers’ principles can be applied to enhance care.</w:t>
      </w:r>
    </w:p>
    <w:p w14:paraId="38EA6751" w14:textId="77777777" w:rsidR="00D11460" w:rsidRPr="00FA5F08" w:rsidRDefault="00D11460" w:rsidP="00FA5F08">
      <w:pPr>
        <w:spacing w:before="100" w:beforeAutospacing="1" w:after="100" w:afterAutospacing="1" w:line="360" w:lineRule="auto"/>
        <w:outlineLvl w:val="2"/>
        <w:rPr>
          <w:rFonts w:ascii="Arial" w:eastAsia="Times New Roman" w:hAnsi="Arial" w:cs="Arial"/>
          <w:b/>
          <w:bCs/>
          <w:kern w:val="0"/>
          <w:lang w:eastAsia="en-GB"/>
          <w14:ligatures w14:val="none"/>
        </w:rPr>
      </w:pPr>
      <w:r w:rsidRPr="00FA5F08">
        <w:rPr>
          <w:rFonts w:ascii="Arial" w:eastAsia="Times New Roman" w:hAnsi="Arial" w:cs="Arial"/>
          <w:b/>
          <w:bCs/>
          <w:kern w:val="0"/>
          <w:lang w:eastAsia="en-GB"/>
          <w14:ligatures w14:val="none"/>
        </w:rPr>
        <w:t>Theory 1: Erikson’s Psychosocial Development Theory</w:t>
      </w:r>
    </w:p>
    <w:p w14:paraId="1BCA30E1" w14:textId="1B77F38A" w:rsidR="00850028" w:rsidRPr="003B7D75" w:rsidRDefault="00850028" w:rsidP="003B7D75">
      <w:pPr>
        <w:pStyle w:val="NormalWeb"/>
        <w:spacing w:line="360" w:lineRule="auto"/>
        <w:rPr>
          <w:rFonts w:ascii="Arial" w:hAnsi="Arial" w:cs="Arial"/>
          <w:sz w:val="22"/>
          <w:szCs w:val="22"/>
        </w:rPr>
      </w:pPr>
      <w:r w:rsidRPr="003B7D75">
        <w:rPr>
          <w:rFonts w:ascii="Arial" w:hAnsi="Arial" w:cs="Arial"/>
          <w:sz w:val="22"/>
          <w:szCs w:val="22"/>
        </w:rPr>
        <w:t>Erikson’s theory explains human development from birth through late adulthood and is structured around eight stages, each with a key developmental challenge:</w:t>
      </w:r>
      <w:r w:rsidR="003B7D75" w:rsidRPr="003B7D75">
        <w:rPr>
          <w:rFonts w:ascii="Arial" w:hAnsi="Arial" w:cs="Arial"/>
          <w:sz w:val="22"/>
          <w:szCs w:val="22"/>
        </w:rPr>
        <w:t xml:space="preserve"> (</w:t>
      </w:r>
      <w:proofErr w:type="spellStart"/>
      <w:r w:rsidR="003B7D75" w:rsidRPr="003B7D75">
        <w:rPr>
          <w:rFonts w:ascii="Arial" w:hAnsi="Arial" w:cs="Arial"/>
          <w:sz w:val="22"/>
          <w:szCs w:val="22"/>
        </w:rPr>
        <w:t>MSEd</w:t>
      </w:r>
      <w:proofErr w:type="spellEnd"/>
      <w:r w:rsidR="003B7D75" w:rsidRPr="003B7D75">
        <w:rPr>
          <w:rFonts w:ascii="Arial" w:hAnsi="Arial" w:cs="Arial"/>
          <w:sz w:val="22"/>
          <w:szCs w:val="22"/>
        </w:rPr>
        <w:t>, 2024)</w:t>
      </w:r>
    </w:p>
    <w:p w14:paraId="36C1F464" w14:textId="77777777" w:rsidR="00850028" w:rsidRPr="003B7D75" w:rsidRDefault="00850028" w:rsidP="003B7D75">
      <w:pPr>
        <w:pStyle w:val="NormalWeb"/>
        <w:numPr>
          <w:ilvl w:val="0"/>
          <w:numId w:val="8"/>
        </w:numPr>
        <w:spacing w:line="360" w:lineRule="auto"/>
        <w:rPr>
          <w:rFonts w:ascii="Arial" w:hAnsi="Arial" w:cs="Arial"/>
          <w:sz w:val="22"/>
          <w:szCs w:val="22"/>
        </w:rPr>
      </w:pPr>
      <w:r w:rsidRPr="003B7D75">
        <w:rPr>
          <w:rFonts w:ascii="Arial" w:hAnsi="Arial" w:cs="Arial"/>
          <w:sz w:val="22"/>
          <w:szCs w:val="22"/>
        </w:rPr>
        <w:t>Stage 1: Trust vs. Mistrust (infancy, 0–18 months)</w:t>
      </w:r>
    </w:p>
    <w:p w14:paraId="49C97333" w14:textId="77777777" w:rsidR="00850028" w:rsidRPr="003B7D75" w:rsidRDefault="00850028" w:rsidP="003B7D75">
      <w:pPr>
        <w:pStyle w:val="NormalWeb"/>
        <w:numPr>
          <w:ilvl w:val="0"/>
          <w:numId w:val="8"/>
        </w:numPr>
        <w:spacing w:line="360" w:lineRule="auto"/>
        <w:rPr>
          <w:rFonts w:ascii="Arial" w:hAnsi="Arial" w:cs="Arial"/>
          <w:sz w:val="22"/>
          <w:szCs w:val="22"/>
        </w:rPr>
      </w:pPr>
      <w:r w:rsidRPr="003B7D75">
        <w:rPr>
          <w:rFonts w:ascii="Arial" w:hAnsi="Arial" w:cs="Arial"/>
          <w:sz w:val="22"/>
          <w:szCs w:val="22"/>
        </w:rPr>
        <w:t>Stage 2: Autonomy vs. Shame and Doubt (toddlerhood, 18 months–3 years)</w:t>
      </w:r>
    </w:p>
    <w:p w14:paraId="50554152" w14:textId="77777777" w:rsidR="00850028" w:rsidRPr="003B7D75" w:rsidRDefault="00850028" w:rsidP="003B7D75">
      <w:pPr>
        <w:pStyle w:val="NormalWeb"/>
        <w:numPr>
          <w:ilvl w:val="0"/>
          <w:numId w:val="8"/>
        </w:numPr>
        <w:spacing w:line="360" w:lineRule="auto"/>
        <w:rPr>
          <w:rFonts w:ascii="Arial" w:hAnsi="Arial" w:cs="Arial"/>
          <w:sz w:val="22"/>
          <w:szCs w:val="22"/>
        </w:rPr>
      </w:pPr>
      <w:r w:rsidRPr="003B7D75">
        <w:rPr>
          <w:rFonts w:ascii="Arial" w:hAnsi="Arial" w:cs="Arial"/>
          <w:sz w:val="22"/>
          <w:szCs w:val="22"/>
        </w:rPr>
        <w:t>Stage 3: Initiative vs. Guilt (preschool, 3–5 years)</w:t>
      </w:r>
    </w:p>
    <w:p w14:paraId="71B7BFCD" w14:textId="77777777" w:rsidR="00850028" w:rsidRPr="003B7D75" w:rsidRDefault="00850028" w:rsidP="003B7D75">
      <w:pPr>
        <w:pStyle w:val="NormalWeb"/>
        <w:numPr>
          <w:ilvl w:val="0"/>
          <w:numId w:val="8"/>
        </w:numPr>
        <w:spacing w:line="360" w:lineRule="auto"/>
        <w:rPr>
          <w:rFonts w:ascii="Arial" w:hAnsi="Arial" w:cs="Arial"/>
          <w:sz w:val="22"/>
          <w:szCs w:val="22"/>
        </w:rPr>
      </w:pPr>
      <w:r w:rsidRPr="003B7D75">
        <w:rPr>
          <w:rFonts w:ascii="Arial" w:hAnsi="Arial" w:cs="Arial"/>
          <w:sz w:val="22"/>
          <w:szCs w:val="22"/>
        </w:rPr>
        <w:t>Stage 4: Industry vs. Inferiority (middle childhood, 6–11 years)</w:t>
      </w:r>
    </w:p>
    <w:p w14:paraId="31461395" w14:textId="77777777" w:rsidR="00850028" w:rsidRPr="003B7D75" w:rsidRDefault="00850028" w:rsidP="003B7D75">
      <w:pPr>
        <w:pStyle w:val="NormalWeb"/>
        <w:numPr>
          <w:ilvl w:val="0"/>
          <w:numId w:val="8"/>
        </w:numPr>
        <w:spacing w:line="360" w:lineRule="auto"/>
        <w:rPr>
          <w:rFonts w:ascii="Arial" w:hAnsi="Arial" w:cs="Arial"/>
          <w:sz w:val="22"/>
          <w:szCs w:val="22"/>
        </w:rPr>
      </w:pPr>
      <w:r w:rsidRPr="003B7D75">
        <w:rPr>
          <w:rFonts w:ascii="Arial" w:hAnsi="Arial" w:cs="Arial"/>
          <w:sz w:val="22"/>
          <w:szCs w:val="22"/>
        </w:rPr>
        <w:t>Stage 5: Identity vs. Role Confusion (adolescence, 12–18 years)</w:t>
      </w:r>
    </w:p>
    <w:p w14:paraId="686A1B8F" w14:textId="77777777" w:rsidR="00850028" w:rsidRPr="003B7D75" w:rsidRDefault="00850028" w:rsidP="003B7D75">
      <w:pPr>
        <w:pStyle w:val="NormalWeb"/>
        <w:numPr>
          <w:ilvl w:val="0"/>
          <w:numId w:val="8"/>
        </w:numPr>
        <w:spacing w:line="360" w:lineRule="auto"/>
        <w:rPr>
          <w:rFonts w:ascii="Arial" w:hAnsi="Arial" w:cs="Arial"/>
          <w:sz w:val="22"/>
          <w:szCs w:val="22"/>
        </w:rPr>
      </w:pPr>
      <w:r w:rsidRPr="003B7D75">
        <w:rPr>
          <w:rFonts w:ascii="Arial" w:hAnsi="Arial" w:cs="Arial"/>
          <w:sz w:val="22"/>
          <w:szCs w:val="22"/>
        </w:rPr>
        <w:t>Stage 6: Intimacy vs. Isolation (young adulthood, 18–40 years)</w:t>
      </w:r>
    </w:p>
    <w:p w14:paraId="49B03462" w14:textId="77777777" w:rsidR="00850028" w:rsidRPr="003B7D75" w:rsidRDefault="00850028" w:rsidP="003B7D75">
      <w:pPr>
        <w:pStyle w:val="NormalWeb"/>
        <w:numPr>
          <w:ilvl w:val="0"/>
          <w:numId w:val="8"/>
        </w:numPr>
        <w:spacing w:line="360" w:lineRule="auto"/>
        <w:rPr>
          <w:rFonts w:ascii="Arial" w:hAnsi="Arial" w:cs="Arial"/>
          <w:sz w:val="22"/>
          <w:szCs w:val="22"/>
        </w:rPr>
      </w:pPr>
      <w:r w:rsidRPr="003B7D75">
        <w:rPr>
          <w:rFonts w:ascii="Arial" w:hAnsi="Arial" w:cs="Arial"/>
          <w:sz w:val="22"/>
          <w:szCs w:val="22"/>
        </w:rPr>
        <w:t>Stage 7: Generativity vs. Stagnation (middle adulthood, 40–65 years)</w:t>
      </w:r>
    </w:p>
    <w:p w14:paraId="07D681FA" w14:textId="77777777" w:rsidR="00850028" w:rsidRPr="003B7D75" w:rsidRDefault="00850028" w:rsidP="003B7D75">
      <w:pPr>
        <w:pStyle w:val="NormalWeb"/>
        <w:numPr>
          <w:ilvl w:val="0"/>
          <w:numId w:val="8"/>
        </w:numPr>
        <w:spacing w:line="360" w:lineRule="auto"/>
        <w:rPr>
          <w:rFonts w:ascii="Arial" w:hAnsi="Arial" w:cs="Arial"/>
          <w:sz w:val="22"/>
          <w:szCs w:val="22"/>
        </w:rPr>
      </w:pPr>
      <w:r w:rsidRPr="003B7D75">
        <w:rPr>
          <w:rFonts w:ascii="Arial" w:hAnsi="Arial" w:cs="Arial"/>
          <w:sz w:val="22"/>
          <w:szCs w:val="22"/>
        </w:rPr>
        <w:t>Stage 8: Integrity vs. Despair (late adulthood, 65 years and onwards)</w:t>
      </w:r>
    </w:p>
    <w:p w14:paraId="4B44F649" w14:textId="77777777" w:rsidR="00850028" w:rsidRPr="003B7D75" w:rsidRDefault="00850028" w:rsidP="003B7D75">
      <w:pPr>
        <w:pStyle w:val="NormalWeb"/>
        <w:spacing w:line="360" w:lineRule="auto"/>
        <w:rPr>
          <w:rFonts w:ascii="Arial" w:hAnsi="Arial" w:cs="Arial"/>
          <w:sz w:val="22"/>
          <w:szCs w:val="22"/>
        </w:rPr>
      </w:pPr>
      <w:r w:rsidRPr="003B7D75">
        <w:rPr>
          <w:rFonts w:ascii="Arial" w:hAnsi="Arial" w:cs="Arial"/>
          <w:sz w:val="22"/>
          <w:szCs w:val="22"/>
        </w:rPr>
        <w:t>This report focuses on the final stage, Integrity vs. Despair. At this stage, older adults reflect on their lives and seek meaning and fulfilment. Successfully achieving integrity allows individuals to accept their life experiences and maintain a positive sense of self. In contrast, unresolved regrets or dissatisfaction can lead to despair, potentially causing depression, hopelessness, or anxiety about death.</w:t>
      </w:r>
    </w:p>
    <w:p w14:paraId="2FA93DA4" w14:textId="77777777" w:rsidR="00850028" w:rsidRDefault="00850028" w:rsidP="003B7D75">
      <w:pPr>
        <w:pStyle w:val="NormalWeb"/>
        <w:spacing w:line="360" w:lineRule="auto"/>
        <w:rPr>
          <w:rFonts w:ascii="Arial" w:hAnsi="Arial" w:cs="Arial"/>
          <w:sz w:val="22"/>
          <w:szCs w:val="22"/>
        </w:rPr>
      </w:pPr>
      <w:r w:rsidRPr="003B7D75">
        <w:rPr>
          <w:rFonts w:ascii="Arial" w:hAnsi="Arial" w:cs="Arial"/>
          <w:sz w:val="22"/>
          <w:szCs w:val="22"/>
        </w:rPr>
        <w:t>For adults living with dementia, reflection can be challenging because memory loss may impair the ability to recall life events and maintain a sense of identity. Healthcare and social care professionals can support residents by promoting reflection through strategies such as reminiscence therapy, acknowledging significant achievements, and reinforcing emotional wellbeing. By preserving dignity and validating emotional experiences, care staff can reduce feelings of despair and anxiety. Planning person-centred interventions that support reflection and identity is therefore essential to enhancing quality of life in late adulthood.</w:t>
      </w:r>
    </w:p>
    <w:p w14:paraId="311F6D27" w14:textId="227EFA74" w:rsidR="00535D5A" w:rsidRDefault="00535D5A" w:rsidP="00535D5A">
      <w:pPr>
        <w:pStyle w:val="NormalWeb"/>
        <w:spacing w:line="360" w:lineRule="auto"/>
        <w:rPr>
          <w:rFonts w:ascii="Arial" w:hAnsi="Arial" w:cs="Arial"/>
          <w:sz w:val="22"/>
          <w:szCs w:val="22"/>
        </w:rPr>
      </w:pPr>
      <w:r w:rsidRPr="00535D5A">
        <w:rPr>
          <w:rFonts w:ascii="Arial" w:hAnsi="Arial" w:cs="Arial"/>
          <w:sz w:val="22"/>
          <w:szCs w:val="22"/>
        </w:rPr>
        <w:lastRenderedPageBreak/>
        <w:t>After looking at Erikson’s developmental theory, Carl Rogers’ person-centred theory focuses on understanding and supporting each person as an individual. Rogers believed that people naturally want to grow and be well, and that they do best when they feel understood, accepted, and treated honestly by others. In dementia care, using these ideas helps staff respond to residents’ feelings, respect their choices, and support their sense of self even when memory and thinking are affected.</w:t>
      </w:r>
      <w:r>
        <w:rPr>
          <w:rFonts w:ascii="Arial" w:hAnsi="Arial" w:cs="Arial"/>
          <w:sz w:val="22"/>
          <w:szCs w:val="22"/>
        </w:rPr>
        <w:t xml:space="preserve"> </w:t>
      </w:r>
    </w:p>
    <w:p w14:paraId="5A5B5622" w14:textId="072A9C4E" w:rsidR="00E54F26" w:rsidRDefault="00FE66F0" w:rsidP="00535D5A">
      <w:pPr>
        <w:pStyle w:val="NormalWeb"/>
        <w:spacing w:line="360" w:lineRule="auto"/>
        <w:rPr>
          <w:rFonts w:ascii="Arial" w:hAnsi="Arial" w:cs="Arial"/>
          <w:sz w:val="22"/>
          <w:szCs w:val="22"/>
        </w:rPr>
      </w:pPr>
      <w:r>
        <w:rPr>
          <w:rFonts w:ascii="Arial" w:hAnsi="Arial" w:cs="Arial"/>
          <w:sz w:val="22"/>
          <w:szCs w:val="22"/>
        </w:rPr>
        <w:t xml:space="preserve">Carl Ransom Rogers was a American psychologist and was a founder of one of the theories </w:t>
      </w:r>
      <w:r w:rsidR="00C657DC">
        <w:rPr>
          <w:rFonts w:ascii="Arial" w:hAnsi="Arial" w:cs="Arial"/>
          <w:sz w:val="22"/>
          <w:szCs w:val="22"/>
        </w:rPr>
        <w:t xml:space="preserve">used for “humanistic approach to psychology” (wistreich, 2025). </w:t>
      </w:r>
      <w:r w:rsidR="00C066A0">
        <w:rPr>
          <w:rFonts w:ascii="Arial" w:hAnsi="Arial" w:cs="Arial"/>
          <w:sz w:val="22"/>
          <w:szCs w:val="22"/>
        </w:rPr>
        <w:t xml:space="preserve">In a variety of fields, including psychotherapy and </w:t>
      </w:r>
      <w:r w:rsidR="000A085F">
        <w:rPr>
          <w:rFonts w:ascii="Arial" w:hAnsi="Arial" w:cs="Arial"/>
          <w:sz w:val="22"/>
          <w:szCs w:val="22"/>
        </w:rPr>
        <w:t>counselling</w:t>
      </w:r>
      <w:r w:rsidR="00C066A0">
        <w:rPr>
          <w:rFonts w:ascii="Arial" w:hAnsi="Arial" w:cs="Arial"/>
          <w:sz w:val="22"/>
          <w:szCs w:val="22"/>
        </w:rPr>
        <w:t xml:space="preserve">, education, </w:t>
      </w:r>
      <w:r w:rsidR="000A085F">
        <w:rPr>
          <w:rFonts w:ascii="Arial" w:hAnsi="Arial" w:cs="Arial"/>
          <w:sz w:val="22"/>
          <w:szCs w:val="22"/>
        </w:rPr>
        <w:t>organisations,</w:t>
      </w:r>
      <w:r w:rsidR="00C066A0">
        <w:rPr>
          <w:rFonts w:ascii="Arial" w:hAnsi="Arial" w:cs="Arial"/>
          <w:sz w:val="22"/>
          <w:szCs w:val="22"/>
        </w:rPr>
        <w:t xml:space="preserve"> and other </w:t>
      </w:r>
      <w:r w:rsidR="001E6045">
        <w:rPr>
          <w:rFonts w:ascii="Arial" w:hAnsi="Arial" w:cs="Arial"/>
          <w:sz w:val="22"/>
          <w:szCs w:val="22"/>
        </w:rPr>
        <w:t xml:space="preserve">group settings (wistreich, 20205), the person-centred approach was Carl Rogers </w:t>
      </w:r>
      <w:r w:rsidR="00547014">
        <w:rPr>
          <w:rFonts w:ascii="Arial" w:hAnsi="Arial" w:cs="Arial"/>
          <w:sz w:val="22"/>
          <w:szCs w:val="22"/>
        </w:rPr>
        <w:t xml:space="preserve">own distinct method of comprehending personality and human relationships </w:t>
      </w:r>
      <w:r w:rsidR="008F7AC5">
        <w:rPr>
          <w:rFonts w:ascii="Arial" w:hAnsi="Arial" w:cs="Arial"/>
          <w:sz w:val="22"/>
          <w:szCs w:val="22"/>
        </w:rPr>
        <w:t>to find extensive use.</w:t>
      </w:r>
      <w:r w:rsidR="005A543B">
        <w:rPr>
          <w:rFonts w:ascii="Arial" w:hAnsi="Arial" w:cs="Arial"/>
          <w:sz w:val="22"/>
          <w:szCs w:val="22"/>
        </w:rPr>
        <w:t xml:space="preserve"> Carl Rogers person-</w:t>
      </w:r>
      <w:r w:rsidR="005F7391">
        <w:rPr>
          <w:rFonts w:ascii="Arial" w:hAnsi="Arial" w:cs="Arial"/>
          <w:sz w:val="22"/>
          <w:szCs w:val="22"/>
        </w:rPr>
        <w:t>centred</w:t>
      </w:r>
      <w:r w:rsidR="005A543B">
        <w:rPr>
          <w:rFonts w:ascii="Arial" w:hAnsi="Arial" w:cs="Arial"/>
          <w:sz w:val="22"/>
          <w:szCs w:val="22"/>
        </w:rPr>
        <w:t xml:space="preserve"> approach has </w:t>
      </w:r>
      <w:r w:rsidR="00182EB0">
        <w:rPr>
          <w:rFonts w:ascii="Arial" w:hAnsi="Arial" w:cs="Arial"/>
          <w:sz w:val="22"/>
          <w:szCs w:val="22"/>
        </w:rPr>
        <w:t>three philosophical beliefs which are, “humanism, existentialism and phenomenology</w:t>
      </w:r>
      <w:r w:rsidR="00AF649D">
        <w:rPr>
          <w:rFonts w:ascii="Arial" w:hAnsi="Arial" w:cs="Arial"/>
          <w:sz w:val="22"/>
          <w:szCs w:val="22"/>
        </w:rPr>
        <w:t xml:space="preserve">” (person </w:t>
      </w:r>
      <w:r w:rsidR="005F7391">
        <w:rPr>
          <w:rFonts w:ascii="Arial" w:hAnsi="Arial" w:cs="Arial"/>
          <w:sz w:val="22"/>
          <w:szCs w:val="22"/>
        </w:rPr>
        <w:t>centred</w:t>
      </w:r>
      <w:r w:rsidR="00AF649D">
        <w:rPr>
          <w:rFonts w:ascii="Arial" w:hAnsi="Arial" w:cs="Arial"/>
          <w:sz w:val="22"/>
          <w:szCs w:val="22"/>
        </w:rPr>
        <w:t xml:space="preserve"> approach/ Kendal </w:t>
      </w:r>
      <w:r w:rsidR="000A085F">
        <w:rPr>
          <w:rFonts w:ascii="Arial" w:hAnsi="Arial" w:cs="Arial"/>
          <w:sz w:val="22"/>
          <w:szCs w:val="22"/>
        </w:rPr>
        <w:t>therapy</w:t>
      </w:r>
      <w:r w:rsidR="00AF649D">
        <w:rPr>
          <w:rFonts w:ascii="Arial" w:hAnsi="Arial" w:cs="Arial"/>
          <w:sz w:val="22"/>
          <w:szCs w:val="22"/>
        </w:rPr>
        <w:t xml:space="preserve">). </w:t>
      </w:r>
      <w:r w:rsidR="009D5272">
        <w:rPr>
          <w:rFonts w:ascii="Arial" w:hAnsi="Arial" w:cs="Arial"/>
          <w:sz w:val="22"/>
          <w:szCs w:val="22"/>
        </w:rPr>
        <w:t>According to Rogers person-</w:t>
      </w:r>
      <w:r w:rsidR="005F7391">
        <w:rPr>
          <w:rFonts w:ascii="Arial" w:hAnsi="Arial" w:cs="Arial"/>
          <w:sz w:val="22"/>
          <w:szCs w:val="22"/>
        </w:rPr>
        <w:t>centred</w:t>
      </w:r>
      <w:r w:rsidR="009D5272">
        <w:rPr>
          <w:rFonts w:ascii="Arial" w:hAnsi="Arial" w:cs="Arial"/>
          <w:sz w:val="22"/>
          <w:szCs w:val="22"/>
        </w:rPr>
        <w:t xml:space="preserve"> theory, when people are in a supportive environment they naturally </w:t>
      </w:r>
      <w:r w:rsidR="007456F7">
        <w:rPr>
          <w:rFonts w:ascii="Arial" w:hAnsi="Arial" w:cs="Arial"/>
          <w:sz w:val="22"/>
          <w:szCs w:val="22"/>
        </w:rPr>
        <w:t xml:space="preserve">strive for personal development and fulfilment. According to Rogers this development requires </w:t>
      </w:r>
      <w:r w:rsidR="00C84379">
        <w:rPr>
          <w:rFonts w:ascii="Arial" w:hAnsi="Arial" w:cs="Arial"/>
          <w:sz w:val="22"/>
          <w:szCs w:val="22"/>
        </w:rPr>
        <w:t xml:space="preserve">three essential elements: congruence, empathy and unconditional </w:t>
      </w:r>
      <w:r w:rsidR="00337586">
        <w:rPr>
          <w:rFonts w:ascii="Arial" w:hAnsi="Arial" w:cs="Arial"/>
          <w:sz w:val="22"/>
          <w:szCs w:val="22"/>
        </w:rPr>
        <w:t xml:space="preserve">positive regard (person </w:t>
      </w:r>
      <w:r w:rsidR="005F7391">
        <w:rPr>
          <w:rFonts w:ascii="Arial" w:hAnsi="Arial" w:cs="Arial"/>
          <w:sz w:val="22"/>
          <w:szCs w:val="22"/>
        </w:rPr>
        <w:t>centred</w:t>
      </w:r>
      <w:r w:rsidR="00337586">
        <w:rPr>
          <w:rFonts w:ascii="Arial" w:hAnsi="Arial" w:cs="Arial"/>
          <w:sz w:val="22"/>
          <w:szCs w:val="22"/>
        </w:rPr>
        <w:t xml:space="preserve"> approach/ Kendal therapy). </w:t>
      </w:r>
      <w:r w:rsidR="001D0362">
        <w:rPr>
          <w:rFonts w:ascii="Arial" w:hAnsi="Arial" w:cs="Arial"/>
          <w:sz w:val="22"/>
          <w:szCs w:val="22"/>
        </w:rPr>
        <w:t xml:space="preserve">This humanistic approach underlines that the therapist does not “fix” the patient </w:t>
      </w:r>
      <w:r w:rsidR="001E2996">
        <w:rPr>
          <w:rFonts w:ascii="Arial" w:hAnsi="Arial" w:cs="Arial"/>
          <w:sz w:val="22"/>
          <w:szCs w:val="22"/>
        </w:rPr>
        <w:t>rather the therapist creates an atmosphere where the patient can examine and inte</w:t>
      </w:r>
      <w:r w:rsidR="004A4232">
        <w:rPr>
          <w:rFonts w:ascii="Arial" w:hAnsi="Arial" w:cs="Arial"/>
          <w:sz w:val="22"/>
          <w:szCs w:val="22"/>
        </w:rPr>
        <w:t xml:space="preserve">grate their experiences (joseph, 2024). Applying Rogers theory to dementia care </w:t>
      </w:r>
      <w:r w:rsidR="00302D00">
        <w:rPr>
          <w:rFonts w:ascii="Arial" w:hAnsi="Arial" w:cs="Arial"/>
          <w:sz w:val="22"/>
          <w:szCs w:val="22"/>
        </w:rPr>
        <w:t xml:space="preserve">entails fostering interactions where patients feel truly </w:t>
      </w:r>
      <w:r w:rsidR="00416AEE">
        <w:rPr>
          <w:rFonts w:ascii="Arial" w:hAnsi="Arial" w:cs="Arial"/>
          <w:sz w:val="22"/>
          <w:szCs w:val="22"/>
        </w:rPr>
        <w:t>understood and welcome</w:t>
      </w:r>
      <w:r w:rsidR="00763C38">
        <w:rPr>
          <w:rFonts w:ascii="Arial" w:hAnsi="Arial" w:cs="Arial"/>
          <w:sz w:val="22"/>
          <w:szCs w:val="22"/>
        </w:rPr>
        <w:t>d</w:t>
      </w:r>
      <w:r w:rsidR="00416AEE">
        <w:rPr>
          <w:rFonts w:ascii="Arial" w:hAnsi="Arial" w:cs="Arial"/>
          <w:sz w:val="22"/>
          <w:szCs w:val="22"/>
        </w:rPr>
        <w:t xml:space="preserve"> by staff which promotes emotional health and helps residents maintain their sense of self despite </w:t>
      </w:r>
      <w:r w:rsidR="007E38C2">
        <w:rPr>
          <w:rFonts w:ascii="Arial" w:hAnsi="Arial" w:cs="Arial"/>
          <w:sz w:val="22"/>
          <w:szCs w:val="22"/>
        </w:rPr>
        <w:t>cognitive decline.</w:t>
      </w:r>
    </w:p>
    <w:p w14:paraId="6E0D495D" w14:textId="33477EBE" w:rsidR="00051DE5" w:rsidRDefault="00393C86" w:rsidP="00051DE5">
      <w:pPr>
        <w:spacing w:line="360" w:lineRule="auto"/>
        <w:rPr>
          <w:rFonts w:ascii="Arial" w:eastAsia="Times New Roman" w:hAnsi="Arial" w:cs="Arial"/>
          <w:kern w:val="0"/>
          <w:lang w:eastAsia="en-GB"/>
          <w14:ligatures w14:val="none"/>
        </w:rPr>
      </w:pPr>
      <w:r w:rsidRPr="00393C86">
        <w:rPr>
          <w:rFonts w:ascii="Arial" w:eastAsia="Times New Roman" w:hAnsi="Arial" w:cs="Arial"/>
          <w:kern w:val="0"/>
          <w:lang w:eastAsia="en-GB"/>
          <w14:ligatures w14:val="none"/>
        </w:rPr>
        <w:t xml:space="preserve">For persons 65 years of age and older residing in dementia care facilities, Erikson's final stage of development—integrity versus despair—is especially pertinent. At this point, older folks reflect on their lives </w:t>
      </w:r>
      <w:r w:rsidR="00BD44C2" w:rsidRPr="00393C86">
        <w:rPr>
          <w:rFonts w:ascii="Arial" w:eastAsia="Times New Roman" w:hAnsi="Arial" w:cs="Arial"/>
          <w:kern w:val="0"/>
          <w:lang w:eastAsia="en-GB"/>
          <w14:ligatures w14:val="none"/>
        </w:rPr>
        <w:t>to</w:t>
      </w:r>
      <w:r w:rsidRPr="00393C86">
        <w:rPr>
          <w:rFonts w:ascii="Arial" w:eastAsia="Times New Roman" w:hAnsi="Arial" w:cs="Arial"/>
          <w:kern w:val="0"/>
          <w:lang w:eastAsia="en-GB"/>
          <w14:ligatures w14:val="none"/>
        </w:rPr>
        <w:t xml:space="preserve"> discover purpose and fulfilment. Care providers can help with this in a dementia setting by giving patients the chance to remember and share life memories, use memory aids like picture albums or memory boxes, and have conversations that affirm their identity and accomplishments in life.</w:t>
      </w:r>
      <w:r w:rsidRPr="00051DE5">
        <w:rPr>
          <w:rFonts w:ascii="Arial" w:eastAsia="Times New Roman" w:hAnsi="Arial" w:cs="Arial"/>
          <w:kern w:val="0"/>
          <w:lang w:eastAsia="en-GB"/>
          <w14:ligatures w14:val="none"/>
        </w:rPr>
        <w:t xml:space="preserve"> I</w:t>
      </w:r>
      <w:r w:rsidRPr="00393C86">
        <w:rPr>
          <w:rFonts w:ascii="Arial" w:eastAsia="Times New Roman" w:hAnsi="Arial" w:cs="Arial"/>
          <w:kern w:val="0"/>
          <w:lang w:eastAsia="en-GB"/>
          <w14:ligatures w14:val="none"/>
        </w:rPr>
        <w:t>t can be difficult to put this principle into practice</w:t>
      </w:r>
      <w:r w:rsidRPr="00051DE5">
        <w:rPr>
          <w:rFonts w:ascii="Arial" w:eastAsia="Times New Roman" w:hAnsi="Arial" w:cs="Arial"/>
          <w:kern w:val="0"/>
          <w:lang w:eastAsia="en-GB"/>
          <w14:ligatures w14:val="none"/>
        </w:rPr>
        <w:t>.</w:t>
      </w:r>
      <w:r w:rsidR="00051DE5" w:rsidRPr="00051DE5">
        <w:rPr>
          <w:rFonts w:ascii="Arial" w:eastAsia="Times New Roman" w:hAnsi="Arial" w:cs="Arial"/>
          <w:kern w:val="0"/>
          <w:lang w:eastAsia="en-GB"/>
          <w14:ligatures w14:val="none"/>
        </w:rPr>
        <w:t xml:space="preserve"> Residents find it challenging to reflect due to memory loss and cognitive deterioration. Barriers may also include a lack of staff time and experience with these kinds of interactions. Care teams can overcome these obstacles by including identity-supporting work into daily care routines rather than seeing it as an add-on, breaking up life-review activities into brief, frequent sessions, and involving volunteers or family members. The objective may be to foster as much integrity and identity as feasible rather than a full life-review in every instance, thus flexibility and sensitivity are crucial.</w:t>
      </w:r>
    </w:p>
    <w:p w14:paraId="2F70C09D" w14:textId="77777777" w:rsidR="00556F5A" w:rsidRPr="00E85E04" w:rsidRDefault="008B086E" w:rsidP="00E85E04">
      <w:pPr>
        <w:spacing w:line="360" w:lineRule="auto"/>
        <w:rPr>
          <w:rFonts w:ascii="Arial" w:eastAsia="Times New Roman" w:hAnsi="Arial" w:cs="Arial"/>
          <w:kern w:val="0"/>
          <w:lang w:eastAsia="en-GB"/>
          <w14:ligatures w14:val="none"/>
        </w:rPr>
      </w:pPr>
      <w:r w:rsidRPr="008B086E">
        <w:rPr>
          <w:rFonts w:ascii="Arial" w:eastAsia="Times New Roman" w:hAnsi="Arial" w:cs="Arial"/>
          <w:kern w:val="0"/>
          <w:lang w:eastAsia="en-GB"/>
          <w14:ligatures w14:val="none"/>
        </w:rPr>
        <w:lastRenderedPageBreak/>
        <w:t>According to Rogers' person-centred philosophy, people develop most effectively when they feel genuinely understood, accepted without bias, and involved by employees who are being real. Professionals can put this into practice at a dementia care facility by carefully listening to residents, demonstrating empathy, providing options based on past preferences and known life stories, and tailoring care to the individual rather than just their condition. For instance, care personnel might set up one-on-one interactions where the resident's thoughts and values are acknowledged, and they might encourage a resident who was once very social to participate in small group activities that represent that previous role.</w:t>
      </w:r>
      <w:r w:rsidRPr="00E85E04">
        <w:rPr>
          <w:rFonts w:ascii="Arial" w:eastAsia="Times New Roman" w:hAnsi="Arial" w:cs="Arial"/>
          <w:kern w:val="0"/>
          <w:lang w:eastAsia="en-GB"/>
          <w14:ligatures w14:val="none"/>
        </w:rPr>
        <w:t xml:space="preserve"> </w:t>
      </w:r>
      <w:r w:rsidR="00556F5A" w:rsidRPr="00E85E04">
        <w:rPr>
          <w:rFonts w:ascii="Arial" w:eastAsia="Times New Roman" w:hAnsi="Arial" w:cs="Arial"/>
          <w:kern w:val="0"/>
          <w:lang w:eastAsia="en-GB"/>
          <w14:ligatures w14:val="none"/>
        </w:rPr>
        <w:t>However, putting person-centred care into practice isn't always easy. There may be little time for meaningful connection among staff members due to institutional procedures, heavy workloads, or strict timetables. Organisations may address these issues by offering communication and empathy training, making sure employees have time set aside for participation outside of work, and creating team support systems that allow each employee to contribute to a culture of respect and inclusion. Although person-centred techniques have great potential, care teams must modify them to fit the cognitive and emotional capacities of each individual resident.</w:t>
      </w:r>
    </w:p>
    <w:p w14:paraId="5896DAA0" w14:textId="2884A7F5" w:rsidR="00D86083" w:rsidRDefault="00D86083" w:rsidP="00E85E04">
      <w:pPr>
        <w:spacing w:after="0" w:line="360" w:lineRule="auto"/>
      </w:pPr>
      <w:r w:rsidRPr="00D86083">
        <w:rPr>
          <w:rFonts w:ascii="Arial" w:eastAsia="Times New Roman" w:hAnsi="Arial" w:cs="Arial"/>
          <w:kern w:val="0"/>
          <w:lang w:eastAsia="en-GB"/>
          <w14:ligatures w14:val="none"/>
        </w:rPr>
        <w:t xml:space="preserve">A thorough foundation for dementia care in older individuals is provided by combining Rogers' humanistic approach with Erikson's developmental understanding. While Rogers offers helpful strategies for fostering relationships, validating residents, and respecting their sense of self, Erikson assists professionals in understanding the significance of life review, identity, and emotional equilibrium in later life. </w:t>
      </w:r>
      <w:r w:rsidR="00BD44C2" w:rsidRPr="00D86083">
        <w:rPr>
          <w:rFonts w:ascii="Arial" w:eastAsia="Times New Roman" w:hAnsi="Arial" w:cs="Arial"/>
          <w:kern w:val="0"/>
          <w:lang w:eastAsia="en-GB"/>
          <w14:ligatures w14:val="none"/>
        </w:rPr>
        <w:t>A</w:t>
      </w:r>
      <w:r w:rsidRPr="00D86083">
        <w:rPr>
          <w:rFonts w:ascii="Arial" w:eastAsia="Times New Roman" w:hAnsi="Arial" w:cs="Arial"/>
          <w:kern w:val="0"/>
          <w:lang w:eastAsia="en-GB"/>
          <w14:ligatures w14:val="none"/>
        </w:rPr>
        <w:t xml:space="preserve"> care plan can consist of meetings where a resident discusses significant life events (Erikson), followed by a conversation intended to pay attention to and appreciate the resident's present emotions and experiences (Rogers). This strategy uses choice, emotional support, and identity reinforcement to address psychological and behavioural issues like social isolation, agitation, and depression. </w:t>
      </w:r>
      <w:r w:rsidR="00E85E04" w:rsidRPr="00E85E04">
        <w:rPr>
          <w:rFonts w:ascii="Arial" w:hAnsi="Arial" w:cs="Arial"/>
        </w:rPr>
        <w:t>For successful implementation, care homes must ensure staff training, appropriate staffing levels, flexible routines, and a culture that supports dignity and individualisation of care</w:t>
      </w:r>
      <w:r w:rsidR="00E85E04">
        <w:t>.</w:t>
      </w:r>
    </w:p>
    <w:p w14:paraId="75226CAC" w14:textId="08B9FB26" w:rsidR="00916342" w:rsidRPr="00916342" w:rsidRDefault="00FE6C23" w:rsidP="00916342">
      <w:pPr>
        <w:spacing w:line="360" w:lineRule="auto"/>
        <w:rPr>
          <w:rFonts w:ascii="Arial" w:eastAsia="Times New Roman" w:hAnsi="Arial" w:cs="Arial"/>
          <w:kern w:val="0"/>
          <w:lang w:eastAsia="en-GB"/>
          <w14:ligatures w14:val="none"/>
        </w:rPr>
      </w:pPr>
      <w:r w:rsidRPr="00FE6C23">
        <w:rPr>
          <w:rFonts w:ascii="Arial" w:eastAsia="Times New Roman" w:hAnsi="Arial" w:cs="Arial"/>
          <w:kern w:val="0"/>
          <w:lang w:eastAsia="en-GB"/>
          <w14:ligatures w14:val="none"/>
        </w:rPr>
        <w:t>In conclusion, providing care for those 65 years of age and older who have dementia necessitates an integrated strategy that incorporates humanistic and developmental viewpoints. Erikson's psychosocial theory emphasises the value of integrity over despair in late adulthood, directing carers to assist residents in thinking back on their life experiences, preserving their sense of self, and fostering emotional wellness</w:t>
      </w:r>
      <w:r w:rsidRPr="00916342">
        <w:rPr>
          <w:rFonts w:ascii="Arial" w:eastAsia="Times New Roman" w:hAnsi="Arial" w:cs="Arial"/>
          <w:kern w:val="0"/>
          <w:lang w:eastAsia="en-GB"/>
          <w14:ligatures w14:val="none"/>
        </w:rPr>
        <w:t xml:space="preserve"> </w:t>
      </w:r>
      <w:r w:rsidR="0058738F" w:rsidRPr="00916342">
        <w:rPr>
          <w:rFonts w:ascii="Arial" w:eastAsia="Times New Roman" w:hAnsi="Arial" w:cs="Arial"/>
          <w:kern w:val="0"/>
          <w:lang w:eastAsia="en-GB"/>
          <w14:ligatures w14:val="none"/>
        </w:rPr>
        <w:t xml:space="preserve">(Kumar, 2025). </w:t>
      </w:r>
      <w:r w:rsidR="004E0B82" w:rsidRPr="00916342">
        <w:rPr>
          <w:rFonts w:ascii="Arial" w:eastAsia="Times New Roman" w:hAnsi="Arial" w:cs="Arial"/>
          <w:kern w:val="0"/>
          <w:lang w:eastAsia="en-GB"/>
          <w14:ligatures w14:val="none"/>
        </w:rPr>
        <w:t>In addition, Rogers' person-centred approach, which prioritises congruence, empathy, and unconditional positive regard, empowers employees to establish nurturing settings that promote personal development and fulfilment even in the face of cognitive decline (</w:t>
      </w:r>
      <w:r w:rsidR="00763C38">
        <w:rPr>
          <w:rFonts w:ascii="Arial" w:eastAsia="Times New Roman" w:hAnsi="Arial" w:cs="Arial"/>
          <w:kern w:val="0"/>
          <w:lang w:eastAsia="en-GB"/>
          <w14:ligatures w14:val="none"/>
        </w:rPr>
        <w:t>J</w:t>
      </w:r>
      <w:r w:rsidR="004E0B82" w:rsidRPr="00916342">
        <w:rPr>
          <w:rFonts w:ascii="Arial" w:eastAsia="Times New Roman" w:hAnsi="Arial" w:cs="Arial"/>
          <w:kern w:val="0"/>
          <w:lang w:eastAsia="en-GB"/>
          <w14:ligatures w14:val="none"/>
        </w:rPr>
        <w:t xml:space="preserve">oseph, 2025). </w:t>
      </w:r>
      <w:r w:rsidR="00916342" w:rsidRPr="00916342">
        <w:rPr>
          <w:rFonts w:ascii="Arial" w:eastAsia="Times New Roman" w:hAnsi="Arial" w:cs="Arial"/>
          <w:kern w:val="0"/>
          <w:lang w:eastAsia="en-GB"/>
          <w14:ligatures w14:val="none"/>
        </w:rPr>
        <w:t xml:space="preserve">Care providers can create person-centred therapies that improve quality of life and lessen feelings </w:t>
      </w:r>
      <w:r w:rsidR="00916342" w:rsidRPr="00916342">
        <w:rPr>
          <w:rFonts w:ascii="Arial" w:eastAsia="Times New Roman" w:hAnsi="Arial" w:cs="Arial"/>
          <w:kern w:val="0"/>
          <w:lang w:eastAsia="en-GB"/>
          <w14:ligatures w14:val="none"/>
        </w:rPr>
        <w:lastRenderedPageBreak/>
        <w:t>of loneliness, depression, or anxiety by combining these theories to meet psychological, emotional, and behavioural needs. In the end, incorporating theory into practice guarantees that dementia care is both evidence-based and compassionate, promoting older individuals' dignity, respect, and meaningful engagement in care home settings.</w:t>
      </w:r>
    </w:p>
    <w:p w14:paraId="1A07E8A0" w14:textId="77777777" w:rsidR="00BD44C2" w:rsidRDefault="00BD44C2" w:rsidP="009A6361">
      <w:pPr>
        <w:spacing w:before="100" w:beforeAutospacing="1" w:after="100" w:afterAutospacing="1" w:line="240" w:lineRule="auto"/>
        <w:rPr>
          <w:rFonts w:ascii="Arial" w:hAnsi="Arial" w:cs="Arial"/>
          <w:color w:val="05103E"/>
        </w:rPr>
      </w:pPr>
    </w:p>
    <w:p w14:paraId="4748CAA0" w14:textId="3D00BA82" w:rsidR="00BD44C2" w:rsidRPr="00BD44C2" w:rsidRDefault="00BD44C2" w:rsidP="009A6361">
      <w:pPr>
        <w:spacing w:before="100" w:beforeAutospacing="1" w:after="100" w:afterAutospacing="1" w:line="240" w:lineRule="auto"/>
        <w:rPr>
          <w:rFonts w:ascii="Arial" w:hAnsi="Arial" w:cs="Arial"/>
          <w:b/>
          <w:bCs/>
          <w:color w:val="05103E"/>
          <w:u w:val="single"/>
        </w:rPr>
      </w:pPr>
      <w:r w:rsidRPr="00BD44C2">
        <w:rPr>
          <w:rFonts w:ascii="Arial" w:hAnsi="Arial" w:cs="Arial"/>
          <w:b/>
          <w:bCs/>
          <w:color w:val="05103E"/>
          <w:u w:val="single"/>
        </w:rPr>
        <w:t>Reference list:</w:t>
      </w:r>
    </w:p>
    <w:p w14:paraId="0F7A62F5" w14:textId="3C73F347" w:rsidR="009A6361" w:rsidRPr="00E85E04" w:rsidRDefault="009A6361" w:rsidP="009A6361">
      <w:pPr>
        <w:spacing w:before="100" w:beforeAutospacing="1" w:after="100" w:afterAutospacing="1" w:line="240" w:lineRule="auto"/>
        <w:rPr>
          <w:rFonts w:ascii="Arial" w:hAnsi="Arial" w:cs="Arial"/>
          <w:color w:val="05103E"/>
        </w:rPr>
      </w:pPr>
      <w:proofErr w:type="spellStart"/>
      <w:r w:rsidRPr="00E85E04">
        <w:rPr>
          <w:rFonts w:ascii="Arial" w:hAnsi="Arial" w:cs="Arial"/>
          <w:color w:val="05103E"/>
        </w:rPr>
        <w:t>MSEd</w:t>
      </w:r>
      <w:proofErr w:type="spellEnd"/>
      <w:r w:rsidRPr="00E85E04">
        <w:rPr>
          <w:rFonts w:ascii="Arial" w:hAnsi="Arial" w:cs="Arial"/>
          <w:color w:val="05103E"/>
        </w:rPr>
        <w:t>, K.C. (2024) </w:t>
      </w:r>
      <w:r w:rsidRPr="00E85E04">
        <w:rPr>
          <w:rFonts w:ascii="Arial" w:hAnsi="Arial" w:cs="Arial"/>
          <w:i/>
          <w:iCs/>
          <w:color w:val="05103E"/>
          <w:bdr w:val="single" w:sz="2" w:space="0" w:color="ECEDEE" w:frame="1"/>
        </w:rPr>
        <w:t>Erikson's Stages of Development</w:t>
      </w:r>
      <w:r w:rsidRPr="00E85E04">
        <w:rPr>
          <w:rFonts w:ascii="Arial" w:hAnsi="Arial" w:cs="Arial"/>
          <w:color w:val="05103E"/>
        </w:rPr>
        <w:t>. </w:t>
      </w:r>
      <w:hyperlink r:id="rId5" w:history="1">
        <w:r w:rsidRPr="00E85E04">
          <w:rPr>
            <w:rStyle w:val="Hyperlink"/>
            <w:rFonts w:ascii="Arial" w:hAnsi="Arial" w:cs="Arial"/>
            <w:bdr w:val="single" w:sz="2" w:space="0" w:color="ECEDEE" w:frame="1"/>
          </w:rPr>
          <w:t>https://www.verywellmind.com/erik-eriksons-stages-of-psychosocial-development-2795740</w:t>
        </w:r>
      </w:hyperlink>
      <w:r w:rsidRPr="00E85E04">
        <w:rPr>
          <w:rFonts w:ascii="Arial" w:hAnsi="Arial" w:cs="Arial"/>
          <w:color w:val="05103E"/>
        </w:rPr>
        <w:t>.</w:t>
      </w:r>
    </w:p>
    <w:p w14:paraId="7C07B848" w14:textId="39359B34" w:rsidR="00681751" w:rsidRPr="00E85E04" w:rsidRDefault="00681751" w:rsidP="009A6361">
      <w:pPr>
        <w:spacing w:before="100" w:beforeAutospacing="1" w:after="100" w:afterAutospacing="1" w:line="240" w:lineRule="auto"/>
        <w:rPr>
          <w:rFonts w:ascii="Arial" w:hAnsi="Arial" w:cs="Arial"/>
          <w:color w:val="05103E"/>
        </w:rPr>
      </w:pPr>
      <w:r w:rsidRPr="00E85E04">
        <w:rPr>
          <w:rFonts w:ascii="Arial" w:hAnsi="Arial" w:cs="Arial"/>
          <w:color w:val="05103E"/>
        </w:rPr>
        <w:t>Kumar, P. (2025) 'Embracing Integrity vs. Despair in Later Adulthood • Psychology Town,' </w:t>
      </w:r>
      <w:r w:rsidRPr="00E85E04">
        <w:rPr>
          <w:rFonts w:ascii="Arial" w:hAnsi="Arial" w:cs="Arial"/>
          <w:i/>
          <w:iCs/>
          <w:color w:val="05103E"/>
          <w:bdr w:val="single" w:sz="2" w:space="0" w:color="ECEDEE" w:frame="1"/>
        </w:rPr>
        <w:t>Psychology Town</w:t>
      </w:r>
      <w:r w:rsidRPr="00E85E04">
        <w:rPr>
          <w:rFonts w:ascii="Arial" w:hAnsi="Arial" w:cs="Arial"/>
          <w:color w:val="05103E"/>
        </w:rPr>
        <w:t>, 16 October. </w:t>
      </w:r>
      <w:hyperlink r:id="rId6" w:history="1">
        <w:r w:rsidRPr="00E85E04">
          <w:rPr>
            <w:rStyle w:val="Hyperlink"/>
            <w:rFonts w:ascii="Arial" w:hAnsi="Arial" w:cs="Arial"/>
            <w:bdr w:val="single" w:sz="2" w:space="0" w:color="ECEDEE" w:frame="1"/>
          </w:rPr>
          <w:t>https://psychology.town/developmental/embracing-integrity-despair-later-adulthood/</w:t>
        </w:r>
      </w:hyperlink>
      <w:r w:rsidRPr="00E85E04">
        <w:rPr>
          <w:rFonts w:ascii="Arial" w:hAnsi="Arial" w:cs="Arial"/>
          <w:color w:val="05103E"/>
        </w:rPr>
        <w:t>.</w:t>
      </w:r>
    </w:p>
    <w:p w14:paraId="714FAC8F" w14:textId="11E6D2C4" w:rsidR="00681751" w:rsidRPr="00E85E04" w:rsidRDefault="00681751" w:rsidP="009A6361">
      <w:pPr>
        <w:spacing w:before="100" w:beforeAutospacing="1" w:after="100" w:afterAutospacing="1" w:line="240" w:lineRule="auto"/>
        <w:rPr>
          <w:rFonts w:ascii="Arial" w:hAnsi="Arial" w:cs="Arial"/>
          <w:color w:val="05103E"/>
        </w:rPr>
      </w:pPr>
      <w:r w:rsidRPr="00E85E04">
        <w:rPr>
          <w:rFonts w:ascii="Arial" w:hAnsi="Arial" w:cs="Arial"/>
          <w:color w:val="05103E"/>
        </w:rPr>
        <w:t>Psychology, S. (2025) </w:t>
      </w:r>
      <w:r w:rsidRPr="00E85E04">
        <w:rPr>
          <w:rFonts w:ascii="Arial" w:hAnsi="Arial" w:cs="Arial"/>
          <w:i/>
          <w:iCs/>
          <w:color w:val="05103E"/>
          <w:bdr w:val="single" w:sz="2" w:space="0" w:color="ECEDEE" w:frame="1"/>
        </w:rPr>
        <w:t>Erik Erikson’s Stages of Psychosocial Development</w:t>
      </w:r>
      <w:r w:rsidRPr="00E85E04">
        <w:rPr>
          <w:rFonts w:ascii="Arial" w:hAnsi="Arial" w:cs="Arial"/>
          <w:color w:val="05103E"/>
        </w:rPr>
        <w:t>. </w:t>
      </w:r>
      <w:hyperlink r:id="rId7" w:anchor="Stage-8-Ego-Integrity-vs-Despair-65-Years" w:history="1">
        <w:r w:rsidRPr="00E85E04">
          <w:rPr>
            <w:rStyle w:val="Hyperlink"/>
            <w:rFonts w:ascii="Arial" w:hAnsi="Arial" w:cs="Arial"/>
            <w:bdr w:val="single" w:sz="2" w:space="0" w:color="ECEDEE" w:frame="1"/>
          </w:rPr>
          <w:t>https://www.simplypsychology.org/Erik.Erikson.html?utm_source=chatgpt.com#Stage-8-Ego-Integrity-vs-Despair-65-Years</w:t>
        </w:r>
      </w:hyperlink>
      <w:r w:rsidRPr="00E85E04">
        <w:rPr>
          <w:rFonts w:ascii="Arial" w:hAnsi="Arial" w:cs="Arial"/>
          <w:color w:val="05103E"/>
        </w:rPr>
        <w:t>.</w:t>
      </w:r>
    </w:p>
    <w:p w14:paraId="4F28F05B" w14:textId="3480D9C4" w:rsidR="00A3727D" w:rsidRPr="00E85E04" w:rsidRDefault="00A3727D" w:rsidP="009A6361">
      <w:pPr>
        <w:spacing w:before="100" w:beforeAutospacing="1" w:after="100" w:afterAutospacing="1" w:line="240" w:lineRule="auto"/>
        <w:rPr>
          <w:rFonts w:ascii="Arial" w:hAnsi="Arial" w:cs="Arial"/>
          <w:color w:val="05103E"/>
        </w:rPr>
      </w:pPr>
      <w:r w:rsidRPr="00E85E04">
        <w:rPr>
          <w:rFonts w:ascii="Arial" w:hAnsi="Arial" w:cs="Arial"/>
          <w:i/>
          <w:iCs/>
          <w:color w:val="05103E"/>
          <w:bdr w:val="single" w:sz="2" w:space="0" w:color="ECEDEE" w:frame="1"/>
        </w:rPr>
        <w:t>Depression and dementia</w:t>
      </w:r>
      <w:r w:rsidRPr="00E85E04">
        <w:rPr>
          <w:rFonts w:ascii="Arial" w:hAnsi="Arial" w:cs="Arial"/>
          <w:color w:val="05103E"/>
        </w:rPr>
        <w:t> (2025). </w:t>
      </w:r>
      <w:hyperlink r:id="rId8" w:history="1">
        <w:r w:rsidRPr="00E85E04">
          <w:rPr>
            <w:rStyle w:val="Hyperlink"/>
            <w:rFonts w:ascii="Arial" w:hAnsi="Arial" w:cs="Arial"/>
            <w:bdr w:val="single" w:sz="2" w:space="0" w:color="ECEDEE" w:frame="1"/>
          </w:rPr>
          <w:t>https://www.alzheimers.org.uk/about-dementia/stages-and-symptoms/depression-dementia?utm_source=chatgpt.com</w:t>
        </w:r>
      </w:hyperlink>
      <w:r w:rsidRPr="00E85E04">
        <w:rPr>
          <w:rFonts w:ascii="Arial" w:hAnsi="Arial" w:cs="Arial"/>
          <w:color w:val="05103E"/>
        </w:rPr>
        <w:t>.</w:t>
      </w:r>
    </w:p>
    <w:p w14:paraId="560925D5" w14:textId="188796AB" w:rsidR="00A3727D" w:rsidRPr="00E85E04" w:rsidRDefault="00222F88" w:rsidP="009A6361">
      <w:pPr>
        <w:spacing w:before="100" w:beforeAutospacing="1" w:after="100" w:afterAutospacing="1" w:line="240" w:lineRule="auto"/>
        <w:rPr>
          <w:rFonts w:ascii="Arial" w:hAnsi="Arial" w:cs="Arial"/>
          <w:color w:val="05103E"/>
        </w:rPr>
      </w:pPr>
      <w:r w:rsidRPr="00E85E04">
        <w:rPr>
          <w:rFonts w:ascii="Arial" w:hAnsi="Arial" w:cs="Arial"/>
          <w:color w:val="05103E"/>
        </w:rPr>
        <w:t>Website, N. (2025) </w:t>
      </w:r>
      <w:r w:rsidRPr="00E85E04">
        <w:rPr>
          <w:rFonts w:ascii="Arial" w:hAnsi="Arial" w:cs="Arial"/>
          <w:i/>
          <w:iCs/>
          <w:color w:val="05103E"/>
          <w:bdr w:val="single" w:sz="2" w:space="0" w:color="ECEDEE" w:frame="1"/>
        </w:rPr>
        <w:t>Living well with dementia</w:t>
      </w:r>
      <w:r w:rsidRPr="00E85E04">
        <w:rPr>
          <w:rFonts w:ascii="Arial" w:hAnsi="Arial" w:cs="Arial"/>
          <w:color w:val="05103E"/>
        </w:rPr>
        <w:t>. </w:t>
      </w:r>
      <w:hyperlink r:id="rId9" w:history="1">
        <w:r w:rsidRPr="00E85E04">
          <w:rPr>
            <w:rStyle w:val="Hyperlink"/>
            <w:rFonts w:ascii="Arial" w:hAnsi="Arial" w:cs="Arial"/>
            <w:bdr w:val="single" w:sz="2" w:space="0" w:color="ECEDEE" w:frame="1"/>
          </w:rPr>
          <w:t>https://www.nhs.uk/conditions/dementia/living-with-dementia/living-well/?utm_source=chatgpt.com</w:t>
        </w:r>
      </w:hyperlink>
      <w:r w:rsidRPr="00E85E04">
        <w:rPr>
          <w:rFonts w:ascii="Arial" w:hAnsi="Arial" w:cs="Arial"/>
          <w:color w:val="05103E"/>
        </w:rPr>
        <w:t>.</w:t>
      </w:r>
    </w:p>
    <w:p w14:paraId="5BF6CE10" w14:textId="362066CF" w:rsidR="00A8160B" w:rsidRPr="00E85E04" w:rsidRDefault="00FB2845" w:rsidP="009A6361">
      <w:pPr>
        <w:spacing w:before="100" w:beforeAutospacing="1" w:after="100" w:afterAutospacing="1" w:line="240" w:lineRule="auto"/>
        <w:rPr>
          <w:rFonts w:ascii="Arial" w:hAnsi="Arial" w:cs="Arial"/>
          <w:color w:val="05103E"/>
        </w:rPr>
      </w:pPr>
      <w:r w:rsidRPr="00E85E04">
        <w:rPr>
          <w:rFonts w:ascii="Arial" w:hAnsi="Arial" w:cs="Arial"/>
          <w:color w:val="05103E"/>
        </w:rPr>
        <w:t>World Health Organization: WHO and World Health Organization: WHO (2025) </w:t>
      </w:r>
      <w:r w:rsidRPr="00E85E04">
        <w:rPr>
          <w:rFonts w:ascii="Arial" w:hAnsi="Arial" w:cs="Arial"/>
          <w:i/>
          <w:iCs/>
          <w:color w:val="05103E"/>
          <w:bdr w:val="single" w:sz="2" w:space="0" w:color="ECEDEE" w:frame="1"/>
        </w:rPr>
        <w:t>Dementia</w:t>
      </w:r>
      <w:r w:rsidRPr="00E85E04">
        <w:rPr>
          <w:rFonts w:ascii="Arial" w:hAnsi="Arial" w:cs="Arial"/>
          <w:color w:val="05103E"/>
        </w:rPr>
        <w:t>. </w:t>
      </w:r>
      <w:hyperlink r:id="rId10" w:history="1">
        <w:r w:rsidRPr="00E85E04">
          <w:rPr>
            <w:rStyle w:val="Hyperlink"/>
            <w:rFonts w:ascii="Arial" w:hAnsi="Arial" w:cs="Arial"/>
            <w:bdr w:val="single" w:sz="2" w:space="0" w:color="ECEDEE" w:frame="1"/>
          </w:rPr>
          <w:t>https://www.who.int/news-room/fact-sheets/detail/dementia</w:t>
        </w:r>
      </w:hyperlink>
      <w:r w:rsidRPr="00E85E04">
        <w:rPr>
          <w:rFonts w:ascii="Arial" w:hAnsi="Arial" w:cs="Arial"/>
          <w:color w:val="05103E"/>
        </w:rPr>
        <w:t>.</w:t>
      </w:r>
    </w:p>
    <w:p w14:paraId="19FA6832" w14:textId="77777777" w:rsidR="00EC0CD5" w:rsidRPr="00E85E04" w:rsidRDefault="004C1EDF" w:rsidP="009A6361">
      <w:pPr>
        <w:spacing w:before="100" w:beforeAutospacing="1" w:after="100" w:afterAutospacing="1" w:line="240" w:lineRule="auto"/>
        <w:rPr>
          <w:rStyle w:val="url"/>
          <w:rFonts w:ascii="Arial" w:hAnsi="Arial" w:cs="Arial"/>
          <w:color w:val="05103E"/>
          <w:bdr w:val="single" w:sz="2" w:space="0" w:color="ECEDEE" w:frame="1"/>
        </w:rPr>
      </w:pPr>
      <w:r w:rsidRPr="00E85E04">
        <w:rPr>
          <w:rFonts w:ascii="Arial" w:hAnsi="Arial" w:cs="Arial"/>
          <w:color w:val="05103E"/>
        </w:rPr>
        <w:t>Wistreich, N. (2025) </w:t>
      </w:r>
      <w:r w:rsidRPr="00E85E04">
        <w:rPr>
          <w:rFonts w:ascii="Arial" w:hAnsi="Arial" w:cs="Arial"/>
          <w:i/>
          <w:iCs/>
          <w:color w:val="05103E"/>
          <w:bdr w:val="single" w:sz="2" w:space="0" w:color="ECEDEE" w:frame="1"/>
        </w:rPr>
        <w:t>Carl Rogers</w:t>
      </w:r>
      <w:r w:rsidRPr="00E85E04">
        <w:rPr>
          <w:rFonts w:ascii="Arial" w:hAnsi="Arial" w:cs="Arial"/>
          <w:color w:val="05103E"/>
        </w:rPr>
        <w:t>. </w:t>
      </w:r>
      <w:hyperlink r:id="rId11" w:history="1">
        <w:r w:rsidRPr="00E85E04">
          <w:rPr>
            <w:rStyle w:val="Hyperlink"/>
            <w:rFonts w:ascii="Arial" w:hAnsi="Arial" w:cs="Arial"/>
            <w:bdr w:val="single" w:sz="2" w:space="0" w:color="ECEDEE" w:frame="1"/>
          </w:rPr>
          <w:t>https://www.the-pca.org.uk/about/carl-rogers?utm_source=chatgpt.com</w:t>
        </w:r>
      </w:hyperlink>
    </w:p>
    <w:p w14:paraId="1C418528" w14:textId="2C7EDD3E" w:rsidR="0052595E" w:rsidRPr="00E85E04" w:rsidRDefault="00EC0CD5" w:rsidP="009A6361">
      <w:pPr>
        <w:spacing w:before="100" w:beforeAutospacing="1" w:after="100" w:afterAutospacing="1" w:line="240" w:lineRule="auto"/>
        <w:rPr>
          <w:rStyle w:val="url"/>
          <w:rFonts w:ascii="Arial" w:hAnsi="Arial" w:cs="Arial"/>
          <w:color w:val="05103E"/>
          <w:bdr w:val="single" w:sz="2" w:space="0" w:color="ECEDEE" w:frame="1"/>
        </w:rPr>
      </w:pPr>
      <w:r w:rsidRPr="00E85E04">
        <w:rPr>
          <w:rFonts w:ascii="Arial" w:hAnsi="Arial" w:cs="Arial"/>
          <w:i/>
          <w:iCs/>
          <w:color w:val="05103E"/>
          <w:bdr w:val="single" w:sz="2" w:space="0" w:color="ECEDEE" w:frame="1"/>
        </w:rPr>
        <w:t>Person centred approach | Kendal Therapy</w:t>
      </w:r>
      <w:r w:rsidRPr="00E85E04">
        <w:rPr>
          <w:rFonts w:ascii="Arial" w:hAnsi="Arial" w:cs="Arial"/>
          <w:color w:val="05103E"/>
        </w:rPr>
        <w:t> (no date). </w:t>
      </w:r>
      <w:hyperlink r:id="rId12" w:history="1">
        <w:r w:rsidRPr="00E85E04">
          <w:rPr>
            <w:rStyle w:val="Hyperlink"/>
            <w:rFonts w:ascii="Arial" w:hAnsi="Arial" w:cs="Arial"/>
            <w:bdr w:val="single" w:sz="2" w:space="0" w:color="ECEDEE" w:frame="1"/>
          </w:rPr>
          <w:t>https://www.kendaltherapy.com/person-centred-approach</w:t>
        </w:r>
      </w:hyperlink>
      <w:r w:rsidRPr="00E85E04">
        <w:rPr>
          <w:rStyle w:val="url"/>
          <w:rFonts w:ascii="Arial" w:hAnsi="Arial" w:cs="Arial"/>
          <w:color w:val="05103E"/>
          <w:bdr w:val="single" w:sz="2" w:space="0" w:color="ECEDEE" w:frame="1"/>
        </w:rPr>
        <w:t>?</w:t>
      </w:r>
    </w:p>
    <w:p w14:paraId="3DAEBBB6" w14:textId="14552107" w:rsidR="00B06E6C" w:rsidRDefault="00AE1B45" w:rsidP="009A6361">
      <w:pPr>
        <w:spacing w:before="100" w:beforeAutospacing="1" w:after="100" w:afterAutospacing="1" w:line="240" w:lineRule="auto"/>
        <w:rPr>
          <w:rFonts w:ascii="Arial" w:hAnsi="Arial" w:cs="Arial"/>
        </w:rPr>
      </w:pPr>
      <w:r w:rsidRPr="00E85E04">
        <w:rPr>
          <w:rFonts w:ascii="Arial" w:hAnsi="Arial" w:cs="Arial"/>
        </w:rPr>
        <w:t xml:space="preserve">Joseph, S.A. (2024) </w:t>
      </w:r>
      <w:r w:rsidRPr="00E85E04">
        <w:rPr>
          <w:rStyle w:val="Emphasis"/>
          <w:rFonts w:ascii="Arial" w:hAnsi="Arial" w:cs="Arial"/>
        </w:rPr>
        <w:t>The humanistic psychology of Carl Rogers: Understanding the person</w:t>
      </w:r>
      <w:r w:rsidRPr="00E85E04">
        <w:rPr>
          <w:rStyle w:val="Emphasis"/>
          <w:rFonts w:ascii="Arial" w:hAnsi="Arial" w:cs="Arial"/>
        </w:rPr>
        <w:noBreakHyphen/>
        <w:t>centred approach</w:t>
      </w:r>
      <w:r w:rsidRPr="00E85E04">
        <w:rPr>
          <w:rFonts w:ascii="Arial" w:hAnsi="Arial" w:cs="Arial"/>
        </w:rPr>
        <w:t>. Oxford University Press.</w:t>
      </w:r>
      <w:r w:rsidR="00B06E6C" w:rsidRPr="00E85E04">
        <w:rPr>
          <w:rFonts w:ascii="Arial" w:hAnsi="Arial" w:cs="Arial"/>
        </w:rPr>
        <w:t xml:space="preserve"> </w:t>
      </w:r>
      <w:hyperlink r:id="rId13" w:history="1">
        <w:r w:rsidR="00B06E6C" w:rsidRPr="00E85E04">
          <w:rPr>
            <w:rStyle w:val="Hyperlink"/>
            <w:rFonts w:ascii="Arial" w:hAnsi="Arial" w:cs="Arial"/>
          </w:rPr>
          <w:t>The Humanistic Psychology of Carl Rogers: Understanding the Person-</w:t>
        </w:r>
        <w:proofErr w:type="spellStart"/>
        <w:r w:rsidR="00B06E6C" w:rsidRPr="00E85E04">
          <w:rPr>
            <w:rStyle w:val="Hyperlink"/>
            <w:rFonts w:ascii="Arial" w:hAnsi="Arial" w:cs="Arial"/>
          </w:rPr>
          <w:t>Centered</w:t>
        </w:r>
        <w:proofErr w:type="spellEnd"/>
        <w:r w:rsidR="00B06E6C" w:rsidRPr="00E85E04">
          <w:rPr>
            <w:rStyle w:val="Hyperlink"/>
            <w:rFonts w:ascii="Arial" w:hAnsi="Arial" w:cs="Arial"/>
          </w:rPr>
          <w:t xml:space="preserve"> Approach | Oxford Academic</w:t>
        </w:r>
      </w:hyperlink>
    </w:p>
    <w:p w14:paraId="226AAB7F" w14:textId="435B85C7" w:rsidR="001E76B9" w:rsidRDefault="001E76B9" w:rsidP="009A6361">
      <w:pPr>
        <w:spacing w:before="100" w:beforeAutospacing="1" w:after="100" w:afterAutospacing="1" w:line="240" w:lineRule="auto"/>
        <w:rPr>
          <w:color w:val="05103E"/>
          <w:sz w:val="27"/>
          <w:szCs w:val="27"/>
        </w:rPr>
      </w:pPr>
      <w:r>
        <w:rPr>
          <w:color w:val="05103E"/>
          <w:sz w:val="27"/>
          <w:szCs w:val="27"/>
        </w:rPr>
        <w:t xml:space="preserve">Van Der </w:t>
      </w:r>
      <w:proofErr w:type="spellStart"/>
      <w:r>
        <w:rPr>
          <w:color w:val="05103E"/>
          <w:sz w:val="27"/>
          <w:szCs w:val="27"/>
        </w:rPr>
        <w:t>Kaap-Deeder</w:t>
      </w:r>
      <w:proofErr w:type="spellEnd"/>
      <w:r>
        <w:rPr>
          <w:color w:val="05103E"/>
          <w:sz w:val="27"/>
          <w:szCs w:val="27"/>
        </w:rPr>
        <w:t>, J. </w:t>
      </w:r>
      <w:r>
        <w:rPr>
          <w:i/>
          <w:iCs/>
          <w:color w:val="05103E"/>
          <w:sz w:val="27"/>
          <w:szCs w:val="27"/>
          <w:bdr w:val="single" w:sz="2" w:space="0" w:color="ECEDEE" w:frame="1"/>
        </w:rPr>
        <w:t>et al.</w:t>
      </w:r>
      <w:r>
        <w:rPr>
          <w:color w:val="05103E"/>
          <w:sz w:val="27"/>
          <w:szCs w:val="27"/>
        </w:rPr>
        <w:t> (2021) 'The role of ego integrity and despair in older adults’ well-being during the COVID-19 crisis: the mediating role of need-based experiences,' </w:t>
      </w:r>
      <w:r>
        <w:rPr>
          <w:i/>
          <w:iCs/>
          <w:color w:val="05103E"/>
          <w:sz w:val="27"/>
          <w:szCs w:val="27"/>
          <w:bdr w:val="single" w:sz="2" w:space="0" w:color="ECEDEE" w:frame="1"/>
        </w:rPr>
        <w:t>European Journal of Ageing</w:t>
      </w:r>
      <w:r>
        <w:rPr>
          <w:color w:val="05103E"/>
          <w:sz w:val="27"/>
          <w:szCs w:val="27"/>
        </w:rPr>
        <w:t>, 19(1), pp. 117–129. </w:t>
      </w:r>
      <w:hyperlink r:id="rId14" w:history="1">
        <w:r w:rsidRPr="00FC06ED">
          <w:rPr>
            <w:rStyle w:val="Hyperlink"/>
            <w:sz w:val="27"/>
            <w:szCs w:val="27"/>
            <w:bdr w:val="single" w:sz="2" w:space="0" w:color="ECEDEE" w:frame="1"/>
          </w:rPr>
          <w:t>https://doi.org/10.1007/s10433-021-00610-0</w:t>
        </w:r>
      </w:hyperlink>
      <w:r>
        <w:rPr>
          <w:color w:val="05103E"/>
          <w:sz w:val="27"/>
          <w:szCs w:val="27"/>
        </w:rPr>
        <w:t>.</w:t>
      </w:r>
    </w:p>
    <w:p w14:paraId="5F490A18" w14:textId="1269C7D1" w:rsidR="001E76B9" w:rsidRDefault="00BF29E8" w:rsidP="009A6361">
      <w:pPr>
        <w:spacing w:before="100" w:beforeAutospacing="1" w:after="100" w:afterAutospacing="1" w:line="240" w:lineRule="auto"/>
        <w:rPr>
          <w:color w:val="05103E"/>
          <w:sz w:val="27"/>
          <w:szCs w:val="27"/>
        </w:rPr>
      </w:pPr>
      <w:r>
        <w:rPr>
          <w:color w:val="05103E"/>
          <w:sz w:val="27"/>
          <w:szCs w:val="27"/>
        </w:rPr>
        <w:t>Kumar, P. (2025b) 'Embracing Integrity vs. Despair in Later Adulthood • Psychology Town,' </w:t>
      </w:r>
      <w:r>
        <w:rPr>
          <w:i/>
          <w:iCs/>
          <w:color w:val="05103E"/>
          <w:sz w:val="27"/>
          <w:szCs w:val="27"/>
          <w:bdr w:val="single" w:sz="2" w:space="0" w:color="ECEDEE" w:frame="1"/>
        </w:rPr>
        <w:t>Psychology Town</w:t>
      </w:r>
      <w:r>
        <w:rPr>
          <w:color w:val="05103E"/>
          <w:sz w:val="27"/>
          <w:szCs w:val="27"/>
        </w:rPr>
        <w:t>, 16 October. </w:t>
      </w:r>
      <w:hyperlink r:id="rId15" w:history="1">
        <w:r w:rsidRPr="00FC06ED">
          <w:rPr>
            <w:rStyle w:val="Hyperlink"/>
            <w:sz w:val="27"/>
            <w:szCs w:val="27"/>
            <w:bdr w:val="single" w:sz="2" w:space="0" w:color="ECEDEE" w:frame="1"/>
          </w:rPr>
          <w:t>https://psychology.town/developmental/embracing-integrity-despair-later-adulthood/</w:t>
        </w:r>
      </w:hyperlink>
      <w:r>
        <w:rPr>
          <w:color w:val="05103E"/>
          <w:sz w:val="27"/>
          <w:szCs w:val="27"/>
        </w:rPr>
        <w:t>.</w:t>
      </w:r>
    </w:p>
    <w:p w14:paraId="3CBC4B51" w14:textId="77777777" w:rsidR="00BF29E8" w:rsidRPr="00E85E04" w:rsidRDefault="00BF29E8" w:rsidP="009A6361">
      <w:pPr>
        <w:spacing w:before="100" w:beforeAutospacing="1" w:after="100" w:afterAutospacing="1" w:line="240" w:lineRule="auto"/>
        <w:rPr>
          <w:rFonts w:ascii="Arial" w:hAnsi="Arial" w:cs="Arial"/>
        </w:rPr>
      </w:pPr>
    </w:p>
    <w:p w14:paraId="4EEC528D" w14:textId="77777777" w:rsidR="00B06E6C" w:rsidRDefault="00B06E6C" w:rsidP="009A6361">
      <w:pPr>
        <w:spacing w:before="100" w:beforeAutospacing="1" w:after="100" w:afterAutospacing="1" w:line="240" w:lineRule="auto"/>
      </w:pPr>
    </w:p>
    <w:p w14:paraId="53BCEBBE" w14:textId="77777777" w:rsidR="00AE1B45" w:rsidRDefault="00AE1B45" w:rsidP="009A6361">
      <w:pPr>
        <w:spacing w:before="100" w:beforeAutospacing="1" w:after="100" w:afterAutospacing="1" w:line="240" w:lineRule="auto"/>
        <w:rPr>
          <w:rStyle w:val="url"/>
          <w:color w:val="05103E"/>
          <w:sz w:val="27"/>
          <w:szCs w:val="27"/>
          <w:bdr w:val="single" w:sz="2" w:space="0" w:color="ECEDEE" w:frame="1"/>
        </w:rPr>
      </w:pPr>
    </w:p>
    <w:p w14:paraId="1D86A293" w14:textId="77777777" w:rsidR="004C1EDF" w:rsidRDefault="004C1EDF" w:rsidP="009A6361">
      <w:pPr>
        <w:spacing w:before="100" w:beforeAutospacing="1" w:after="100" w:afterAutospacing="1" w:line="240" w:lineRule="auto"/>
        <w:rPr>
          <w:color w:val="05103E"/>
          <w:sz w:val="27"/>
          <w:szCs w:val="27"/>
        </w:rPr>
      </w:pPr>
    </w:p>
    <w:p w14:paraId="46A2F932" w14:textId="77777777" w:rsidR="00FB2845" w:rsidRDefault="00FB2845" w:rsidP="009A6361">
      <w:pPr>
        <w:spacing w:before="100" w:beforeAutospacing="1" w:after="100" w:afterAutospacing="1" w:line="240" w:lineRule="auto"/>
        <w:rPr>
          <w:color w:val="05103E"/>
          <w:sz w:val="27"/>
          <w:szCs w:val="27"/>
        </w:rPr>
      </w:pPr>
    </w:p>
    <w:p w14:paraId="2D1F26D8" w14:textId="77777777" w:rsidR="00DA7262" w:rsidRDefault="00DA7262" w:rsidP="009A6361">
      <w:pPr>
        <w:spacing w:before="100" w:beforeAutospacing="1" w:after="100" w:afterAutospacing="1" w:line="240" w:lineRule="auto"/>
        <w:rPr>
          <w:color w:val="05103E"/>
          <w:sz w:val="27"/>
          <w:szCs w:val="27"/>
        </w:rPr>
      </w:pPr>
    </w:p>
    <w:p w14:paraId="543D721E" w14:textId="7C02750C" w:rsidR="00C77EE9" w:rsidRDefault="00C77EE9"/>
    <w:sectPr w:rsidR="00C77E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BD2957"/>
    <w:multiLevelType w:val="multilevel"/>
    <w:tmpl w:val="2F0E8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176D55"/>
    <w:multiLevelType w:val="hybridMultilevel"/>
    <w:tmpl w:val="3A5A0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1F5F8F"/>
    <w:multiLevelType w:val="multilevel"/>
    <w:tmpl w:val="70B679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67602B"/>
    <w:multiLevelType w:val="multilevel"/>
    <w:tmpl w:val="38629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F23C0"/>
    <w:multiLevelType w:val="hybridMultilevel"/>
    <w:tmpl w:val="8DDCB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911845"/>
    <w:multiLevelType w:val="multilevel"/>
    <w:tmpl w:val="81949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1317C4"/>
    <w:multiLevelType w:val="multilevel"/>
    <w:tmpl w:val="C06C85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037C3E"/>
    <w:multiLevelType w:val="multilevel"/>
    <w:tmpl w:val="3878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682422">
    <w:abstractNumId w:val="5"/>
  </w:num>
  <w:num w:numId="2" w16cid:durableId="1588078702">
    <w:abstractNumId w:val="2"/>
  </w:num>
  <w:num w:numId="3" w16cid:durableId="1088693197">
    <w:abstractNumId w:val="6"/>
  </w:num>
  <w:num w:numId="4" w16cid:durableId="1476410530">
    <w:abstractNumId w:val="0"/>
  </w:num>
  <w:num w:numId="5" w16cid:durableId="734008873">
    <w:abstractNumId w:val="4"/>
  </w:num>
  <w:num w:numId="6" w16cid:durableId="1389451584">
    <w:abstractNumId w:val="3"/>
  </w:num>
  <w:num w:numId="7" w16cid:durableId="231741935">
    <w:abstractNumId w:val="1"/>
  </w:num>
  <w:num w:numId="8" w16cid:durableId="19830031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EE9"/>
    <w:rsid w:val="00007CAE"/>
    <w:rsid w:val="00023117"/>
    <w:rsid w:val="00046C20"/>
    <w:rsid w:val="00051B59"/>
    <w:rsid w:val="00051DE5"/>
    <w:rsid w:val="00053412"/>
    <w:rsid w:val="000806C6"/>
    <w:rsid w:val="000848AB"/>
    <w:rsid w:val="000A085F"/>
    <w:rsid w:val="000C00D4"/>
    <w:rsid w:val="000D46DC"/>
    <w:rsid w:val="000E0B44"/>
    <w:rsid w:val="00140DBE"/>
    <w:rsid w:val="00155470"/>
    <w:rsid w:val="00156B81"/>
    <w:rsid w:val="00163688"/>
    <w:rsid w:val="00172886"/>
    <w:rsid w:val="00182EB0"/>
    <w:rsid w:val="001C60DF"/>
    <w:rsid w:val="001D0362"/>
    <w:rsid w:val="001D7AD9"/>
    <w:rsid w:val="001E2996"/>
    <w:rsid w:val="001E6045"/>
    <w:rsid w:val="001E76B9"/>
    <w:rsid w:val="001F5B53"/>
    <w:rsid w:val="0020152B"/>
    <w:rsid w:val="00214C11"/>
    <w:rsid w:val="00222F88"/>
    <w:rsid w:val="002578DE"/>
    <w:rsid w:val="00286926"/>
    <w:rsid w:val="00290EA7"/>
    <w:rsid w:val="002C6EA8"/>
    <w:rsid w:val="002C7DBC"/>
    <w:rsid w:val="00302D00"/>
    <w:rsid w:val="00317C2D"/>
    <w:rsid w:val="00337586"/>
    <w:rsid w:val="00393C86"/>
    <w:rsid w:val="00396F42"/>
    <w:rsid w:val="003B7D75"/>
    <w:rsid w:val="00416AEE"/>
    <w:rsid w:val="00420CDE"/>
    <w:rsid w:val="00432925"/>
    <w:rsid w:val="004A2E7E"/>
    <w:rsid w:val="004A4232"/>
    <w:rsid w:val="004B4AB8"/>
    <w:rsid w:val="004B5A18"/>
    <w:rsid w:val="004C1EDF"/>
    <w:rsid w:val="004D1D9A"/>
    <w:rsid w:val="004E0B82"/>
    <w:rsid w:val="0052595E"/>
    <w:rsid w:val="00535D5A"/>
    <w:rsid w:val="00536ACA"/>
    <w:rsid w:val="00547014"/>
    <w:rsid w:val="00556F5A"/>
    <w:rsid w:val="005601AF"/>
    <w:rsid w:val="00567674"/>
    <w:rsid w:val="0058738F"/>
    <w:rsid w:val="00590985"/>
    <w:rsid w:val="005A543B"/>
    <w:rsid w:val="005C1C76"/>
    <w:rsid w:val="005D3853"/>
    <w:rsid w:val="005F7391"/>
    <w:rsid w:val="006209D6"/>
    <w:rsid w:val="00627CAD"/>
    <w:rsid w:val="00657F3C"/>
    <w:rsid w:val="00681751"/>
    <w:rsid w:val="00697CC5"/>
    <w:rsid w:val="006D1B49"/>
    <w:rsid w:val="00706EC5"/>
    <w:rsid w:val="0072110B"/>
    <w:rsid w:val="007456F7"/>
    <w:rsid w:val="00763C38"/>
    <w:rsid w:val="007E38C2"/>
    <w:rsid w:val="007E5FDB"/>
    <w:rsid w:val="007F68C9"/>
    <w:rsid w:val="0082088A"/>
    <w:rsid w:val="00850028"/>
    <w:rsid w:val="00897137"/>
    <w:rsid w:val="008B086E"/>
    <w:rsid w:val="008F7AC5"/>
    <w:rsid w:val="00916342"/>
    <w:rsid w:val="00921121"/>
    <w:rsid w:val="0092117E"/>
    <w:rsid w:val="009A3820"/>
    <w:rsid w:val="009A6361"/>
    <w:rsid w:val="009C07A0"/>
    <w:rsid w:val="009C7037"/>
    <w:rsid w:val="009D5272"/>
    <w:rsid w:val="009D7D0C"/>
    <w:rsid w:val="009F17D5"/>
    <w:rsid w:val="00A074AF"/>
    <w:rsid w:val="00A07A7D"/>
    <w:rsid w:val="00A13105"/>
    <w:rsid w:val="00A3477D"/>
    <w:rsid w:val="00A3727D"/>
    <w:rsid w:val="00A567AA"/>
    <w:rsid w:val="00A6274B"/>
    <w:rsid w:val="00A8160B"/>
    <w:rsid w:val="00AB2BF2"/>
    <w:rsid w:val="00AC239B"/>
    <w:rsid w:val="00AC619D"/>
    <w:rsid w:val="00AD2A35"/>
    <w:rsid w:val="00AE1B45"/>
    <w:rsid w:val="00AF649D"/>
    <w:rsid w:val="00B06E6C"/>
    <w:rsid w:val="00B33015"/>
    <w:rsid w:val="00B465D8"/>
    <w:rsid w:val="00B8055C"/>
    <w:rsid w:val="00B817CD"/>
    <w:rsid w:val="00B93837"/>
    <w:rsid w:val="00BB449D"/>
    <w:rsid w:val="00BC2580"/>
    <w:rsid w:val="00BD44C2"/>
    <w:rsid w:val="00BF29E8"/>
    <w:rsid w:val="00C066A0"/>
    <w:rsid w:val="00C2560D"/>
    <w:rsid w:val="00C657DC"/>
    <w:rsid w:val="00C72B92"/>
    <w:rsid w:val="00C77EE9"/>
    <w:rsid w:val="00C84379"/>
    <w:rsid w:val="00C96C05"/>
    <w:rsid w:val="00D11460"/>
    <w:rsid w:val="00D56CEF"/>
    <w:rsid w:val="00D722B2"/>
    <w:rsid w:val="00D778FF"/>
    <w:rsid w:val="00D86083"/>
    <w:rsid w:val="00DA7262"/>
    <w:rsid w:val="00DC0FB4"/>
    <w:rsid w:val="00DC4A6F"/>
    <w:rsid w:val="00E17143"/>
    <w:rsid w:val="00E23EB8"/>
    <w:rsid w:val="00E54F26"/>
    <w:rsid w:val="00E85E04"/>
    <w:rsid w:val="00E92CD4"/>
    <w:rsid w:val="00E95023"/>
    <w:rsid w:val="00EC0CD5"/>
    <w:rsid w:val="00FA4208"/>
    <w:rsid w:val="00FA5F08"/>
    <w:rsid w:val="00FB2845"/>
    <w:rsid w:val="00FB466F"/>
    <w:rsid w:val="00FB4921"/>
    <w:rsid w:val="00FD0F61"/>
    <w:rsid w:val="00FD2339"/>
    <w:rsid w:val="00FE66F0"/>
    <w:rsid w:val="00FE6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64698"/>
  <w15:chartTrackingRefBased/>
  <w15:docId w15:val="{06A7EB89-5272-4EB8-8048-323FDAA41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E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7E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77E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7E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7E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7E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E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E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E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E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7E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77E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7E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7E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7E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E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E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EE9"/>
    <w:rPr>
      <w:rFonts w:eastAsiaTheme="majorEastAsia" w:cstheme="majorBidi"/>
      <w:color w:val="272727" w:themeColor="text1" w:themeTint="D8"/>
    </w:rPr>
  </w:style>
  <w:style w:type="paragraph" w:styleId="Title">
    <w:name w:val="Title"/>
    <w:basedOn w:val="Normal"/>
    <w:next w:val="Normal"/>
    <w:link w:val="TitleChar"/>
    <w:uiPriority w:val="10"/>
    <w:qFormat/>
    <w:rsid w:val="00C77E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E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E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E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EE9"/>
    <w:pPr>
      <w:spacing w:before="160"/>
      <w:jc w:val="center"/>
    </w:pPr>
    <w:rPr>
      <w:i/>
      <w:iCs/>
      <w:color w:val="404040" w:themeColor="text1" w:themeTint="BF"/>
    </w:rPr>
  </w:style>
  <w:style w:type="character" w:customStyle="1" w:styleId="QuoteChar">
    <w:name w:val="Quote Char"/>
    <w:basedOn w:val="DefaultParagraphFont"/>
    <w:link w:val="Quote"/>
    <w:uiPriority w:val="29"/>
    <w:rsid w:val="00C77EE9"/>
    <w:rPr>
      <w:i/>
      <w:iCs/>
      <w:color w:val="404040" w:themeColor="text1" w:themeTint="BF"/>
    </w:rPr>
  </w:style>
  <w:style w:type="paragraph" w:styleId="ListParagraph">
    <w:name w:val="List Paragraph"/>
    <w:basedOn w:val="Normal"/>
    <w:uiPriority w:val="34"/>
    <w:qFormat/>
    <w:rsid w:val="00C77EE9"/>
    <w:pPr>
      <w:ind w:left="720"/>
      <w:contextualSpacing/>
    </w:pPr>
  </w:style>
  <w:style w:type="character" w:styleId="IntenseEmphasis">
    <w:name w:val="Intense Emphasis"/>
    <w:basedOn w:val="DefaultParagraphFont"/>
    <w:uiPriority w:val="21"/>
    <w:qFormat/>
    <w:rsid w:val="00C77EE9"/>
    <w:rPr>
      <w:i/>
      <w:iCs/>
      <w:color w:val="0F4761" w:themeColor="accent1" w:themeShade="BF"/>
    </w:rPr>
  </w:style>
  <w:style w:type="paragraph" w:styleId="IntenseQuote">
    <w:name w:val="Intense Quote"/>
    <w:basedOn w:val="Normal"/>
    <w:next w:val="Normal"/>
    <w:link w:val="IntenseQuoteChar"/>
    <w:uiPriority w:val="30"/>
    <w:qFormat/>
    <w:rsid w:val="00C77E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7EE9"/>
    <w:rPr>
      <w:i/>
      <w:iCs/>
      <w:color w:val="0F4761" w:themeColor="accent1" w:themeShade="BF"/>
    </w:rPr>
  </w:style>
  <w:style w:type="character" w:styleId="IntenseReference">
    <w:name w:val="Intense Reference"/>
    <w:basedOn w:val="DefaultParagraphFont"/>
    <w:uiPriority w:val="32"/>
    <w:qFormat/>
    <w:rsid w:val="00C77EE9"/>
    <w:rPr>
      <w:b/>
      <w:bCs/>
      <w:smallCaps/>
      <w:color w:val="0F4761" w:themeColor="accent1" w:themeShade="BF"/>
      <w:spacing w:val="5"/>
    </w:rPr>
  </w:style>
  <w:style w:type="paragraph" w:styleId="NormalWeb">
    <w:name w:val="Normal (Web)"/>
    <w:basedOn w:val="Normal"/>
    <w:uiPriority w:val="99"/>
    <w:unhideWhenUsed/>
    <w:rsid w:val="00C77EE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77EE9"/>
    <w:rPr>
      <w:b/>
      <w:bCs/>
    </w:rPr>
  </w:style>
  <w:style w:type="paragraph" w:customStyle="1" w:styleId="TableParagraph">
    <w:name w:val="Table Paragraph"/>
    <w:basedOn w:val="Normal"/>
    <w:uiPriority w:val="1"/>
    <w:qFormat/>
    <w:rsid w:val="00B817CD"/>
    <w:pPr>
      <w:widowControl w:val="0"/>
      <w:autoSpaceDE w:val="0"/>
      <w:autoSpaceDN w:val="0"/>
      <w:spacing w:after="0" w:line="240" w:lineRule="auto"/>
    </w:pPr>
    <w:rPr>
      <w:rFonts w:ascii="Arial" w:eastAsia="Arial" w:hAnsi="Arial" w:cs="Arial"/>
      <w:kern w:val="0"/>
      <w:lang w:val="en-US"/>
      <w14:ligatures w14:val="none"/>
    </w:rPr>
  </w:style>
  <w:style w:type="character" w:styleId="Emphasis">
    <w:name w:val="Emphasis"/>
    <w:basedOn w:val="DefaultParagraphFont"/>
    <w:uiPriority w:val="20"/>
    <w:qFormat/>
    <w:rsid w:val="00007CAE"/>
    <w:rPr>
      <w:i/>
      <w:iCs/>
    </w:rPr>
  </w:style>
  <w:style w:type="character" w:customStyle="1" w:styleId="url">
    <w:name w:val="url"/>
    <w:basedOn w:val="DefaultParagraphFont"/>
    <w:rsid w:val="009A6361"/>
  </w:style>
  <w:style w:type="character" w:styleId="Hyperlink">
    <w:name w:val="Hyperlink"/>
    <w:basedOn w:val="DefaultParagraphFont"/>
    <w:uiPriority w:val="99"/>
    <w:unhideWhenUsed/>
    <w:rsid w:val="009A6361"/>
    <w:rPr>
      <w:color w:val="467886" w:themeColor="hyperlink"/>
      <w:u w:val="single"/>
    </w:rPr>
  </w:style>
  <w:style w:type="character" w:styleId="UnresolvedMention">
    <w:name w:val="Unresolved Mention"/>
    <w:basedOn w:val="DefaultParagraphFont"/>
    <w:uiPriority w:val="99"/>
    <w:semiHidden/>
    <w:unhideWhenUsed/>
    <w:rsid w:val="009A6361"/>
    <w:rPr>
      <w:color w:val="605E5C"/>
      <w:shd w:val="clear" w:color="auto" w:fill="E1DFDD"/>
    </w:rPr>
  </w:style>
  <w:style w:type="character" w:styleId="FollowedHyperlink">
    <w:name w:val="FollowedHyperlink"/>
    <w:basedOn w:val="DefaultParagraphFont"/>
    <w:uiPriority w:val="99"/>
    <w:semiHidden/>
    <w:unhideWhenUsed/>
    <w:rsid w:val="00222F8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113194">
      <w:bodyDiv w:val="1"/>
      <w:marLeft w:val="0"/>
      <w:marRight w:val="0"/>
      <w:marTop w:val="0"/>
      <w:marBottom w:val="0"/>
      <w:divBdr>
        <w:top w:val="none" w:sz="0" w:space="0" w:color="auto"/>
        <w:left w:val="none" w:sz="0" w:space="0" w:color="auto"/>
        <w:bottom w:val="none" w:sz="0" w:space="0" w:color="auto"/>
        <w:right w:val="none" w:sz="0" w:space="0" w:color="auto"/>
      </w:divBdr>
    </w:div>
    <w:div w:id="301159171">
      <w:bodyDiv w:val="1"/>
      <w:marLeft w:val="0"/>
      <w:marRight w:val="0"/>
      <w:marTop w:val="0"/>
      <w:marBottom w:val="0"/>
      <w:divBdr>
        <w:top w:val="none" w:sz="0" w:space="0" w:color="auto"/>
        <w:left w:val="none" w:sz="0" w:space="0" w:color="auto"/>
        <w:bottom w:val="none" w:sz="0" w:space="0" w:color="auto"/>
        <w:right w:val="none" w:sz="0" w:space="0" w:color="auto"/>
      </w:divBdr>
    </w:div>
    <w:div w:id="303048034">
      <w:bodyDiv w:val="1"/>
      <w:marLeft w:val="0"/>
      <w:marRight w:val="0"/>
      <w:marTop w:val="0"/>
      <w:marBottom w:val="0"/>
      <w:divBdr>
        <w:top w:val="none" w:sz="0" w:space="0" w:color="auto"/>
        <w:left w:val="none" w:sz="0" w:space="0" w:color="auto"/>
        <w:bottom w:val="none" w:sz="0" w:space="0" w:color="auto"/>
        <w:right w:val="none" w:sz="0" w:space="0" w:color="auto"/>
      </w:divBdr>
    </w:div>
    <w:div w:id="371540141">
      <w:bodyDiv w:val="1"/>
      <w:marLeft w:val="0"/>
      <w:marRight w:val="0"/>
      <w:marTop w:val="0"/>
      <w:marBottom w:val="0"/>
      <w:divBdr>
        <w:top w:val="none" w:sz="0" w:space="0" w:color="auto"/>
        <w:left w:val="none" w:sz="0" w:space="0" w:color="auto"/>
        <w:bottom w:val="none" w:sz="0" w:space="0" w:color="auto"/>
        <w:right w:val="none" w:sz="0" w:space="0" w:color="auto"/>
      </w:divBdr>
    </w:div>
    <w:div w:id="616062942">
      <w:bodyDiv w:val="1"/>
      <w:marLeft w:val="0"/>
      <w:marRight w:val="0"/>
      <w:marTop w:val="0"/>
      <w:marBottom w:val="0"/>
      <w:divBdr>
        <w:top w:val="none" w:sz="0" w:space="0" w:color="auto"/>
        <w:left w:val="none" w:sz="0" w:space="0" w:color="auto"/>
        <w:bottom w:val="none" w:sz="0" w:space="0" w:color="auto"/>
        <w:right w:val="none" w:sz="0" w:space="0" w:color="auto"/>
      </w:divBdr>
    </w:div>
    <w:div w:id="682902800">
      <w:bodyDiv w:val="1"/>
      <w:marLeft w:val="0"/>
      <w:marRight w:val="0"/>
      <w:marTop w:val="0"/>
      <w:marBottom w:val="0"/>
      <w:divBdr>
        <w:top w:val="none" w:sz="0" w:space="0" w:color="auto"/>
        <w:left w:val="none" w:sz="0" w:space="0" w:color="auto"/>
        <w:bottom w:val="none" w:sz="0" w:space="0" w:color="auto"/>
        <w:right w:val="none" w:sz="0" w:space="0" w:color="auto"/>
      </w:divBdr>
    </w:div>
    <w:div w:id="708842585">
      <w:bodyDiv w:val="1"/>
      <w:marLeft w:val="0"/>
      <w:marRight w:val="0"/>
      <w:marTop w:val="0"/>
      <w:marBottom w:val="0"/>
      <w:divBdr>
        <w:top w:val="none" w:sz="0" w:space="0" w:color="auto"/>
        <w:left w:val="none" w:sz="0" w:space="0" w:color="auto"/>
        <w:bottom w:val="none" w:sz="0" w:space="0" w:color="auto"/>
        <w:right w:val="none" w:sz="0" w:space="0" w:color="auto"/>
      </w:divBdr>
    </w:div>
    <w:div w:id="776293331">
      <w:bodyDiv w:val="1"/>
      <w:marLeft w:val="0"/>
      <w:marRight w:val="0"/>
      <w:marTop w:val="0"/>
      <w:marBottom w:val="0"/>
      <w:divBdr>
        <w:top w:val="none" w:sz="0" w:space="0" w:color="auto"/>
        <w:left w:val="none" w:sz="0" w:space="0" w:color="auto"/>
        <w:bottom w:val="none" w:sz="0" w:space="0" w:color="auto"/>
        <w:right w:val="none" w:sz="0" w:space="0" w:color="auto"/>
      </w:divBdr>
    </w:div>
    <w:div w:id="781648939">
      <w:bodyDiv w:val="1"/>
      <w:marLeft w:val="0"/>
      <w:marRight w:val="0"/>
      <w:marTop w:val="0"/>
      <w:marBottom w:val="0"/>
      <w:divBdr>
        <w:top w:val="none" w:sz="0" w:space="0" w:color="auto"/>
        <w:left w:val="none" w:sz="0" w:space="0" w:color="auto"/>
        <w:bottom w:val="none" w:sz="0" w:space="0" w:color="auto"/>
        <w:right w:val="none" w:sz="0" w:space="0" w:color="auto"/>
      </w:divBdr>
    </w:div>
    <w:div w:id="809638849">
      <w:bodyDiv w:val="1"/>
      <w:marLeft w:val="0"/>
      <w:marRight w:val="0"/>
      <w:marTop w:val="0"/>
      <w:marBottom w:val="0"/>
      <w:divBdr>
        <w:top w:val="none" w:sz="0" w:space="0" w:color="auto"/>
        <w:left w:val="none" w:sz="0" w:space="0" w:color="auto"/>
        <w:bottom w:val="none" w:sz="0" w:space="0" w:color="auto"/>
        <w:right w:val="none" w:sz="0" w:space="0" w:color="auto"/>
      </w:divBdr>
    </w:div>
    <w:div w:id="840387835">
      <w:bodyDiv w:val="1"/>
      <w:marLeft w:val="0"/>
      <w:marRight w:val="0"/>
      <w:marTop w:val="0"/>
      <w:marBottom w:val="0"/>
      <w:divBdr>
        <w:top w:val="none" w:sz="0" w:space="0" w:color="auto"/>
        <w:left w:val="none" w:sz="0" w:space="0" w:color="auto"/>
        <w:bottom w:val="none" w:sz="0" w:space="0" w:color="auto"/>
        <w:right w:val="none" w:sz="0" w:space="0" w:color="auto"/>
      </w:divBdr>
    </w:div>
    <w:div w:id="938027191">
      <w:bodyDiv w:val="1"/>
      <w:marLeft w:val="0"/>
      <w:marRight w:val="0"/>
      <w:marTop w:val="0"/>
      <w:marBottom w:val="0"/>
      <w:divBdr>
        <w:top w:val="none" w:sz="0" w:space="0" w:color="auto"/>
        <w:left w:val="none" w:sz="0" w:space="0" w:color="auto"/>
        <w:bottom w:val="none" w:sz="0" w:space="0" w:color="auto"/>
        <w:right w:val="none" w:sz="0" w:space="0" w:color="auto"/>
      </w:divBdr>
    </w:div>
    <w:div w:id="1070931142">
      <w:bodyDiv w:val="1"/>
      <w:marLeft w:val="0"/>
      <w:marRight w:val="0"/>
      <w:marTop w:val="0"/>
      <w:marBottom w:val="0"/>
      <w:divBdr>
        <w:top w:val="none" w:sz="0" w:space="0" w:color="auto"/>
        <w:left w:val="none" w:sz="0" w:space="0" w:color="auto"/>
        <w:bottom w:val="none" w:sz="0" w:space="0" w:color="auto"/>
        <w:right w:val="none" w:sz="0" w:space="0" w:color="auto"/>
      </w:divBdr>
    </w:div>
    <w:div w:id="1148323370">
      <w:bodyDiv w:val="1"/>
      <w:marLeft w:val="0"/>
      <w:marRight w:val="0"/>
      <w:marTop w:val="0"/>
      <w:marBottom w:val="0"/>
      <w:divBdr>
        <w:top w:val="none" w:sz="0" w:space="0" w:color="auto"/>
        <w:left w:val="none" w:sz="0" w:space="0" w:color="auto"/>
        <w:bottom w:val="none" w:sz="0" w:space="0" w:color="auto"/>
        <w:right w:val="none" w:sz="0" w:space="0" w:color="auto"/>
      </w:divBdr>
    </w:div>
    <w:div w:id="1168980362">
      <w:bodyDiv w:val="1"/>
      <w:marLeft w:val="0"/>
      <w:marRight w:val="0"/>
      <w:marTop w:val="0"/>
      <w:marBottom w:val="0"/>
      <w:divBdr>
        <w:top w:val="none" w:sz="0" w:space="0" w:color="auto"/>
        <w:left w:val="none" w:sz="0" w:space="0" w:color="auto"/>
        <w:bottom w:val="none" w:sz="0" w:space="0" w:color="auto"/>
        <w:right w:val="none" w:sz="0" w:space="0" w:color="auto"/>
      </w:divBdr>
    </w:div>
    <w:div w:id="1181122066">
      <w:bodyDiv w:val="1"/>
      <w:marLeft w:val="0"/>
      <w:marRight w:val="0"/>
      <w:marTop w:val="0"/>
      <w:marBottom w:val="0"/>
      <w:divBdr>
        <w:top w:val="none" w:sz="0" w:space="0" w:color="auto"/>
        <w:left w:val="none" w:sz="0" w:space="0" w:color="auto"/>
        <w:bottom w:val="none" w:sz="0" w:space="0" w:color="auto"/>
        <w:right w:val="none" w:sz="0" w:space="0" w:color="auto"/>
      </w:divBdr>
    </w:div>
    <w:div w:id="1194926566">
      <w:bodyDiv w:val="1"/>
      <w:marLeft w:val="0"/>
      <w:marRight w:val="0"/>
      <w:marTop w:val="0"/>
      <w:marBottom w:val="0"/>
      <w:divBdr>
        <w:top w:val="none" w:sz="0" w:space="0" w:color="auto"/>
        <w:left w:val="none" w:sz="0" w:space="0" w:color="auto"/>
        <w:bottom w:val="none" w:sz="0" w:space="0" w:color="auto"/>
        <w:right w:val="none" w:sz="0" w:space="0" w:color="auto"/>
      </w:divBdr>
    </w:div>
    <w:div w:id="1247422349">
      <w:bodyDiv w:val="1"/>
      <w:marLeft w:val="0"/>
      <w:marRight w:val="0"/>
      <w:marTop w:val="0"/>
      <w:marBottom w:val="0"/>
      <w:divBdr>
        <w:top w:val="none" w:sz="0" w:space="0" w:color="auto"/>
        <w:left w:val="none" w:sz="0" w:space="0" w:color="auto"/>
        <w:bottom w:val="none" w:sz="0" w:space="0" w:color="auto"/>
        <w:right w:val="none" w:sz="0" w:space="0" w:color="auto"/>
      </w:divBdr>
    </w:div>
    <w:div w:id="1273826541">
      <w:bodyDiv w:val="1"/>
      <w:marLeft w:val="0"/>
      <w:marRight w:val="0"/>
      <w:marTop w:val="0"/>
      <w:marBottom w:val="0"/>
      <w:divBdr>
        <w:top w:val="none" w:sz="0" w:space="0" w:color="auto"/>
        <w:left w:val="none" w:sz="0" w:space="0" w:color="auto"/>
        <w:bottom w:val="none" w:sz="0" w:space="0" w:color="auto"/>
        <w:right w:val="none" w:sz="0" w:space="0" w:color="auto"/>
      </w:divBdr>
    </w:div>
    <w:div w:id="1282221966">
      <w:bodyDiv w:val="1"/>
      <w:marLeft w:val="0"/>
      <w:marRight w:val="0"/>
      <w:marTop w:val="0"/>
      <w:marBottom w:val="0"/>
      <w:divBdr>
        <w:top w:val="none" w:sz="0" w:space="0" w:color="auto"/>
        <w:left w:val="none" w:sz="0" w:space="0" w:color="auto"/>
        <w:bottom w:val="none" w:sz="0" w:space="0" w:color="auto"/>
        <w:right w:val="none" w:sz="0" w:space="0" w:color="auto"/>
      </w:divBdr>
    </w:div>
    <w:div w:id="1451708284">
      <w:bodyDiv w:val="1"/>
      <w:marLeft w:val="0"/>
      <w:marRight w:val="0"/>
      <w:marTop w:val="0"/>
      <w:marBottom w:val="0"/>
      <w:divBdr>
        <w:top w:val="none" w:sz="0" w:space="0" w:color="auto"/>
        <w:left w:val="none" w:sz="0" w:space="0" w:color="auto"/>
        <w:bottom w:val="none" w:sz="0" w:space="0" w:color="auto"/>
        <w:right w:val="none" w:sz="0" w:space="0" w:color="auto"/>
      </w:divBdr>
    </w:div>
    <w:div w:id="1464689289">
      <w:bodyDiv w:val="1"/>
      <w:marLeft w:val="0"/>
      <w:marRight w:val="0"/>
      <w:marTop w:val="0"/>
      <w:marBottom w:val="0"/>
      <w:divBdr>
        <w:top w:val="none" w:sz="0" w:space="0" w:color="auto"/>
        <w:left w:val="none" w:sz="0" w:space="0" w:color="auto"/>
        <w:bottom w:val="none" w:sz="0" w:space="0" w:color="auto"/>
        <w:right w:val="none" w:sz="0" w:space="0" w:color="auto"/>
      </w:divBdr>
    </w:div>
    <w:div w:id="1503357605">
      <w:bodyDiv w:val="1"/>
      <w:marLeft w:val="0"/>
      <w:marRight w:val="0"/>
      <w:marTop w:val="0"/>
      <w:marBottom w:val="0"/>
      <w:divBdr>
        <w:top w:val="none" w:sz="0" w:space="0" w:color="auto"/>
        <w:left w:val="none" w:sz="0" w:space="0" w:color="auto"/>
        <w:bottom w:val="none" w:sz="0" w:space="0" w:color="auto"/>
        <w:right w:val="none" w:sz="0" w:space="0" w:color="auto"/>
      </w:divBdr>
    </w:div>
    <w:div w:id="1803962829">
      <w:bodyDiv w:val="1"/>
      <w:marLeft w:val="0"/>
      <w:marRight w:val="0"/>
      <w:marTop w:val="0"/>
      <w:marBottom w:val="0"/>
      <w:divBdr>
        <w:top w:val="none" w:sz="0" w:space="0" w:color="auto"/>
        <w:left w:val="none" w:sz="0" w:space="0" w:color="auto"/>
        <w:bottom w:val="none" w:sz="0" w:space="0" w:color="auto"/>
        <w:right w:val="none" w:sz="0" w:space="0" w:color="auto"/>
      </w:divBdr>
    </w:div>
    <w:div w:id="1811248355">
      <w:bodyDiv w:val="1"/>
      <w:marLeft w:val="0"/>
      <w:marRight w:val="0"/>
      <w:marTop w:val="0"/>
      <w:marBottom w:val="0"/>
      <w:divBdr>
        <w:top w:val="none" w:sz="0" w:space="0" w:color="auto"/>
        <w:left w:val="none" w:sz="0" w:space="0" w:color="auto"/>
        <w:bottom w:val="none" w:sz="0" w:space="0" w:color="auto"/>
        <w:right w:val="none" w:sz="0" w:space="0" w:color="auto"/>
      </w:divBdr>
    </w:div>
    <w:div w:id="1817334629">
      <w:bodyDiv w:val="1"/>
      <w:marLeft w:val="0"/>
      <w:marRight w:val="0"/>
      <w:marTop w:val="0"/>
      <w:marBottom w:val="0"/>
      <w:divBdr>
        <w:top w:val="none" w:sz="0" w:space="0" w:color="auto"/>
        <w:left w:val="none" w:sz="0" w:space="0" w:color="auto"/>
        <w:bottom w:val="none" w:sz="0" w:space="0" w:color="auto"/>
        <w:right w:val="none" w:sz="0" w:space="0" w:color="auto"/>
      </w:divBdr>
    </w:div>
    <w:div w:id="1880432392">
      <w:bodyDiv w:val="1"/>
      <w:marLeft w:val="0"/>
      <w:marRight w:val="0"/>
      <w:marTop w:val="0"/>
      <w:marBottom w:val="0"/>
      <w:divBdr>
        <w:top w:val="none" w:sz="0" w:space="0" w:color="auto"/>
        <w:left w:val="none" w:sz="0" w:space="0" w:color="auto"/>
        <w:bottom w:val="none" w:sz="0" w:space="0" w:color="auto"/>
        <w:right w:val="none" w:sz="0" w:space="0" w:color="auto"/>
      </w:divBdr>
    </w:div>
    <w:div w:id="1893998094">
      <w:bodyDiv w:val="1"/>
      <w:marLeft w:val="0"/>
      <w:marRight w:val="0"/>
      <w:marTop w:val="0"/>
      <w:marBottom w:val="0"/>
      <w:divBdr>
        <w:top w:val="none" w:sz="0" w:space="0" w:color="auto"/>
        <w:left w:val="none" w:sz="0" w:space="0" w:color="auto"/>
        <w:bottom w:val="none" w:sz="0" w:space="0" w:color="auto"/>
        <w:right w:val="none" w:sz="0" w:space="0" w:color="auto"/>
      </w:divBdr>
    </w:div>
    <w:div w:id="1915622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dementia/stages-and-symptoms/depression-dementia?utm_source=chatgpt.com" TargetMode="External"/><Relationship Id="rId13" Type="http://schemas.openxmlformats.org/officeDocument/2006/relationships/hyperlink" Target="https://academic.oup.com/book/60464" TargetMode="External"/><Relationship Id="rId3" Type="http://schemas.openxmlformats.org/officeDocument/2006/relationships/settings" Target="settings.xml"/><Relationship Id="rId7" Type="http://schemas.openxmlformats.org/officeDocument/2006/relationships/hyperlink" Target="https://www.simplypsychology.org/Erik.Erikson.html?utm_source=chatgpt.com" TargetMode="External"/><Relationship Id="rId12" Type="http://schemas.openxmlformats.org/officeDocument/2006/relationships/hyperlink" Target="https://www.kendaltherapy.com/person-centred-approac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psychology.town/developmental/embracing-integrity-despair-later-adulthood/" TargetMode="External"/><Relationship Id="rId11" Type="http://schemas.openxmlformats.org/officeDocument/2006/relationships/hyperlink" Target="https://www.the-pca.org.uk/about/carl-rogers?utm_source=chatgpt.com" TargetMode="External"/><Relationship Id="rId5" Type="http://schemas.openxmlformats.org/officeDocument/2006/relationships/hyperlink" Target="https://www.verywellmind.com/erik-eriksons-stages-of-psychosocial-development-2795740" TargetMode="External"/><Relationship Id="rId15" Type="http://schemas.openxmlformats.org/officeDocument/2006/relationships/hyperlink" Target="https://psychology.town/developmental/embracing-integrity-despair-later-adulthood/" TargetMode="External"/><Relationship Id="rId10" Type="http://schemas.openxmlformats.org/officeDocument/2006/relationships/hyperlink" Target="https://www.who.int/news-room/fact-sheets/detail/dementia" TargetMode="External"/><Relationship Id="rId4" Type="http://schemas.openxmlformats.org/officeDocument/2006/relationships/webSettings" Target="webSettings.xml"/><Relationship Id="rId9" Type="http://schemas.openxmlformats.org/officeDocument/2006/relationships/hyperlink" Target="https://www.nhs.uk/conditions/dementia/living-with-dementia/living-well/?utm_source=chatgpt.com" TargetMode="External"/><Relationship Id="rId14" Type="http://schemas.openxmlformats.org/officeDocument/2006/relationships/hyperlink" Target="https://doi.org/10.1007/s10433-021-006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380</TotalTime>
  <Pages>1</Pages>
  <Words>2128</Words>
  <Characters>12134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chohan</dc:creator>
  <cp:keywords/>
  <dc:description/>
  <cp:lastModifiedBy>maria chohan</cp:lastModifiedBy>
  <cp:revision>139</cp:revision>
  <dcterms:created xsi:type="dcterms:W3CDTF">2025-10-29T00:47:00Z</dcterms:created>
  <dcterms:modified xsi:type="dcterms:W3CDTF">2025-11-15T23:33:00Z</dcterms:modified>
</cp:coreProperties>
</file>