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FC6" w:rsidRDefault="00674FC6" w:rsidP="00674FC6">
      <w:pPr>
        <w:rPr>
          <w:rFonts w:ascii="Tahoma" w:eastAsia="Times" w:hAnsi="Tahoma"/>
          <w:b/>
          <w:i/>
          <w:smallCaps/>
          <w:u w:val="single"/>
          <w:lang w:eastAsia="en-GB"/>
        </w:rPr>
      </w:pPr>
      <w:r>
        <w:rPr>
          <w:rFonts w:ascii="Tahoma" w:eastAsia="Times" w:hAnsi="Tahoma"/>
          <w:b/>
          <w:i/>
          <w:smallCaps/>
          <w:u w:val="single"/>
          <w:lang w:eastAsia="en-GB"/>
        </w:rPr>
        <w:t xml:space="preserve">Philosophy of Religion </w:t>
      </w:r>
    </w:p>
    <w:p w:rsidR="00674FC6" w:rsidRDefault="00674FC6" w:rsidP="00674FC6">
      <w:pPr>
        <w:rPr>
          <w:rFonts w:ascii="Tahoma" w:eastAsia="Times" w:hAnsi="Tahoma"/>
          <w:lang w:eastAsia="en-GB"/>
        </w:rPr>
      </w:pPr>
    </w:p>
    <w:p w:rsidR="00674FC6" w:rsidRDefault="00674FC6" w:rsidP="00674FC6">
      <w:pPr>
        <w:rPr>
          <w:rFonts w:ascii="Tahoma" w:eastAsia="Times" w:hAnsi="Tahoma"/>
          <w:lang w:eastAsia="en-GB"/>
        </w:rPr>
      </w:pPr>
    </w:p>
    <w:p w:rsidR="00674FC6" w:rsidRDefault="00674FC6" w:rsidP="00674FC6">
      <w:pPr>
        <w:spacing w:line="360" w:lineRule="auto"/>
        <w:jc w:val="both"/>
        <w:rPr>
          <w:rFonts w:ascii="Tahoma" w:eastAsia="Times" w:hAnsi="Tahoma"/>
          <w:lang w:eastAsia="en-GB"/>
        </w:rPr>
      </w:pPr>
      <w:r>
        <w:rPr>
          <w:rFonts w:ascii="Tahoma" w:eastAsia="Times" w:hAnsi="Tahoma"/>
          <w:lang w:eastAsia="en-GB"/>
        </w:rPr>
        <w:tab/>
        <w:t>More than any other approach to studying religions discussed here, the Philosophical one is most intimately connected to Theology.  As such, it occupies an ambiguous place in contemporary Religious Studies which, as we have seen, emphasises the social, functional, psychological, and neurological aspects of religion.  The question of religions being ‘true’ or not is usually avoided by Religious Studies, and even seen as irrelevant.</w:t>
      </w:r>
    </w:p>
    <w:p w:rsidR="00674FC6" w:rsidRDefault="00674FC6" w:rsidP="00674FC6">
      <w:pPr>
        <w:spacing w:line="360" w:lineRule="auto"/>
        <w:jc w:val="both"/>
        <w:rPr>
          <w:rFonts w:ascii="Tahoma" w:eastAsia="Times" w:hAnsi="Tahoma"/>
          <w:lang w:eastAsia="en-GB"/>
        </w:rPr>
      </w:pPr>
      <w:r>
        <w:rPr>
          <w:rFonts w:ascii="Tahoma" w:eastAsia="Times" w:hAnsi="Tahoma"/>
          <w:lang w:eastAsia="en-GB"/>
        </w:rPr>
        <w:t xml:space="preserve"> </w:t>
      </w:r>
      <w:r>
        <w:rPr>
          <w:rFonts w:ascii="Tahoma" w:eastAsia="Times" w:hAnsi="Tahoma"/>
          <w:lang w:eastAsia="en-GB"/>
        </w:rPr>
        <w:tab/>
        <w:t xml:space="preserve">The Philosophy of Religion, however, involves engaging directly with how religions approach philosophical issues, such as theodicy, the existence of gods, the soul, our ultimate origins and the meaning of life, and the concept of life after death.  This can be done with a single religion, or with more than one religion in comparative approaches.  One might, for example, explore the idea of karma in Hindu </w:t>
      </w:r>
      <w:proofErr w:type="spellStart"/>
      <w:r>
        <w:rPr>
          <w:rFonts w:ascii="Tahoma" w:eastAsia="Times" w:hAnsi="Tahoma"/>
          <w:lang w:eastAsia="en-GB"/>
        </w:rPr>
        <w:t>Vedantic</w:t>
      </w:r>
      <w:proofErr w:type="spellEnd"/>
      <w:r>
        <w:rPr>
          <w:rFonts w:ascii="Tahoma" w:eastAsia="Times" w:hAnsi="Tahoma"/>
          <w:lang w:eastAsia="en-GB"/>
        </w:rPr>
        <w:t xml:space="preserve"> texts; or one might compare how such ideas compare with Buddhist notions of karma; or indeed how the concept of karma in general compares with the Western monotheistic conceptions of how a person’s behaviour affects his or her ultimate fate.</w:t>
      </w:r>
    </w:p>
    <w:p w:rsidR="00674FC6" w:rsidRDefault="00674FC6" w:rsidP="00674FC6">
      <w:pPr>
        <w:spacing w:line="360" w:lineRule="auto"/>
        <w:jc w:val="both"/>
        <w:rPr>
          <w:rFonts w:ascii="Tahoma" w:eastAsia="Times" w:hAnsi="Tahoma"/>
          <w:lang w:eastAsia="en-GB"/>
        </w:rPr>
      </w:pPr>
      <w:r>
        <w:rPr>
          <w:rFonts w:ascii="Tahoma" w:eastAsia="Times" w:hAnsi="Tahoma"/>
          <w:lang w:eastAsia="en-GB"/>
        </w:rPr>
        <w:tab/>
        <w:t xml:space="preserve">However, the goal of the Philosophy of Religion is not to understand the social or historical context of religious philosophies, or how the brain models philosophical concepts, or what their function may be in a society.  What makes the Philosophical approach more akin to Theology than to contemporary Religious Studies is that it makes assessments and judgements regarding a religion’s ability to satisfactorily resolve metaphysical </w:t>
      </w:r>
      <w:proofErr w:type="gramStart"/>
      <w:r>
        <w:rPr>
          <w:rFonts w:ascii="Tahoma" w:eastAsia="Times" w:hAnsi="Tahoma"/>
          <w:lang w:eastAsia="en-GB"/>
        </w:rPr>
        <w:t>questions.</w:t>
      </w:r>
      <w:proofErr w:type="gramEnd"/>
      <w:r>
        <w:rPr>
          <w:rFonts w:ascii="Tahoma" w:eastAsia="Times" w:hAnsi="Tahoma"/>
          <w:lang w:eastAsia="en-GB"/>
        </w:rPr>
        <w:t xml:space="preserve">  </w:t>
      </w:r>
      <w:proofErr w:type="gramStart"/>
      <w:r>
        <w:rPr>
          <w:rFonts w:ascii="Tahoma" w:eastAsia="Times" w:hAnsi="Tahoma"/>
          <w:lang w:eastAsia="en-GB"/>
        </w:rPr>
        <w:t xml:space="preserve">Arguments for the existence of a god or gods, or attempts to explain why evil exists in the world, support particular truth-claims about the </w:t>
      </w:r>
      <w:proofErr w:type="spellStart"/>
      <w:r>
        <w:rPr>
          <w:rFonts w:ascii="Tahoma" w:eastAsia="Times" w:hAnsi="Tahoma"/>
          <w:lang w:eastAsia="en-GB"/>
        </w:rPr>
        <w:t>unfalsifiable</w:t>
      </w:r>
      <w:proofErr w:type="spellEnd"/>
      <w:r>
        <w:rPr>
          <w:rFonts w:ascii="Tahoma" w:eastAsia="Times" w:hAnsi="Tahoma"/>
          <w:lang w:eastAsia="en-GB"/>
        </w:rPr>
        <w:t xml:space="preserve"> and unobservable.</w:t>
      </w:r>
      <w:proofErr w:type="gramEnd"/>
      <w:r>
        <w:rPr>
          <w:rFonts w:ascii="Tahoma" w:eastAsia="Times" w:hAnsi="Tahoma"/>
          <w:lang w:eastAsia="en-GB"/>
        </w:rPr>
        <w:t xml:space="preserve">  No matter how sophisticated such an argument may be in evaluating the philosophical reasonableness of a variety of alternatives, from the perspective of contemporary Religious Studies it is nevertheless essentially a theological study.  The philosopher H.H. Price, for example, had a highly complex and compelling model for what the afterlife state could be like, though to accept it we need first to accept dualism, life after death, non-physical realities, telepathy, group souls, and so on.</w:t>
      </w:r>
    </w:p>
    <w:p w:rsidR="00674FC6" w:rsidRDefault="00674FC6" w:rsidP="00674FC6">
      <w:pPr>
        <w:spacing w:line="360" w:lineRule="auto"/>
        <w:jc w:val="both"/>
        <w:rPr>
          <w:rFonts w:ascii="Tahoma" w:eastAsia="Times" w:hAnsi="Tahoma"/>
          <w:lang w:eastAsia="en-GB"/>
        </w:rPr>
      </w:pPr>
      <w:r>
        <w:rPr>
          <w:rFonts w:ascii="Tahoma" w:eastAsia="Times" w:hAnsi="Tahoma"/>
          <w:lang w:eastAsia="en-GB"/>
        </w:rPr>
        <w:lastRenderedPageBreak/>
        <w:tab/>
        <w:t>However, none of this means that the Philosophy of Religion is by definition not Religious Studies. As discussed in Section I, while some scholars would categorically consider engaging with such questions to be a theological exercise and therefore off limits to proper Religious Studies, others would not see the field as being defined by such limitations.  It is also important to point out that not all philosophical approaches to religion by any means support the existence of the supernatural or metaphysical at all – and in fact many emphatically argue just the opposite (e.g. Friedrich Nietzsche, 1844-1900; and more recently Richard Rubenstein’s original argument regarding the impossibility of a just, omnipotent god who would allow or cause the Holocaust).  Others are concerned with the relationship between language and ideas, and how the context of language provides its meaning (e.g. Ludwig Wittgenstein, 1889-1951; Anthony Flew, 1923</w:t>
      </w:r>
      <w:proofErr w:type="gramStart"/>
      <w:r>
        <w:rPr>
          <w:rFonts w:ascii="Tahoma" w:eastAsia="Times" w:hAnsi="Tahoma"/>
          <w:lang w:eastAsia="en-GB"/>
        </w:rPr>
        <w:t>-)</w:t>
      </w:r>
      <w:proofErr w:type="gramEnd"/>
      <w:r>
        <w:rPr>
          <w:rFonts w:ascii="Tahoma" w:eastAsia="Times" w:hAnsi="Tahoma"/>
          <w:lang w:eastAsia="en-GB"/>
        </w:rPr>
        <w:t>.</w:t>
      </w:r>
    </w:p>
    <w:p w:rsidR="00674FC6" w:rsidRDefault="00674FC6" w:rsidP="00674FC6">
      <w:pPr>
        <w:spacing w:line="360" w:lineRule="auto"/>
        <w:jc w:val="both"/>
        <w:rPr>
          <w:rFonts w:ascii="Tahoma" w:eastAsia="Times" w:hAnsi="Tahoma"/>
          <w:lang w:eastAsia="en-GB"/>
        </w:rPr>
      </w:pPr>
      <w:r>
        <w:rPr>
          <w:rFonts w:ascii="Tahoma" w:eastAsia="Times" w:hAnsi="Tahoma"/>
          <w:lang w:eastAsia="en-GB"/>
        </w:rPr>
        <w:tab/>
        <w:t>It should also be noted that a philosopher of religion need not identify with any particular tradition – one can believe in philosophical/metaphysical concepts without actually being ‘religious’.  As John Hick (1922</w:t>
      </w:r>
      <w:proofErr w:type="gramStart"/>
      <w:r>
        <w:rPr>
          <w:rFonts w:ascii="Tahoma" w:eastAsia="Times" w:hAnsi="Tahoma"/>
          <w:lang w:eastAsia="en-GB"/>
        </w:rPr>
        <w:t>-)</w:t>
      </w:r>
      <w:proofErr w:type="gramEnd"/>
      <w:r>
        <w:rPr>
          <w:rFonts w:ascii="Tahoma" w:eastAsia="Times" w:hAnsi="Tahoma"/>
          <w:lang w:eastAsia="en-GB"/>
        </w:rPr>
        <w:t xml:space="preserve"> has pointed out, the Philosophy of Religion is not Theology, nor is it Religious Studies – it is Philosophy.  </w:t>
      </w:r>
    </w:p>
    <w:p w:rsidR="00674FC6" w:rsidRDefault="00674FC6" w:rsidP="00674FC6">
      <w:pPr>
        <w:spacing w:line="360" w:lineRule="auto"/>
        <w:ind w:firstLine="720"/>
        <w:jc w:val="both"/>
        <w:rPr>
          <w:rFonts w:ascii="Tahoma" w:eastAsia="Times" w:hAnsi="Tahoma"/>
          <w:lang w:eastAsia="en-GB"/>
        </w:rPr>
      </w:pPr>
      <w:r>
        <w:rPr>
          <w:rFonts w:ascii="Tahoma" w:eastAsia="Times" w:hAnsi="Tahoma"/>
          <w:lang w:eastAsia="en-GB"/>
        </w:rPr>
        <w:t xml:space="preserve">Some philosophers also engage with the issue of how religious ‘truths’ can even be possible in light of the fact that there is such a wide diversity of religions – and thus of competing truth-claims.  How can they all be ‘true’?  Scholars such as Hick and Wilfred Cantwell Smith (1916-2000) have attempted to resolve this issue of </w:t>
      </w:r>
      <w:r>
        <w:rPr>
          <w:rFonts w:ascii="Tahoma" w:eastAsia="Times" w:hAnsi="Tahoma"/>
          <w:i/>
          <w:lang w:eastAsia="en-GB"/>
        </w:rPr>
        <w:t>pluralism</w:t>
      </w:r>
      <w:r>
        <w:rPr>
          <w:rFonts w:ascii="Tahoma" w:eastAsia="Times" w:hAnsi="Tahoma"/>
          <w:lang w:eastAsia="en-GB"/>
        </w:rPr>
        <w:t xml:space="preserve"> by highlighting elements apparently shared by religions across cultures; and arguing that there is a single ‘common core’ to religion </w:t>
      </w:r>
      <w:r>
        <w:rPr>
          <w:rFonts w:ascii="Tahoma" w:eastAsia="Times" w:hAnsi="Tahoma"/>
          <w:i/>
          <w:lang w:eastAsia="en-GB"/>
        </w:rPr>
        <w:t>per se</w:t>
      </w:r>
      <w:r>
        <w:rPr>
          <w:rFonts w:ascii="Tahoma" w:eastAsia="Times" w:hAnsi="Tahoma"/>
          <w:lang w:eastAsia="en-GB"/>
        </w:rPr>
        <w:t>, which is manifest in different culture-specific ways.  Because this notion suggests that religions all share the same ‘essence’, it is often referred to as ‘essentialism’. These scholars are transparent with their motives, and overtly use phrases such as ‘world theology’.  Criticisms of such orientations will be discussed below in Section III, regarding comparison.</w:t>
      </w:r>
    </w:p>
    <w:p w:rsidR="00674FC6" w:rsidRDefault="00674FC6" w:rsidP="00674FC6">
      <w:pPr>
        <w:tabs>
          <w:tab w:val="left" w:pos="7008"/>
        </w:tabs>
        <w:rPr>
          <w:rFonts w:ascii="Tahoma" w:hAnsi="Tahoma"/>
          <w:b/>
          <w:i/>
          <w:lang w:eastAsia="en-GB"/>
        </w:rPr>
      </w:pPr>
      <w:r>
        <w:rPr>
          <w:rFonts w:ascii="Tahoma" w:eastAsia="Times" w:hAnsi="Tahoma"/>
          <w:lang w:eastAsia="en-GB"/>
        </w:rPr>
        <w:br w:type="page"/>
      </w:r>
      <w:r>
        <w:rPr>
          <w:rFonts w:ascii="Tahoma" w:hAnsi="Tahoma"/>
          <w:b/>
          <w:i/>
          <w:lang w:eastAsia="en-GB"/>
        </w:rPr>
        <w:lastRenderedPageBreak/>
        <w:t>Further reading:</w:t>
      </w:r>
    </w:p>
    <w:p w:rsidR="00674FC6" w:rsidRDefault="00674FC6" w:rsidP="00674FC6">
      <w:pPr>
        <w:tabs>
          <w:tab w:val="left" w:pos="3067"/>
        </w:tabs>
        <w:rPr>
          <w:rFonts w:ascii="Tahoma" w:hAnsi="Tahoma"/>
          <w:b/>
          <w:i/>
          <w:lang w:eastAsia="en-GB"/>
        </w:rPr>
      </w:pPr>
    </w:p>
    <w:p w:rsidR="00674FC6" w:rsidRDefault="00674FC6" w:rsidP="00674FC6">
      <w:pPr>
        <w:tabs>
          <w:tab w:val="left" w:pos="3067"/>
        </w:tabs>
        <w:rPr>
          <w:rFonts w:ascii="Tahoma" w:hAnsi="Tahoma"/>
          <w:b/>
          <w:i/>
          <w:lang w:eastAsia="en-GB"/>
        </w:rPr>
      </w:pPr>
    </w:p>
    <w:p w:rsidR="00674FC6" w:rsidRDefault="00674FC6" w:rsidP="00674FC6">
      <w:pPr>
        <w:tabs>
          <w:tab w:val="left" w:pos="3067"/>
        </w:tabs>
        <w:rPr>
          <w:rFonts w:ascii="Tahoma" w:hAnsi="Tahoma"/>
        </w:rPr>
      </w:pPr>
      <w:r>
        <w:rPr>
          <w:rFonts w:ascii="Tahoma" w:hAnsi="Tahoma"/>
        </w:rPr>
        <w:t>Davies, B. (2</w:t>
      </w:r>
      <w:r>
        <w:rPr>
          <w:rFonts w:ascii="Tahoma" w:hAnsi="Tahoma"/>
          <w:vertAlign w:val="superscript"/>
        </w:rPr>
        <w:t>nd</w:t>
      </w:r>
      <w:r>
        <w:rPr>
          <w:rFonts w:ascii="Tahoma" w:hAnsi="Tahoma"/>
        </w:rPr>
        <w:t xml:space="preserve"> ed. 2003) </w:t>
      </w:r>
      <w:proofErr w:type="gramStart"/>
      <w:r>
        <w:rPr>
          <w:rFonts w:ascii="Tahoma" w:hAnsi="Tahoma"/>
          <w:i/>
        </w:rPr>
        <w:t>An</w:t>
      </w:r>
      <w:proofErr w:type="gramEnd"/>
      <w:r>
        <w:rPr>
          <w:rFonts w:ascii="Tahoma" w:hAnsi="Tahoma"/>
          <w:i/>
        </w:rPr>
        <w:t xml:space="preserve"> Introduction to the Philosophy of Religion.  </w:t>
      </w:r>
      <w:r>
        <w:rPr>
          <w:rFonts w:ascii="Tahoma" w:hAnsi="Tahoma"/>
        </w:rPr>
        <w:t xml:space="preserve">Oxford </w:t>
      </w:r>
    </w:p>
    <w:p w:rsidR="00674FC6" w:rsidRDefault="00674FC6" w:rsidP="00674FC6">
      <w:pPr>
        <w:tabs>
          <w:tab w:val="left" w:pos="567"/>
        </w:tabs>
        <w:rPr>
          <w:rFonts w:ascii="Tahoma" w:hAnsi="Tahoma"/>
        </w:rPr>
      </w:pPr>
      <w:r>
        <w:rPr>
          <w:rFonts w:ascii="Tahoma" w:hAnsi="Tahoma"/>
        </w:rPr>
        <w:tab/>
      </w:r>
      <w:proofErr w:type="gramStart"/>
      <w:r>
        <w:rPr>
          <w:rFonts w:ascii="Tahoma" w:hAnsi="Tahoma"/>
        </w:rPr>
        <w:t>University Press.</w:t>
      </w:r>
      <w:proofErr w:type="gramEnd"/>
    </w:p>
    <w:p w:rsidR="00674FC6" w:rsidRDefault="00674FC6" w:rsidP="00674FC6">
      <w:pPr>
        <w:tabs>
          <w:tab w:val="left" w:pos="7008"/>
        </w:tabs>
        <w:rPr>
          <w:rFonts w:ascii="Tahoma" w:eastAsia="Times" w:hAnsi="Tahoma"/>
          <w:lang w:eastAsia="en-GB"/>
        </w:rPr>
      </w:pPr>
    </w:p>
    <w:p w:rsidR="00674FC6" w:rsidRDefault="00674FC6" w:rsidP="00674FC6">
      <w:pPr>
        <w:tabs>
          <w:tab w:val="left" w:pos="3067"/>
        </w:tabs>
        <w:rPr>
          <w:rFonts w:ascii="Tahoma" w:hAnsi="Tahoma"/>
        </w:rPr>
      </w:pPr>
      <w:r>
        <w:rPr>
          <w:rFonts w:ascii="Tahoma" w:hAnsi="Tahoma"/>
        </w:rPr>
        <w:t>-----. (</w:t>
      </w:r>
      <w:proofErr w:type="gramStart"/>
      <w:r>
        <w:rPr>
          <w:rFonts w:ascii="Tahoma" w:hAnsi="Tahoma"/>
        </w:rPr>
        <w:t>ed</w:t>
      </w:r>
      <w:proofErr w:type="gramEnd"/>
      <w:r>
        <w:rPr>
          <w:rFonts w:ascii="Tahoma" w:hAnsi="Tahoma"/>
        </w:rPr>
        <w:t xml:space="preserve">.) (2000) </w:t>
      </w:r>
      <w:r>
        <w:rPr>
          <w:rFonts w:ascii="Tahoma" w:hAnsi="Tahoma"/>
          <w:i/>
          <w:lang w:val="en-US"/>
        </w:rPr>
        <w:t xml:space="preserve">Philosophy of Religion: A Guide and Anthology. </w:t>
      </w:r>
      <w:r>
        <w:rPr>
          <w:rFonts w:ascii="Tahoma" w:hAnsi="Tahoma"/>
        </w:rPr>
        <w:t xml:space="preserve">Oxford </w:t>
      </w:r>
    </w:p>
    <w:p w:rsidR="00674FC6" w:rsidRDefault="00674FC6" w:rsidP="00674FC6">
      <w:pPr>
        <w:tabs>
          <w:tab w:val="left" w:pos="567"/>
        </w:tabs>
        <w:rPr>
          <w:rFonts w:ascii="Tahoma" w:hAnsi="Tahoma"/>
        </w:rPr>
      </w:pPr>
      <w:r>
        <w:rPr>
          <w:rFonts w:ascii="Tahoma" w:hAnsi="Tahoma"/>
        </w:rPr>
        <w:tab/>
      </w:r>
      <w:proofErr w:type="gramStart"/>
      <w:r>
        <w:rPr>
          <w:rFonts w:ascii="Tahoma" w:hAnsi="Tahoma"/>
        </w:rPr>
        <w:t>University Press.</w:t>
      </w:r>
      <w:proofErr w:type="gramEnd"/>
    </w:p>
    <w:p w:rsidR="00674FC6" w:rsidRDefault="00674FC6" w:rsidP="00674FC6">
      <w:pPr>
        <w:tabs>
          <w:tab w:val="left" w:pos="7008"/>
        </w:tabs>
        <w:rPr>
          <w:rFonts w:ascii="Tahoma" w:eastAsia="Times" w:hAnsi="Tahoma"/>
          <w:lang w:eastAsia="en-GB"/>
        </w:rPr>
      </w:pPr>
    </w:p>
    <w:p w:rsidR="00674FC6" w:rsidRDefault="00674FC6" w:rsidP="00674FC6">
      <w:pPr>
        <w:tabs>
          <w:tab w:val="left" w:pos="7008"/>
        </w:tabs>
        <w:rPr>
          <w:rFonts w:ascii="Tahoma" w:hAnsi="Tahoma"/>
          <w:i/>
          <w:lang w:val="en-US"/>
        </w:rPr>
      </w:pPr>
      <w:proofErr w:type="spellStart"/>
      <w:r>
        <w:rPr>
          <w:rFonts w:ascii="Tahoma" w:hAnsi="Tahoma"/>
          <w:lang w:val="en-US"/>
        </w:rPr>
        <w:t>Frankenberry</w:t>
      </w:r>
      <w:proofErr w:type="spellEnd"/>
      <w:r>
        <w:rPr>
          <w:rFonts w:ascii="Tahoma" w:hAnsi="Tahoma"/>
          <w:lang w:val="en-US"/>
        </w:rPr>
        <w:t xml:space="preserve">, N. K. and H.H. </w:t>
      </w:r>
      <w:proofErr w:type="spellStart"/>
      <w:r>
        <w:rPr>
          <w:rFonts w:ascii="Tahoma" w:hAnsi="Tahoma"/>
          <w:lang w:val="en-US"/>
        </w:rPr>
        <w:t>Penner</w:t>
      </w:r>
      <w:proofErr w:type="spellEnd"/>
      <w:r>
        <w:rPr>
          <w:rFonts w:ascii="Tahoma" w:hAnsi="Tahoma"/>
          <w:lang w:val="en-US"/>
        </w:rPr>
        <w:t xml:space="preserve"> (eds.) (1999)</w:t>
      </w:r>
      <w:r>
        <w:rPr>
          <w:rFonts w:ascii="Tahoma" w:hAnsi="Tahoma"/>
          <w:b/>
          <w:lang w:val="en-US"/>
        </w:rPr>
        <w:t xml:space="preserve"> </w:t>
      </w:r>
      <w:r>
        <w:rPr>
          <w:rFonts w:ascii="Tahoma" w:hAnsi="Tahoma"/>
          <w:i/>
          <w:lang w:val="en-US"/>
        </w:rPr>
        <w:t xml:space="preserve">Language, Truth, and </w:t>
      </w:r>
    </w:p>
    <w:p w:rsidR="00674FC6" w:rsidRDefault="00674FC6" w:rsidP="00674FC6">
      <w:pPr>
        <w:tabs>
          <w:tab w:val="left" w:pos="720"/>
          <w:tab w:val="left" w:pos="7008"/>
        </w:tabs>
        <w:ind w:left="720"/>
        <w:rPr>
          <w:rFonts w:ascii="Tahoma" w:hAnsi="Tahoma"/>
          <w:lang w:val="en-US"/>
        </w:rPr>
      </w:pPr>
      <w:r>
        <w:rPr>
          <w:rFonts w:ascii="Tahoma" w:hAnsi="Tahoma"/>
          <w:i/>
          <w:lang w:val="en-US"/>
        </w:rPr>
        <w:t>Religious Belief: Studies in Twentieth-Century Theory and Method in Religion</w:t>
      </w:r>
      <w:r>
        <w:rPr>
          <w:rFonts w:ascii="Tahoma" w:hAnsi="Tahoma"/>
          <w:lang w:val="en-US"/>
        </w:rPr>
        <w:t xml:space="preserve">.  </w:t>
      </w:r>
      <w:proofErr w:type="gramStart"/>
      <w:r>
        <w:rPr>
          <w:rFonts w:ascii="Tahoma" w:hAnsi="Tahoma"/>
          <w:lang w:val="en-US"/>
        </w:rPr>
        <w:t>Oxford University Press.</w:t>
      </w:r>
      <w:proofErr w:type="gramEnd"/>
    </w:p>
    <w:p w:rsidR="00674FC6" w:rsidRDefault="00674FC6" w:rsidP="00674FC6">
      <w:pPr>
        <w:tabs>
          <w:tab w:val="left" w:pos="7008"/>
        </w:tabs>
        <w:rPr>
          <w:rFonts w:ascii="Tahoma" w:eastAsia="Times" w:hAnsi="Tahoma"/>
          <w:lang w:eastAsia="en-GB"/>
        </w:rPr>
      </w:pPr>
    </w:p>
    <w:p w:rsidR="00674FC6" w:rsidRDefault="00674FC6" w:rsidP="00674FC6">
      <w:pPr>
        <w:pStyle w:val="Footer"/>
        <w:tabs>
          <w:tab w:val="left" w:pos="3067"/>
        </w:tabs>
        <w:rPr>
          <w:rFonts w:ascii="Tahoma" w:hAnsi="Tahoma"/>
        </w:rPr>
      </w:pPr>
      <w:r>
        <w:rPr>
          <w:rFonts w:ascii="Tahoma" w:hAnsi="Tahoma"/>
        </w:rPr>
        <w:t xml:space="preserve">Peterson, M., W. </w:t>
      </w:r>
      <w:proofErr w:type="spellStart"/>
      <w:r>
        <w:rPr>
          <w:rFonts w:ascii="Tahoma" w:hAnsi="Tahoma"/>
        </w:rPr>
        <w:t>Hasker</w:t>
      </w:r>
      <w:proofErr w:type="spellEnd"/>
      <w:r>
        <w:rPr>
          <w:rFonts w:ascii="Tahoma" w:hAnsi="Tahoma"/>
        </w:rPr>
        <w:t xml:space="preserve">, B. </w:t>
      </w:r>
      <w:proofErr w:type="spellStart"/>
      <w:r>
        <w:rPr>
          <w:rFonts w:ascii="Tahoma" w:hAnsi="Tahoma"/>
        </w:rPr>
        <w:t>Reichenbach</w:t>
      </w:r>
      <w:proofErr w:type="spellEnd"/>
      <w:r>
        <w:rPr>
          <w:rFonts w:ascii="Tahoma" w:hAnsi="Tahoma"/>
        </w:rPr>
        <w:t xml:space="preserve">, &amp; D. </w:t>
      </w:r>
      <w:proofErr w:type="spellStart"/>
      <w:r>
        <w:rPr>
          <w:rFonts w:ascii="Tahoma" w:hAnsi="Tahoma"/>
        </w:rPr>
        <w:t>Basinger</w:t>
      </w:r>
      <w:proofErr w:type="spellEnd"/>
      <w:r>
        <w:rPr>
          <w:rFonts w:ascii="Tahoma" w:hAnsi="Tahoma"/>
        </w:rPr>
        <w:t xml:space="preserve"> (eds.) (4</w:t>
      </w:r>
      <w:r>
        <w:rPr>
          <w:rFonts w:ascii="Tahoma" w:hAnsi="Tahoma"/>
          <w:vertAlign w:val="superscript"/>
        </w:rPr>
        <w:t>th</w:t>
      </w:r>
      <w:r>
        <w:rPr>
          <w:rFonts w:ascii="Tahoma" w:hAnsi="Tahoma"/>
        </w:rPr>
        <w:t xml:space="preserve">. ed. 2008) </w:t>
      </w:r>
    </w:p>
    <w:p w:rsidR="00674FC6" w:rsidRDefault="00674FC6" w:rsidP="00674FC6">
      <w:pPr>
        <w:pStyle w:val="Footer"/>
        <w:tabs>
          <w:tab w:val="left" w:pos="3067"/>
        </w:tabs>
        <w:ind w:left="709"/>
        <w:rPr>
          <w:rFonts w:ascii="Tahoma" w:hAnsi="Tahoma"/>
          <w:i/>
          <w:lang w:val="en-US"/>
        </w:rPr>
      </w:pPr>
      <w:r>
        <w:rPr>
          <w:rFonts w:ascii="Tahoma" w:hAnsi="Tahoma"/>
          <w:i/>
          <w:lang w:val="en-US"/>
        </w:rPr>
        <w:t>Reason and Religious Belief: An Introduction to the Philosophy of Religion</w:t>
      </w:r>
      <w:r>
        <w:rPr>
          <w:rFonts w:ascii="Tahoma" w:hAnsi="Tahoma"/>
          <w:lang w:val="en-US"/>
        </w:rPr>
        <w:t xml:space="preserve">.  </w:t>
      </w:r>
      <w:proofErr w:type="gramStart"/>
      <w:r>
        <w:rPr>
          <w:rFonts w:ascii="Tahoma" w:hAnsi="Tahoma"/>
          <w:lang w:val="en-US"/>
        </w:rPr>
        <w:t>Oxford University Press.</w:t>
      </w:r>
      <w:proofErr w:type="gramEnd"/>
    </w:p>
    <w:p w:rsidR="00674FC6" w:rsidRDefault="00674FC6" w:rsidP="00674FC6">
      <w:pPr>
        <w:pStyle w:val="Footer"/>
        <w:tabs>
          <w:tab w:val="left" w:pos="567"/>
        </w:tabs>
        <w:rPr>
          <w:rFonts w:ascii="Tahoma" w:hAnsi="Tahoma"/>
          <w:lang w:val="en-US"/>
        </w:rPr>
      </w:pPr>
    </w:p>
    <w:p w:rsidR="00674FC6" w:rsidRDefault="00674FC6" w:rsidP="00674FC6">
      <w:pPr>
        <w:pStyle w:val="Footer"/>
        <w:tabs>
          <w:tab w:val="left" w:pos="567"/>
        </w:tabs>
        <w:rPr>
          <w:rFonts w:ascii="Tahoma" w:hAnsi="Tahoma"/>
          <w:lang w:val="en-US"/>
        </w:rPr>
      </w:pPr>
      <w:r>
        <w:rPr>
          <w:rFonts w:ascii="Tahoma" w:hAnsi="Tahoma"/>
          <w:lang w:val="en-US"/>
        </w:rPr>
        <w:t>-----. (</w:t>
      </w:r>
      <w:proofErr w:type="gramStart"/>
      <w:r>
        <w:rPr>
          <w:rFonts w:ascii="Tahoma" w:hAnsi="Tahoma"/>
          <w:lang w:val="en-US"/>
        </w:rPr>
        <w:t>eds</w:t>
      </w:r>
      <w:proofErr w:type="gramEnd"/>
      <w:r>
        <w:rPr>
          <w:rFonts w:ascii="Tahoma" w:hAnsi="Tahoma"/>
          <w:lang w:val="en-US"/>
        </w:rPr>
        <w:t>.) (3</w:t>
      </w:r>
      <w:r>
        <w:rPr>
          <w:rFonts w:ascii="Tahoma" w:hAnsi="Tahoma"/>
          <w:vertAlign w:val="superscript"/>
          <w:lang w:val="en-US"/>
        </w:rPr>
        <w:t>rd</w:t>
      </w:r>
      <w:r>
        <w:rPr>
          <w:rFonts w:ascii="Tahoma" w:hAnsi="Tahoma"/>
          <w:lang w:val="en-US"/>
        </w:rPr>
        <w:t xml:space="preserve"> ed. 2006) </w:t>
      </w:r>
      <w:r>
        <w:rPr>
          <w:rFonts w:ascii="Tahoma" w:hAnsi="Tahoma"/>
          <w:i/>
          <w:lang w:val="en-US"/>
        </w:rPr>
        <w:t>Philosophy of Religion: Selected Readings.</w:t>
      </w:r>
      <w:r>
        <w:rPr>
          <w:rFonts w:ascii="Tahoma" w:hAnsi="Tahoma"/>
          <w:lang w:val="en-US"/>
        </w:rPr>
        <w:t xml:space="preserve">  Oxford </w:t>
      </w:r>
    </w:p>
    <w:p w:rsidR="00674FC6" w:rsidRDefault="00674FC6" w:rsidP="00674FC6">
      <w:pPr>
        <w:pStyle w:val="Footer"/>
        <w:tabs>
          <w:tab w:val="left" w:pos="720"/>
        </w:tabs>
        <w:rPr>
          <w:rFonts w:ascii="Tahoma" w:hAnsi="Tahoma"/>
          <w:lang w:val="en-US"/>
        </w:rPr>
      </w:pPr>
      <w:r>
        <w:rPr>
          <w:rFonts w:ascii="Tahoma" w:hAnsi="Tahoma"/>
          <w:lang w:val="en-US"/>
        </w:rPr>
        <w:tab/>
      </w:r>
      <w:proofErr w:type="gramStart"/>
      <w:r>
        <w:rPr>
          <w:rFonts w:ascii="Tahoma" w:hAnsi="Tahoma"/>
          <w:lang w:val="en-US"/>
        </w:rPr>
        <w:t>University Press.</w:t>
      </w:r>
      <w:proofErr w:type="gramEnd"/>
    </w:p>
    <w:p w:rsidR="00674FC6" w:rsidRDefault="00674FC6" w:rsidP="00674FC6">
      <w:pPr>
        <w:tabs>
          <w:tab w:val="left" w:pos="7008"/>
        </w:tabs>
        <w:rPr>
          <w:rFonts w:ascii="Tahoma" w:eastAsia="Times" w:hAnsi="Tahoma"/>
          <w:lang w:eastAsia="en-GB"/>
        </w:rPr>
      </w:pPr>
    </w:p>
    <w:p w:rsidR="00674FC6" w:rsidRDefault="00674FC6" w:rsidP="00674FC6">
      <w:pPr>
        <w:tabs>
          <w:tab w:val="left" w:pos="3067"/>
        </w:tabs>
        <w:rPr>
          <w:rFonts w:ascii="Tahoma" w:hAnsi="Tahoma"/>
          <w:i/>
          <w:lang w:val="en-US"/>
        </w:rPr>
      </w:pPr>
      <w:proofErr w:type="spellStart"/>
      <w:r>
        <w:rPr>
          <w:rFonts w:ascii="Tahoma" w:hAnsi="Tahoma"/>
        </w:rPr>
        <w:t>Pojman</w:t>
      </w:r>
      <w:proofErr w:type="spellEnd"/>
      <w:r>
        <w:rPr>
          <w:rFonts w:ascii="Tahoma" w:hAnsi="Tahoma"/>
        </w:rPr>
        <w:t xml:space="preserve">, L.P. &amp; M. Rea (eds.) (2007) </w:t>
      </w:r>
      <w:r>
        <w:rPr>
          <w:rFonts w:ascii="Tahoma" w:hAnsi="Tahoma"/>
          <w:i/>
          <w:lang w:val="en-US"/>
        </w:rPr>
        <w:t xml:space="preserve">Philosophy of Religion: An Anthology.  </w:t>
      </w:r>
    </w:p>
    <w:p w:rsidR="00674FC6" w:rsidRDefault="00674FC6" w:rsidP="00674FC6">
      <w:pPr>
        <w:tabs>
          <w:tab w:val="left" w:pos="3067"/>
        </w:tabs>
        <w:ind w:left="709"/>
        <w:rPr>
          <w:rFonts w:ascii="Tahoma" w:hAnsi="Tahoma"/>
          <w:lang w:val="en-US"/>
        </w:rPr>
      </w:pPr>
      <w:proofErr w:type="gramStart"/>
      <w:r>
        <w:rPr>
          <w:rFonts w:ascii="Tahoma" w:hAnsi="Tahoma"/>
          <w:lang w:val="en-US"/>
        </w:rPr>
        <w:t>Belmont CA, Wadsworth.</w:t>
      </w:r>
      <w:proofErr w:type="gramEnd"/>
    </w:p>
    <w:p w:rsidR="00674FC6" w:rsidRDefault="00674FC6" w:rsidP="00674FC6">
      <w:pPr>
        <w:tabs>
          <w:tab w:val="left" w:pos="7008"/>
        </w:tabs>
        <w:rPr>
          <w:rFonts w:ascii="Tahoma" w:hAnsi="Tahoma"/>
          <w:sz w:val="38"/>
          <w:lang w:val="en-US"/>
        </w:rPr>
      </w:pPr>
    </w:p>
    <w:p w:rsidR="00674FC6" w:rsidRDefault="00674FC6" w:rsidP="00674FC6">
      <w:pPr>
        <w:tabs>
          <w:tab w:val="left" w:pos="7008"/>
        </w:tabs>
        <w:rPr>
          <w:rFonts w:ascii="Tahoma" w:hAnsi="Tahoma"/>
          <w:i/>
          <w:lang w:val="en-US"/>
        </w:rPr>
      </w:pPr>
      <w:r>
        <w:rPr>
          <w:rFonts w:ascii="Tahoma" w:hAnsi="Tahoma"/>
          <w:lang w:val="en-US"/>
        </w:rPr>
        <w:t xml:space="preserve">Taliaferro, C. &amp; P.J. Griffiths (eds.) (2003) </w:t>
      </w:r>
      <w:r>
        <w:rPr>
          <w:rFonts w:ascii="Tahoma" w:hAnsi="Tahoma"/>
          <w:i/>
          <w:lang w:val="en-US"/>
        </w:rPr>
        <w:t xml:space="preserve">Philosophy of Religion: An </w:t>
      </w:r>
    </w:p>
    <w:p w:rsidR="00674FC6" w:rsidRDefault="00674FC6" w:rsidP="00674FC6">
      <w:pPr>
        <w:tabs>
          <w:tab w:val="left" w:pos="7008"/>
        </w:tabs>
        <w:ind w:left="709"/>
        <w:rPr>
          <w:rFonts w:ascii="Tahoma" w:hAnsi="Tahoma"/>
          <w:lang w:val="en-US"/>
        </w:rPr>
      </w:pPr>
      <w:proofErr w:type="gramStart"/>
      <w:r>
        <w:rPr>
          <w:rFonts w:ascii="Tahoma" w:hAnsi="Tahoma"/>
          <w:i/>
          <w:lang w:val="en-US"/>
        </w:rPr>
        <w:t>Anthology.</w:t>
      </w:r>
      <w:proofErr w:type="gramEnd"/>
      <w:r>
        <w:rPr>
          <w:rFonts w:ascii="Tahoma" w:hAnsi="Tahoma"/>
          <w:lang w:val="en-US"/>
        </w:rPr>
        <w:t xml:space="preserve">  London, Blackwell.</w:t>
      </w:r>
    </w:p>
    <w:p w:rsidR="00674FC6" w:rsidRDefault="00674FC6" w:rsidP="00674FC6">
      <w:pPr>
        <w:tabs>
          <w:tab w:val="left" w:pos="7008"/>
        </w:tabs>
        <w:rPr>
          <w:rFonts w:ascii="Tahoma" w:eastAsia="Times" w:hAnsi="Tahoma"/>
          <w:lang w:eastAsia="en-GB"/>
        </w:rPr>
      </w:pPr>
    </w:p>
    <w:p w:rsidR="00674FC6" w:rsidRDefault="00674FC6" w:rsidP="00674FC6">
      <w:pPr>
        <w:tabs>
          <w:tab w:val="left" w:pos="7008"/>
        </w:tabs>
        <w:rPr>
          <w:rFonts w:ascii="Tahoma" w:hAnsi="Tahoma"/>
          <w:lang w:val="en-US"/>
        </w:rPr>
      </w:pPr>
      <w:proofErr w:type="spellStart"/>
      <w:r>
        <w:rPr>
          <w:rFonts w:ascii="Tahoma" w:hAnsi="Tahoma"/>
          <w:lang w:val="en-US"/>
        </w:rPr>
        <w:t>Zagzebski</w:t>
      </w:r>
      <w:proofErr w:type="spellEnd"/>
      <w:r>
        <w:rPr>
          <w:rFonts w:ascii="Tahoma" w:hAnsi="Tahoma"/>
          <w:lang w:val="en-US"/>
        </w:rPr>
        <w:t xml:space="preserve">, L. (2007) </w:t>
      </w:r>
      <w:proofErr w:type="gramStart"/>
      <w:r>
        <w:rPr>
          <w:rFonts w:ascii="Tahoma" w:hAnsi="Tahoma"/>
          <w:i/>
          <w:lang w:val="en-US"/>
        </w:rPr>
        <w:t>The</w:t>
      </w:r>
      <w:proofErr w:type="gramEnd"/>
      <w:r>
        <w:rPr>
          <w:rFonts w:ascii="Tahoma" w:hAnsi="Tahoma"/>
          <w:i/>
          <w:lang w:val="en-US"/>
        </w:rPr>
        <w:t xml:space="preserve"> Philosophy of Religion: An Historical Introduction</w:t>
      </w:r>
      <w:r>
        <w:rPr>
          <w:rFonts w:ascii="Tahoma" w:hAnsi="Tahoma"/>
          <w:lang w:val="en-US"/>
        </w:rPr>
        <w:t xml:space="preserve">.  </w:t>
      </w:r>
    </w:p>
    <w:p w:rsidR="00674FC6" w:rsidRDefault="00674FC6" w:rsidP="00674FC6">
      <w:pPr>
        <w:tabs>
          <w:tab w:val="left" w:pos="7008"/>
        </w:tabs>
        <w:ind w:left="709"/>
        <w:rPr>
          <w:rFonts w:ascii="Tahoma" w:eastAsia="Times" w:hAnsi="Tahoma"/>
          <w:lang w:eastAsia="en-GB"/>
        </w:rPr>
      </w:pPr>
      <w:r>
        <w:rPr>
          <w:rFonts w:ascii="Tahoma" w:hAnsi="Tahoma"/>
          <w:lang w:val="en-US"/>
        </w:rPr>
        <w:t>London, Blackwell.</w:t>
      </w:r>
    </w:p>
    <w:p w:rsidR="007F2B60" w:rsidRDefault="00674FC6" w:rsidP="00674FC6"/>
    <w:sectPr w:rsidR="007F2B60" w:rsidSect="00C2351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4FC6"/>
    <w:rsid w:val="00674FC6"/>
    <w:rsid w:val="00AA3EBF"/>
    <w:rsid w:val="00C23514"/>
    <w:rsid w:val="00DE14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FC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74FC6"/>
    <w:pPr>
      <w:tabs>
        <w:tab w:val="center" w:pos="4153"/>
        <w:tab w:val="right" w:pos="8306"/>
      </w:tabs>
    </w:pPr>
  </w:style>
  <w:style w:type="character" w:customStyle="1" w:styleId="FooterChar">
    <w:name w:val="Footer Char"/>
    <w:basedOn w:val="DefaultParagraphFont"/>
    <w:link w:val="Footer"/>
    <w:rsid w:val="00674FC6"/>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799</Words>
  <Characters>4555</Characters>
  <Application>Microsoft Office Word</Application>
  <DocSecurity>0</DocSecurity>
  <Lines>37</Lines>
  <Paragraphs>10</Paragraphs>
  <ScaleCrop>false</ScaleCrop>
  <Company/>
  <LinksUpToDate>false</LinksUpToDate>
  <CharactersWithSpaces>5344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1</cp:revision>
  <dcterms:created xsi:type="dcterms:W3CDTF">2011-11-17T10:16:00Z</dcterms:created>
  <dcterms:modified xsi:type="dcterms:W3CDTF">2011-11-17T10:16:00Z</dcterms:modified>
</cp:coreProperties>
</file>