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87CA9" w14:textId="2190D687" w:rsidR="00A948AA" w:rsidRPr="00A948AA" w:rsidRDefault="00A948AA" w:rsidP="00A948AA">
      <w:pPr>
        <w:pStyle w:val="ql-align-center"/>
        <w:spacing w:before="0" w:beforeAutospacing="0" w:after="0" w:afterAutospacing="0"/>
        <w:jc w:val="center"/>
        <w:textAlignment w:val="baseline"/>
        <w:rPr>
          <w:rStyle w:val="Siln"/>
          <w:rFonts w:ascii="Browallia New" w:eastAsiaTheme="majorEastAsia" w:hAnsi="Browallia New" w:cs="Browallia New"/>
          <w:sz w:val="40"/>
          <w:szCs w:val="40"/>
          <w:bdr w:val="none" w:sz="0" w:space="0" w:color="auto" w:frame="1"/>
        </w:rPr>
      </w:pPr>
      <w:r>
        <w:rPr>
          <w:rStyle w:val="Siln"/>
          <w:rFonts w:ascii="inherit" w:eastAsiaTheme="majorEastAsia" w:hAnsi="inherit"/>
          <w:bdr w:val="none" w:sz="0" w:space="0" w:color="auto" w:frame="1"/>
        </w:rPr>
        <w:t xml:space="preserve"> </w:t>
      </w:r>
      <w:r w:rsidRPr="00A948AA">
        <w:rPr>
          <w:rStyle w:val="Siln"/>
          <w:rFonts w:ascii="Browallia New" w:eastAsiaTheme="majorEastAsia" w:hAnsi="Browallia New" w:cs="Browallia New" w:hint="cs"/>
          <w:sz w:val="40"/>
          <w:szCs w:val="40"/>
          <w:bdr w:val="none" w:sz="0" w:space="0" w:color="auto" w:frame="1"/>
        </w:rPr>
        <w:t>Analysing the Significance of Doctrine in Beth Felker Jones’ ‘Practising Christian Doctrine’</w:t>
      </w:r>
    </w:p>
    <w:p w14:paraId="514E605E" w14:textId="77777777" w:rsidR="00A948AA" w:rsidRPr="00A948AA" w:rsidRDefault="00A948AA" w:rsidP="00A948AA">
      <w:pPr>
        <w:pStyle w:val="ql-align-center"/>
        <w:spacing w:before="0" w:beforeAutospacing="0" w:after="0" w:afterAutospacing="0"/>
        <w:jc w:val="center"/>
        <w:textAlignment w:val="baseline"/>
        <w:rPr>
          <w:rStyle w:val="Siln"/>
          <w:rFonts w:ascii="Browallia New" w:eastAsiaTheme="majorEastAsia" w:hAnsi="Browallia New" w:cs="Browallia New"/>
          <w:sz w:val="40"/>
          <w:szCs w:val="40"/>
          <w:bdr w:val="none" w:sz="0" w:space="0" w:color="auto" w:frame="1"/>
        </w:rPr>
      </w:pPr>
    </w:p>
    <w:p w14:paraId="498DEFAC" w14:textId="7DB1799E" w:rsidR="00A948AA" w:rsidRPr="00A948AA" w:rsidRDefault="00A948AA" w:rsidP="00A948AA">
      <w:pPr>
        <w:pStyle w:val="ql-align-center"/>
        <w:spacing w:before="0" w:beforeAutospacing="0" w:after="0" w:afterAutospacing="0"/>
        <w:jc w:val="center"/>
        <w:textAlignment w:val="baseline"/>
        <w:rPr>
          <w:rStyle w:val="Siln"/>
          <w:rFonts w:ascii="Browallia New" w:eastAsiaTheme="majorEastAsia" w:hAnsi="Browallia New" w:cs="Browallia New"/>
          <w:sz w:val="40"/>
          <w:szCs w:val="40"/>
          <w:bdr w:val="none" w:sz="0" w:space="0" w:color="auto" w:frame="1"/>
        </w:rPr>
      </w:pPr>
      <w:r w:rsidRPr="00A948AA">
        <w:rPr>
          <w:rStyle w:val="Siln"/>
          <w:rFonts w:ascii="Browallia New" w:eastAsiaTheme="majorEastAsia" w:hAnsi="Browallia New" w:cs="Browallia New" w:hint="cs"/>
          <w:sz w:val="40"/>
          <w:szCs w:val="40"/>
          <w:bdr w:val="none" w:sz="0" w:space="0" w:color="auto" w:frame="1"/>
        </w:rPr>
        <w:t xml:space="preserve">Book review – HPRS 4903 Module </w:t>
      </w:r>
    </w:p>
    <w:p w14:paraId="68F6D274" w14:textId="77777777" w:rsidR="00A948AA" w:rsidRPr="00A948AA" w:rsidRDefault="00A948AA" w:rsidP="00A948AA">
      <w:pPr>
        <w:pStyle w:val="ql-align-center"/>
        <w:spacing w:before="0" w:beforeAutospacing="0" w:after="0" w:afterAutospacing="0"/>
        <w:jc w:val="center"/>
        <w:textAlignment w:val="baseline"/>
        <w:rPr>
          <w:rStyle w:val="Siln"/>
          <w:rFonts w:ascii="Browallia New" w:eastAsiaTheme="majorEastAsia" w:hAnsi="Browallia New" w:cs="Browallia New"/>
          <w:sz w:val="40"/>
          <w:szCs w:val="40"/>
          <w:bdr w:val="none" w:sz="0" w:space="0" w:color="auto" w:frame="1"/>
        </w:rPr>
      </w:pPr>
    </w:p>
    <w:p w14:paraId="45514280" w14:textId="28A96676" w:rsidR="00A948AA" w:rsidRPr="00A948AA" w:rsidRDefault="00A948AA" w:rsidP="00A948AA">
      <w:pPr>
        <w:pStyle w:val="ql-align-center"/>
        <w:spacing w:before="0" w:beforeAutospacing="0" w:after="0" w:afterAutospacing="0"/>
        <w:jc w:val="center"/>
        <w:textAlignment w:val="baseline"/>
        <w:rPr>
          <w:rFonts w:ascii="Browallia New" w:hAnsi="Browallia New" w:cs="Browallia New"/>
          <w:sz w:val="40"/>
          <w:szCs w:val="40"/>
        </w:rPr>
      </w:pPr>
      <w:r w:rsidRPr="00A948AA">
        <w:rPr>
          <w:rStyle w:val="Siln"/>
          <w:rFonts w:ascii="Browallia New" w:eastAsiaTheme="majorEastAsia" w:hAnsi="Browallia New" w:cs="Browallia New" w:hint="cs"/>
          <w:sz w:val="40"/>
          <w:szCs w:val="40"/>
          <w:bdr w:val="none" w:sz="0" w:space="0" w:color="auto" w:frame="1"/>
        </w:rPr>
        <w:t xml:space="preserve">By Pavlina Balazova </w:t>
      </w:r>
    </w:p>
    <w:p w14:paraId="3C735E19" w14:textId="77777777" w:rsidR="00A948AA" w:rsidRDefault="00A948AA" w:rsidP="00A948AA">
      <w:pPr>
        <w:pStyle w:val="Normlnweb"/>
        <w:spacing w:before="0" w:beforeAutospacing="0" w:after="0" w:afterAutospacing="0"/>
        <w:textAlignment w:val="baseline"/>
      </w:pPr>
      <w:r>
        <w:t> </w:t>
      </w:r>
    </w:p>
    <w:p w14:paraId="30EDC4EB" w14:textId="24557F12" w:rsidR="00A948AA" w:rsidRPr="00A948AA" w:rsidRDefault="00A948AA" w:rsidP="00A948AA">
      <w:pPr>
        <w:pStyle w:val="Normlnweb"/>
        <w:spacing w:before="0" w:beforeAutospacing="0" w:after="0" w:afterAutospacing="0"/>
        <w:textAlignment w:val="baseline"/>
        <w:rPr>
          <w:rFonts w:ascii="Browallia New" w:hAnsi="Browallia New" w:cs="Browallia New"/>
          <w:sz w:val="28"/>
          <w:szCs w:val="28"/>
        </w:rPr>
      </w:pPr>
      <w:r w:rsidRPr="00A948AA">
        <w:rPr>
          <w:rFonts w:ascii="Browallia New" w:hAnsi="Browallia New" w:cs="Browallia New" w:hint="cs"/>
          <w:sz w:val="28"/>
          <w:szCs w:val="28"/>
        </w:rPr>
        <w:t xml:space="preserve">The Christian doctrine * by Beth Felker Jones * presents an in -depth and systematic investigation of Christian theology, underlining </w:t>
      </w:r>
      <w:r w:rsidRPr="00A948AA">
        <w:rPr>
          <w:rFonts w:ascii="Browallia New" w:hAnsi="Browallia New" w:cs="Browallia New"/>
          <w:sz w:val="28"/>
          <w:szCs w:val="28"/>
        </w:rPr>
        <w:t>the</w:t>
      </w:r>
      <w:r w:rsidRPr="00A948AA">
        <w:rPr>
          <w:rFonts w:ascii="Browallia New" w:hAnsi="Browallia New" w:cs="Browallia New" w:hint="cs"/>
          <w:sz w:val="28"/>
          <w:szCs w:val="28"/>
        </w:rPr>
        <w:t xml:space="preserve"> importance of fundamental doctrines in modelling both individual spirituality and the practice of common faith. Jones’ work stands out for its integration of historical theology with contemporary theological discourse, offering readers a nuanced understanding of traditional Christian doctrines by facing their meaning in modern contexts. By drawing on the intuitions of influential theologians, such as Kevin Vanhoozer and Myron Penner (2015), Jones articulates the fundamental nature of these doctrines, demonstrating how they inform the understanding of the believers of God, humanity and the world. This approach not only clarifies the complexities of doctrinal beliefs but also highlights their practical implications for daily Christian life. By using an interdisciplinary methodology that combines historical analysis with systematic theology, Jones places his discussion in a wider academic picture, thus inviting further reflections on the relevance of these doctrines today.</w:t>
      </w:r>
    </w:p>
    <w:p w14:paraId="2CA82B10" w14:textId="77777777" w:rsidR="00A948AA" w:rsidRPr="00A948AA" w:rsidRDefault="00A948AA" w:rsidP="00A948AA">
      <w:pPr>
        <w:pStyle w:val="Normlnweb"/>
        <w:spacing w:before="0" w:beforeAutospacing="0" w:after="0" w:afterAutospacing="0"/>
        <w:textAlignment w:val="baseline"/>
        <w:rPr>
          <w:rFonts w:ascii="Browallia New" w:hAnsi="Browallia New" w:cs="Browallia New"/>
          <w:sz w:val="28"/>
          <w:szCs w:val="28"/>
        </w:rPr>
      </w:pPr>
      <w:r w:rsidRPr="00A948AA">
        <w:rPr>
          <w:rFonts w:ascii="Browallia New" w:hAnsi="Browallia New" w:cs="Browallia New" w:hint="cs"/>
          <w:sz w:val="28"/>
          <w:szCs w:val="28"/>
        </w:rPr>
        <w:t> </w:t>
      </w:r>
    </w:p>
    <w:p w14:paraId="4A88C76C" w14:textId="77777777" w:rsidR="00A948AA" w:rsidRPr="00A948AA" w:rsidRDefault="00A948AA" w:rsidP="00A948AA">
      <w:pPr>
        <w:pStyle w:val="Normlnweb"/>
        <w:spacing w:before="0" w:beforeAutospacing="0" w:after="0" w:afterAutospacing="0"/>
        <w:textAlignment w:val="baseline"/>
        <w:rPr>
          <w:rFonts w:ascii="Browallia New" w:hAnsi="Browallia New" w:cs="Browallia New"/>
          <w:sz w:val="28"/>
          <w:szCs w:val="28"/>
        </w:rPr>
      </w:pPr>
      <w:r w:rsidRPr="00A948AA">
        <w:rPr>
          <w:rFonts w:ascii="Browallia New" w:hAnsi="Browallia New" w:cs="Browallia New" w:hint="cs"/>
          <w:sz w:val="28"/>
          <w:szCs w:val="28"/>
        </w:rPr>
        <w:t>In discussing the transformative potential of the doctrines for spirituality, Jones articulates a vision of theology as a dynamic process that involves both the mind and the heart, underlining that doctrines are not simply abstract but living propositions that shape the character and conduct of believers. This perspective resonates with the intuitions found in the *Evangelical dictionary of theology *, which underlines the need for doctrinal fidelity in cultivating a community of reactive and vibrant faith (Treier &amp; Elwell, 2017). In addition, Jones is critical of the contemporary challenges that face the Church, drawing links between historical beliefs and the pressure issues of faith in a postmodern society. His analysis indicates the continuous need for doctrinal grounding while Christians navigate in a series of secular ideologies and cultural movements that threaten the cohesion of belief. Therefore, Jones places his argument within a wider theological speech that supports a return to a solid commitment with historical Christian teachings as a means of promoting spiritual growth and community integrity.</w:t>
      </w:r>
    </w:p>
    <w:p w14:paraId="7C57666D" w14:textId="77777777" w:rsidR="00A948AA" w:rsidRPr="00A948AA" w:rsidRDefault="00A948AA" w:rsidP="00A948AA">
      <w:pPr>
        <w:pStyle w:val="Normlnweb"/>
        <w:spacing w:before="0" w:beforeAutospacing="0" w:after="0" w:afterAutospacing="0"/>
        <w:textAlignment w:val="baseline"/>
        <w:rPr>
          <w:rFonts w:ascii="Browallia New" w:hAnsi="Browallia New" w:cs="Browallia New"/>
          <w:sz w:val="28"/>
          <w:szCs w:val="28"/>
        </w:rPr>
      </w:pPr>
      <w:r w:rsidRPr="00A948AA">
        <w:rPr>
          <w:rFonts w:ascii="Browallia New" w:hAnsi="Browallia New" w:cs="Browallia New" w:hint="cs"/>
          <w:sz w:val="28"/>
          <w:szCs w:val="28"/>
        </w:rPr>
        <w:t> </w:t>
      </w:r>
    </w:p>
    <w:p w14:paraId="40016EE4" w14:textId="77777777" w:rsidR="00A948AA" w:rsidRPr="00A948AA" w:rsidRDefault="00A948AA" w:rsidP="00A948AA">
      <w:pPr>
        <w:pStyle w:val="Normlnweb"/>
        <w:spacing w:before="0" w:beforeAutospacing="0" w:after="0" w:afterAutospacing="0"/>
        <w:textAlignment w:val="baseline"/>
        <w:rPr>
          <w:rFonts w:ascii="Browallia New" w:hAnsi="Browallia New" w:cs="Browallia New"/>
          <w:sz w:val="28"/>
          <w:szCs w:val="28"/>
        </w:rPr>
      </w:pPr>
      <w:r w:rsidRPr="00A948AA">
        <w:rPr>
          <w:rFonts w:ascii="Browallia New" w:hAnsi="Browallia New" w:cs="Browallia New" w:hint="cs"/>
          <w:sz w:val="28"/>
          <w:szCs w:val="28"/>
        </w:rPr>
        <w:t xml:space="preserve">Through its incorporation of different theological voices, in particular the emphasis on the living tradition of the Church, Jones invites readers to reflect more deeply on how these doctrines can inform and transform their spirituality. By examining doctrinal themes with practical applications, his work acts as a crucial bridge between theological reflection and the experience lived. In addition, the articulation of the relevance of the doctrine in the practice of contemporary faith encourages a holistic understanding of Christian life that transcends the simple intellectual consensus, underlining the transformative power to commit itself to the </w:t>
      </w:r>
      <w:r w:rsidRPr="00A948AA">
        <w:rPr>
          <w:rFonts w:ascii="Browallia New" w:hAnsi="Browallia New" w:cs="Browallia New" w:hint="cs"/>
          <w:sz w:val="28"/>
          <w:szCs w:val="28"/>
        </w:rPr>
        <w:lastRenderedPageBreak/>
        <w:t>doctrinal truths in the life of faith. Through his careful analysis, Jones not only contributes to the existing body of theological knowledge but also provides a convincing case for the continuous relevance of Christian doctrine in nourishing resilient and vibrating communities in a world of rapid change. In * practising Christian doctrine *, Beth Felker Jones articulates the deep meaning of doctrinal teachings for the spiritual life of individuals within the community of the Christian faith. It postulates that doctrines are not simply abstract theological constructions but are rather vital components that actively shape and inform the lived experiences of believers. Based on the work of Barbeau and Jones (2015), which emphasise the full role of the Holy Spirit in the education of Christian life, Jones underlines that doctrines serve as a conduit through which individuals meet divine grace and grow in their spiritual formation. This interaction between doctrine and spirituality invites believers to consider theological principles not only as intellectual proposals but also as transformative elements that generate a deeper relationship with God.</w:t>
      </w:r>
    </w:p>
    <w:p w14:paraId="1207EE15" w14:textId="77777777" w:rsidR="00A948AA" w:rsidRPr="00A948AA" w:rsidRDefault="00A948AA" w:rsidP="00A948AA">
      <w:pPr>
        <w:pStyle w:val="Normlnweb"/>
        <w:spacing w:before="0" w:beforeAutospacing="0" w:after="0" w:afterAutospacing="0"/>
        <w:textAlignment w:val="baseline"/>
        <w:rPr>
          <w:rFonts w:ascii="Browallia New" w:hAnsi="Browallia New" w:cs="Browallia New"/>
          <w:sz w:val="28"/>
          <w:szCs w:val="28"/>
        </w:rPr>
      </w:pPr>
      <w:r w:rsidRPr="00A948AA">
        <w:rPr>
          <w:rFonts w:ascii="Browallia New" w:hAnsi="Browallia New" w:cs="Browallia New" w:hint="cs"/>
          <w:sz w:val="28"/>
          <w:szCs w:val="28"/>
        </w:rPr>
        <w:t> </w:t>
      </w:r>
    </w:p>
    <w:p w14:paraId="55455985" w14:textId="20A46501" w:rsidR="00A948AA" w:rsidRPr="00A948AA" w:rsidRDefault="00A948AA" w:rsidP="00A948AA">
      <w:pPr>
        <w:pStyle w:val="Normlnweb"/>
        <w:spacing w:before="0" w:beforeAutospacing="0" w:after="0" w:afterAutospacing="0"/>
        <w:textAlignment w:val="baseline"/>
        <w:rPr>
          <w:rFonts w:ascii="Browallia New" w:hAnsi="Browallia New" w:cs="Browallia New"/>
          <w:sz w:val="28"/>
          <w:szCs w:val="28"/>
        </w:rPr>
      </w:pPr>
      <w:r w:rsidRPr="00A948AA">
        <w:rPr>
          <w:rFonts w:ascii="Browallia New" w:hAnsi="Browallia New" w:cs="Browallia New" w:hint="cs"/>
          <w:sz w:val="28"/>
          <w:szCs w:val="28"/>
        </w:rPr>
        <w:t xml:space="preserve">In addition, this perspective is aligned with contemporary theological discussions, </w:t>
      </w:r>
      <w:r w:rsidRPr="00A948AA">
        <w:rPr>
          <w:rFonts w:ascii="Browallia New" w:hAnsi="Browallia New" w:cs="Browallia New"/>
          <w:sz w:val="28"/>
          <w:szCs w:val="28"/>
        </w:rPr>
        <w:t>particularly</w:t>
      </w:r>
      <w:r w:rsidRPr="00A948AA">
        <w:rPr>
          <w:rFonts w:ascii="Browallia New" w:hAnsi="Browallia New" w:cs="Browallia New" w:hint="cs"/>
          <w:sz w:val="28"/>
          <w:szCs w:val="28"/>
        </w:rPr>
        <w:t xml:space="preserve"> those presented by Ashton (2023) and Do Vale (2023), which explore the intersections of human identity, incarnation and doctrinal beliefs. Ashton maintains that understanding the doctrine improves the meaning of the believer’s identity in the body of Christ, while Do Vale maintains that the incarnation of faith practices is intrinsically linked to doctrinal adhesion. Together, these voices complete Jones’ assertion that the integration of doctrine into Christian life is essential to promote holistic spirituality. This synthesis of belief and practice emphasises the need for theological reflection while believers sail in their faith in an increasingly complex cultural landscape.</w:t>
      </w:r>
    </w:p>
    <w:p w14:paraId="60881E81" w14:textId="77777777" w:rsidR="00A948AA" w:rsidRPr="00A948AA" w:rsidRDefault="00A948AA" w:rsidP="00A948AA">
      <w:pPr>
        <w:pStyle w:val="Normlnweb"/>
        <w:spacing w:before="0" w:beforeAutospacing="0" w:after="0" w:afterAutospacing="0"/>
        <w:textAlignment w:val="baseline"/>
        <w:rPr>
          <w:rFonts w:ascii="Browallia New" w:hAnsi="Browallia New" w:cs="Browallia New"/>
          <w:sz w:val="28"/>
          <w:szCs w:val="28"/>
        </w:rPr>
      </w:pPr>
      <w:r w:rsidRPr="00A948AA">
        <w:rPr>
          <w:rFonts w:ascii="Browallia New" w:hAnsi="Browallia New" w:cs="Browallia New" w:hint="cs"/>
          <w:sz w:val="28"/>
          <w:szCs w:val="28"/>
        </w:rPr>
        <w:t> </w:t>
      </w:r>
    </w:p>
    <w:p w14:paraId="610716E0" w14:textId="77777777" w:rsidR="00A948AA" w:rsidRPr="00A948AA" w:rsidRDefault="00A948AA" w:rsidP="00A948AA">
      <w:pPr>
        <w:pStyle w:val="Normlnweb"/>
        <w:spacing w:before="0" w:beforeAutospacing="0" w:after="0" w:afterAutospacing="0"/>
        <w:textAlignment w:val="baseline"/>
        <w:rPr>
          <w:rFonts w:ascii="Browallia New" w:hAnsi="Browallia New" w:cs="Browallia New"/>
          <w:sz w:val="28"/>
          <w:szCs w:val="28"/>
        </w:rPr>
      </w:pPr>
      <w:r w:rsidRPr="00A948AA">
        <w:rPr>
          <w:rFonts w:ascii="Browallia New" w:hAnsi="Browallia New" w:cs="Browallia New" w:hint="cs"/>
          <w:sz w:val="28"/>
          <w:szCs w:val="28"/>
        </w:rPr>
        <w:t>Jones effectively fills the gap between the abstract theological discourse and the tangible experiences of faith by demonstrating how doctrinal teachings influence spiritual practices. His assertion that engaging with doctrine provides believers with language and frameworks to understand their experiences revisits the meaning of the Christian tradition to shape contemporary spirituality. This point of view calls into question the dominant notion that spirituality is intrinsically experiential or subjective, affirming rather that enlightened belief is fundamental to a robust faith life. By engaging thought with fundamental doctrines, individuals are equipped to articulate their beliefs more clearly, allowing them to navigate the complexities of the practice of modern faith with greater confidence.</w:t>
      </w:r>
    </w:p>
    <w:p w14:paraId="68056B4F" w14:textId="77777777" w:rsidR="00A948AA" w:rsidRPr="00A948AA" w:rsidRDefault="00A948AA" w:rsidP="00A948AA">
      <w:pPr>
        <w:pStyle w:val="Normlnweb"/>
        <w:spacing w:before="0" w:beforeAutospacing="0" w:after="0" w:afterAutospacing="0"/>
        <w:textAlignment w:val="baseline"/>
        <w:rPr>
          <w:rFonts w:ascii="Browallia New" w:hAnsi="Browallia New" w:cs="Browallia New"/>
          <w:sz w:val="28"/>
          <w:szCs w:val="28"/>
        </w:rPr>
      </w:pPr>
      <w:r w:rsidRPr="00A948AA">
        <w:rPr>
          <w:rFonts w:ascii="Browallia New" w:hAnsi="Browallia New" w:cs="Browallia New" w:hint="cs"/>
          <w:sz w:val="28"/>
          <w:szCs w:val="28"/>
        </w:rPr>
        <w:t> </w:t>
      </w:r>
    </w:p>
    <w:p w14:paraId="32F2B108" w14:textId="652437A9" w:rsidR="00A948AA" w:rsidRPr="00A948AA" w:rsidRDefault="00A948AA" w:rsidP="00A948AA">
      <w:pPr>
        <w:pStyle w:val="Normlnweb"/>
        <w:spacing w:before="0" w:beforeAutospacing="0" w:after="0" w:afterAutospacing="0"/>
        <w:textAlignment w:val="baseline"/>
        <w:rPr>
          <w:rFonts w:ascii="Browallia New" w:hAnsi="Browallia New" w:cs="Browallia New"/>
          <w:sz w:val="28"/>
          <w:szCs w:val="28"/>
        </w:rPr>
      </w:pPr>
      <w:r w:rsidRPr="00A948AA">
        <w:rPr>
          <w:rFonts w:ascii="Browallia New" w:hAnsi="Browallia New" w:cs="Browallia New" w:hint="cs"/>
          <w:sz w:val="28"/>
          <w:szCs w:val="28"/>
        </w:rPr>
        <w:t xml:space="preserve">In addition, the incarnation of faith, as discussed by contemporary theologians such as Ashton and Do Vale, highlights the integral relationship between doctrinal beliefs and the lived reality of believers. The </w:t>
      </w:r>
      <w:r w:rsidRPr="00A948AA">
        <w:rPr>
          <w:rFonts w:ascii="Browallia New" w:hAnsi="Browallia New" w:cs="Browallia New"/>
          <w:sz w:val="28"/>
          <w:szCs w:val="28"/>
        </w:rPr>
        <w:t>phaticity</w:t>
      </w:r>
      <w:r w:rsidRPr="00A948AA">
        <w:rPr>
          <w:rFonts w:ascii="Browallia New" w:hAnsi="Browallia New" w:cs="Browallia New" w:hint="cs"/>
          <w:sz w:val="28"/>
          <w:szCs w:val="28"/>
        </w:rPr>
        <w:t xml:space="preserve"> of worship, community practices and personal devotion reflects and strengthens these doctrines, which makes them an essential aspect of spiritual growth. Jones’ work recalls that engaging with doctrine is not a simple academic prosecution; Instead, it is a vital aspect of the </w:t>
      </w:r>
      <w:r w:rsidRPr="00A948AA">
        <w:rPr>
          <w:rFonts w:ascii="Browallia New" w:hAnsi="Browallia New" w:cs="Browallia New"/>
          <w:sz w:val="28"/>
          <w:szCs w:val="28"/>
        </w:rPr>
        <w:t>discipline</w:t>
      </w:r>
      <w:r w:rsidRPr="00A948AA">
        <w:rPr>
          <w:rFonts w:ascii="Browallia New" w:hAnsi="Browallia New" w:cs="Browallia New" w:hint="cs"/>
          <w:sz w:val="28"/>
          <w:szCs w:val="28"/>
        </w:rPr>
        <w:t xml:space="preserve"> that cultivates a richer and more authentic commitment with the religious community. Thanks to his analysis, Jones positions doctrinal teaching as a necessary framework to understand and experience the fullness of Christian life, thus affirming its relevance in the practice of contemporary faith. This exploration of the role of doctrine highlights the imperative that contemporary believers remain rooted in the transformer potential of theological truths, guiding their spiritual </w:t>
      </w:r>
      <w:r w:rsidRPr="00A948AA">
        <w:rPr>
          <w:rFonts w:ascii="Browallia New" w:hAnsi="Browallia New" w:cs="Browallia New" w:hint="cs"/>
          <w:sz w:val="28"/>
          <w:szCs w:val="28"/>
        </w:rPr>
        <w:lastRenderedPageBreak/>
        <w:t>journey in the midst of the complexities of modernity., In assessing the relevance of Beth Felker Jones's Christian doctrine * In the practice of contemporary faith, it is essential to recognise how its theological exploitation addresses the modern challenges confronted by believers, particularly in gender and identity domes. As Vale (2024) articulates, the intersection of Christian doctrine and identity issues in a pluralistic society presents dilemmas and opportunities for the faithful. Jones gets involved with these contemporary challenges, emphasising the fundamental role that doctrines play in the formation of not only belief systems but also ethical structures that can enable marginalised voices in the church. Its focus on the meaning of doctrine as a living tradition invites believers to interrogate and prearticular their faith in the context of contemporary social discourse, thus promoting an inclusive understanding of spirituality.</w:t>
      </w:r>
    </w:p>
    <w:p w14:paraId="237E5900" w14:textId="77777777" w:rsidR="00A948AA" w:rsidRPr="00A948AA" w:rsidRDefault="00A948AA" w:rsidP="00A948AA">
      <w:pPr>
        <w:pStyle w:val="Normlnweb"/>
        <w:spacing w:before="0" w:beforeAutospacing="0" w:after="0" w:afterAutospacing="0"/>
        <w:textAlignment w:val="baseline"/>
        <w:rPr>
          <w:rFonts w:ascii="Browallia New" w:hAnsi="Browallia New" w:cs="Browallia New"/>
          <w:sz w:val="28"/>
          <w:szCs w:val="28"/>
        </w:rPr>
      </w:pPr>
      <w:r w:rsidRPr="00A948AA">
        <w:rPr>
          <w:rFonts w:ascii="Browallia New" w:hAnsi="Browallia New" w:cs="Browallia New" w:hint="cs"/>
          <w:sz w:val="28"/>
          <w:szCs w:val="28"/>
        </w:rPr>
        <w:t> </w:t>
      </w:r>
    </w:p>
    <w:p w14:paraId="4129075A" w14:textId="77777777" w:rsidR="00A948AA" w:rsidRPr="00A948AA" w:rsidRDefault="00A948AA" w:rsidP="00A948AA">
      <w:pPr>
        <w:pStyle w:val="Normlnweb"/>
        <w:spacing w:before="0" w:beforeAutospacing="0" w:after="0" w:afterAutospacing="0"/>
        <w:textAlignment w:val="baseline"/>
        <w:rPr>
          <w:rFonts w:ascii="Browallia New" w:hAnsi="Browallia New" w:cs="Browallia New"/>
          <w:sz w:val="28"/>
          <w:szCs w:val="28"/>
        </w:rPr>
      </w:pPr>
      <w:r w:rsidRPr="00A948AA">
        <w:rPr>
          <w:rFonts w:ascii="Browallia New" w:hAnsi="Browallia New" w:cs="Browallia New" w:hint="cs"/>
          <w:sz w:val="28"/>
          <w:szCs w:val="28"/>
        </w:rPr>
        <w:t>In addition, Jones’s work can be contextualised within a broader examination of theological methodology, as discussed by Cole (2025), which elucidates the imperative for the Church to adopt an adaptive approach to theological study amid various expressions of faith. Cole's ideas about the meaning of contextual theology highlight the need for doctrinal engagement that responds to the experiences of church members today. Jones's articulation of Christian doctrine as a dynamic interaction between belief and practice resonates with Cole's affirmation that the effective theological method must incorporate a variety of voices and perspectives, thus facilitating a more subtle understanding of identity and spirituality in church communities.</w:t>
      </w:r>
    </w:p>
    <w:p w14:paraId="5E0BE3EE" w14:textId="77777777" w:rsidR="00A948AA" w:rsidRPr="00A948AA" w:rsidRDefault="00A948AA" w:rsidP="00A948AA">
      <w:pPr>
        <w:pStyle w:val="Normlnweb"/>
        <w:spacing w:before="0" w:beforeAutospacing="0" w:after="0" w:afterAutospacing="0"/>
        <w:textAlignment w:val="baseline"/>
        <w:rPr>
          <w:rFonts w:ascii="Browallia New" w:hAnsi="Browallia New" w:cs="Browallia New"/>
          <w:sz w:val="28"/>
          <w:szCs w:val="28"/>
        </w:rPr>
      </w:pPr>
      <w:r w:rsidRPr="00A948AA">
        <w:rPr>
          <w:rFonts w:ascii="Browallia New" w:hAnsi="Browallia New" w:cs="Browallia New" w:hint="cs"/>
          <w:sz w:val="28"/>
          <w:szCs w:val="28"/>
        </w:rPr>
        <w:t> </w:t>
      </w:r>
    </w:p>
    <w:p w14:paraId="0934124E" w14:textId="77777777" w:rsidR="00A948AA" w:rsidRPr="00A948AA" w:rsidRDefault="00A948AA" w:rsidP="00A948AA">
      <w:pPr>
        <w:pStyle w:val="Normlnweb"/>
        <w:spacing w:before="0" w:beforeAutospacing="0" w:after="0" w:afterAutospacing="0"/>
        <w:textAlignment w:val="baseline"/>
        <w:rPr>
          <w:rFonts w:ascii="Browallia New" w:hAnsi="Browallia New" w:cs="Browallia New"/>
          <w:sz w:val="28"/>
          <w:szCs w:val="28"/>
        </w:rPr>
      </w:pPr>
      <w:r w:rsidRPr="00A948AA">
        <w:rPr>
          <w:rFonts w:ascii="Browallia New" w:hAnsi="Browallia New" w:cs="Browallia New" w:hint="cs"/>
          <w:sz w:val="28"/>
          <w:szCs w:val="28"/>
        </w:rPr>
        <w:t>Jones further invites his readers to become involved with the doctrinal understanding in tangible ways relevant to their contemporary contexts. By framing doctrines not only as abstract theological concepts but also as an integral part of believers’ lives, she challenges the faithful to reflect on how these beliefs manifest themselves in their daily experiences. This request for practical application deepens the conversation initiated by DO VALE (2024) about the importance of gender inclusion and the need for the church to recognise and celebrate various identities as an integral part of its theological tissue.</w:t>
      </w:r>
    </w:p>
    <w:p w14:paraId="2DAF02F1" w14:textId="77777777" w:rsidR="00A948AA" w:rsidRPr="00A948AA" w:rsidRDefault="00A948AA" w:rsidP="00A948AA">
      <w:pPr>
        <w:pStyle w:val="Normlnweb"/>
        <w:spacing w:before="0" w:beforeAutospacing="0" w:after="0" w:afterAutospacing="0"/>
        <w:textAlignment w:val="baseline"/>
        <w:rPr>
          <w:rFonts w:ascii="Browallia New" w:hAnsi="Browallia New" w:cs="Browallia New"/>
          <w:sz w:val="28"/>
          <w:szCs w:val="28"/>
        </w:rPr>
      </w:pPr>
      <w:r w:rsidRPr="00A948AA">
        <w:rPr>
          <w:rFonts w:ascii="Browallia New" w:hAnsi="Browallia New" w:cs="Browallia New" w:hint="cs"/>
          <w:sz w:val="28"/>
          <w:szCs w:val="28"/>
        </w:rPr>
        <w:t> </w:t>
      </w:r>
    </w:p>
    <w:p w14:paraId="2E10B1C4" w14:textId="77777777" w:rsidR="00A948AA" w:rsidRPr="00A948AA" w:rsidRDefault="00A948AA" w:rsidP="00A948AA">
      <w:pPr>
        <w:pStyle w:val="Normlnweb"/>
        <w:spacing w:before="0" w:beforeAutospacing="0" w:after="0" w:afterAutospacing="0"/>
        <w:textAlignment w:val="baseline"/>
        <w:rPr>
          <w:rFonts w:ascii="Browallia New" w:hAnsi="Browallia New" w:cs="Browallia New"/>
          <w:sz w:val="28"/>
          <w:szCs w:val="28"/>
        </w:rPr>
      </w:pPr>
      <w:r w:rsidRPr="00A948AA">
        <w:rPr>
          <w:rFonts w:ascii="Browallia New" w:hAnsi="Browallia New" w:cs="Browallia New" w:hint="cs"/>
          <w:sz w:val="28"/>
          <w:szCs w:val="28"/>
        </w:rPr>
        <w:t>In this light, * practising Christian doctrine * serves as a vital resource for church leaders and lay people, offering a way to navigate the complexities of the life of modern faith. The exploitation of Jones doctrines invites a review of how community beliefs can be actively expressed, particularly in a cultural context increasingly characterised by pluralism and divergent points of view. Its work provides a structure that not only affirms traditional theological constructions but also encourages readers to rethink and reshape these doctrines to resonate with the pressing issues of identity and belonging that are at the forefront of contemporary theological discourse.</w:t>
      </w:r>
    </w:p>
    <w:p w14:paraId="51807A5A" w14:textId="77777777" w:rsidR="00A948AA" w:rsidRPr="00A948AA" w:rsidRDefault="00A948AA" w:rsidP="00A948AA">
      <w:pPr>
        <w:pStyle w:val="Normlnweb"/>
        <w:spacing w:before="0" w:beforeAutospacing="0" w:after="0" w:afterAutospacing="0"/>
        <w:textAlignment w:val="baseline"/>
        <w:rPr>
          <w:rFonts w:ascii="Browallia New" w:hAnsi="Browallia New" w:cs="Browallia New"/>
          <w:sz w:val="28"/>
          <w:szCs w:val="28"/>
        </w:rPr>
      </w:pPr>
      <w:r w:rsidRPr="00A948AA">
        <w:rPr>
          <w:rFonts w:ascii="Browallia New" w:hAnsi="Browallia New" w:cs="Browallia New" w:hint="cs"/>
          <w:sz w:val="28"/>
          <w:szCs w:val="28"/>
        </w:rPr>
        <w:t> </w:t>
      </w:r>
    </w:p>
    <w:p w14:paraId="48E2B9D8" w14:textId="77777777" w:rsidR="00A948AA" w:rsidRPr="00A948AA" w:rsidRDefault="00A948AA" w:rsidP="00A948AA">
      <w:pPr>
        <w:pStyle w:val="Normlnweb"/>
        <w:spacing w:before="0" w:beforeAutospacing="0" w:after="0" w:afterAutospacing="0"/>
        <w:textAlignment w:val="baseline"/>
        <w:rPr>
          <w:rFonts w:ascii="Browallia New" w:hAnsi="Browallia New" w:cs="Browallia New"/>
          <w:sz w:val="28"/>
          <w:szCs w:val="28"/>
        </w:rPr>
      </w:pPr>
      <w:r w:rsidRPr="00A948AA">
        <w:rPr>
          <w:rFonts w:ascii="Browallia New" w:hAnsi="Browallia New" w:cs="Browallia New" w:hint="cs"/>
          <w:sz w:val="28"/>
          <w:szCs w:val="28"/>
        </w:rPr>
        <w:t xml:space="preserve">In short, Jones’s contributions, along with the discussions of Vale (2024) and Cole (2025), demonstrate how * Christian doctrine * emerges not only as a theological work, but as an appeal to action—an invitation for believers to dive into doctrinarians who inform their commitment to the world. Through his incisive exploitation, Jones emphasises the transformative potential of Christian doctrine to significantly cross with the complexities of modern life, thus enriching the spiritual landscape of contemporary faith., Beth Felker Jones * Practice Christian doctrine * serves as an essential contribution to academic theology and practical </w:t>
      </w:r>
      <w:r w:rsidRPr="00A948AA">
        <w:rPr>
          <w:rFonts w:ascii="Browallia New" w:hAnsi="Browallia New" w:cs="Browallia New" w:hint="cs"/>
          <w:sz w:val="28"/>
          <w:szCs w:val="28"/>
        </w:rPr>
        <w:lastRenderedPageBreak/>
        <w:t>spirituality, illustrating the intricate interaction between doctrinal beliefs and lived faith. In this paper, Jones systematically examines Christian theology, emphasising not only its historical foundations but also its contemporary application. By crossing classical theological concepts with pressing modern issues, it challenges readers to reconsider doctrines not only as abstract ideas but also as essential components of spiritual formation. Through his analysis, Jones defends theology as a discipline that should inform and shape the practices of religious communities, aligning the doctrinal understanding with ethical life.</w:t>
      </w:r>
    </w:p>
    <w:p w14:paraId="3D006391" w14:textId="77777777" w:rsidR="00A948AA" w:rsidRPr="00A948AA" w:rsidRDefault="00A948AA" w:rsidP="00A948AA">
      <w:pPr>
        <w:pStyle w:val="Normlnweb"/>
        <w:spacing w:before="0" w:beforeAutospacing="0" w:after="0" w:afterAutospacing="0"/>
        <w:textAlignment w:val="baseline"/>
        <w:rPr>
          <w:rFonts w:ascii="Browallia New" w:hAnsi="Browallia New" w:cs="Browallia New"/>
          <w:sz w:val="28"/>
          <w:szCs w:val="28"/>
        </w:rPr>
      </w:pPr>
      <w:r w:rsidRPr="00A948AA">
        <w:rPr>
          <w:rFonts w:ascii="Browallia New" w:hAnsi="Browallia New" w:cs="Browallia New" w:hint="cs"/>
          <w:sz w:val="28"/>
          <w:szCs w:val="28"/>
        </w:rPr>
        <w:t> </w:t>
      </w:r>
    </w:p>
    <w:p w14:paraId="52F8922F" w14:textId="77777777" w:rsidR="00A948AA" w:rsidRPr="00A948AA" w:rsidRDefault="00A948AA" w:rsidP="00A948AA">
      <w:pPr>
        <w:pStyle w:val="Normlnweb"/>
        <w:spacing w:before="0" w:beforeAutospacing="0" w:after="0" w:afterAutospacing="0"/>
        <w:textAlignment w:val="baseline"/>
        <w:rPr>
          <w:rFonts w:ascii="Browallia New" w:hAnsi="Browallia New" w:cs="Browallia New"/>
          <w:sz w:val="28"/>
          <w:szCs w:val="28"/>
        </w:rPr>
      </w:pPr>
      <w:r w:rsidRPr="00A948AA">
        <w:rPr>
          <w:rFonts w:ascii="Browallia New" w:hAnsi="Browallia New" w:cs="Browallia New" w:hint="cs"/>
          <w:sz w:val="28"/>
          <w:szCs w:val="28"/>
        </w:rPr>
        <w:t>A focal point of Jones’s work is the meaning of Christian doctrines for spiritual enrichment. It articulates how to engage deeply with theological principles, promotes a deeper connection with the Christian tradition, and enhances one’s spiritual experiences. This notion resonates with Kavanagh (2022), who emphasises the relational dimensions of charity and theological ethics, arguing that an understanding of doctrine can increase the ability to love and serve others effectively. Jones is based on this structure, noting that doctrines are not only elements of the Creed but also catalysts for spiritual growth and moral discernment. By framing doctrines in this relational context, Jones invites readers to reflect on the implications of belief in their daily lives, effectively merging the intellectual with the experimental aspects of faith.</w:t>
      </w:r>
    </w:p>
    <w:p w14:paraId="250CED1E" w14:textId="77777777" w:rsidR="00A948AA" w:rsidRPr="00A948AA" w:rsidRDefault="00A948AA" w:rsidP="00A948AA">
      <w:pPr>
        <w:pStyle w:val="Normlnweb"/>
        <w:spacing w:before="0" w:beforeAutospacing="0" w:after="0" w:afterAutospacing="0"/>
        <w:textAlignment w:val="baseline"/>
        <w:rPr>
          <w:rFonts w:ascii="Browallia New" w:hAnsi="Browallia New" w:cs="Browallia New"/>
          <w:sz w:val="28"/>
          <w:szCs w:val="28"/>
        </w:rPr>
      </w:pPr>
      <w:r w:rsidRPr="00A948AA">
        <w:rPr>
          <w:rFonts w:ascii="Browallia New" w:hAnsi="Browallia New" w:cs="Browallia New" w:hint="cs"/>
          <w:sz w:val="28"/>
          <w:szCs w:val="28"/>
        </w:rPr>
        <w:t> </w:t>
      </w:r>
    </w:p>
    <w:p w14:paraId="7BF15BC8" w14:textId="53DFBE1F" w:rsidR="00A948AA" w:rsidRPr="00A948AA" w:rsidRDefault="00A948AA" w:rsidP="00A948AA">
      <w:pPr>
        <w:pStyle w:val="Normlnweb"/>
        <w:spacing w:before="0" w:beforeAutospacing="0" w:after="0" w:afterAutospacing="0"/>
        <w:textAlignment w:val="baseline"/>
        <w:rPr>
          <w:rFonts w:ascii="Browallia New" w:hAnsi="Browallia New" w:cs="Browallia New"/>
          <w:sz w:val="28"/>
          <w:szCs w:val="28"/>
        </w:rPr>
      </w:pPr>
      <w:r w:rsidRPr="00A948AA">
        <w:rPr>
          <w:rFonts w:ascii="Browallia New" w:hAnsi="Browallia New" w:cs="Browallia New" w:hint="cs"/>
          <w:sz w:val="28"/>
          <w:szCs w:val="28"/>
        </w:rPr>
        <w:t xml:space="preserve">In addition, the relevance of Jones’s work in contemporary faith cannot be exaggerated. In a time marked by religious pluralism and, in many cases, theological vacuity, * practising Christian doctrine * emerges as a whitening that Christians root their identities in the rich ground of doctrinal truth. Jones advocates the need to engage in doctrine as a significant enterprise, postulating that it equates believers to navigate the complexities of modern life with integrity and purpose. His work addresses a pressing need for theological insights based on the </w:t>
      </w:r>
      <w:r w:rsidRPr="00A948AA">
        <w:rPr>
          <w:rFonts w:ascii="Browallia New" w:hAnsi="Browallia New" w:cs="Browallia New"/>
          <w:sz w:val="28"/>
          <w:szCs w:val="28"/>
        </w:rPr>
        <w:t>often-fractured</w:t>
      </w:r>
      <w:r w:rsidRPr="00A948AA">
        <w:rPr>
          <w:rFonts w:ascii="Browallia New" w:hAnsi="Browallia New" w:cs="Browallia New" w:hint="cs"/>
          <w:sz w:val="28"/>
          <w:szCs w:val="28"/>
        </w:rPr>
        <w:t xml:space="preserve"> landscape of contemporary expressions of faith.</w:t>
      </w:r>
    </w:p>
    <w:p w14:paraId="755AF739" w14:textId="77777777" w:rsidR="00A948AA" w:rsidRPr="00A948AA" w:rsidRDefault="00A948AA" w:rsidP="00A948AA">
      <w:pPr>
        <w:pStyle w:val="Normlnweb"/>
        <w:spacing w:before="0" w:beforeAutospacing="0" w:after="0" w:afterAutospacing="0"/>
        <w:textAlignment w:val="baseline"/>
        <w:rPr>
          <w:rFonts w:ascii="Browallia New" w:hAnsi="Browallia New" w:cs="Browallia New"/>
          <w:sz w:val="28"/>
          <w:szCs w:val="28"/>
        </w:rPr>
      </w:pPr>
      <w:r w:rsidRPr="00A948AA">
        <w:rPr>
          <w:rFonts w:ascii="Browallia New" w:hAnsi="Browallia New" w:cs="Browallia New" w:hint="cs"/>
          <w:sz w:val="28"/>
          <w:szCs w:val="28"/>
        </w:rPr>
        <w:t> </w:t>
      </w:r>
    </w:p>
    <w:p w14:paraId="3DCB3161" w14:textId="77777777" w:rsidR="00A948AA" w:rsidRPr="00A948AA" w:rsidRDefault="00A948AA" w:rsidP="00A948AA">
      <w:pPr>
        <w:pStyle w:val="Normlnweb"/>
        <w:spacing w:before="0" w:beforeAutospacing="0" w:after="0" w:afterAutospacing="0"/>
        <w:textAlignment w:val="baseline"/>
        <w:rPr>
          <w:rFonts w:ascii="Browallia New" w:hAnsi="Browallia New" w:cs="Browallia New"/>
          <w:sz w:val="28"/>
          <w:szCs w:val="28"/>
        </w:rPr>
      </w:pPr>
      <w:r w:rsidRPr="00A948AA">
        <w:rPr>
          <w:rFonts w:ascii="Browallia New" w:hAnsi="Browallia New" w:cs="Browallia New" w:hint="cs"/>
          <w:sz w:val="28"/>
          <w:szCs w:val="28"/>
        </w:rPr>
        <w:t>By integrating various theological voices and addressing pressing contemporary issues, Jones enhances dialogue within Christian theology, making his work accessible and relevant to scholars and professionals. The emphasis on the transforming potential of theology in believers’ lives is particularly protruding, as it frames doctrinal exploitation as an act of worship that can lead to personal and community revitalisation in the practice of faith. The memory of doctrines as living truths offers a way for believers to be more authentically involved with their faith, promoting communities that reflect the love and grace inherent to the Christian message.</w:t>
      </w:r>
    </w:p>
    <w:p w14:paraId="373230D4" w14:textId="77777777" w:rsidR="00A948AA" w:rsidRPr="00A948AA" w:rsidRDefault="00A948AA" w:rsidP="00A948AA">
      <w:pPr>
        <w:pStyle w:val="Normlnweb"/>
        <w:spacing w:before="0" w:beforeAutospacing="0" w:after="0" w:afterAutospacing="0"/>
        <w:textAlignment w:val="baseline"/>
        <w:rPr>
          <w:rFonts w:ascii="Browallia New" w:hAnsi="Browallia New" w:cs="Browallia New"/>
          <w:sz w:val="28"/>
          <w:szCs w:val="28"/>
        </w:rPr>
      </w:pPr>
      <w:r w:rsidRPr="00A948AA">
        <w:rPr>
          <w:rFonts w:ascii="Browallia New" w:hAnsi="Browallia New" w:cs="Browallia New" w:hint="cs"/>
          <w:sz w:val="28"/>
          <w:szCs w:val="28"/>
        </w:rPr>
        <w:t> </w:t>
      </w:r>
    </w:p>
    <w:p w14:paraId="1B87FFA6" w14:textId="77777777" w:rsidR="00A948AA" w:rsidRPr="00A948AA" w:rsidRDefault="00A948AA" w:rsidP="00A948AA">
      <w:pPr>
        <w:pStyle w:val="Normlnweb"/>
        <w:spacing w:before="0" w:beforeAutospacing="0" w:after="0" w:afterAutospacing="0"/>
        <w:textAlignment w:val="baseline"/>
        <w:rPr>
          <w:rFonts w:ascii="Browallia New" w:hAnsi="Browallia New" w:cs="Browallia New"/>
          <w:sz w:val="28"/>
          <w:szCs w:val="28"/>
        </w:rPr>
      </w:pPr>
      <w:r w:rsidRPr="00A948AA">
        <w:rPr>
          <w:rFonts w:ascii="Browallia New" w:hAnsi="Browallia New" w:cs="Browallia New" w:hint="cs"/>
          <w:sz w:val="28"/>
          <w:szCs w:val="28"/>
        </w:rPr>
        <w:t>By synthesising Jones’ ideas with those of contemporary theologians like Kavanagh, it is evident that being involved with Christian doctrine is a vital aspect of forming a holistic understanding of faith. Doctrines serve not only as the belief skeleton but also as dynamic entities that invite, challenge, and force believers to deeper involvement with their spirituality. Therefore, * practising Christian doctrine * stands out not only as an academic text but also as a practical guide for those who seek to deepen their faith amid the complexities of today’s religious landscape, affirming lasting relevance and the need for theology in the believer’s life (Jones, 2023).</w:t>
      </w:r>
    </w:p>
    <w:p w14:paraId="4B67337C" w14:textId="54D64C83" w:rsidR="00A948AA" w:rsidRPr="00A948AA" w:rsidRDefault="00A948AA" w:rsidP="00A948AA">
      <w:pPr>
        <w:pStyle w:val="Normlnweb"/>
        <w:spacing w:before="0" w:beforeAutospacing="0" w:after="0" w:afterAutospacing="0"/>
        <w:textAlignment w:val="baseline"/>
        <w:rPr>
          <w:rFonts w:ascii="Browallia New" w:hAnsi="Browallia New" w:cs="Browallia New"/>
          <w:sz w:val="28"/>
          <w:szCs w:val="28"/>
        </w:rPr>
      </w:pPr>
      <w:r w:rsidRPr="00A948AA">
        <w:rPr>
          <w:rFonts w:ascii="Browallia New" w:hAnsi="Browallia New" w:cs="Browallia New" w:hint="cs"/>
          <w:sz w:val="28"/>
          <w:szCs w:val="28"/>
        </w:rPr>
        <w:lastRenderedPageBreak/>
        <w:br/>
        <w:t> </w:t>
      </w:r>
      <w:r w:rsidRPr="00A948AA">
        <w:rPr>
          <w:rFonts w:ascii="Browallia New" w:hAnsi="Browallia New" w:cs="Browallia New"/>
          <w:sz w:val="28"/>
          <w:szCs w:val="28"/>
        </w:rPr>
        <w:t>References:</w:t>
      </w:r>
    </w:p>
    <w:p w14:paraId="09C03CD9" w14:textId="6CF6AFFE" w:rsidR="00A948AA" w:rsidRPr="00A948AA" w:rsidRDefault="00A948AA" w:rsidP="00A948AA">
      <w:pPr>
        <w:spacing w:before="100" w:beforeAutospacing="1" w:after="100" w:afterAutospacing="1" w:line="240" w:lineRule="auto"/>
        <w:rPr>
          <w:rFonts w:ascii="Browallia New" w:eastAsia="Times New Roman" w:hAnsi="Browallia New" w:cs="Browallia New"/>
          <w:kern w:val="0"/>
          <w:sz w:val="28"/>
          <w:szCs w:val="28"/>
          <w:lang w:eastAsia="en-GB"/>
          <w14:ligatures w14:val="none"/>
        </w:rPr>
      </w:pPr>
      <w:r w:rsidRPr="00A948AA">
        <w:rPr>
          <w:rFonts w:ascii="Browallia New" w:eastAsia="Times New Roman" w:hAnsi="Browallia New" w:cs="Browallia New" w:hint="cs"/>
          <w:b/>
          <w:bCs/>
          <w:kern w:val="0"/>
          <w:sz w:val="28"/>
          <w:szCs w:val="28"/>
          <w:lang w:eastAsia="en-GB"/>
          <w14:ligatures w14:val="none"/>
        </w:rPr>
        <w:t>Ashton, S., 2023.</w:t>
      </w:r>
      <w:r w:rsidRPr="00A948AA">
        <w:rPr>
          <w:rFonts w:ascii="Browallia New" w:eastAsia="Times New Roman" w:hAnsi="Browallia New" w:cs="Browallia New" w:hint="cs"/>
          <w:kern w:val="0"/>
          <w:sz w:val="28"/>
          <w:szCs w:val="28"/>
          <w:lang w:eastAsia="en-GB"/>
          <w14:ligatures w14:val="none"/>
        </w:rPr>
        <w:t xml:space="preserve"> </w:t>
      </w:r>
      <w:r w:rsidRPr="00A948AA">
        <w:rPr>
          <w:rFonts w:ascii="Browallia New" w:eastAsia="Times New Roman" w:hAnsi="Browallia New" w:cs="Browallia New" w:hint="cs"/>
          <w:i/>
          <w:iCs/>
          <w:kern w:val="0"/>
          <w:sz w:val="28"/>
          <w:szCs w:val="28"/>
          <w:lang w:eastAsia="en-GB"/>
          <w14:ligatures w14:val="none"/>
        </w:rPr>
        <w:t>Beyond Male and Female? A Theological Account of Intersex Embodiment.</w:t>
      </w:r>
      <w:r w:rsidRPr="00A948AA">
        <w:rPr>
          <w:rFonts w:ascii="Browallia New" w:eastAsia="Times New Roman" w:hAnsi="Browallia New" w:cs="Browallia New" w:hint="cs"/>
          <w:kern w:val="0"/>
          <w:sz w:val="28"/>
          <w:szCs w:val="28"/>
          <w:lang w:eastAsia="en-GB"/>
          <w14:ligatures w14:val="none"/>
        </w:rPr>
        <w:t xml:space="preserve"> </w:t>
      </w:r>
    </w:p>
    <w:p w14:paraId="2EEB0C54" w14:textId="4ACC9EE2" w:rsidR="00A948AA" w:rsidRPr="00A948AA" w:rsidRDefault="00A948AA" w:rsidP="00A948AA">
      <w:pPr>
        <w:spacing w:before="100" w:beforeAutospacing="1" w:after="100" w:afterAutospacing="1" w:line="240" w:lineRule="auto"/>
        <w:rPr>
          <w:rFonts w:ascii="Browallia New" w:eastAsia="Times New Roman" w:hAnsi="Browallia New" w:cs="Browallia New"/>
          <w:kern w:val="0"/>
          <w:sz w:val="28"/>
          <w:szCs w:val="28"/>
          <w:lang w:eastAsia="en-GB"/>
          <w14:ligatures w14:val="none"/>
        </w:rPr>
      </w:pPr>
      <w:r w:rsidRPr="00A948AA">
        <w:rPr>
          <w:rFonts w:ascii="Browallia New" w:eastAsia="Times New Roman" w:hAnsi="Browallia New" w:cs="Browallia New" w:hint="cs"/>
          <w:b/>
          <w:bCs/>
          <w:kern w:val="0"/>
          <w:sz w:val="28"/>
          <w:szCs w:val="28"/>
          <w:lang w:eastAsia="en-GB"/>
          <w14:ligatures w14:val="none"/>
        </w:rPr>
        <w:t>Barbeau, J.W. and Jones, B.F. eds., 2015.</w:t>
      </w:r>
      <w:r w:rsidRPr="00A948AA">
        <w:rPr>
          <w:rFonts w:ascii="Browallia New" w:eastAsia="Times New Roman" w:hAnsi="Browallia New" w:cs="Browallia New" w:hint="cs"/>
          <w:kern w:val="0"/>
          <w:sz w:val="28"/>
          <w:szCs w:val="28"/>
          <w:lang w:eastAsia="en-GB"/>
          <w14:ligatures w14:val="none"/>
        </w:rPr>
        <w:t xml:space="preserve"> </w:t>
      </w:r>
      <w:r w:rsidRPr="00A948AA">
        <w:rPr>
          <w:rFonts w:ascii="Browallia New" w:eastAsia="Times New Roman" w:hAnsi="Browallia New" w:cs="Browallia New" w:hint="cs"/>
          <w:i/>
          <w:iCs/>
          <w:kern w:val="0"/>
          <w:sz w:val="28"/>
          <w:szCs w:val="28"/>
          <w:lang w:eastAsia="en-GB"/>
          <w14:ligatures w14:val="none"/>
        </w:rPr>
        <w:t>Spirit of God: Christian Renewal in the Community of Faith.</w:t>
      </w:r>
      <w:r w:rsidRPr="00A948AA">
        <w:rPr>
          <w:rFonts w:ascii="Browallia New" w:eastAsia="Times New Roman" w:hAnsi="Browallia New" w:cs="Browallia New" w:hint="cs"/>
          <w:kern w:val="0"/>
          <w:sz w:val="28"/>
          <w:szCs w:val="28"/>
          <w:lang w:eastAsia="en-GB"/>
          <w14:ligatures w14:val="none"/>
        </w:rPr>
        <w:t xml:space="preserve"> InterVarsity Press. </w:t>
      </w:r>
    </w:p>
    <w:p w14:paraId="0A44AE89" w14:textId="4C2F3ACD" w:rsidR="00A948AA" w:rsidRPr="00A948AA" w:rsidRDefault="00A948AA" w:rsidP="00A948AA">
      <w:pPr>
        <w:spacing w:before="100" w:beforeAutospacing="1" w:after="100" w:afterAutospacing="1" w:line="240" w:lineRule="auto"/>
        <w:rPr>
          <w:rFonts w:ascii="Browallia New" w:eastAsia="Times New Roman" w:hAnsi="Browallia New" w:cs="Browallia New"/>
          <w:kern w:val="0"/>
          <w:sz w:val="28"/>
          <w:szCs w:val="28"/>
          <w:lang w:eastAsia="en-GB"/>
          <w14:ligatures w14:val="none"/>
        </w:rPr>
      </w:pPr>
      <w:r w:rsidRPr="00A948AA">
        <w:rPr>
          <w:rFonts w:ascii="Browallia New" w:eastAsia="Times New Roman" w:hAnsi="Browallia New" w:cs="Browallia New" w:hint="cs"/>
          <w:b/>
          <w:bCs/>
          <w:kern w:val="0"/>
          <w:sz w:val="28"/>
          <w:szCs w:val="28"/>
          <w:lang w:eastAsia="en-GB"/>
          <w14:ligatures w14:val="none"/>
        </w:rPr>
        <w:t>Cole, G.A., 2025.</w:t>
      </w:r>
      <w:r w:rsidRPr="00A948AA">
        <w:rPr>
          <w:rFonts w:ascii="Browallia New" w:eastAsia="Times New Roman" w:hAnsi="Browallia New" w:cs="Browallia New" w:hint="cs"/>
          <w:kern w:val="0"/>
          <w:sz w:val="28"/>
          <w:szCs w:val="28"/>
          <w:lang w:eastAsia="en-GB"/>
          <w14:ligatures w14:val="none"/>
        </w:rPr>
        <w:t xml:space="preserve"> </w:t>
      </w:r>
      <w:r w:rsidRPr="00A948AA">
        <w:rPr>
          <w:rFonts w:ascii="Browallia New" w:eastAsia="Times New Roman" w:hAnsi="Browallia New" w:cs="Browallia New" w:hint="cs"/>
          <w:i/>
          <w:iCs/>
          <w:kern w:val="0"/>
          <w:sz w:val="28"/>
          <w:szCs w:val="28"/>
          <w:lang w:eastAsia="en-GB"/>
          <w14:ligatures w14:val="none"/>
        </w:rPr>
        <w:t>Theological Method: An Introduction.</w:t>
      </w:r>
      <w:r w:rsidRPr="00A948AA">
        <w:rPr>
          <w:rFonts w:ascii="Browallia New" w:eastAsia="Times New Roman" w:hAnsi="Browallia New" w:cs="Browallia New" w:hint="cs"/>
          <w:kern w:val="0"/>
          <w:sz w:val="28"/>
          <w:szCs w:val="28"/>
          <w:lang w:eastAsia="en-GB"/>
          <w14:ligatures w14:val="none"/>
        </w:rPr>
        <w:t xml:space="preserve"> Crossway. </w:t>
      </w:r>
    </w:p>
    <w:p w14:paraId="07E88435" w14:textId="3578F553" w:rsidR="00A948AA" w:rsidRPr="00A948AA" w:rsidRDefault="00A948AA" w:rsidP="00A948AA">
      <w:pPr>
        <w:spacing w:before="100" w:beforeAutospacing="1" w:after="100" w:afterAutospacing="1" w:line="240" w:lineRule="auto"/>
        <w:rPr>
          <w:rFonts w:ascii="Browallia New" w:eastAsia="Times New Roman" w:hAnsi="Browallia New" w:cs="Browallia New"/>
          <w:kern w:val="0"/>
          <w:sz w:val="28"/>
          <w:szCs w:val="28"/>
          <w:lang w:eastAsia="en-GB"/>
          <w14:ligatures w14:val="none"/>
        </w:rPr>
      </w:pPr>
      <w:r w:rsidRPr="00A948AA">
        <w:rPr>
          <w:rFonts w:ascii="Browallia New" w:eastAsia="Times New Roman" w:hAnsi="Browallia New" w:cs="Browallia New" w:hint="cs"/>
          <w:b/>
          <w:bCs/>
          <w:kern w:val="0"/>
          <w:sz w:val="28"/>
          <w:szCs w:val="28"/>
          <w:lang w:eastAsia="en-GB"/>
          <w14:ligatures w14:val="none"/>
        </w:rPr>
        <w:t>do Vale, F., 2024.</w:t>
      </w:r>
      <w:r w:rsidRPr="00A948AA">
        <w:rPr>
          <w:rFonts w:ascii="Browallia New" w:eastAsia="Times New Roman" w:hAnsi="Browallia New" w:cs="Browallia New" w:hint="cs"/>
          <w:kern w:val="0"/>
          <w:sz w:val="28"/>
          <w:szCs w:val="28"/>
          <w:lang w:eastAsia="en-GB"/>
          <w14:ligatures w14:val="none"/>
        </w:rPr>
        <w:t xml:space="preserve"> Gender and Theological Tradition: On How to Retrieve the Irretrievable. </w:t>
      </w:r>
      <w:r w:rsidRPr="00A948AA">
        <w:rPr>
          <w:rFonts w:ascii="Browallia New" w:eastAsia="Times New Roman" w:hAnsi="Browallia New" w:cs="Browallia New" w:hint="cs"/>
          <w:i/>
          <w:iCs/>
          <w:kern w:val="0"/>
          <w:sz w:val="28"/>
          <w:szCs w:val="28"/>
          <w:lang w:eastAsia="en-GB"/>
          <w14:ligatures w14:val="none"/>
        </w:rPr>
        <w:t>Journal of Reformed Theology</w:t>
      </w:r>
      <w:r w:rsidRPr="00A948AA">
        <w:rPr>
          <w:rFonts w:ascii="Browallia New" w:eastAsia="Times New Roman" w:hAnsi="Browallia New" w:cs="Browallia New" w:hint="cs"/>
          <w:kern w:val="0"/>
          <w:sz w:val="28"/>
          <w:szCs w:val="28"/>
          <w:lang w:eastAsia="en-GB"/>
          <w14:ligatures w14:val="none"/>
        </w:rPr>
        <w:t xml:space="preserve">, 18(1-3), pp.198–214. </w:t>
      </w:r>
    </w:p>
    <w:p w14:paraId="7E248ED6" w14:textId="1938BCEA" w:rsidR="00A948AA" w:rsidRPr="00A948AA" w:rsidRDefault="00A948AA" w:rsidP="00A948AA">
      <w:pPr>
        <w:spacing w:before="100" w:beforeAutospacing="1" w:after="100" w:afterAutospacing="1" w:line="240" w:lineRule="auto"/>
        <w:rPr>
          <w:rFonts w:ascii="Browallia New" w:eastAsia="Times New Roman" w:hAnsi="Browallia New" w:cs="Browallia New"/>
          <w:kern w:val="0"/>
          <w:sz w:val="28"/>
          <w:szCs w:val="28"/>
          <w:lang w:eastAsia="en-GB"/>
          <w14:ligatures w14:val="none"/>
        </w:rPr>
      </w:pPr>
      <w:r w:rsidRPr="00A948AA">
        <w:rPr>
          <w:rFonts w:ascii="Browallia New" w:eastAsia="Times New Roman" w:hAnsi="Browallia New" w:cs="Browallia New" w:hint="cs"/>
          <w:b/>
          <w:bCs/>
          <w:kern w:val="0"/>
          <w:sz w:val="28"/>
          <w:szCs w:val="28"/>
          <w:lang w:eastAsia="en-GB"/>
          <w14:ligatures w14:val="none"/>
        </w:rPr>
        <w:t>Do Vale, F., 2023.</w:t>
      </w:r>
      <w:r w:rsidRPr="00A948AA">
        <w:rPr>
          <w:rFonts w:ascii="Browallia New" w:eastAsia="Times New Roman" w:hAnsi="Browallia New" w:cs="Browallia New" w:hint="cs"/>
          <w:kern w:val="0"/>
          <w:sz w:val="28"/>
          <w:szCs w:val="28"/>
          <w:lang w:eastAsia="en-GB"/>
          <w14:ligatures w14:val="none"/>
        </w:rPr>
        <w:t xml:space="preserve"> </w:t>
      </w:r>
      <w:r w:rsidRPr="00A948AA">
        <w:rPr>
          <w:rFonts w:ascii="Browallia New" w:eastAsia="Times New Roman" w:hAnsi="Browallia New" w:cs="Browallia New" w:hint="cs"/>
          <w:i/>
          <w:iCs/>
          <w:kern w:val="0"/>
          <w:sz w:val="28"/>
          <w:szCs w:val="28"/>
          <w:lang w:eastAsia="en-GB"/>
          <w14:ligatures w14:val="none"/>
        </w:rPr>
        <w:t>Gender as Love: A Theological Account of Human Identity, Embodied Desire, and Our Social Worlds.</w:t>
      </w:r>
      <w:r w:rsidRPr="00A948AA">
        <w:rPr>
          <w:rFonts w:ascii="Browallia New" w:eastAsia="Times New Roman" w:hAnsi="Browallia New" w:cs="Browallia New" w:hint="cs"/>
          <w:kern w:val="0"/>
          <w:sz w:val="28"/>
          <w:szCs w:val="28"/>
          <w:lang w:eastAsia="en-GB"/>
          <w14:ligatures w14:val="none"/>
        </w:rPr>
        <w:t xml:space="preserve"> Baker Books.</w:t>
      </w:r>
    </w:p>
    <w:p w14:paraId="5B88A0AD" w14:textId="3B2B19D5" w:rsidR="00A948AA" w:rsidRPr="00A948AA" w:rsidRDefault="00A948AA" w:rsidP="00A948AA">
      <w:pPr>
        <w:spacing w:before="100" w:beforeAutospacing="1" w:after="100" w:afterAutospacing="1" w:line="240" w:lineRule="auto"/>
        <w:rPr>
          <w:rFonts w:ascii="Browallia New" w:eastAsia="Times New Roman" w:hAnsi="Browallia New" w:cs="Browallia New"/>
          <w:kern w:val="0"/>
          <w:sz w:val="28"/>
          <w:szCs w:val="28"/>
          <w:lang w:eastAsia="en-GB"/>
          <w14:ligatures w14:val="none"/>
        </w:rPr>
      </w:pPr>
      <w:r w:rsidRPr="00A948AA">
        <w:rPr>
          <w:rFonts w:ascii="Browallia New" w:eastAsia="Times New Roman" w:hAnsi="Browallia New" w:cs="Browallia New" w:hint="cs"/>
          <w:b/>
          <w:bCs/>
          <w:kern w:val="0"/>
          <w:sz w:val="28"/>
          <w:szCs w:val="28"/>
          <w:lang w:eastAsia="en-GB"/>
          <w14:ligatures w14:val="none"/>
        </w:rPr>
        <w:t>Jones, B.F., 2023.</w:t>
      </w:r>
      <w:r w:rsidRPr="00A948AA">
        <w:rPr>
          <w:rFonts w:ascii="Browallia New" w:eastAsia="Times New Roman" w:hAnsi="Browallia New" w:cs="Browallia New" w:hint="cs"/>
          <w:kern w:val="0"/>
          <w:sz w:val="28"/>
          <w:szCs w:val="28"/>
          <w:lang w:eastAsia="en-GB"/>
          <w14:ligatures w14:val="none"/>
        </w:rPr>
        <w:t xml:space="preserve"> </w:t>
      </w:r>
      <w:r w:rsidRPr="00A948AA">
        <w:rPr>
          <w:rFonts w:ascii="Browallia New" w:eastAsia="Times New Roman" w:hAnsi="Browallia New" w:cs="Browallia New" w:hint="cs"/>
          <w:i/>
          <w:iCs/>
          <w:kern w:val="0"/>
          <w:sz w:val="28"/>
          <w:szCs w:val="28"/>
          <w:lang w:eastAsia="en-GB"/>
          <w14:ligatures w14:val="none"/>
        </w:rPr>
        <w:t>Practicing Christian Doctrine: An Introduction to Thinking and Living Theologically.</w:t>
      </w:r>
      <w:r w:rsidRPr="00A948AA">
        <w:rPr>
          <w:rFonts w:ascii="Browallia New" w:eastAsia="Times New Roman" w:hAnsi="Browallia New" w:cs="Browallia New" w:hint="cs"/>
          <w:kern w:val="0"/>
          <w:sz w:val="28"/>
          <w:szCs w:val="28"/>
          <w:lang w:eastAsia="en-GB"/>
          <w14:ligatures w14:val="none"/>
        </w:rPr>
        <w:t xml:space="preserve"> Baker Books. </w:t>
      </w:r>
    </w:p>
    <w:p w14:paraId="2388ED48" w14:textId="7099719A" w:rsidR="00A948AA" w:rsidRPr="00A948AA" w:rsidRDefault="00A948AA" w:rsidP="00A948AA">
      <w:pPr>
        <w:spacing w:before="100" w:beforeAutospacing="1" w:after="100" w:afterAutospacing="1" w:line="240" w:lineRule="auto"/>
        <w:rPr>
          <w:rFonts w:ascii="Browallia New" w:eastAsia="Times New Roman" w:hAnsi="Browallia New" w:cs="Browallia New"/>
          <w:kern w:val="0"/>
          <w:sz w:val="28"/>
          <w:szCs w:val="28"/>
          <w:lang w:eastAsia="en-GB"/>
          <w14:ligatures w14:val="none"/>
        </w:rPr>
      </w:pPr>
      <w:r w:rsidRPr="00A948AA">
        <w:rPr>
          <w:rFonts w:ascii="Browallia New" w:eastAsia="Times New Roman" w:hAnsi="Browallia New" w:cs="Browallia New" w:hint="cs"/>
          <w:b/>
          <w:bCs/>
          <w:kern w:val="0"/>
          <w:sz w:val="28"/>
          <w:szCs w:val="28"/>
          <w:lang w:eastAsia="en-GB"/>
          <w14:ligatures w14:val="none"/>
        </w:rPr>
        <w:t>Jones, B.F. and Barbeau, J.W. eds., 2016.</w:t>
      </w:r>
      <w:r w:rsidRPr="00A948AA">
        <w:rPr>
          <w:rFonts w:ascii="Browallia New" w:eastAsia="Times New Roman" w:hAnsi="Browallia New" w:cs="Browallia New" w:hint="cs"/>
          <w:kern w:val="0"/>
          <w:sz w:val="28"/>
          <w:szCs w:val="28"/>
          <w:lang w:eastAsia="en-GB"/>
          <w14:ligatures w14:val="none"/>
        </w:rPr>
        <w:t xml:space="preserve"> </w:t>
      </w:r>
      <w:r w:rsidRPr="00A948AA">
        <w:rPr>
          <w:rFonts w:ascii="Browallia New" w:eastAsia="Times New Roman" w:hAnsi="Browallia New" w:cs="Browallia New" w:hint="cs"/>
          <w:i/>
          <w:iCs/>
          <w:kern w:val="0"/>
          <w:sz w:val="28"/>
          <w:szCs w:val="28"/>
          <w:lang w:eastAsia="en-GB"/>
          <w14:ligatures w14:val="none"/>
        </w:rPr>
        <w:t>The Image of God in an Image Driven Age: Explorations in Theological Anthropology.</w:t>
      </w:r>
      <w:r w:rsidRPr="00A948AA">
        <w:rPr>
          <w:rFonts w:ascii="Browallia New" w:eastAsia="Times New Roman" w:hAnsi="Browallia New" w:cs="Browallia New" w:hint="cs"/>
          <w:kern w:val="0"/>
          <w:sz w:val="28"/>
          <w:szCs w:val="28"/>
          <w:lang w:eastAsia="en-GB"/>
          <w14:ligatures w14:val="none"/>
        </w:rPr>
        <w:t xml:space="preserve"> InterVarsity Press. </w:t>
      </w:r>
    </w:p>
    <w:p w14:paraId="5703B43A" w14:textId="04FF5072" w:rsidR="00A948AA" w:rsidRPr="00A948AA" w:rsidRDefault="00A948AA" w:rsidP="00A948AA">
      <w:pPr>
        <w:spacing w:before="100" w:beforeAutospacing="1" w:after="100" w:afterAutospacing="1" w:line="240" w:lineRule="auto"/>
        <w:rPr>
          <w:rFonts w:ascii="Browallia New" w:eastAsia="Times New Roman" w:hAnsi="Browallia New" w:cs="Browallia New"/>
          <w:kern w:val="0"/>
          <w:sz w:val="28"/>
          <w:szCs w:val="28"/>
          <w:lang w:eastAsia="en-GB"/>
          <w14:ligatures w14:val="none"/>
        </w:rPr>
      </w:pPr>
      <w:r w:rsidRPr="00A948AA">
        <w:rPr>
          <w:rFonts w:ascii="Browallia New" w:eastAsia="Times New Roman" w:hAnsi="Browallia New" w:cs="Browallia New" w:hint="cs"/>
          <w:b/>
          <w:bCs/>
          <w:kern w:val="0"/>
          <w:sz w:val="28"/>
          <w:szCs w:val="28"/>
          <w:lang w:eastAsia="en-GB"/>
          <w14:ligatures w14:val="none"/>
        </w:rPr>
        <w:t>Kavanagh, R.C., 2022.</w:t>
      </w:r>
      <w:r w:rsidRPr="00A948AA">
        <w:rPr>
          <w:rFonts w:ascii="Browallia New" w:eastAsia="Times New Roman" w:hAnsi="Browallia New" w:cs="Browallia New" w:hint="cs"/>
          <w:kern w:val="0"/>
          <w:sz w:val="28"/>
          <w:szCs w:val="28"/>
          <w:lang w:eastAsia="en-GB"/>
          <w14:ligatures w14:val="none"/>
        </w:rPr>
        <w:t xml:space="preserve"> ‘Charity Uncreated, Charity Created, and Charity Given’.</w:t>
      </w:r>
    </w:p>
    <w:p w14:paraId="44260371" w14:textId="6A4CA430" w:rsidR="00A948AA" w:rsidRPr="00A948AA" w:rsidRDefault="00A948AA" w:rsidP="00A948AA">
      <w:pPr>
        <w:spacing w:before="100" w:beforeAutospacing="1" w:after="100" w:afterAutospacing="1" w:line="240" w:lineRule="auto"/>
        <w:rPr>
          <w:rFonts w:ascii="Browallia New" w:eastAsia="Times New Roman" w:hAnsi="Browallia New" w:cs="Browallia New"/>
          <w:kern w:val="0"/>
          <w:sz w:val="28"/>
          <w:szCs w:val="28"/>
          <w:lang w:eastAsia="en-GB"/>
          <w14:ligatures w14:val="none"/>
        </w:rPr>
      </w:pPr>
      <w:r w:rsidRPr="00A948AA">
        <w:rPr>
          <w:rFonts w:ascii="Browallia New" w:eastAsia="Times New Roman" w:hAnsi="Browallia New" w:cs="Browallia New" w:hint="cs"/>
          <w:b/>
          <w:bCs/>
          <w:kern w:val="0"/>
          <w:sz w:val="28"/>
          <w:szCs w:val="28"/>
          <w:lang w:eastAsia="en-GB"/>
          <w14:ligatures w14:val="none"/>
        </w:rPr>
        <w:t>Treier, D.J. and Elwell, W.A. eds., 2017.</w:t>
      </w:r>
      <w:r w:rsidRPr="00A948AA">
        <w:rPr>
          <w:rFonts w:ascii="Browallia New" w:eastAsia="Times New Roman" w:hAnsi="Browallia New" w:cs="Browallia New" w:hint="cs"/>
          <w:kern w:val="0"/>
          <w:sz w:val="28"/>
          <w:szCs w:val="28"/>
          <w:lang w:eastAsia="en-GB"/>
          <w14:ligatures w14:val="none"/>
        </w:rPr>
        <w:t xml:space="preserve"> </w:t>
      </w:r>
      <w:r w:rsidRPr="00A948AA">
        <w:rPr>
          <w:rFonts w:ascii="Browallia New" w:eastAsia="Times New Roman" w:hAnsi="Browallia New" w:cs="Browallia New" w:hint="cs"/>
          <w:i/>
          <w:iCs/>
          <w:kern w:val="0"/>
          <w:sz w:val="28"/>
          <w:szCs w:val="28"/>
          <w:lang w:eastAsia="en-GB"/>
          <w14:ligatures w14:val="none"/>
        </w:rPr>
        <w:t>Evangelical Dictionary of Theology.</w:t>
      </w:r>
      <w:r w:rsidRPr="00A948AA">
        <w:rPr>
          <w:rFonts w:ascii="Browallia New" w:eastAsia="Times New Roman" w:hAnsi="Browallia New" w:cs="Browallia New" w:hint="cs"/>
          <w:kern w:val="0"/>
          <w:sz w:val="28"/>
          <w:szCs w:val="28"/>
          <w:lang w:eastAsia="en-GB"/>
          <w14:ligatures w14:val="none"/>
        </w:rPr>
        <w:t xml:space="preserve"> Baker Academic.</w:t>
      </w:r>
    </w:p>
    <w:p w14:paraId="015ECEE3" w14:textId="6151020F" w:rsidR="00A948AA" w:rsidRPr="00A948AA" w:rsidRDefault="00A948AA" w:rsidP="00A948AA">
      <w:pPr>
        <w:spacing w:before="100" w:beforeAutospacing="1" w:after="100" w:afterAutospacing="1" w:line="240" w:lineRule="auto"/>
        <w:rPr>
          <w:rFonts w:ascii="Browallia New" w:eastAsia="Times New Roman" w:hAnsi="Browallia New" w:cs="Browallia New"/>
          <w:kern w:val="0"/>
          <w:sz w:val="28"/>
          <w:szCs w:val="28"/>
          <w:lang w:eastAsia="en-GB"/>
          <w14:ligatures w14:val="none"/>
        </w:rPr>
      </w:pPr>
      <w:r w:rsidRPr="00A948AA">
        <w:rPr>
          <w:rFonts w:ascii="Browallia New" w:eastAsia="Times New Roman" w:hAnsi="Browallia New" w:cs="Browallia New" w:hint="cs"/>
          <w:b/>
          <w:bCs/>
          <w:kern w:val="0"/>
          <w:sz w:val="28"/>
          <w:szCs w:val="28"/>
          <w:lang w:eastAsia="en-GB"/>
          <w14:ligatures w14:val="none"/>
        </w:rPr>
        <w:t>Vanhoozer, K.J. and Treier, D.J., 2015.</w:t>
      </w:r>
      <w:r w:rsidRPr="00A948AA">
        <w:rPr>
          <w:rFonts w:ascii="Browallia New" w:eastAsia="Times New Roman" w:hAnsi="Browallia New" w:cs="Browallia New" w:hint="cs"/>
          <w:kern w:val="0"/>
          <w:sz w:val="28"/>
          <w:szCs w:val="28"/>
          <w:lang w:eastAsia="en-GB"/>
          <w14:ligatures w14:val="none"/>
        </w:rPr>
        <w:t xml:space="preserve"> </w:t>
      </w:r>
      <w:r w:rsidRPr="00A948AA">
        <w:rPr>
          <w:rFonts w:ascii="Browallia New" w:eastAsia="Times New Roman" w:hAnsi="Browallia New" w:cs="Browallia New" w:hint="cs"/>
          <w:i/>
          <w:iCs/>
          <w:kern w:val="0"/>
          <w:sz w:val="28"/>
          <w:szCs w:val="28"/>
          <w:lang w:eastAsia="en-GB"/>
          <w14:ligatures w14:val="none"/>
        </w:rPr>
        <w:t>Theology and the Mirror of Scripture: A Mere Evangelical Account.</w:t>
      </w:r>
      <w:r w:rsidRPr="00A948AA">
        <w:rPr>
          <w:rFonts w:ascii="Browallia New" w:eastAsia="Times New Roman" w:hAnsi="Browallia New" w:cs="Browallia New" w:hint="cs"/>
          <w:kern w:val="0"/>
          <w:sz w:val="28"/>
          <w:szCs w:val="28"/>
          <w:lang w:eastAsia="en-GB"/>
          <w14:ligatures w14:val="none"/>
        </w:rPr>
        <w:t xml:space="preserve"> InterVarsity Press. </w:t>
      </w:r>
    </w:p>
    <w:p w14:paraId="57CCB22C" w14:textId="77777777" w:rsidR="000E59FA" w:rsidRPr="00A948AA" w:rsidRDefault="000E59FA">
      <w:pPr>
        <w:rPr>
          <w:rFonts w:ascii="Browallia New" w:hAnsi="Browallia New" w:cs="Browallia New"/>
          <w:sz w:val="28"/>
          <w:szCs w:val="28"/>
        </w:rPr>
      </w:pPr>
    </w:p>
    <w:sectPr w:rsidR="000E59FA" w:rsidRPr="00A948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D031A" w14:textId="77777777" w:rsidR="00963662" w:rsidRDefault="00963662" w:rsidP="00963662">
      <w:pPr>
        <w:spacing w:after="0" w:line="240" w:lineRule="auto"/>
      </w:pPr>
      <w:r>
        <w:separator/>
      </w:r>
    </w:p>
  </w:endnote>
  <w:endnote w:type="continuationSeparator" w:id="0">
    <w:p w14:paraId="44058EA4" w14:textId="77777777" w:rsidR="00963662" w:rsidRDefault="00963662" w:rsidP="00963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Browallia New">
    <w:panose1 w:val="020B0604020202020204"/>
    <w:charset w:val="DE"/>
    <w:family w:val="swiss"/>
    <w:pitch w:val="variable"/>
    <w:sig w:usb0="81000003" w:usb1="00000000" w:usb2="00000000" w:usb3="00000000" w:csb0="00010001" w:csb1="00000000"/>
  </w:font>
  <w:font w:name="inherit">
    <w:altName w:val="Cambria"/>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0CA76" w14:textId="77777777" w:rsidR="00963662" w:rsidRDefault="00963662" w:rsidP="00963662">
      <w:pPr>
        <w:spacing w:after="0" w:line="240" w:lineRule="auto"/>
      </w:pPr>
      <w:r>
        <w:separator/>
      </w:r>
    </w:p>
  </w:footnote>
  <w:footnote w:type="continuationSeparator" w:id="0">
    <w:p w14:paraId="3186B92C" w14:textId="77777777" w:rsidR="00963662" w:rsidRDefault="00963662" w:rsidP="009636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removePersonalInformation/>
  <w:removeDateAndTime/>
  <w:proofState w:spelling="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8AA"/>
    <w:rsid w:val="000E59FA"/>
    <w:rsid w:val="00784CA6"/>
    <w:rsid w:val="00963662"/>
    <w:rsid w:val="00A948AA"/>
    <w:rsid w:val="00C201AB"/>
    <w:rsid w:val="00D45614"/>
    <w:rsid w:val="00F826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F3D0F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A948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A948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A948AA"/>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A948AA"/>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A948AA"/>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A948AA"/>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A948AA"/>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A948AA"/>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A948AA"/>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948AA"/>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A948AA"/>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A948AA"/>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A948AA"/>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A948AA"/>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A948AA"/>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948AA"/>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948AA"/>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948AA"/>
    <w:rPr>
      <w:rFonts w:eastAsiaTheme="majorEastAsia" w:cstheme="majorBidi"/>
      <w:color w:val="272727" w:themeColor="text1" w:themeTint="D8"/>
    </w:rPr>
  </w:style>
  <w:style w:type="paragraph" w:styleId="Nzev">
    <w:name w:val="Title"/>
    <w:basedOn w:val="Normln"/>
    <w:next w:val="Normln"/>
    <w:link w:val="NzevChar"/>
    <w:uiPriority w:val="10"/>
    <w:qFormat/>
    <w:rsid w:val="00A948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A948AA"/>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948AA"/>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A948AA"/>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A948AA"/>
    <w:pPr>
      <w:spacing w:before="160"/>
      <w:jc w:val="center"/>
    </w:pPr>
    <w:rPr>
      <w:i/>
      <w:iCs/>
      <w:color w:val="404040" w:themeColor="text1" w:themeTint="BF"/>
    </w:rPr>
  </w:style>
  <w:style w:type="character" w:customStyle="1" w:styleId="CittChar">
    <w:name w:val="Citát Char"/>
    <w:basedOn w:val="Standardnpsmoodstavce"/>
    <w:link w:val="Citt"/>
    <w:uiPriority w:val="29"/>
    <w:rsid w:val="00A948AA"/>
    <w:rPr>
      <w:i/>
      <w:iCs/>
      <w:color w:val="404040" w:themeColor="text1" w:themeTint="BF"/>
    </w:rPr>
  </w:style>
  <w:style w:type="paragraph" w:styleId="Odstavecseseznamem">
    <w:name w:val="List Paragraph"/>
    <w:basedOn w:val="Normln"/>
    <w:uiPriority w:val="34"/>
    <w:qFormat/>
    <w:rsid w:val="00A948AA"/>
    <w:pPr>
      <w:ind w:left="720"/>
      <w:contextualSpacing/>
    </w:pPr>
  </w:style>
  <w:style w:type="character" w:styleId="Zdraznnintenzivn">
    <w:name w:val="Intense Emphasis"/>
    <w:basedOn w:val="Standardnpsmoodstavce"/>
    <w:uiPriority w:val="21"/>
    <w:qFormat/>
    <w:rsid w:val="00A948AA"/>
    <w:rPr>
      <w:i/>
      <w:iCs/>
      <w:color w:val="0F4761" w:themeColor="accent1" w:themeShade="BF"/>
    </w:rPr>
  </w:style>
  <w:style w:type="paragraph" w:styleId="Vrazncitt">
    <w:name w:val="Intense Quote"/>
    <w:basedOn w:val="Normln"/>
    <w:next w:val="Normln"/>
    <w:link w:val="VrazncittChar"/>
    <w:uiPriority w:val="30"/>
    <w:qFormat/>
    <w:rsid w:val="00A948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A948AA"/>
    <w:rPr>
      <w:i/>
      <w:iCs/>
      <w:color w:val="0F4761" w:themeColor="accent1" w:themeShade="BF"/>
    </w:rPr>
  </w:style>
  <w:style w:type="character" w:styleId="Odkazintenzivn">
    <w:name w:val="Intense Reference"/>
    <w:basedOn w:val="Standardnpsmoodstavce"/>
    <w:uiPriority w:val="32"/>
    <w:qFormat/>
    <w:rsid w:val="00A948AA"/>
    <w:rPr>
      <w:b/>
      <w:bCs/>
      <w:smallCaps/>
      <w:color w:val="0F4761" w:themeColor="accent1" w:themeShade="BF"/>
      <w:spacing w:val="5"/>
    </w:rPr>
  </w:style>
  <w:style w:type="paragraph" w:customStyle="1" w:styleId="ql-align-center">
    <w:name w:val="ql-align-center"/>
    <w:basedOn w:val="Normln"/>
    <w:rsid w:val="00A948A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iln">
    <w:name w:val="Strong"/>
    <w:basedOn w:val="Standardnpsmoodstavce"/>
    <w:uiPriority w:val="22"/>
    <w:qFormat/>
    <w:rsid w:val="00A948AA"/>
    <w:rPr>
      <w:b/>
      <w:bCs/>
    </w:rPr>
  </w:style>
  <w:style w:type="paragraph" w:styleId="Normlnweb">
    <w:name w:val="Normal (Web)"/>
    <w:basedOn w:val="Normln"/>
    <w:uiPriority w:val="99"/>
    <w:semiHidden/>
    <w:unhideWhenUsed/>
    <w:rsid w:val="00A948A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Zhlav">
    <w:name w:val="header"/>
    <w:basedOn w:val="Normln"/>
    <w:link w:val="ZhlavChar"/>
    <w:uiPriority w:val="99"/>
    <w:unhideWhenUsed/>
    <w:rsid w:val="00963662"/>
    <w:pPr>
      <w:tabs>
        <w:tab w:val="center" w:pos="4513"/>
        <w:tab w:val="right" w:pos="9026"/>
      </w:tabs>
      <w:spacing w:after="0" w:line="240" w:lineRule="auto"/>
    </w:pPr>
  </w:style>
  <w:style w:type="character" w:customStyle="1" w:styleId="ZhlavChar">
    <w:name w:val="Záhlaví Char"/>
    <w:basedOn w:val="Standardnpsmoodstavce"/>
    <w:link w:val="Zhlav"/>
    <w:uiPriority w:val="99"/>
    <w:rsid w:val="00963662"/>
  </w:style>
  <w:style w:type="paragraph" w:styleId="Zpat">
    <w:name w:val="footer"/>
    <w:basedOn w:val="Normln"/>
    <w:link w:val="ZpatChar"/>
    <w:uiPriority w:val="99"/>
    <w:unhideWhenUsed/>
    <w:rsid w:val="00963662"/>
    <w:pPr>
      <w:tabs>
        <w:tab w:val="center" w:pos="4513"/>
        <w:tab w:val="right" w:pos="9026"/>
      </w:tabs>
      <w:spacing w:after="0" w:line="240" w:lineRule="auto"/>
    </w:pPr>
  </w:style>
  <w:style w:type="character" w:customStyle="1" w:styleId="ZpatChar">
    <w:name w:val="Zápatí Char"/>
    <w:basedOn w:val="Standardnpsmoodstavce"/>
    <w:link w:val="Zpat"/>
    <w:uiPriority w:val="99"/>
    <w:rsid w:val="009636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165825">
      <w:bodyDiv w:val="1"/>
      <w:marLeft w:val="0"/>
      <w:marRight w:val="0"/>
      <w:marTop w:val="0"/>
      <w:marBottom w:val="0"/>
      <w:divBdr>
        <w:top w:val="none" w:sz="0" w:space="0" w:color="auto"/>
        <w:left w:val="none" w:sz="0" w:space="0" w:color="auto"/>
        <w:bottom w:val="none" w:sz="0" w:space="0" w:color="auto"/>
        <w:right w:val="none" w:sz="0" w:space="0" w:color="auto"/>
      </w:divBdr>
    </w:div>
    <w:div w:id="209677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7"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ntTable" Target="fontTable.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2180</Words>
  <Characters>12863</Characters>
  <Application>Microsoft Office Word</Application>
  <DocSecurity>0</DocSecurity>
  <Lines>107</Lines>
  <Paragraphs>30</Paragraphs>
  <ScaleCrop>false</ScaleCrop>
  <Company/>
  <LinksUpToDate>false</LinksUpToDate>
  <CharactersWithSpaces>15013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2025-05-05T11:00:00Z</dcterms:created>
  <dcterms:modified xsi:type="dcterms:W3CDTF">2025-05-05T11:00:00Z</dcterms:modified>
</cp:coreProperties>
</file>