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F8662A2" w:rsidR="7908378C" w:rsidRDefault="7908378C" w:rsidP="33572C6E">
            <w:pPr>
              <w:ind w:right="237"/>
              <w:rPr>
                <w:b/>
                <w:bCs/>
                <w:color w:val="auto"/>
                <w:sz w:val="32"/>
                <w:szCs w:val="32"/>
              </w:rPr>
            </w:pPr>
            <w:r w:rsidRPr="33572C6E">
              <w:rPr>
                <w:b/>
                <w:bCs/>
                <w:color w:val="auto"/>
                <w:sz w:val="32"/>
                <w:szCs w:val="32"/>
              </w:rPr>
              <w:t xml:space="preserve">Learner name: </w:t>
            </w:r>
            <w:r w:rsidR="00A82256">
              <w:rPr>
                <w:b/>
                <w:bCs/>
                <w:color w:val="auto"/>
                <w:sz w:val="32"/>
                <w:szCs w:val="32"/>
              </w:rPr>
              <w:t>Katherine Nott</w:t>
            </w:r>
            <w:r w:rsidRPr="33572C6E">
              <w:rPr>
                <w:b/>
                <w:bCs/>
                <w:color w:val="auto"/>
                <w:sz w:val="32"/>
                <w:szCs w:val="32"/>
              </w:rPr>
              <w:t>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AFB9DFB" w:rsidR="7908378C" w:rsidRDefault="00A82256" w:rsidP="33572C6E">
            <w:pPr>
              <w:ind w:right="237"/>
              <w:rPr>
                <w:b/>
                <w:bCs/>
                <w:color w:val="auto"/>
                <w:sz w:val="32"/>
                <w:szCs w:val="32"/>
              </w:rPr>
            </w:pPr>
            <w:r>
              <w:rPr>
                <w:b/>
                <w:bCs/>
                <w:color w:val="auto"/>
                <w:sz w:val="32"/>
                <w:szCs w:val="32"/>
              </w:rPr>
              <w:t>2245972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A8225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36482D" w:rsidRDefault="5B843AF0" w:rsidP="5B843AF0">
      <w:pPr>
        <w:ind w:right="237"/>
        <w:jc w:val="both"/>
        <w:rPr>
          <w:rFonts w:eastAsia="Arial"/>
          <w:color w:val="000000" w:themeColor="text1"/>
          <w:sz w:val="24"/>
          <w:szCs w:val="24"/>
        </w:rPr>
      </w:pPr>
      <w:r w:rsidRPr="0036482D">
        <w:rPr>
          <w:rFonts w:eastAsia="Arial"/>
          <w:b/>
          <w:bCs/>
          <w:color w:val="000000" w:themeColor="text1"/>
          <w:sz w:val="24"/>
          <w:szCs w:val="24"/>
        </w:rPr>
        <w:t>ANSWER:</w:t>
      </w:r>
    </w:p>
    <w:p w14:paraId="4BBC525A" w14:textId="2C62A870" w:rsidR="5B843AF0" w:rsidRPr="0036482D" w:rsidRDefault="5B843AF0" w:rsidP="5B843AF0">
      <w:pPr>
        <w:ind w:right="237"/>
        <w:jc w:val="both"/>
        <w:rPr>
          <w:rFonts w:eastAsia="Arial"/>
          <w:color w:val="000000" w:themeColor="text1"/>
          <w:sz w:val="24"/>
          <w:szCs w:val="24"/>
        </w:rPr>
      </w:pPr>
    </w:p>
    <w:p w14:paraId="7DAFA920" w14:textId="2D6255EF" w:rsidR="00BB3797" w:rsidRPr="0036482D" w:rsidRDefault="00BB3797" w:rsidP="00BB3797">
      <w:pPr>
        <w:rPr>
          <w:sz w:val="24"/>
          <w:szCs w:val="24"/>
        </w:rPr>
      </w:pPr>
      <w:r w:rsidRPr="0036482D">
        <w:rPr>
          <w:sz w:val="24"/>
          <w:szCs w:val="24"/>
        </w:rPr>
        <w:t xml:space="preserve">According to the </w:t>
      </w:r>
      <w:r w:rsidR="0036482D">
        <w:rPr>
          <w:sz w:val="24"/>
          <w:szCs w:val="24"/>
        </w:rPr>
        <w:t>C</w:t>
      </w:r>
      <w:r w:rsidRPr="0036482D">
        <w:rPr>
          <w:sz w:val="24"/>
          <w:szCs w:val="24"/>
        </w:rPr>
        <w:t xml:space="preserve">ollege of </w:t>
      </w:r>
      <w:r w:rsidR="0036482D">
        <w:rPr>
          <w:sz w:val="24"/>
          <w:szCs w:val="24"/>
        </w:rPr>
        <w:t>P</w:t>
      </w:r>
      <w:r w:rsidRPr="0036482D">
        <w:rPr>
          <w:sz w:val="24"/>
          <w:szCs w:val="24"/>
        </w:rPr>
        <w:t xml:space="preserve">olice, serious and complex crime; ergo, investigations, cannot be given a definition (COP, 2018). There is a general understanding in the policing world of what constitutes a serious and complex investigation. To name a few; violent crime, sexual assaults and fraud. More importantly, crime involving vulnerable persons. There are many definitions of vulnerability; though, all very similar. As this essay will reflect on a police investigation, I shall focus on the College of Policing definition. A person is vulnerable if, </w:t>
      </w:r>
      <w:proofErr w:type="gramStart"/>
      <w:r w:rsidRPr="0036482D">
        <w:rPr>
          <w:sz w:val="24"/>
          <w:szCs w:val="24"/>
        </w:rPr>
        <w:t>as a result of</w:t>
      </w:r>
      <w:proofErr w:type="gramEnd"/>
      <w:r w:rsidRPr="0036482D">
        <w:rPr>
          <w:sz w:val="24"/>
          <w:szCs w:val="24"/>
        </w:rPr>
        <w:t xml:space="preserve"> their situation or circumstances, they are unable to take care or protect themselves, or others, from harm or exploitation’ (COP, 2021).</w:t>
      </w:r>
      <w:r w:rsidR="00D6320A">
        <w:rPr>
          <w:sz w:val="24"/>
          <w:szCs w:val="24"/>
        </w:rPr>
        <w:t xml:space="preserve"> For example, a child. </w:t>
      </w:r>
      <w:r w:rsidRPr="0036482D">
        <w:rPr>
          <w:sz w:val="24"/>
          <w:szCs w:val="24"/>
        </w:rPr>
        <w:t xml:space="preserve">This work will reflect on an investigation I am leading of historical sexual assault on a child. To do so, I will use Borton’s model of reflection (Borton, 1970) as a structure.  Part 1 of the model ‘What?’ will briefly describe the investigation while exploring the social and legislative contexts attached, there are no cultural, ethnicity or language issues. Part 2 ‘So </w:t>
      </w:r>
      <w:r w:rsidR="00D6320A">
        <w:rPr>
          <w:sz w:val="24"/>
          <w:szCs w:val="24"/>
        </w:rPr>
        <w:t>W</w:t>
      </w:r>
      <w:r w:rsidRPr="0036482D">
        <w:rPr>
          <w:sz w:val="24"/>
          <w:szCs w:val="24"/>
        </w:rPr>
        <w:t xml:space="preserve">hat?’ will be a critical evaluation of approaches adopted by multiple agencies in supporting </w:t>
      </w:r>
      <w:r w:rsidR="00D6320A">
        <w:rPr>
          <w:sz w:val="24"/>
          <w:szCs w:val="24"/>
        </w:rPr>
        <w:t>the vulnerable victim in the current</w:t>
      </w:r>
      <w:r w:rsidRPr="0036482D">
        <w:rPr>
          <w:sz w:val="24"/>
          <w:szCs w:val="24"/>
        </w:rPr>
        <w:t xml:space="preserve"> investigation. Finally, Part 3 ‘What now?’ will define repeat victimisation and repeat offending, then explore how evidence-based policing tackles them. </w:t>
      </w:r>
    </w:p>
    <w:p w14:paraId="56F8370C" w14:textId="77777777" w:rsidR="00BB3797" w:rsidRPr="0036482D" w:rsidRDefault="00BB3797" w:rsidP="00BB3797">
      <w:pPr>
        <w:rPr>
          <w:b/>
          <w:bCs/>
          <w:sz w:val="24"/>
          <w:szCs w:val="24"/>
        </w:rPr>
      </w:pPr>
    </w:p>
    <w:p w14:paraId="0B64AA58" w14:textId="77777777" w:rsidR="00BB3797" w:rsidRPr="0036482D" w:rsidRDefault="00BB3797" w:rsidP="00BB3797">
      <w:pPr>
        <w:rPr>
          <w:b/>
          <w:bCs/>
          <w:sz w:val="24"/>
          <w:szCs w:val="24"/>
        </w:rPr>
      </w:pPr>
      <w:r w:rsidRPr="0036482D">
        <w:rPr>
          <w:b/>
          <w:bCs/>
          <w:sz w:val="24"/>
          <w:szCs w:val="24"/>
        </w:rPr>
        <w:t>Part 1 ‘What?’</w:t>
      </w:r>
    </w:p>
    <w:p w14:paraId="49640A75" w14:textId="77777777" w:rsidR="00D6320A" w:rsidRDefault="00D6320A" w:rsidP="00BB3797">
      <w:pPr>
        <w:rPr>
          <w:sz w:val="24"/>
          <w:szCs w:val="24"/>
        </w:rPr>
      </w:pPr>
    </w:p>
    <w:p w14:paraId="2FE7A36C" w14:textId="4B990BBC" w:rsidR="00BB3797" w:rsidRPr="0036482D" w:rsidRDefault="00BB3797" w:rsidP="00BB3797">
      <w:pPr>
        <w:rPr>
          <w:sz w:val="24"/>
          <w:szCs w:val="24"/>
        </w:rPr>
      </w:pPr>
      <w:r w:rsidRPr="0036482D">
        <w:rPr>
          <w:sz w:val="24"/>
          <w:szCs w:val="24"/>
        </w:rPr>
        <w:t>I was a part of this investigation from initial contact with the victim. A 15-year-old female who alleged that her step grandfather historically sexually assaulted her. From the initial report, the specific offence was not clear, there are many offences that fall under the Sexual Offences Act 2003 (Sexual Offences Act, 2003). This offence could have related to sexual assault</w:t>
      </w:r>
      <w:r w:rsidR="00D6320A">
        <w:rPr>
          <w:sz w:val="24"/>
          <w:szCs w:val="24"/>
        </w:rPr>
        <w:t xml:space="preserve"> </w:t>
      </w:r>
      <w:r w:rsidRPr="0036482D">
        <w:rPr>
          <w:sz w:val="24"/>
          <w:szCs w:val="24"/>
        </w:rPr>
        <w:t xml:space="preserve">of a child under 13, sections 5-8 of the </w:t>
      </w:r>
      <w:r w:rsidRPr="0036482D">
        <w:rPr>
          <w:sz w:val="24"/>
          <w:szCs w:val="24"/>
        </w:rPr>
        <w:lastRenderedPageBreak/>
        <w:t xml:space="preserve">Act or, sexual assault of a child under 16, sections 9-13 of the act. The latter does also apply to children under 13; however, sections 5-8 specifically apply to only children under 13 and carry a higher penalty; therefore, arresting, charging and prosecuting for the ‘correct’ or specific offence is preferable (CPS, 2022). After meeting the victim and taking an initial account, she disclosed that 5 years ago, her step grandfather kissed her on the lips and put his hands down her clothing and touched her vagina. The victim would have about been 10 at the time of the offence; therefore, the suspect was arrested for sexual assault on a child under 13 (Sexual Offences Act, 2003). </w:t>
      </w:r>
    </w:p>
    <w:p w14:paraId="5000D931" w14:textId="77777777" w:rsidR="00D6320A" w:rsidRDefault="00D6320A" w:rsidP="00BB3797">
      <w:pPr>
        <w:rPr>
          <w:sz w:val="24"/>
          <w:szCs w:val="24"/>
        </w:rPr>
      </w:pPr>
    </w:p>
    <w:p w14:paraId="64753B93" w14:textId="3A935BD1" w:rsidR="00BB3797" w:rsidRPr="0036482D" w:rsidRDefault="00BB3797" w:rsidP="00BB3797">
      <w:pPr>
        <w:rPr>
          <w:sz w:val="24"/>
          <w:szCs w:val="24"/>
        </w:rPr>
      </w:pPr>
      <w:r w:rsidRPr="0036482D">
        <w:rPr>
          <w:sz w:val="24"/>
          <w:szCs w:val="24"/>
        </w:rPr>
        <w:t>The social context of this investigation is highly significant due to the increase in sexual assaults on children in the last 15 years (HMIC, 2015</w:t>
      </w:r>
      <w:r w:rsidR="00D6320A">
        <w:rPr>
          <w:sz w:val="24"/>
          <w:szCs w:val="24"/>
        </w:rPr>
        <w:t>;</w:t>
      </w:r>
      <w:r w:rsidRPr="0036482D">
        <w:rPr>
          <w:sz w:val="24"/>
          <w:szCs w:val="24"/>
        </w:rPr>
        <w:t xml:space="preserve"> Karsna and Bromley 2024</w:t>
      </w:r>
      <w:r w:rsidR="00D6320A">
        <w:rPr>
          <w:sz w:val="24"/>
          <w:szCs w:val="24"/>
        </w:rPr>
        <w:t>;</w:t>
      </w:r>
      <w:r w:rsidRPr="0036482D">
        <w:rPr>
          <w:sz w:val="24"/>
          <w:szCs w:val="24"/>
        </w:rPr>
        <w:t xml:space="preserve"> ONS 2020). A child being a person under the age of 18 (Children Act, 1989). In March 2019, sexual abuse was the most counselled concern for children, consuming 45% of the calls to the NSPCC Childline. This is a 5% increase compared to 10 years prior and has overtaken calls concerning physical abuse by 10% (Official National Statistics, 2020). Other figures are just as shocking. In England and Wales, girls under the age of 18 make up just 19% of the population; however, disproportionately, they make up 37% of total females who are victim to sexual abuse (Karsna and Bromley, 2024). Such figures have increased the media’s attention to these offences and therefore their reporting of them (HMIC, 2015).  As a result, the public have a higher awareness of such offences and research indicates they have a lack of confidence in the child protection system (Bentley et al, 2020). It is therefore vital that the police provide suitable support to these victims of </w:t>
      </w:r>
      <w:r w:rsidR="00D6320A" w:rsidRPr="0036482D">
        <w:rPr>
          <w:sz w:val="24"/>
          <w:szCs w:val="24"/>
        </w:rPr>
        <w:t>crime and</w:t>
      </w:r>
      <w:r w:rsidRPr="0036482D">
        <w:rPr>
          <w:sz w:val="24"/>
          <w:szCs w:val="24"/>
        </w:rPr>
        <w:t xml:space="preserve"> use effective methods in tackling such crime. </w:t>
      </w:r>
    </w:p>
    <w:p w14:paraId="007B7257" w14:textId="77777777" w:rsidR="00BB3797" w:rsidRPr="0036482D" w:rsidRDefault="00BB3797" w:rsidP="00BB3797">
      <w:pPr>
        <w:rPr>
          <w:b/>
          <w:bCs/>
          <w:sz w:val="24"/>
          <w:szCs w:val="24"/>
        </w:rPr>
      </w:pPr>
    </w:p>
    <w:p w14:paraId="1ADE115B" w14:textId="77777777" w:rsidR="00BB3797" w:rsidRPr="0036482D" w:rsidRDefault="00BB3797" w:rsidP="00BB3797">
      <w:pPr>
        <w:rPr>
          <w:b/>
          <w:bCs/>
          <w:sz w:val="24"/>
          <w:szCs w:val="24"/>
        </w:rPr>
      </w:pPr>
      <w:r w:rsidRPr="0036482D">
        <w:rPr>
          <w:b/>
          <w:bCs/>
          <w:sz w:val="24"/>
          <w:szCs w:val="24"/>
        </w:rPr>
        <w:t>Part 2 ‘So What?’</w:t>
      </w:r>
    </w:p>
    <w:p w14:paraId="544C87CE" w14:textId="45FAB453" w:rsidR="00BB3797" w:rsidRPr="0036482D" w:rsidRDefault="00BB3797" w:rsidP="00BB3797">
      <w:pPr>
        <w:rPr>
          <w:sz w:val="24"/>
          <w:szCs w:val="24"/>
        </w:rPr>
      </w:pPr>
      <w:r w:rsidRPr="0036482D">
        <w:rPr>
          <w:sz w:val="24"/>
          <w:szCs w:val="24"/>
        </w:rPr>
        <w:t>To provide the most appropriate service to the public, it is important to identify who exactly you are providing this service to. For example, are they a victim, if so, are they are vulnerable victim? The Code of Practice for Victims of Crime in England and Wales defines a victim as ‘a person</w:t>
      </w:r>
      <w:r w:rsidRPr="0036482D">
        <w:rPr>
          <w:sz w:val="24"/>
          <w:szCs w:val="24"/>
          <w:vertAlign w:val="superscript"/>
        </w:rPr>
        <w:t xml:space="preserve"> </w:t>
      </w:r>
      <w:r w:rsidRPr="0036482D">
        <w:rPr>
          <w:sz w:val="24"/>
          <w:szCs w:val="24"/>
        </w:rPr>
        <w:t xml:space="preserve">who has suffered harm, including physical, mental or emotional harm or economic loss which was directly caused by a criminal offence’ (Ministry of Justice, 2024). It is clear in the investigation described; there is a victim. The code mentioned sets out 12 basic services provided by the police that are minimum for all victims. One of these, is the right to information on the investigation. This information must be supplied within 5 days of the officer in charge receiving it. Further to defining a person as a victim, it is essential to know if the victim is either vulnerable or intimidated. To determine this, South Wales Police use the THRIVE model to assess threat, harm, risk, investigation, vulnerability and engagement (COP, 2021). This enables officers to take appropriate and proportionate action. The victim in this case was assessed to be of medium risk because she had not had contact with the suspect in 5 years; therefore, the call was allocated to the response team, and she was not spoken to immediately due to police demand. This is not necessarily the most appropriate approach as it can deter victims from wanting to work with the police (Maslen and Paine, 2019). The victim was spoken to 2-3 days after initial disclosure to the police. I argue this was not appropriate, if the incident was allocated to a specialist department initially, the victim would have been spoken to the same day. This would have been more appropriate as this </w:t>
      </w:r>
      <w:r w:rsidR="00D6320A">
        <w:rPr>
          <w:sz w:val="24"/>
          <w:szCs w:val="24"/>
        </w:rPr>
        <w:t xml:space="preserve">type of </w:t>
      </w:r>
      <w:r w:rsidRPr="0036482D">
        <w:rPr>
          <w:sz w:val="24"/>
          <w:szCs w:val="24"/>
        </w:rPr>
        <w:t xml:space="preserve">offence would have always transferred to my department, Child Protection Investigations, where these offences are investigated more thoroughly </w:t>
      </w:r>
      <w:r w:rsidRPr="0036482D">
        <w:rPr>
          <w:sz w:val="24"/>
          <w:szCs w:val="24"/>
        </w:rPr>
        <w:lastRenderedPageBreak/>
        <w:t>due to officers training (HMIC, 2015).</w:t>
      </w:r>
      <w:r w:rsidR="00D6320A">
        <w:rPr>
          <w:sz w:val="24"/>
          <w:szCs w:val="24"/>
        </w:rPr>
        <w:t xml:space="preserve"> Both the victim and her family were concerned that police had not attended sooner. </w:t>
      </w:r>
      <w:r w:rsidRPr="0036482D">
        <w:rPr>
          <w:sz w:val="24"/>
          <w:szCs w:val="24"/>
        </w:rPr>
        <w:t xml:space="preserve">  </w:t>
      </w:r>
    </w:p>
    <w:p w14:paraId="0AD6A539" w14:textId="77777777" w:rsidR="00D6320A" w:rsidRDefault="00D6320A" w:rsidP="00BB3797">
      <w:pPr>
        <w:rPr>
          <w:sz w:val="24"/>
          <w:szCs w:val="24"/>
        </w:rPr>
      </w:pPr>
    </w:p>
    <w:p w14:paraId="1702D493" w14:textId="389F676E" w:rsidR="00BB3797" w:rsidRPr="0036482D" w:rsidRDefault="00BB3797" w:rsidP="00BB3797">
      <w:pPr>
        <w:rPr>
          <w:sz w:val="24"/>
          <w:szCs w:val="24"/>
        </w:rPr>
      </w:pPr>
      <w:r w:rsidRPr="0036482D">
        <w:rPr>
          <w:sz w:val="24"/>
          <w:szCs w:val="24"/>
        </w:rPr>
        <w:t>When a victim is defined as vulnerable, they receive an enhanced service under the victim’s code. For example, their right to information must be supplied to them within 1 day as opposed to 5, as previously stated. In this case, the victim is both vulnerable</w:t>
      </w:r>
      <w:r w:rsidR="00D6320A">
        <w:rPr>
          <w:sz w:val="24"/>
          <w:szCs w:val="24"/>
        </w:rPr>
        <w:t>:</w:t>
      </w:r>
      <w:r w:rsidRPr="0036482D">
        <w:rPr>
          <w:sz w:val="24"/>
          <w:szCs w:val="24"/>
        </w:rPr>
        <w:t xml:space="preserve"> under the age of 18, and intimidated</w:t>
      </w:r>
      <w:r w:rsidR="00D6320A">
        <w:rPr>
          <w:sz w:val="24"/>
          <w:szCs w:val="24"/>
        </w:rPr>
        <w:t>:</w:t>
      </w:r>
      <w:r w:rsidRPr="0036482D">
        <w:rPr>
          <w:sz w:val="24"/>
          <w:szCs w:val="24"/>
        </w:rPr>
        <w:t xml:space="preserve"> a victim of a sexual offence (MOJ, 2024). Therefore, when the suspect in this case was arrested, interviewed and bailed, I made the victim aware within 24 hours. This service is wholly appropriate for all victims, it is a basic right during an investigation. What can be called in to question is how effectively it is used by the police. Reports suggest victims are not given all the information or options available to them during investigations (Banwell-Moore, 2022</w:t>
      </w:r>
      <w:r w:rsidR="00D6320A">
        <w:rPr>
          <w:sz w:val="24"/>
          <w:szCs w:val="24"/>
        </w:rPr>
        <w:t>;</w:t>
      </w:r>
      <w:r w:rsidRPr="0036482D">
        <w:rPr>
          <w:sz w:val="24"/>
          <w:szCs w:val="24"/>
        </w:rPr>
        <w:t xml:space="preserve"> </w:t>
      </w:r>
      <w:proofErr w:type="spellStart"/>
      <w:r w:rsidRPr="0036482D">
        <w:rPr>
          <w:sz w:val="24"/>
          <w:szCs w:val="24"/>
        </w:rPr>
        <w:t>Klamp</w:t>
      </w:r>
      <w:proofErr w:type="spellEnd"/>
      <w:r w:rsidRPr="0036482D">
        <w:rPr>
          <w:sz w:val="24"/>
          <w:szCs w:val="24"/>
        </w:rPr>
        <w:t>, 2022), some even suggest victims are not even aware of the code and what their basic rights are (</w:t>
      </w:r>
      <w:proofErr w:type="spellStart"/>
      <w:r w:rsidRPr="0036482D">
        <w:rPr>
          <w:sz w:val="24"/>
          <w:szCs w:val="24"/>
        </w:rPr>
        <w:t>Standley</w:t>
      </w:r>
      <w:proofErr w:type="spellEnd"/>
      <w:r w:rsidRPr="0036482D">
        <w:rPr>
          <w:sz w:val="24"/>
          <w:szCs w:val="24"/>
        </w:rPr>
        <w:t xml:space="preserve">, 2019). Further training to officers in front facing roles could be employed to ensure and improvement in this area, this could increase public confidence in the police process. </w:t>
      </w:r>
    </w:p>
    <w:p w14:paraId="0FC1F0A3" w14:textId="77777777" w:rsidR="00196FCF" w:rsidRDefault="00196FCF" w:rsidP="00BB3797">
      <w:pPr>
        <w:rPr>
          <w:sz w:val="24"/>
          <w:szCs w:val="24"/>
        </w:rPr>
      </w:pPr>
    </w:p>
    <w:p w14:paraId="62A1C864" w14:textId="1E395C9B" w:rsidR="00BB3797" w:rsidRPr="0036482D" w:rsidRDefault="00BB3797" w:rsidP="00BB3797">
      <w:pPr>
        <w:rPr>
          <w:sz w:val="24"/>
          <w:szCs w:val="24"/>
        </w:rPr>
      </w:pPr>
      <w:r w:rsidRPr="0036482D">
        <w:rPr>
          <w:sz w:val="24"/>
          <w:szCs w:val="24"/>
        </w:rPr>
        <w:t xml:space="preserve">As per section 47 of the act (Children’s Act, 1989), it is the responsibility of all relevant local authorities to work together to ensure a child’s safety when they have undergone significant harm. These include, the police, social, health and education. There are many services offered by each professional that were provided to the victim during this investigation. For example, education provided counselling sessions at school, social services provided regular face to face contact, and health provided an Independent Sexual Violence Advisor (ISVA). But the most appropriate support all these organisations provided was information sharing (Department for Education, 2024). These organisations connected </w:t>
      </w:r>
      <w:proofErr w:type="spellStart"/>
      <w:r w:rsidRPr="0036482D">
        <w:rPr>
          <w:sz w:val="24"/>
          <w:szCs w:val="24"/>
        </w:rPr>
        <w:t>regular</w:t>
      </w:r>
      <w:r w:rsidR="00196FCF">
        <w:rPr>
          <w:sz w:val="24"/>
          <w:szCs w:val="24"/>
        </w:rPr>
        <w:t>y</w:t>
      </w:r>
      <w:proofErr w:type="spellEnd"/>
      <w:r w:rsidRPr="0036482D">
        <w:rPr>
          <w:sz w:val="24"/>
          <w:szCs w:val="24"/>
        </w:rPr>
        <w:t xml:space="preserve"> in conferences and shared information they had regarding their knowledge of the victim’s history. Although it could be argued this is in direct violation of Article 8 of the act (Human Rights Act, 1998), information sharing is fully supported by the Data Protection Act when protecting a child from abuse (DPA, 2018). The act even provides a framework for all practitioners to follow (Information Commissioners Office, 2011). Information sharing is vital as research shows it improves safeguarding for children (Home Office, 2014).</w:t>
      </w:r>
    </w:p>
    <w:p w14:paraId="08325977" w14:textId="77777777" w:rsidR="00196FCF" w:rsidRDefault="00196FCF" w:rsidP="00BB3797">
      <w:pPr>
        <w:rPr>
          <w:b/>
          <w:bCs/>
          <w:sz w:val="24"/>
          <w:szCs w:val="24"/>
        </w:rPr>
      </w:pPr>
    </w:p>
    <w:p w14:paraId="73919EFC" w14:textId="19A2736A" w:rsidR="00BB3797" w:rsidRPr="0036482D" w:rsidRDefault="00BB3797" w:rsidP="00BB3797">
      <w:pPr>
        <w:rPr>
          <w:b/>
          <w:bCs/>
          <w:sz w:val="24"/>
          <w:szCs w:val="24"/>
        </w:rPr>
      </w:pPr>
      <w:r w:rsidRPr="0036482D">
        <w:rPr>
          <w:b/>
          <w:bCs/>
          <w:sz w:val="24"/>
          <w:szCs w:val="24"/>
        </w:rPr>
        <w:t>Part 3 ‘Now What?’</w:t>
      </w:r>
    </w:p>
    <w:p w14:paraId="011C29E0" w14:textId="77777777" w:rsidR="00196FCF" w:rsidRDefault="00196FCF" w:rsidP="00BB3797">
      <w:pPr>
        <w:rPr>
          <w:sz w:val="24"/>
          <w:szCs w:val="24"/>
        </w:rPr>
      </w:pPr>
    </w:p>
    <w:p w14:paraId="348D10A6" w14:textId="24A43469" w:rsidR="00BB3797" w:rsidRPr="0036482D" w:rsidRDefault="00BB3797" w:rsidP="00BB3797">
      <w:pPr>
        <w:rPr>
          <w:sz w:val="24"/>
          <w:szCs w:val="24"/>
        </w:rPr>
      </w:pPr>
      <w:r w:rsidRPr="0036482D">
        <w:rPr>
          <w:sz w:val="24"/>
          <w:szCs w:val="24"/>
        </w:rPr>
        <w:t>The main responsibility of the police is to protect the public and prevent crime (National Police Chiefs Council, 2024). Two ways to do this are tackling repeat victimisation and repeat offending. Repeat victimisation is defined as being the victim of more than one crime of the same type in the last 12 months (Office for National Statistics, 2020). Repeat offending does not have a specific definition and is self-explanatory, a person who offends goes on to commit another offence. The best way to tackle both, is through Evidence Based Policing (EPB). This means that the best available evidence is used to inform and challenge policing policies, practices and decisions (COP, 2024). EBP is key in policing. The literature suggests that although it is in its infancy, the benefits of EBP are huge in effective investigating (</w:t>
      </w:r>
      <w:r w:rsidR="00196FCF" w:rsidRPr="0036482D">
        <w:rPr>
          <w:sz w:val="24"/>
          <w:szCs w:val="24"/>
        </w:rPr>
        <w:t>Lum and Kopper, 2024</w:t>
      </w:r>
      <w:r w:rsidR="00196FCF">
        <w:rPr>
          <w:sz w:val="24"/>
          <w:szCs w:val="24"/>
        </w:rPr>
        <w:t xml:space="preserve">; </w:t>
      </w:r>
      <w:r w:rsidRPr="0036482D">
        <w:rPr>
          <w:sz w:val="24"/>
          <w:szCs w:val="24"/>
        </w:rPr>
        <w:t>Peppers, Rogers and Martin, 2020)</w:t>
      </w:r>
    </w:p>
    <w:p w14:paraId="797A3E77" w14:textId="77777777" w:rsidR="00196FCF" w:rsidRDefault="00196FCF" w:rsidP="00BB3797">
      <w:pPr>
        <w:rPr>
          <w:sz w:val="24"/>
          <w:szCs w:val="24"/>
        </w:rPr>
      </w:pPr>
    </w:p>
    <w:p w14:paraId="22C487C0" w14:textId="6828EBAD" w:rsidR="00BB3797" w:rsidRPr="0036482D" w:rsidRDefault="00BB3797" w:rsidP="00BB3797">
      <w:pPr>
        <w:rPr>
          <w:sz w:val="24"/>
          <w:szCs w:val="24"/>
        </w:rPr>
      </w:pPr>
      <w:r w:rsidRPr="0036482D">
        <w:rPr>
          <w:sz w:val="24"/>
          <w:szCs w:val="24"/>
        </w:rPr>
        <w:t>Research indicates that 5% of victims experience 60% of all crime (Lee et al</w:t>
      </w:r>
      <w:r w:rsidR="00196FCF">
        <w:rPr>
          <w:sz w:val="24"/>
          <w:szCs w:val="24"/>
        </w:rPr>
        <w:t>.</w:t>
      </w:r>
      <w:r w:rsidRPr="0036482D">
        <w:rPr>
          <w:sz w:val="24"/>
          <w:szCs w:val="24"/>
        </w:rPr>
        <w:t xml:space="preserve">, 2017) and children who experience forms of abuse are more likely to experience sexual </w:t>
      </w:r>
      <w:r w:rsidRPr="0036482D">
        <w:rPr>
          <w:sz w:val="24"/>
          <w:szCs w:val="24"/>
        </w:rPr>
        <w:lastRenderedPageBreak/>
        <w:t xml:space="preserve">violence from the age of 16 (Butler, Quigg and Bellis, 2020). The most effective way to prevent re-victimisation is for partner agencies to work together and support the victim by providing specialised services (Fisher et </w:t>
      </w:r>
      <w:proofErr w:type="spellStart"/>
      <w:r w:rsidRPr="0036482D">
        <w:rPr>
          <w:sz w:val="24"/>
          <w:szCs w:val="24"/>
        </w:rPr>
        <w:t>a</w:t>
      </w:r>
      <w:r w:rsidR="00196FCF">
        <w:rPr>
          <w:sz w:val="24"/>
          <w:szCs w:val="24"/>
        </w:rPr>
        <w:t>.</w:t>
      </w:r>
      <w:r w:rsidRPr="0036482D">
        <w:rPr>
          <w:sz w:val="24"/>
          <w:szCs w:val="24"/>
        </w:rPr>
        <w:t>l</w:t>
      </w:r>
      <w:proofErr w:type="spellEnd"/>
      <w:r w:rsidRPr="0036482D">
        <w:rPr>
          <w:sz w:val="24"/>
          <w:szCs w:val="24"/>
        </w:rPr>
        <w:t xml:space="preserve">, 2017; Robinson, 2006). For example, in this investigation, as I mentioned previously, the victim was referred an ISVA. ISVA’s tailor their support to the individual needs of the victim (Home Office, 2017). ISVA’s are not policing staff, a referral to them is part of multi-agency working, which evidence shows improves safeguarding for young and vulnerable people (Home Office, 2014). Regarding the current investigation, the definition of repeat victimisation may not apply, as the victim did not have any contact with the suspect for the 5 years post offence. However, that does not mean that the processes employed in this investigation will not prevent this teenager from being victimised </w:t>
      </w:r>
      <w:proofErr w:type="gramStart"/>
      <w:r w:rsidRPr="0036482D">
        <w:rPr>
          <w:sz w:val="24"/>
          <w:szCs w:val="24"/>
        </w:rPr>
        <w:t>in the near future</w:t>
      </w:r>
      <w:proofErr w:type="gramEnd"/>
      <w:r w:rsidRPr="0036482D">
        <w:rPr>
          <w:sz w:val="24"/>
          <w:szCs w:val="24"/>
        </w:rPr>
        <w:t xml:space="preserve">.  </w:t>
      </w:r>
    </w:p>
    <w:p w14:paraId="116DC6FE" w14:textId="77777777" w:rsidR="00196FCF" w:rsidRDefault="00196FCF" w:rsidP="00BB3797">
      <w:pPr>
        <w:rPr>
          <w:sz w:val="24"/>
          <w:szCs w:val="24"/>
        </w:rPr>
      </w:pPr>
    </w:p>
    <w:p w14:paraId="68988340" w14:textId="41E7F5CE" w:rsidR="00BB3797" w:rsidRPr="0036482D" w:rsidRDefault="00BB3797" w:rsidP="00BB3797">
      <w:pPr>
        <w:rPr>
          <w:sz w:val="24"/>
          <w:szCs w:val="24"/>
        </w:rPr>
      </w:pPr>
      <w:r w:rsidRPr="0036482D">
        <w:rPr>
          <w:sz w:val="24"/>
          <w:szCs w:val="24"/>
        </w:rPr>
        <w:t xml:space="preserve">Home office statistics identify that 10% of offenders are responsible for 50% of all crime (Home Office, 2001). Preventing re-offending could be considered a significant action in reducing crime overall. In this investigation the single act of arresting the suspect could be considered sufficient in preventing the suspect re-offending. Research suggests that offenders are discouraged from committing further crime if their chances of being caught are increased (Chalfin and McCary, 2017). Further evidence agrees that being arrested is enough to deter crime and goes on to state that the severity of </w:t>
      </w:r>
      <w:r w:rsidR="00196FCF">
        <w:rPr>
          <w:sz w:val="24"/>
          <w:szCs w:val="24"/>
        </w:rPr>
        <w:t xml:space="preserve">the </w:t>
      </w:r>
      <w:r w:rsidRPr="0036482D">
        <w:rPr>
          <w:sz w:val="24"/>
          <w:szCs w:val="24"/>
        </w:rPr>
        <w:t>following consequences is not a factor in re-offending (Nagin, 2013). Finally, Earnhart and Friesen (2014) state offenders are more likely to re-offend if they are not caught</w:t>
      </w:r>
      <w:r w:rsidR="00196FCF">
        <w:rPr>
          <w:sz w:val="24"/>
          <w:szCs w:val="24"/>
        </w:rPr>
        <w:t xml:space="preserve">. </w:t>
      </w:r>
      <w:r w:rsidR="00114214">
        <w:rPr>
          <w:sz w:val="24"/>
          <w:szCs w:val="24"/>
        </w:rPr>
        <w:t xml:space="preserve">This evidence would suggest that in terms of EBP actions, a simple arrest is sufficient in reducing crime. However, </w:t>
      </w:r>
      <w:proofErr w:type="spellStart"/>
      <w:r w:rsidR="00114214" w:rsidRPr="00114214">
        <w:rPr>
          <w:sz w:val="24"/>
          <w:szCs w:val="24"/>
        </w:rPr>
        <w:t>Villettaz</w:t>
      </w:r>
      <w:proofErr w:type="spellEnd"/>
      <w:r w:rsidR="00114214">
        <w:rPr>
          <w:sz w:val="24"/>
          <w:szCs w:val="24"/>
        </w:rPr>
        <w:t xml:space="preserve"> et al., (2015) meta-analysis suggests that there is no significant difference on the rates of re-offending between offenders who receive a custodial sentence and offenders who receive a non-custodial sentence.  </w:t>
      </w:r>
      <w:r w:rsidRPr="0036482D">
        <w:rPr>
          <w:sz w:val="24"/>
          <w:szCs w:val="24"/>
        </w:rPr>
        <w:t xml:space="preserve">  </w:t>
      </w:r>
    </w:p>
    <w:p w14:paraId="7C99E582" w14:textId="77777777" w:rsidR="00196FCF" w:rsidRDefault="00196FCF" w:rsidP="00BB3797">
      <w:pPr>
        <w:rPr>
          <w:b/>
          <w:bCs/>
          <w:sz w:val="24"/>
          <w:szCs w:val="24"/>
        </w:rPr>
      </w:pPr>
    </w:p>
    <w:p w14:paraId="3DF0186D" w14:textId="3706B87E" w:rsidR="00BB3797" w:rsidRPr="0036482D" w:rsidRDefault="00BB3797" w:rsidP="00BB3797">
      <w:pPr>
        <w:rPr>
          <w:b/>
          <w:bCs/>
          <w:sz w:val="24"/>
          <w:szCs w:val="24"/>
        </w:rPr>
      </w:pPr>
      <w:r w:rsidRPr="0036482D">
        <w:rPr>
          <w:b/>
          <w:bCs/>
          <w:sz w:val="24"/>
          <w:szCs w:val="24"/>
        </w:rPr>
        <w:t>Conclusion</w:t>
      </w:r>
    </w:p>
    <w:p w14:paraId="79ACFA64" w14:textId="77777777" w:rsidR="00196FCF" w:rsidRDefault="00196FCF" w:rsidP="00BB3797">
      <w:pPr>
        <w:rPr>
          <w:sz w:val="24"/>
          <w:szCs w:val="24"/>
        </w:rPr>
      </w:pPr>
    </w:p>
    <w:p w14:paraId="41D0514F" w14:textId="77777777" w:rsidR="00114214" w:rsidRDefault="00BB3797" w:rsidP="00BB3797">
      <w:pPr>
        <w:rPr>
          <w:sz w:val="24"/>
          <w:szCs w:val="24"/>
        </w:rPr>
      </w:pPr>
      <w:r w:rsidRPr="0036482D">
        <w:rPr>
          <w:sz w:val="24"/>
          <w:szCs w:val="24"/>
        </w:rPr>
        <w:t>To conclude. I have briefly discussed a serious and complex investigation that I have been a part of. I have then discussed the legislative and social contexts of the offence, showing that sexual assaults on children have increased in the last 15 years. These increases have attractive the attention of the media and therefore the public, the result of which is a decrease of public confidence in the police. Because of this, it is vital that the police employ the most appropriate processes when supporting and managing the victim and use the most effective methods to reduce further offences. I have critically evaluated that</w:t>
      </w:r>
      <w:r w:rsidR="00114214">
        <w:rPr>
          <w:sz w:val="24"/>
          <w:szCs w:val="24"/>
        </w:rPr>
        <w:t>,</w:t>
      </w:r>
      <w:r w:rsidRPr="0036482D">
        <w:rPr>
          <w:sz w:val="24"/>
          <w:szCs w:val="24"/>
        </w:rPr>
        <w:t xml:space="preserve"> during this investigation the victim was appropriately identified as vulnerable, but the response by the police was not the most effective and the victim should have had contact sooner. I have then gone on to critically evaluate approaches used by the police and other agencies to support the victim and provided evidence to conclude that although they are not used consistently, they improve safeguarding for children when used. Lastly, I have introduced re-victimisation and re-offending, highlighting that reducing these could reduce crime overall. Finally, I have explained what EBP is and </w:t>
      </w:r>
      <w:proofErr w:type="spellStart"/>
      <w:proofErr w:type="gramStart"/>
      <w:r w:rsidRPr="0036482D">
        <w:rPr>
          <w:sz w:val="24"/>
          <w:szCs w:val="24"/>
        </w:rPr>
        <w:t>it’s</w:t>
      </w:r>
      <w:proofErr w:type="spellEnd"/>
      <w:proofErr w:type="gramEnd"/>
      <w:r w:rsidRPr="0036482D">
        <w:rPr>
          <w:sz w:val="24"/>
          <w:szCs w:val="24"/>
        </w:rPr>
        <w:t xml:space="preserve"> importan</w:t>
      </w:r>
      <w:r w:rsidR="00114214">
        <w:rPr>
          <w:sz w:val="24"/>
          <w:szCs w:val="24"/>
        </w:rPr>
        <w:t>ce</w:t>
      </w:r>
      <w:r w:rsidRPr="0036482D">
        <w:rPr>
          <w:sz w:val="24"/>
          <w:szCs w:val="24"/>
        </w:rPr>
        <w:t xml:space="preserve"> and explored how it is used to tackle re-victimisation and re-offending. The processes employed in this investigation are based on many studies and research, some of which I have provided in this essay. </w:t>
      </w:r>
      <w:r w:rsidR="00114214">
        <w:rPr>
          <w:sz w:val="24"/>
          <w:szCs w:val="24"/>
        </w:rPr>
        <w:t xml:space="preserve"> </w:t>
      </w:r>
    </w:p>
    <w:p w14:paraId="04AA27E7" w14:textId="77777777" w:rsidR="00114214" w:rsidRDefault="00114214" w:rsidP="00BB3797">
      <w:pPr>
        <w:rPr>
          <w:sz w:val="24"/>
          <w:szCs w:val="24"/>
        </w:rPr>
      </w:pPr>
    </w:p>
    <w:p w14:paraId="386B9E52" w14:textId="558D280B" w:rsidR="02D63252" w:rsidRPr="00114214" w:rsidRDefault="00114214" w:rsidP="00114214">
      <w:pPr>
        <w:rPr>
          <w:sz w:val="24"/>
          <w:szCs w:val="24"/>
        </w:rPr>
      </w:pPr>
      <w:r>
        <w:rPr>
          <w:sz w:val="24"/>
          <w:szCs w:val="24"/>
        </w:rPr>
        <w:t>Word Count: 2036</w:t>
      </w:r>
      <w:r w:rsidR="00BB3797" w:rsidRPr="0036482D">
        <w:rPr>
          <w:sz w:val="24"/>
          <w:szCs w:val="24"/>
        </w:rPr>
        <w:t xml:space="preserve">  </w:t>
      </w: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5BA6B060" w14:textId="77777777" w:rsidR="001B0DFF" w:rsidRPr="009F51B3" w:rsidRDefault="001B0DFF" w:rsidP="001B0DFF">
      <w:pPr>
        <w:spacing w:after="160" w:line="259" w:lineRule="auto"/>
        <w:rPr>
          <w:sz w:val="24"/>
          <w:szCs w:val="24"/>
        </w:rPr>
      </w:pPr>
      <w:r w:rsidRPr="009F51B3">
        <w:rPr>
          <w:sz w:val="24"/>
          <w:szCs w:val="24"/>
        </w:rPr>
        <w:t xml:space="preserve">Decision making in the police has always been a contentious subject. In 1981, 5000 people participated in The Brixton Riots, resulting in over 300 people being injured. This led to The Scarman Report, discovering a loss of public trust in the police because of racial disadvantage (Scarman, 1981). The report declared immediate action required concerning police procedures. Eighteen years later, police actions were under attack again due to poor decision making during the investigation of Stephen Lawrence’ murder (Macpherson, 1999). Again, racial disadvantage was identified and police procedures questioned. As a result, police need to show accountability for their decisions and actions. To do so, the College of Policing created the Nation Decision Model (COP, 2013). I will use this model as a structure for the current essay to evaluate the processes used during an investigation. In this essay, I will describe what a serious and complex investigation is, discuss one I have led and introduce the National Decision Model (NDM). I will then use the NDM to critically evaluate the processes and fast track actions that have been utilised during this investigation. I will also use it to evaluate the support I have provided during the investigation to those involved, while managing my personal values and attitudes. </w:t>
      </w:r>
    </w:p>
    <w:p w14:paraId="24C932B6" w14:textId="77777777" w:rsidR="001B0DFF" w:rsidRPr="009F51B3" w:rsidRDefault="001B0DFF" w:rsidP="001B0DFF">
      <w:pPr>
        <w:spacing w:after="160" w:line="259" w:lineRule="auto"/>
        <w:rPr>
          <w:sz w:val="24"/>
          <w:szCs w:val="24"/>
        </w:rPr>
      </w:pPr>
      <w:r w:rsidRPr="009F51B3">
        <w:rPr>
          <w:sz w:val="24"/>
          <w:szCs w:val="24"/>
        </w:rPr>
        <w:t> </w:t>
      </w:r>
    </w:p>
    <w:p w14:paraId="55AB2FCE" w14:textId="77777777" w:rsidR="001B0DFF" w:rsidRPr="009F51B3" w:rsidRDefault="001B0DFF" w:rsidP="001B0DFF">
      <w:pPr>
        <w:spacing w:after="160" w:line="259" w:lineRule="auto"/>
        <w:rPr>
          <w:sz w:val="24"/>
          <w:szCs w:val="24"/>
        </w:rPr>
      </w:pPr>
      <w:r w:rsidRPr="009F51B3">
        <w:rPr>
          <w:sz w:val="24"/>
          <w:szCs w:val="24"/>
        </w:rPr>
        <w:t xml:space="preserve">A criminal investigation is one conducted by police officers with a view to it being ascertained whether a person should be charged with an offence, or whether a person charged with an offence is guilty of it (Criminal Procedure and Investigations </w:t>
      </w:r>
      <w:r w:rsidRPr="009F51B3">
        <w:rPr>
          <w:sz w:val="24"/>
          <w:szCs w:val="24"/>
        </w:rPr>
        <w:lastRenderedPageBreak/>
        <w:t xml:space="preserve">Act, 1996). They become serious and complex when they include elements like violence or sexual assault (COP, 2018). The investigation I wish to use as a backdrop for this essay concerns the assault of a child under 13 by penetration (Sexual Offences Act, 2003). During a session with her social worker, a 7-year-old disclosed that a close family friend digitally penetrated her. As mentioned previously, the Scarman and Macpherson reports show that the public do not have confidence in police actions. To restore this, ethical decision making must be at the core of conducting investigations, especially serious and complex ones. That is why the NDM, the spearhead for decision making in England and Wales, is underpinned by the Code of Ethics (COE). A non-statutory code that guides ethical and professional behaviour for every person working in policing (COP, 2024). The NDM is divided into 5 key elements. Gather information and intelligence, assess threat and risk and develop a working strategy, consider powers and policy, identify options and contingency, and act and review what happened. </w:t>
      </w:r>
    </w:p>
    <w:p w14:paraId="2355DAD0" w14:textId="77777777" w:rsidR="001B0DFF" w:rsidRPr="009F51B3" w:rsidRDefault="001B0DFF" w:rsidP="001B0DFF">
      <w:pPr>
        <w:spacing w:after="160" w:line="259" w:lineRule="auto"/>
        <w:rPr>
          <w:sz w:val="24"/>
          <w:szCs w:val="24"/>
        </w:rPr>
      </w:pPr>
      <w:r w:rsidRPr="009F51B3">
        <w:rPr>
          <w:sz w:val="24"/>
          <w:szCs w:val="24"/>
        </w:rPr>
        <w:t> </w:t>
      </w:r>
    </w:p>
    <w:p w14:paraId="2FB82366" w14:textId="1B7A3860" w:rsidR="001B0DFF" w:rsidRPr="009F51B3" w:rsidRDefault="001B0DFF" w:rsidP="001B0DFF">
      <w:pPr>
        <w:spacing w:after="160" w:line="259" w:lineRule="auto"/>
        <w:rPr>
          <w:sz w:val="24"/>
          <w:szCs w:val="24"/>
        </w:rPr>
      </w:pPr>
      <w:r w:rsidRPr="009F51B3">
        <w:rPr>
          <w:sz w:val="24"/>
          <w:szCs w:val="24"/>
        </w:rPr>
        <w:t xml:space="preserve">The report of this incident was a Multi-Agency Referral Form (MARF) submitted by the victim’s social worker. Much information was readily available to us because a strategy discussion consisting of health, social and education took place following the MARF. This discussion revealed details on the victim, their family, the suspect and the history of everyone involved. Multi agency working is a valuable tool in police investigations, it is vital when working with children as information sharing has led to improved standards of safeguarding (Home Office, 2014). Although, </w:t>
      </w:r>
      <w:proofErr w:type="gramStart"/>
      <w:r w:rsidRPr="009F51B3">
        <w:rPr>
          <w:sz w:val="24"/>
          <w:szCs w:val="24"/>
        </w:rPr>
        <w:t>Some</w:t>
      </w:r>
      <w:proofErr w:type="gramEnd"/>
      <w:r w:rsidRPr="009F51B3">
        <w:rPr>
          <w:sz w:val="24"/>
          <w:szCs w:val="24"/>
        </w:rPr>
        <w:t xml:space="preserve"> police forces experience barriers with other agencies refusing to share information due to confidentiality (Office of the Children's Commissioner, 2015). Further information and intelligence gathering was required in relation to this offence. Obtaining a first account is a fast-track action that, if pursued immediately, may help to establish important facts, identify the suspect, preserve evidence or lead to the early arrest and resolution of the investigation (COP, 2024). The first account is opportunity for police to build rapport with the victim. Building rapport increases the victim’s self-esteem and reduces the likelihood of incorrect information being relayed (</w:t>
      </w:r>
      <w:r w:rsidR="009F51B3" w:rsidRPr="009F51B3">
        <w:rPr>
          <w:sz w:val="24"/>
          <w:szCs w:val="24"/>
        </w:rPr>
        <w:t>Collins et al 2002</w:t>
      </w:r>
      <w:r w:rsidR="009F51B3">
        <w:rPr>
          <w:sz w:val="24"/>
          <w:szCs w:val="24"/>
        </w:rPr>
        <w:t xml:space="preserve">; </w:t>
      </w:r>
      <w:r w:rsidRPr="009F51B3">
        <w:rPr>
          <w:sz w:val="24"/>
          <w:szCs w:val="24"/>
        </w:rPr>
        <w:t>McGroarty and Baxter, 2009). There is little information on the best approaches to building rapport (Saywitz et al</w:t>
      </w:r>
      <w:r w:rsidR="009F51B3">
        <w:rPr>
          <w:sz w:val="24"/>
          <w:szCs w:val="24"/>
        </w:rPr>
        <w:t>.,</w:t>
      </w:r>
      <w:r w:rsidRPr="009F51B3">
        <w:rPr>
          <w:sz w:val="24"/>
          <w:szCs w:val="24"/>
        </w:rPr>
        <w:t xml:space="preserve"> 2015). As the victim is a child, I built rapport by getting down on their level and sitting on the floor with them and opening the conversation discussing their interests, as advised by the College of Policing (COP, 2019). When obtaining accounts from victims, the process is to ask open ended questions, this is because free recall provides more reliable and accurate information (Ibab and Sporer, 2017). Research suggests that younger children do not respond well to open ended questions and can provide more inaccurate information (Foster, Talwar and Crossman, 2023). However, at this stage it is the only way to proceed. Closed questions could be considered leading at such an early stage of the investigation. These questions would occur during an Achieving Best Evidence (ABE) interview with the victim.</w:t>
      </w:r>
    </w:p>
    <w:p w14:paraId="4632BE9F" w14:textId="77777777" w:rsidR="001B0DFF" w:rsidRPr="009F51B3" w:rsidRDefault="001B0DFF" w:rsidP="001B0DFF">
      <w:pPr>
        <w:spacing w:after="160" w:line="259" w:lineRule="auto"/>
        <w:rPr>
          <w:sz w:val="24"/>
          <w:szCs w:val="24"/>
        </w:rPr>
      </w:pPr>
      <w:r w:rsidRPr="009F51B3">
        <w:rPr>
          <w:sz w:val="24"/>
          <w:szCs w:val="24"/>
        </w:rPr>
        <w:t> </w:t>
      </w:r>
    </w:p>
    <w:p w14:paraId="23C7A6F1" w14:textId="3AD18B93" w:rsidR="001B0DFF" w:rsidRPr="009F51B3" w:rsidRDefault="001B0DFF" w:rsidP="001B0DFF">
      <w:pPr>
        <w:spacing w:after="160" w:line="259" w:lineRule="auto"/>
        <w:rPr>
          <w:sz w:val="24"/>
          <w:szCs w:val="24"/>
        </w:rPr>
      </w:pPr>
      <w:r w:rsidRPr="009F51B3">
        <w:rPr>
          <w:sz w:val="24"/>
          <w:szCs w:val="24"/>
        </w:rPr>
        <w:lastRenderedPageBreak/>
        <w:t>The next step is to assess threat and risk and develop a working strategy. At this stage the victim was safeguarded, she was home with her mother, while the suspect was living in a different town. Also, there was safety plan put in place by social services not allowing contact from the suspect. The threat and risk to the victim appeared low at this time; therefore, the decision was made not to arrest the suspect until further information was obtained from an ABE interview. As the victim is under the age of 18, they are eligible for special measures because their age means their quality of evidence is likely to be diminished (The Youth Justice and Criminal Evidence Act, 1999). An ABE is a video-recorded interview taken in a relaxed and comfortable setting. An ABE is required as it is not suitable to ask too many questions to children during a first account due to the possibilities of inconsistencies in the child's account, which is especially concerning in child sexual abuse cases (Denne et al</w:t>
      </w:r>
      <w:r w:rsidR="009F51B3">
        <w:rPr>
          <w:sz w:val="24"/>
          <w:szCs w:val="24"/>
        </w:rPr>
        <w:t>.</w:t>
      </w:r>
      <w:r w:rsidRPr="009F51B3">
        <w:rPr>
          <w:sz w:val="24"/>
          <w:szCs w:val="24"/>
        </w:rPr>
        <w:t xml:space="preserve">, 2020). Even though an ABE could not be conducted until 6 days after the initial disclosure, this would provide more material to put to the suspect in their interview and still be considered a fast-track action. It could be argued that the suspect could be arrested straight away as the two elements of a lawful arrest were fulfilled; a </w:t>
      </w:r>
      <w:proofErr w:type="gramStart"/>
      <w:r w:rsidRPr="009F51B3">
        <w:rPr>
          <w:sz w:val="24"/>
          <w:szCs w:val="24"/>
        </w:rPr>
        <w:t>persons</w:t>
      </w:r>
      <w:proofErr w:type="gramEnd"/>
      <w:r w:rsidRPr="009F51B3">
        <w:rPr>
          <w:sz w:val="24"/>
          <w:szCs w:val="24"/>
        </w:rPr>
        <w:t xml:space="preserve"> suspected involvement in the offence and the necessity to protect a vulnerable person, as stated by Code G of the act (Police and Criminal Evidence Act, 1984). However, conducting the ABE first was the correct decision as the victim revealed further details on the assault during it. She stated that the suspect inserted a sex toy into her vagina. She also provided two potential crime scenes. This further information informed my arrest strategy. I then knew that I would need to search two separate addresses for a potential sex toy used in the alleged offence. </w:t>
      </w:r>
    </w:p>
    <w:p w14:paraId="3D5C2279" w14:textId="77777777" w:rsidR="001B0DFF" w:rsidRPr="009F51B3" w:rsidRDefault="001B0DFF" w:rsidP="001B0DFF">
      <w:pPr>
        <w:spacing w:after="160" w:line="259" w:lineRule="auto"/>
        <w:rPr>
          <w:sz w:val="24"/>
          <w:szCs w:val="24"/>
        </w:rPr>
      </w:pPr>
      <w:r w:rsidRPr="009F51B3">
        <w:rPr>
          <w:sz w:val="24"/>
          <w:szCs w:val="24"/>
        </w:rPr>
        <w:t> </w:t>
      </w:r>
    </w:p>
    <w:p w14:paraId="12A35B45" w14:textId="77777777" w:rsidR="001B0DFF" w:rsidRPr="009F51B3" w:rsidRDefault="001B0DFF" w:rsidP="001B0DFF">
      <w:pPr>
        <w:spacing w:after="160" w:line="259" w:lineRule="auto"/>
        <w:rPr>
          <w:sz w:val="24"/>
          <w:szCs w:val="24"/>
        </w:rPr>
      </w:pPr>
      <w:r w:rsidRPr="009F51B3">
        <w:rPr>
          <w:sz w:val="24"/>
          <w:szCs w:val="24"/>
        </w:rPr>
        <w:t xml:space="preserve">In this section I will discuss two parts of the NDM, as they go hand in hand: powers and policies and, options and contingencies. The arrest strategy consisted of attending both addresses affiliated with the suspect and the victim, arresting the suspect, and searching both addresses for the potential sex toy. An officer must have the power to arrest a person. Section 24 of the act (PACE, 1984) provides the statutory power for a constable to arrest without warrant for all offences. Another option would have been to request the suspect attend the station voluntarily to be interviewed under caution. The problem with this was my powers were then limited in terms of search and seizure of the suspects property. In any case, if PACE Code G tests are met, arrest is the preferred method of progression (National Police Chiefs' Council, 2023). In this investigation, the victim’s disclosure, first account and ABE provided enough evidence to suspect this person committed an offence so, this power was fulfilled. This is in direct conflict with Article 5 of the act (Human Rights Act, 1998), everyone has the right to liberty and security of person. Hence Code G of the Act (PACE, 1984), as mentioned prior, the arrest must be lawful. In this case it was. When I arrested the suspect, I searched their address for a sex toy matching the victim’s description. These searches are covered by Section 32 of the act (PACE, 1984), to search for anything which might be related to an offence. The suspect was arrested at one of the premises that needed to be searched. However, the victim provided another location; therefore, I also needed to search this address. S32 of PACE does not give the power to search an address the suspect was not at, </w:t>
      </w:r>
      <w:r w:rsidRPr="009F51B3">
        <w:rPr>
          <w:sz w:val="24"/>
          <w:szCs w:val="24"/>
        </w:rPr>
        <w:lastRenderedPageBreak/>
        <w:t xml:space="preserve">at the time of arrest. The only other option is to obtain a warrant under Section 18 of the act (PACE, 1984). This required an inspector’s authorisation, which I obtained. As with the arrest of the suspect, these searches are also in conflict with the Human Rights Act, namely Article 8, everyone has the right to respect for his private and family life, his home, and his correspondence (HRA, 1998). Obtrusive methods should always be considered carefully. In this case, given the seriousness of the offence and the vulnerability of the victim, these methods were essential. The act provides stipulations in line with this, in the interest of public safety and in accordance with the law. </w:t>
      </w:r>
    </w:p>
    <w:p w14:paraId="1FF11B58" w14:textId="77777777" w:rsidR="001B0DFF" w:rsidRPr="009F51B3" w:rsidRDefault="001B0DFF" w:rsidP="001B0DFF">
      <w:pPr>
        <w:spacing w:after="160" w:line="259" w:lineRule="auto"/>
        <w:rPr>
          <w:sz w:val="24"/>
          <w:szCs w:val="24"/>
        </w:rPr>
      </w:pPr>
      <w:r w:rsidRPr="009F51B3">
        <w:rPr>
          <w:sz w:val="24"/>
          <w:szCs w:val="24"/>
        </w:rPr>
        <w:t> </w:t>
      </w:r>
    </w:p>
    <w:p w14:paraId="7FB2B810" w14:textId="77777777" w:rsidR="001B0DFF" w:rsidRPr="009F51B3" w:rsidRDefault="001B0DFF" w:rsidP="001B0DFF">
      <w:pPr>
        <w:spacing w:after="160" w:line="259" w:lineRule="auto"/>
        <w:rPr>
          <w:sz w:val="24"/>
          <w:szCs w:val="24"/>
        </w:rPr>
      </w:pPr>
      <w:r w:rsidRPr="009F51B3">
        <w:rPr>
          <w:sz w:val="24"/>
          <w:szCs w:val="24"/>
        </w:rPr>
        <w:t xml:space="preserve">The last section of the NDM is act and review what happened. As I have reviewed and evaluated each action in the previous sections, I will use this part to evaluate the support I have provided to the victim and suspect while referencing the management of my personal values and attitudes. During an investigation victims have rights that the police are responsible for upholding. An example is the right to be given information about the investigation (MOJ, 2024). As the victim in this case is a 7-year-old child, this information must be given to the person responsible for their care. In this case that was the victim's mother. The mother was under investigation herself concerning her behaviour towards the child. Social services were heavily involved in the family and discussions were taking place as to whether the child would be moved in to foster care. As a mother myself, the thought of having to engage with this woman and treat her with the respect and courtesy that the COE requires of every police officer was a difficult one. Nevertheless, she was the mother of the victim and the person who would have to give consent for things such as third-party material requests. The more engaged police are with a victim, the more likely they are to co-operate with the investigation (Victim Support, 2003). Therefore, I did not let my own feelings disrupt my communication with her. I gave the victim's mother the same service I would provide to any victim I work with and kept her regularly updated. An extension of this is the support that I provided the suspect. Child abuse of any nature upsets me, and I have no empathy for the perpetrators of such crime. To manage my attitude towards the suspect during this investigation I remembered two important things. Firstly, ethical behaviour by treating everyone with respect and dignity is core to policing (COP, 2024). Secondly, the suspect was accused and not convicted of this offence. At this time, it was unknown if they had committed it. I supported the suspect by not handcuffing them at the time of arrest. They were compliant and did not show signs of risk to myself or my colleagues, it would have been unnecessary and unjustified to do so. Another way I supported them was providing documents such as 'Lucy Faithful' post interview. This provided them with information on how to access support regarding the allegations against them. These actions will increase legitimacy and public confidence in the police, leading to public cooperation (Farrow, 2022). </w:t>
      </w:r>
    </w:p>
    <w:p w14:paraId="064C2764" w14:textId="77777777" w:rsidR="001B0DFF" w:rsidRPr="009F51B3" w:rsidRDefault="001B0DFF" w:rsidP="001B0DFF">
      <w:pPr>
        <w:spacing w:after="160" w:line="259" w:lineRule="auto"/>
        <w:rPr>
          <w:sz w:val="24"/>
          <w:szCs w:val="24"/>
        </w:rPr>
      </w:pPr>
      <w:r w:rsidRPr="009F51B3">
        <w:rPr>
          <w:sz w:val="24"/>
          <w:szCs w:val="24"/>
        </w:rPr>
        <w:t> </w:t>
      </w:r>
    </w:p>
    <w:p w14:paraId="328FD842" w14:textId="3927F4E6" w:rsidR="001B0DFF" w:rsidRDefault="001B0DFF" w:rsidP="001B0DFF">
      <w:pPr>
        <w:spacing w:after="160" w:line="259" w:lineRule="auto"/>
        <w:rPr>
          <w:sz w:val="24"/>
          <w:szCs w:val="24"/>
        </w:rPr>
      </w:pPr>
      <w:r w:rsidRPr="009F51B3">
        <w:rPr>
          <w:sz w:val="24"/>
          <w:szCs w:val="24"/>
        </w:rPr>
        <w:t xml:space="preserve">To conclude, the processes applied during this investigation were justified and proportionate. I have shown, using the NDM, why each decision was made and why </w:t>
      </w:r>
      <w:r w:rsidRPr="009F51B3">
        <w:rPr>
          <w:sz w:val="24"/>
          <w:szCs w:val="24"/>
        </w:rPr>
        <w:lastRenderedPageBreak/>
        <w:t xml:space="preserve">a particular action when there was more than one option available. Fast track actions were employed at the beginning of the investigation to garner as much information as possible which led to the lawful arrest of the suspect and the lawful searches of the suspect property. Although an arrest of the suspect could have been conducted sooner, I do not consider this to be an improvement for future incidents. The victim was safeguarded, and the information retrieved from their ABE was vital to the suspects arrest, search of property and interview. I am confident with what processes were employed in this investigation and how they were done. Lastly, I am pleased with the support I provided to both the victim's mother and the suspect. From this investigation I have learned how to manage my personal attitudes towards others despite any negative feelings. I did not let my values get in the way of providing an ethical service. </w:t>
      </w:r>
    </w:p>
    <w:p w14:paraId="69FDB615" w14:textId="77777777" w:rsidR="009F51B3" w:rsidRDefault="009F51B3" w:rsidP="001B0DFF">
      <w:pPr>
        <w:spacing w:after="160" w:line="259" w:lineRule="auto"/>
        <w:rPr>
          <w:sz w:val="24"/>
          <w:szCs w:val="24"/>
        </w:rPr>
      </w:pPr>
    </w:p>
    <w:p w14:paraId="224EAB46" w14:textId="686C98E4" w:rsidR="009F51B3" w:rsidRPr="009F51B3" w:rsidRDefault="009F51B3" w:rsidP="001B0DFF">
      <w:pPr>
        <w:spacing w:after="160" w:line="259" w:lineRule="auto"/>
        <w:rPr>
          <w:sz w:val="24"/>
          <w:szCs w:val="24"/>
        </w:rPr>
      </w:pPr>
      <w:r>
        <w:rPr>
          <w:sz w:val="24"/>
          <w:szCs w:val="24"/>
        </w:rPr>
        <w:t>Word Count: 2110</w:t>
      </w:r>
    </w:p>
    <w:p w14:paraId="536826E7" w14:textId="77777777" w:rsidR="001B0DFF" w:rsidRDefault="001B0DFF" w:rsidP="001B0DFF"/>
    <w:p w14:paraId="6DA4859C" w14:textId="77777777" w:rsidR="001B0DFF" w:rsidRDefault="001B0DFF"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22C3E440" w:rsidR="0FF883D4" w:rsidRDefault="5CE196A1" w:rsidP="5CE196A1">
      <w:r w:rsidRPr="5CE196A1">
        <w:rPr>
          <w:rFonts w:eastAsia="Arial"/>
          <w:b/>
          <w:bCs/>
          <w:color w:val="000000" w:themeColor="text1"/>
          <w:sz w:val="24"/>
          <w:szCs w:val="24"/>
        </w:rPr>
        <w:t>Authentication signature:</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B9A1069" w:rsidR="0FF883D4" w:rsidRDefault="5CE196A1" w:rsidP="5CE196A1">
      <w:r w:rsidRPr="5CE196A1">
        <w:rPr>
          <w:rFonts w:eastAsia="Arial"/>
          <w:b/>
          <w:bCs/>
          <w:color w:val="000000" w:themeColor="text1"/>
          <w:sz w:val="24"/>
          <w:szCs w:val="24"/>
        </w:rPr>
        <w:t xml:space="preserve">Signed: </w:t>
      </w:r>
      <w:r w:rsidR="009F51B3">
        <w:rPr>
          <w:rFonts w:eastAsia="Arial"/>
          <w:b/>
          <w:bCs/>
          <w:color w:val="000000" w:themeColor="text1"/>
          <w:sz w:val="24"/>
          <w:szCs w:val="24"/>
        </w:rPr>
        <w:t>Knott</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E3B6D4C" w:rsidR="0FF883D4" w:rsidRPr="009F51B3" w:rsidRDefault="5CE196A1" w:rsidP="009F51B3">
      <w:pPr>
        <w:sectPr w:rsidR="0FF883D4" w:rsidRPr="009F51B3"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9F51B3">
        <w:t xml:space="preserve"> </w:t>
      </w:r>
      <w:r w:rsidR="009F51B3">
        <w:rPr>
          <w:b/>
          <w:bCs/>
          <w:sz w:val="24"/>
          <w:szCs w:val="24"/>
          <w:lang w:eastAsia="zh-TW"/>
        </w:rPr>
        <w:t>28/10/2024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291020F" w14:textId="77777777" w:rsidR="00EB7545" w:rsidRDefault="00EB7545" w:rsidP="00EB7545"/>
    <w:p w14:paraId="73F83041" w14:textId="19A1E65E" w:rsidR="0017322B" w:rsidRPr="009F51B3" w:rsidRDefault="0017322B" w:rsidP="00EB7545">
      <w:pPr>
        <w:rPr>
          <w:sz w:val="24"/>
          <w:szCs w:val="24"/>
        </w:rPr>
      </w:pPr>
      <w:r w:rsidRPr="009F51B3">
        <w:rPr>
          <w:sz w:val="24"/>
          <w:szCs w:val="24"/>
        </w:rPr>
        <w:t xml:space="preserve">Banwell-Moore, R., 2023. Just an ‘optional </w:t>
      </w:r>
      <w:proofErr w:type="spellStart"/>
      <w:r w:rsidRPr="009F51B3">
        <w:rPr>
          <w:sz w:val="24"/>
          <w:szCs w:val="24"/>
        </w:rPr>
        <w:t>extra’in</w:t>
      </w:r>
      <w:proofErr w:type="spellEnd"/>
      <w:r w:rsidRPr="009F51B3">
        <w:rPr>
          <w:sz w:val="24"/>
          <w:szCs w:val="24"/>
        </w:rPr>
        <w:t xml:space="preserve"> the ‘victim toolkit</w:t>
      </w:r>
      <w:proofErr w:type="gramStart"/>
      <w:r w:rsidRPr="009F51B3">
        <w:rPr>
          <w:sz w:val="24"/>
          <w:szCs w:val="24"/>
        </w:rPr>
        <w:t>’?:</w:t>
      </w:r>
      <w:proofErr w:type="gramEnd"/>
      <w:r w:rsidRPr="009F51B3">
        <w:rPr>
          <w:sz w:val="24"/>
          <w:szCs w:val="24"/>
        </w:rPr>
        <w:t xml:space="preserve"> The culture, mechanisms and approaches of criminal justice organisations delivering restorative justice in England and Wales. </w:t>
      </w:r>
      <w:r w:rsidRPr="009F51B3">
        <w:rPr>
          <w:i/>
          <w:iCs/>
          <w:sz w:val="24"/>
          <w:szCs w:val="24"/>
        </w:rPr>
        <w:t>International Review of Victimology</w:t>
      </w:r>
      <w:r w:rsidRPr="009F51B3">
        <w:rPr>
          <w:sz w:val="24"/>
          <w:szCs w:val="24"/>
        </w:rPr>
        <w:t>, </w:t>
      </w:r>
      <w:r w:rsidRPr="009F51B3">
        <w:rPr>
          <w:i/>
          <w:iCs/>
          <w:sz w:val="24"/>
          <w:szCs w:val="24"/>
        </w:rPr>
        <w:t>29</w:t>
      </w:r>
      <w:r w:rsidRPr="009F51B3">
        <w:rPr>
          <w:sz w:val="24"/>
          <w:szCs w:val="24"/>
        </w:rPr>
        <w:t>(2), pp.217-235.</w:t>
      </w:r>
    </w:p>
    <w:p w14:paraId="6ACD880D" w14:textId="77777777" w:rsidR="0017322B" w:rsidRPr="009F51B3" w:rsidRDefault="0017322B" w:rsidP="00EB7545">
      <w:pPr>
        <w:rPr>
          <w:sz w:val="24"/>
          <w:szCs w:val="24"/>
        </w:rPr>
      </w:pPr>
    </w:p>
    <w:p w14:paraId="77DB5528" w14:textId="1360273A" w:rsidR="00EB7545" w:rsidRPr="009F51B3" w:rsidRDefault="00EB7545" w:rsidP="00EB7545">
      <w:pPr>
        <w:rPr>
          <w:sz w:val="24"/>
          <w:szCs w:val="24"/>
        </w:rPr>
      </w:pPr>
      <w:r w:rsidRPr="009F51B3">
        <w:rPr>
          <w:sz w:val="24"/>
          <w:szCs w:val="24"/>
        </w:rPr>
        <w:t xml:space="preserve">Butler, N., Quigg, Z. and Bellis, M.A., 2020. Cycles of violence in England and Wales: the contribution of childhood abuse to risk of violence </w:t>
      </w:r>
      <w:proofErr w:type="spellStart"/>
      <w:r w:rsidRPr="009F51B3">
        <w:rPr>
          <w:sz w:val="24"/>
          <w:szCs w:val="24"/>
        </w:rPr>
        <w:t>revictimisation</w:t>
      </w:r>
      <w:proofErr w:type="spellEnd"/>
      <w:r w:rsidRPr="009F51B3">
        <w:rPr>
          <w:sz w:val="24"/>
          <w:szCs w:val="24"/>
        </w:rPr>
        <w:t xml:space="preserve"> in adulthood. </w:t>
      </w:r>
      <w:r w:rsidRPr="009F51B3">
        <w:rPr>
          <w:i/>
          <w:iCs/>
          <w:sz w:val="24"/>
          <w:szCs w:val="24"/>
        </w:rPr>
        <w:t>BMC medicine</w:t>
      </w:r>
      <w:r w:rsidRPr="009F51B3">
        <w:rPr>
          <w:sz w:val="24"/>
          <w:szCs w:val="24"/>
        </w:rPr>
        <w:t>, </w:t>
      </w:r>
      <w:r w:rsidRPr="009F51B3">
        <w:rPr>
          <w:i/>
          <w:iCs/>
          <w:sz w:val="24"/>
          <w:szCs w:val="24"/>
        </w:rPr>
        <w:t>18</w:t>
      </w:r>
      <w:r w:rsidRPr="009F51B3">
        <w:rPr>
          <w:sz w:val="24"/>
          <w:szCs w:val="24"/>
        </w:rPr>
        <w:t>, pp.1-13.</w:t>
      </w:r>
    </w:p>
    <w:p w14:paraId="68DDA4CA" w14:textId="77777777" w:rsidR="0017322B" w:rsidRPr="009F51B3" w:rsidRDefault="0017322B" w:rsidP="00EB7545">
      <w:pPr>
        <w:rPr>
          <w:sz w:val="24"/>
          <w:szCs w:val="24"/>
        </w:rPr>
      </w:pPr>
    </w:p>
    <w:p w14:paraId="37590203" w14:textId="0215F27A" w:rsidR="0017322B" w:rsidRPr="009F51B3" w:rsidRDefault="0017322B" w:rsidP="00EB7545">
      <w:pPr>
        <w:rPr>
          <w:sz w:val="24"/>
          <w:szCs w:val="24"/>
        </w:rPr>
      </w:pPr>
      <w:r w:rsidRPr="009F51B3">
        <w:rPr>
          <w:i/>
          <w:iCs/>
          <w:sz w:val="24"/>
          <w:szCs w:val="24"/>
        </w:rPr>
        <w:t>Children Act 1989</w:t>
      </w:r>
      <w:r w:rsidRPr="009F51B3">
        <w:rPr>
          <w:sz w:val="24"/>
          <w:szCs w:val="24"/>
        </w:rPr>
        <w:t xml:space="preserve"> Available at: </w:t>
      </w:r>
      <w:r w:rsidRPr="009F51B3">
        <w:rPr>
          <w:sz w:val="24"/>
          <w:szCs w:val="24"/>
        </w:rPr>
        <w:t>https://www.legislation.gov.uk/ukpga/1989/41/section/105</w:t>
      </w:r>
      <w:r w:rsidRPr="009F51B3">
        <w:rPr>
          <w:sz w:val="24"/>
          <w:szCs w:val="24"/>
        </w:rPr>
        <w:t xml:space="preserve"> (Accessed October 5th) </w:t>
      </w:r>
    </w:p>
    <w:p w14:paraId="35436A57" w14:textId="77777777" w:rsidR="00EB7545" w:rsidRPr="009F51B3" w:rsidRDefault="00EB7545" w:rsidP="00EB7545">
      <w:pPr>
        <w:rPr>
          <w:sz w:val="24"/>
          <w:szCs w:val="24"/>
        </w:rPr>
      </w:pPr>
    </w:p>
    <w:p w14:paraId="32A0CC59" w14:textId="39A7FBFB" w:rsidR="0017322B" w:rsidRPr="009F51B3" w:rsidRDefault="0017322B" w:rsidP="00EB7545">
      <w:pPr>
        <w:rPr>
          <w:sz w:val="24"/>
          <w:szCs w:val="24"/>
        </w:rPr>
      </w:pPr>
      <w:r w:rsidRPr="009F51B3">
        <w:rPr>
          <w:sz w:val="24"/>
          <w:szCs w:val="24"/>
        </w:rPr>
        <w:t>Clamp, K., 2022. RJ and the Code of Practice for Victims of Crime. </w:t>
      </w:r>
      <w:r w:rsidRPr="009F51B3">
        <w:rPr>
          <w:i/>
          <w:iCs/>
          <w:sz w:val="24"/>
          <w:szCs w:val="24"/>
        </w:rPr>
        <w:t xml:space="preserve">A Scoping Review of Service Provision in England and Wales. Nottingham: University of Nottingham. Available online: https://www. </w:t>
      </w:r>
      <w:proofErr w:type="spellStart"/>
      <w:r w:rsidRPr="009F51B3">
        <w:rPr>
          <w:i/>
          <w:iCs/>
          <w:sz w:val="24"/>
          <w:szCs w:val="24"/>
        </w:rPr>
        <w:t>aarj</w:t>
      </w:r>
      <w:proofErr w:type="spellEnd"/>
      <w:r w:rsidRPr="009F51B3">
        <w:rPr>
          <w:i/>
          <w:iCs/>
          <w:sz w:val="24"/>
          <w:szCs w:val="24"/>
        </w:rPr>
        <w:t>. org. au/</w:t>
      </w:r>
      <w:proofErr w:type="spellStart"/>
      <w:r w:rsidRPr="009F51B3">
        <w:rPr>
          <w:i/>
          <w:iCs/>
          <w:sz w:val="24"/>
          <w:szCs w:val="24"/>
        </w:rPr>
        <w:t>wp</w:t>
      </w:r>
      <w:proofErr w:type="spellEnd"/>
      <w:r w:rsidRPr="009F51B3">
        <w:rPr>
          <w:i/>
          <w:iCs/>
          <w:sz w:val="24"/>
          <w:szCs w:val="24"/>
        </w:rPr>
        <w:t xml:space="preserve">-content/uploads/2022/05/PCC-research-report-FINAL. pdf </w:t>
      </w:r>
    </w:p>
    <w:p w14:paraId="0206007D" w14:textId="77777777" w:rsidR="0017322B" w:rsidRPr="009F51B3" w:rsidRDefault="0017322B" w:rsidP="00EB7545">
      <w:pPr>
        <w:rPr>
          <w:sz w:val="24"/>
          <w:szCs w:val="24"/>
        </w:rPr>
      </w:pPr>
    </w:p>
    <w:p w14:paraId="17B58725" w14:textId="5DCC4F2B" w:rsidR="004111C9" w:rsidRPr="009F51B3" w:rsidRDefault="004111C9" w:rsidP="00EB7545">
      <w:pPr>
        <w:rPr>
          <w:sz w:val="24"/>
          <w:szCs w:val="24"/>
        </w:rPr>
      </w:pPr>
      <w:r w:rsidRPr="009F51B3">
        <w:rPr>
          <w:sz w:val="24"/>
          <w:szCs w:val="24"/>
        </w:rPr>
        <w:t>College of Policing (201</w:t>
      </w:r>
      <w:r w:rsidRPr="009F51B3">
        <w:rPr>
          <w:sz w:val="24"/>
          <w:szCs w:val="24"/>
        </w:rPr>
        <w:t>3</w:t>
      </w:r>
      <w:r w:rsidRPr="009F51B3">
        <w:rPr>
          <w:sz w:val="24"/>
          <w:szCs w:val="24"/>
        </w:rPr>
        <w:t>)</w:t>
      </w:r>
      <w:r w:rsidRPr="009F51B3">
        <w:rPr>
          <w:sz w:val="24"/>
          <w:szCs w:val="24"/>
        </w:rPr>
        <w:t xml:space="preserve"> Investigation Process. Available at </w:t>
      </w:r>
      <w:r w:rsidRPr="009F51B3">
        <w:rPr>
          <w:sz w:val="24"/>
          <w:szCs w:val="24"/>
        </w:rPr>
        <w:t>https://www.college.police.uk/app/investigation/investigation-process#fast-track-actions-a5764d22-8e36-4585-be1c-c6e4b1f256ae</w:t>
      </w:r>
      <w:r w:rsidRPr="009F51B3">
        <w:rPr>
          <w:sz w:val="24"/>
          <w:szCs w:val="24"/>
        </w:rPr>
        <w:t xml:space="preserve"> (Accessed October 1</w:t>
      </w:r>
      <w:r w:rsidRPr="009F51B3">
        <w:rPr>
          <w:sz w:val="24"/>
          <w:szCs w:val="24"/>
          <w:vertAlign w:val="superscript"/>
        </w:rPr>
        <w:t>st</w:t>
      </w:r>
      <w:r w:rsidRPr="009F51B3">
        <w:rPr>
          <w:sz w:val="24"/>
          <w:szCs w:val="24"/>
        </w:rPr>
        <w:t xml:space="preserve">) </w:t>
      </w:r>
    </w:p>
    <w:p w14:paraId="01EE85C5" w14:textId="77777777" w:rsidR="004111C9" w:rsidRPr="009F51B3" w:rsidRDefault="004111C9" w:rsidP="00EB7545">
      <w:pPr>
        <w:rPr>
          <w:sz w:val="24"/>
          <w:szCs w:val="24"/>
        </w:rPr>
      </w:pPr>
    </w:p>
    <w:p w14:paraId="34A40551" w14:textId="2A0E4EB7" w:rsidR="00FF3DF4" w:rsidRPr="009F51B3" w:rsidRDefault="00FF3DF4" w:rsidP="00EB7545">
      <w:pPr>
        <w:rPr>
          <w:sz w:val="24"/>
          <w:szCs w:val="24"/>
        </w:rPr>
      </w:pPr>
      <w:r w:rsidRPr="009F51B3">
        <w:rPr>
          <w:sz w:val="24"/>
          <w:szCs w:val="24"/>
        </w:rPr>
        <w:t xml:space="preserve">College of Policing (2014) </w:t>
      </w:r>
      <w:r w:rsidRPr="009F51B3">
        <w:rPr>
          <w:i/>
          <w:iCs/>
          <w:sz w:val="24"/>
          <w:szCs w:val="24"/>
        </w:rPr>
        <w:t>Code of Ethics</w:t>
      </w:r>
      <w:r w:rsidRPr="009F51B3">
        <w:rPr>
          <w:sz w:val="24"/>
          <w:szCs w:val="24"/>
        </w:rPr>
        <w:t xml:space="preserve">. Available at: https://assets.college.police.uk/s3fs-public/2021-02/code_of_ethics.pdf (Accessed 12th of </w:t>
      </w:r>
      <w:r w:rsidRPr="009F51B3">
        <w:rPr>
          <w:sz w:val="24"/>
          <w:szCs w:val="24"/>
        </w:rPr>
        <w:t>October</w:t>
      </w:r>
      <w:r w:rsidRPr="009F51B3">
        <w:rPr>
          <w:sz w:val="24"/>
          <w:szCs w:val="24"/>
        </w:rPr>
        <w:t>).</w:t>
      </w:r>
    </w:p>
    <w:p w14:paraId="2B5481DE" w14:textId="77777777" w:rsidR="00FF3DF4" w:rsidRPr="009F51B3" w:rsidRDefault="00FF3DF4" w:rsidP="00EB7545">
      <w:pPr>
        <w:rPr>
          <w:sz w:val="24"/>
          <w:szCs w:val="24"/>
        </w:rPr>
      </w:pPr>
    </w:p>
    <w:p w14:paraId="79470EF6" w14:textId="65BB42F7" w:rsidR="00FF3DF4" w:rsidRPr="009F51B3" w:rsidRDefault="00FF3DF4" w:rsidP="00EB7545">
      <w:pPr>
        <w:rPr>
          <w:sz w:val="24"/>
          <w:szCs w:val="24"/>
        </w:rPr>
      </w:pPr>
      <w:r w:rsidRPr="009F51B3">
        <w:rPr>
          <w:sz w:val="24"/>
          <w:szCs w:val="24"/>
        </w:rPr>
        <w:t xml:space="preserve">College of Policing (2014) </w:t>
      </w:r>
      <w:r w:rsidRPr="009F51B3">
        <w:rPr>
          <w:i/>
          <w:iCs/>
          <w:sz w:val="24"/>
          <w:szCs w:val="24"/>
        </w:rPr>
        <w:t xml:space="preserve">National Decision Model. </w:t>
      </w:r>
      <w:r w:rsidRPr="009F51B3">
        <w:rPr>
          <w:sz w:val="24"/>
          <w:szCs w:val="24"/>
        </w:rPr>
        <w:t>Available at: https://www.app.college.police.uk/app-content/national-decision-model/the-national-decision-model/?highlight=CRITICAL%20INCIDENTS (Accessed 1</w:t>
      </w:r>
      <w:r w:rsidRPr="009F51B3">
        <w:rPr>
          <w:sz w:val="24"/>
          <w:szCs w:val="24"/>
        </w:rPr>
        <w:t>2</w:t>
      </w:r>
      <w:r w:rsidRPr="009F51B3">
        <w:rPr>
          <w:sz w:val="24"/>
          <w:szCs w:val="24"/>
        </w:rPr>
        <w:t>th of</w:t>
      </w:r>
      <w:r w:rsidRPr="009F51B3">
        <w:rPr>
          <w:sz w:val="24"/>
          <w:szCs w:val="24"/>
        </w:rPr>
        <w:t xml:space="preserve"> October</w:t>
      </w:r>
      <w:r w:rsidRPr="009F51B3">
        <w:rPr>
          <w:sz w:val="24"/>
          <w:szCs w:val="24"/>
        </w:rPr>
        <w:t>).</w:t>
      </w:r>
    </w:p>
    <w:p w14:paraId="47B53AF7" w14:textId="77777777" w:rsidR="00F76576" w:rsidRPr="009F51B3" w:rsidRDefault="00F76576" w:rsidP="00EB7545">
      <w:pPr>
        <w:rPr>
          <w:sz w:val="24"/>
          <w:szCs w:val="24"/>
        </w:rPr>
      </w:pPr>
    </w:p>
    <w:p w14:paraId="6EDF0C41" w14:textId="45A10070" w:rsidR="0073442E" w:rsidRPr="009F51B3" w:rsidRDefault="00F76576" w:rsidP="00EB7545">
      <w:pPr>
        <w:rPr>
          <w:sz w:val="24"/>
          <w:szCs w:val="24"/>
        </w:rPr>
      </w:pPr>
      <w:r w:rsidRPr="009F51B3">
        <w:rPr>
          <w:sz w:val="24"/>
          <w:szCs w:val="24"/>
        </w:rPr>
        <w:t>College of Policing (20</w:t>
      </w:r>
      <w:r w:rsidRPr="009F51B3">
        <w:rPr>
          <w:sz w:val="24"/>
          <w:szCs w:val="24"/>
        </w:rPr>
        <w:t>19</w:t>
      </w:r>
      <w:r w:rsidRPr="009F51B3">
        <w:rPr>
          <w:i/>
          <w:iCs/>
          <w:sz w:val="24"/>
          <w:szCs w:val="24"/>
        </w:rPr>
        <w:t>)</w:t>
      </w:r>
      <w:r w:rsidRPr="009F51B3">
        <w:rPr>
          <w:i/>
          <w:iCs/>
          <w:sz w:val="24"/>
          <w:szCs w:val="24"/>
        </w:rPr>
        <w:t xml:space="preserve"> </w:t>
      </w:r>
      <w:r w:rsidRPr="009F51B3">
        <w:rPr>
          <w:i/>
          <w:iCs/>
          <w:sz w:val="24"/>
          <w:szCs w:val="24"/>
        </w:rPr>
        <w:t>Guidelines for first responders Obtaining initial accounts from victims and witnesses</w:t>
      </w:r>
      <w:r w:rsidRPr="009F51B3">
        <w:rPr>
          <w:i/>
          <w:iCs/>
          <w:sz w:val="24"/>
          <w:szCs w:val="24"/>
        </w:rPr>
        <w:t xml:space="preserve">. </w:t>
      </w:r>
      <w:r w:rsidRPr="009F51B3">
        <w:rPr>
          <w:sz w:val="24"/>
          <w:szCs w:val="24"/>
        </w:rPr>
        <w:t xml:space="preserve">Available at: </w:t>
      </w:r>
      <w:r w:rsidRPr="009F51B3">
        <w:rPr>
          <w:sz w:val="24"/>
          <w:szCs w:val="24"/>
        </w:rPr>
        <w:t>https://assets.college.police.uk/s3fs-public/2020-11/Initial_Accounts_Guidelines.pdf</w:t>
      </w:r>
      <w:r w:rsidRPr="009F51B3">
        <w:rPr>
          <w:sz w:val="24"/>
          <w:szCs w:val="24"/>
        </w:rPr>
        <w:t xml:space="preserve"> (Accessed October 2nd)</w:t>
      </w:r>
    </w:p>
    <w:p w14:paraId="652B91C3" w14:textId="77777777" w:rsidR="001165F9" w:rsidRPr="009F51B3" w:rsidRDefault="001165F9" w:rsidP="00EB7545">
      <w:pPr>
        <w:rPr>
          <w:sz w:val="24"/>
          <w:szCs w:val="24"/>
        </w:rPr>
      </w:pPr>
    </w:p>
    <w:p w14:paraId="03BBA117" w14:textId="0D6FB231" w:rsidR="001165F9" w:rsidRPr="009F51B3" w:rsidRDefault="001165F9" w:rsidP="00EB7545">
      <w:pPr>
        <w:rPr>
          <w:sz w:val="24"/>
          <w:szCs w:val="24"/>
        </w:rPr>
      </w:pPr>
      <w:r w:rsidRPr="009F51B3">
        <w:rPr>
          <w:sz w:val="24"/>
          <w:szCs w:val="24"/>
        </w:rPr>
        <w:t xml:space="preserve">College of Policing (2021) </w:t>
      </w:r>
      <w:r w:rsidRPr="009F51B3">
        <w:rPr>
          <w:i/>
          <w:iCs/>
          <w:sz w:val="24"/>
          <w:szCs w:val="24"/>
        </w:rPr>
        <w:t>Briefing note for adults at risk: initial response and safeguarding</w:t>
      </w:r>
      <w:r w:rsidRPr="009F51B3">
        <w:rPr>
          <w:i/>
          <w:iCs/>
          <w:sz w:val="24"/>
          <w:szCs w:val="24"/>
        </w:rPr>
        <w:t xml:space="preserve">. </w:t>
      </w:r>
      <w:r w:rsidRPr="009F51B3">
        <w:rPr>
          <w:sz w:val="24"/>
          <w:szCs w:val="24"/>
        </w:rPr>
        <w:t xml:space="preserve">Available at: </w:t>
      </w:r>
      <w:r w:rsidRPr="009F51B3">
        <w:rPr>
          <w:sz w:val="24"/>
          <w:szCs w:val="24"/>
        </w:rPr>
        <w:t>https://library.college.police.uk/docs/college-of-policing/Briefing-note-adults-at-risk-initial-response-2021.pdf</w:t>
      </w:r>
      <w:r w:rsidRPr="009F51B3">
        <w:rPr>
          <w:sz w:val="24"/>
          <w:szCs w:val="24"/>
        </w:rPr>
        <w:t xml:space="preserve"> </w:t>
      </w:r>
      <w:r w:rsidRPr="009F51B3">
        <w:rPr>
          <w:sz w:val="24"/>
          <w:szCs w:val="24"/>
        </w:rPr>
        <w:t>(Accessed October 1</w:t>
      </w:r>
      <w:r w:rsidRPr="009F51B3">
        <w:rPr>
          <w:sz w:val="24"/>
          <w:szCs w:val="24"/>
          <w:vertAlign w:val="superscript"/>
        </w:rPr>
        <w:t>st</w:t>
      </w:r>
      <w:r w:rsidRPr="009F51B3">
        <w:rPr>
          <w:sz w:val="24"/>
          <w:szCs w:val="24"/>
        </w:rPr>
        <w:t>)</w:t>
      </w:r>
    </w:p>
    <w:p w14:paraId="06109D8F" w14:textId="77777777" w:rsidR="0017322B" w:rsidRPr="009F51B3" w:rsidRDefault="0017322B" w:rsidP="00EB7545">
      <w:pPr>
        <w:rPr>
          <w:sz w:val="24"/>
          <w:szCs w:val="24"/>
        </w:rPr>
      </w:pPr>
    </w:p>
    <w:p w14:paraId="31BC4501" w14:textId="73097566" w:rsidR="0017322B" w:rsidRPr="009F51B3" w:rsidRDefault="0017322B" w:rsidP="00EB7545">
      <w:pPr>
        <w:rPr>
          <w:sz w:val="24"/>
          <w:szCs w:val="24"/>
        </w:rPr>
      </w:pPr>
      <w:r w:rsidRPr="009F51B3">
        <w:rPr>
          <w:sz w:val="24"/>
          <w:szCs w:val="24"/>
        </w:rPr>
        <w:t xml:space="preserve">College of Policing (2021) </w:t>
      </w:r>
      <w:r w:rsidRPr="009F51B3">
        <w:rPr>
          <w:i/>
          <w:iCs/>
          <w:sz w:val="24"/>
          <w:szCs w:val="24"/>
        </w:rPr>
        <w:t>Introduction to vulnerability- related risk.</w:t>
      </w:r>
      <w:r w:rsidRPr="009F51B3">
        <w:rPr>
          <w:sz w:val="24"/>
          <w:szCs w:val="24"/>
        </w:rPr>
        <w:t xml:space="preserve"> Available at: </w:t>
      </w:r>
      <w:r w:rsidRPr="009F51B3">
        <w:rPr>
          <w:sz w:val="24"/>
          <w:szCs w:val="24"/>
        </w:rPr>
        <w:t>https://www.college.police.uk/guidance/vulnerability-related-risks/introduction-vulnerability-related-risk</w:t>
      </w:r>
      <w:r w:rsidRPr="009F51B3">
        <w:rPr>
          <w:sz w:val="24"/>
          <w:szCs w:val="24"/>
        </w:rPr>
        <w:t xml:space="preserve"> (Accessed September 30th) </w:t>
      </w:r>
    </w:p>
    <w:p w14:paraId="6757E6D4" w14:textId="77777777" w:rsidR="001165F9" w:rsidRPr="009F51B3" w:rsidRDefault="001165F9" w:rsidP="00EB7545">
      <w:pPr>
        <w:rPr>
          <w:sz w:val="24"/>
          <w:szCs w:val="24"/>
        </w:rPr>
      </w:pPr>
    </w:p>
    <w:p w14:paraId="7B46290A" w14:textId="11EE617F" w:rsidR="0073442E" w:rsidRPr="009F51B3" w:rsidRDefault="0073442E" w:rsidP="00EB7545">
      <w:pPr>
        <w:rPr>
          <w:sz w:val="24"/>
          <w:szCs w:val="24"/>
        </w:rPr>
      </w:pPr>
      <w:r w:rsidRPr="009F51B3">
        <w:rPr>
          <w:sz w:val="24"/>
          <w:szCs w:val="24"/>
        </w:rPr>
        <w:t xml:space="preserve">College of Policing (2024) </w:t>
      </w:r>
      <w:r w:rsidRPr="009F51B3">
        <w:rPr>
          <w:i/>
          <w:iCs/>
          <w:sz w:val="24"/>
          <w:szCs w:val="24"/>
        </w:rPr>
        <w:t>Why the Code of Ethics Has Changed.</w:t>
      </w:r>
      <w:r w:rsidRPr="009F51B3">
        <w:rPr>
          <w:sz w:val="24"/>
          <w:szCs w:val="24"/>
        </w:rPr>
        <w:t xml:space="preserve"> Available at </w:t>
      </w:r>
      <w:hyperlink r:id="rId21" w:history="1">
        <w:r w:rsidRPr="009F51B3">
          <w:rPr>
            <w:rStyle w:val="Hyperlink"/>
            <w:color w:val="auto"/>
            <w:sz w:val="24"/>
            <w:szCs w:val="24"/>
            <w:u w:val="none"/>
          </w:rPr>
          <w:t>Why the Code of Ethics has changed | College of Policing</w:t>
        </w:r>
      </w:hyperlink>
      <w:r w:rsidRPr="009F51B3">
        <w:rPr>
          <w:sz w:val="24"/>
          <w:szCs w:val="24"/>
        </w:rPr>
        <w:t xml:space="preserve"> </w:t>
      </w:r>
      <w:r w:rsidRPr="009F51B3">
        <w:rPr>
          <w:sz w:val="24"/>
          <w:szCs w:val="24"/>
        </w:rPr>
        <w:t>(Accessed 12th of October).</w:t>
      </w:r>
    </w:p>
    <w:p w14:paraId="6700907B" w14:textId="77777777" w:rsidR="00F76576" w:rsidRPr="009F51B3" w:rsidRDefault="00F76576" w:rsidP="00EB7545">
      <w:pPr>
        <w:rPr>
          <w:sz w:val="24"/>
          <w:szCs w:val="24"/>
        </w:rPr>
      </w:pPr>
    </w:p>
    <w:p w14:paraId="548D373D" w14:textId="0BDAB70C" w:rsidR="00F76576" w:rsidRPr="009F51B3" w:rsidRDefault="00F76576" w:rsidP="00EB7545">
      <w:pPr>
        <w:rPr>
          <w:sz w:val="24"/>
          <w:szCs w:val="24"/>
        </w:rPr>
      </w:pPr>
      <w:r w:rsidRPr="009F51B3">
        <w:rPr>
          <w:sz w:val="24"/>
          <w:szCs w:val="24"/>
        </w:rPr>
        <w:t>Collins, R., Lincoln, R. and Frank, M.G., 2002. The effect of rapport in forensic interviewing. </w:t>
      </w:r>
      <w:r w:rsidRPr="009F51B3">
        <w:rPr>
          <w:i/>
          <w:iCs/>
          <w:sz w:val="24"/>
          <w:szCs w:val="24"/>
        </w:rPr>
        <w:t>Psychiatry, psychology and law</w:t>
      </w:r>
      <w:r w:rsidRPr="009F51B3">
        <w:rPr>
          <w:sz w:val="24"/>
          <w:szCs w:val="24"/>
        </w:rPr>
        <w:t>, </w:t>
      </w:r>
      <w:r w:rsidRPr="009F51B3">
        <w:rPr>
          <w:i/>
          <w:iCs/>
          <w:sz w:val="24"/>
          <w:szCs w:val="24"/>
        </w:rPr>
        <w:t>9</w:t>
      </w:r>
      <w:r w:rsidRPr="009F51B3">
        <w:rPr>
          <w:sz w:val="24"/>
          <w:szCs w:val="24"/>
        </w:rPr>
        <w:t>(1), pp.69-78.</w:t>
      </w:r>
    </w:p>
    <w:p w14:paraId="5142EC17" w14:textId="77777777" w:rsidR="00FF3DF4" w:rsidRPr="009F51B3" w:rsidRDefault="00FF3DF4" w:rsidP="00EB7545">
      <w:pPr>
        <w:rPr>
          <w:sz w:val="24"/>
          <w:szCs w:val="24"/>
        </w:rPr>
      </w:pPr>
    </w:p>
    <w:p w14:paraId="374C64D3" w14:textId="3145CA90" w:rsidR="009F51B3" w:rsidRPr="009F51B3" w:rsidRDefault="009F51B3" w:rsidP="00EB7545">
      <w:pPr>
        <w:rPr>
          <w:sz w:val="24"/>
          <w:szCs w:val="24"/>
        </w:rPr>
      </w:pPr>
      <w:r w:rsidRPr="009F51B3">
        <w:rPr>
          <w:i/>
          <w:iCs/>
          <w:sz w:val="24"/>
          <w:szCs w:val="24"/>
        </w:rPr>
        <w:lastRenderedPageBreak/>
        <w:t>Data Protection Act 2018</w:t>
      </w:r>
      <w:r w:rsidRPr="009F51B3">
        <w:rPr>
          <w:sz w:val="24"/>
          <w:szCs w:val="24"/>
        </w:rPr>
        <w:t xml:space="preserve">. Available at: </w:t>
      </w:r>
      <w:r w:rsidRPr="009F51B3">
        <w:rPr>
          <w:sz w:val="24"/>
          <w:szCs w:val="24"/>
        </w:rPr>
        <w:t>https://www.legislation.gov.uk/ukpga/2018/12/contents</w:t>
      </w:r>
      <w:r w:rsidRPr="009F51B3">
        <w:rPr>
          <w:sz w:val="24"/>
          <w:szCs w:val="24"/>
        </w:rPr>
        <w:t xml:space="preserve"> (Accessed October 21st)</w:t>
      </w:r>
    </w:p>
    <w:p w14:paraId="022AA0D6" w14:textId="77777777" w:rsidR="009F51B3" w:rsidRPr="009F51B3" w:rsidRDefault="009F51B3" w:rsidP="00EB7545">
      <w:pPr>
        <w:rPr>
          <w:sz w:val="24"/>
          <w:szCs w:val="24"/>
        </w:rPr>
      </w:pPr>
    </w:p>
    <w:p w14:paraId="753A1CAF" w14:textId="08C4D4F6" w:rsidR="00EB7545" w:rsidRPr="009F51B3" w:rsidRDefault="00EB7545" w:rsidP="00EB7545">
      <w:pPr>
        <w:rPr>
          <w:sz w:val="24"/>
          <w:szCs w:val="24"/>
        </w:rPr>
      </w:pPr>
      <w:r w:rsidRPr="009F51B3">
        <w:rPr>
          <w:sz w:val="24"/>
          <w:szCs w:val="24"/>
        </w:rPr>
        <w:t>Denne, E., Sullivan, C., Ernest, K. and Stolzenberg, S.N., 2020. Assessing children’s credibility in courtroom investigations of alleged child sexual abuse: Suggestibility, plausibility, and consistency. </w:t>
      </w:r>
      <w:r w:rsidRPr="009F51B3">
        <w:rPr>
          <w:i/>
          <w:iCs/>
          <w:sz w:val="24"/>
          <w:szCs w:val="24"/>
        </w:rPr>
        <w:t>Child maltreatment</w:t>
      </w:r>
      <w:r w:rsidRPr="009F51B3">
        <w:rPr>
          <w:sz w:val="24"/>
          <w:szCs w:val="24"/>
        </w:rPr>
        <w:t>, </w:t>
      </w:r>
      <w:r w:rsidRPr="009F51B3">
        <w:rPr>
          <w:i/>
          <w:iCs/>
          <w:sz w:val="24"/>
          <w:szCs w:val="24"/>
        </w:rPr>
        <w:t>25</w:t>
      </w:r>
      <w:r w:rsidRPr="009F51B3">
        <w:rPr>
          <w:sz w:val="24"/>
          <w:szCs w:val="24"/>
        </w:rPr>
        <w:t>(2), pp.224-232</w:t>
      </w:r>
    </w:p>
    <w:p w14:paraId="2CAF933F" w14:textId="77777777" w:rsidR="009F51B3" w:rsidRPr="009F51B3" w:rsidRDefault="009F51B3" w:rsidP="00EB7545">
      <w:pPr>
        <w:rPr>
          <w:sz w:val="24"/>
          <w:szCs w:val="24"/>
        </w:rPr>
      </w:pPr>
    </w:p>
    <w:p w14:paraId="239F0BE2" w14:textId="36ABA0EC" w:rsidR="009F51B3" w:rsidRPr="009F51B3" w:rsidRDefault="009F51B3" w:rsidP="00EB7545">
      <w:pPr>
        <w:rPr>
          <w:sz w:val="24"/>
          <w:szCs w:val="24"/>
        </w:rPr>
      </w:pPr>
      <w:r w:rsidRPr="009F51B3">
        <w:rPr>
          <w:sz w:val="24"/>
          <w:szCs w:val="24"/>
        </w:rPr>
        <w:t xml:space="preserve">Department for Education (2024) </w:t>
      </w:r>
      <w:r w:rsidRPr="009F51B3">
        <w:rPr>
          <w:i/>
          <w:iCs/>
          <w:sz w:val="24"/>
          <w:szCs w:val="24"/>
        </w:rPr>
        <w:t>Information Sharing Advice for practitioners providing safeguarding services for children, young people, parents and carers</w:t>
      </w:r>
      <w:r w:rsidRPr="009F51B3">
        <w:rPr>
          <w:sz w:val="24"/>
          <w:szCs w:val="24"/>
        </w:rPr>
        <w:t xml:space="preserve">. Available at: </w:t>
      </w:r>
      <w:r w:rsidRPr="009F51B3">
        <w:rPr>
          <w:sz w:val="24"/>
          <w:szCs w:val="24"/>
        </w:rPr>
        <w:t>https://assets.publishing.service.gov.uk/media/66320b06c084007696fca731/Info_sharing_advice_content_May_2024.pdf</w:t>
      </w:r>
      <w:r w:rsidRPr="009F51B3">
        <w:rPr>
          <w:sz w:val="24"/>
          <w:szCs w:val="24"/>
        </w:rPr>
        <w:t xml:space="preserve"> (Accessed October 21st)</w:t>
      </w:r>
    </w:p>
    <w:p w14:paraId="10F62C85" w14:textId="77777777" w:rsidR="00EB7545" w:rsidRPr="009F51B3" w:rsidRDefault="00EB7545" w:rsidP="00EB7545">
      <w:pPr>
        <w:rPr>
          <w:sz w:val="24"/>
          <w:szCs w:val="24"/>
        </w:rPr>
      </w:pPr>
    </w:p>
    <w:p w14:paraId="2FEA1ADA" w14:textId="45103B15" w:rsidR="00EB7545" w:rsidRPr="009F51B3" w:rsidRDefault="00EB7545" w:rsidP="00EB7545">
      <w:pPr>
        <w:rPr>
          <w:sz w:val="24"/>
          <w:szCs w:val="24"/>
        </w:rPr>
      </w:pPr>
      <w:r w:rsidRPr="009F51B3">
        <w:rPr>
          <w:sz w:val="24"/>
          <w:szCs w:val="24"/>
        </w:rPr>
        <w:t>Foster, I., Talwar, V. and Crossman, A., 2023. The role of rapport in eliciting children’s truthful reports. </w:t>
      </w:r>
      <w:r w:rsidRPr="009F51B3">
        <w:rPr>
          <w:i/>
          <w:iCs/>
          <w:sz w:val="24"/>
          <w:szCs w:val="24"/>
        </w:rPr>
        <w:t>Applied Developmental Science</w:t>
      </w:r>
      <w:r w:rsidRPr="009F51B3">
        <w:rPr>
          <w:sz w:val="24"/>
          <w:szCs w:val="24"/>
        </w:rPr>
        <w:t>, </w:t>
      </w:r>
      <w:r w:rsidRPr="009F51B3">
        <w:rPr>
          <w:i/>
          <w:iCs/>
          <w:sz w:val="24"/>
          <w:szCs w:val="24"/>
        </w:rPr>
        <w:t>27</w:t>
      </w:r>
      <w:r w:rsidRPr="009F51B3">
        <w:rPr>
          <w:sz w:val="24"/>
          <w:szCs w:val="24"/>
        </w:rPr>
        <w:t>(3), pp.221-237</w:t>
      </w:r>
    </w:p>
    <w:p w14:paraId="417277EF" w14:textId="77777777" w:rsidR="00EB7545" w:rsidRPr="009F51B3" w:rsidRDefault="00EB7545" w:rsidP="00EB7545">
      <w:pPr>
        <w:rPr>
          <w:sz w:val="24"/>
          <w:szCs w:val="24"/>
        </w:rPr>
      </w:pPr>
    </w:p>
    <w:p w14:paraId="72949B1A" w14:textId="4A0F2104" w:rsidR="00EB7545" w:rsidRPr="009F51B3" w:rsidRDefault="00EB7545" w:rsidP="00EB7545">
      <w:pPr>
        <w:rPr>
          <w:sz w:val="24"/>
          <w:szCs w:val="24"/>
        </w:rPr>
      </w:pPr>
      <w:r w:rsidRPr="009F51B3">
        <w:rPr>
          <w:sz w:val="24"/>
          <w:szCs w:val="24"/>
        </w:rPr>
        <w:t>Earnhart, D. and Friesen, L., 2014. Certainty of punishment versus severity of punishment: Deterrence and the crowding out of intrinsic motivation. </w:t>
      </w:r>
      <w:r w:rsidRPr="009F51B3">
        <w:rPr>
          <w:i/>
          <w:iCs/>
          <w:sz w:val="24"/>
          <w:szCs w:val="24"/>
        </w:rPr>
        <w:t>Unpublished manuscript, University of Kansas, United States</w:t>
      </w:r>
      <w:r w:rsidRPr="009F51B3">
        <w:rPr>
          <w:sz w:val="24"/>
          <w:szCs w:val="24"/>
        </w:rPr>
        <w:t>.</w:t>
      </w:r>
    </w:p>
    <w:p w14:paraId="0EBDAE06" w14:textId="77777777" w:rsidR="00EB7545" w:rsidRPr="009F51B3" w:rsidRDefault="00EB7545" w:rsidP="00EB7545">
      <w:pPr>
        <w:rPr>
          <w:sz w:val="24"/>
          <w:szCs w:val="24"/>
        </w:rPr>
      </w:pPr>
    </w:p>
    <w:p w14:paraId="43A620DC" w14:textId="27AF369A" w:rsidR="00EB7545" w:rsidRPr="009F51B3" w:rsidRDefault="00EB7545" w:rsidP="00EB7545">
      <w:pPr>
        <w:rPr>
          <w:sz w:val="24"/>
          <w:szCs w:val="24"/>
        </w:rPr>
      </w:pPr>
      <w:r w:rsidRPr="009F51B3">
        <w:rPr>
          <w:sz w:val="24"/>
          <w:szCs w:val="24"/>
        </w:rPr>
        <w:t>Farrow, K., 2022. Legitimacy and Confidence on Policing. In </w:t>
      </w:r>
      <w:r w:rsidRPr="009F51B3">
        <w:rPr>
          <w:i/>
          <w:iCs/>
          <w:sz w:val="24"/>
          <w:szCs w:val="24"/>
        </w:rPr>
        <w:t>Cumberland Lodge Police Conference, Berkshire.</w:t>
      </w:r>
    </w:p>
    <w:p w14:paraId="6C68260D" w14:textId="77777777" w:rsidR="00EB7545" w:rsidRPr="009F51B3" w:rsidRDefault="00EB7545" w:rsidP="00EB7545">
      <w:pPr>
        <w:rPr>
          <w:sz w:val="24"/>
          <w:szCs w:val="24"/>
        </w:rPr>
      </w:pPr>
    </w:p>
    <w:p w14:paraId="739F2C11" w14:textId="607EC3E1" w:rsidR="002B1862" w:rsidRPr="009F51B3" w:rsidRDefault="00EB7545" w:rsidP="00EB7545">
      <w:pPr>
        <w:rPr>
          <w:sz w:val="24"/>
          <w:szCs w:val="24"/>
        </w:rPr>
      </w:pPr>
      <w:r w:rsidRPr="009F51B3">
        <w:rPr>
          <w:sz w:val="24"/>
          <w:szCs w:val="24"/>
        </w:rPr>
        <w:t>Fisher, C., Goldsmith, A., Hurcombe, R. and Soares, C., 2017. </w:t>
      </w:r>
      <w:r w:rsidRPr="009F51B3">
        <w:rPr>
          <w:i/>
          <w:iCs/>
          <w:sz w:val="24"/>
          <w:szCs w:val="24"/>
        </w:rPr>
        <w:t>The impacts of child sexual abuse: A rapid evidence assessment</w:t>
      </w:r>
      <w:r w:rsidRPr="009F51B3">
        <w:rPr>
          <w:sz w:val="24"/>
          <w:szCs w:val="24"/>
        </w:rPr>
        <w:t>. Independent Inquiry into Child Sex Abuse.</w:t>
      </w:r>
    </w:p>
    <w:p w14:paraId="3C147BCC" w14:textId="77777777" w:rsidR="009143B5" w:rsidRPr="009F51B3" w:rsidRDefault="009143B5" w:rsidP="00EB7545">
      <w:pPr>
        <w:rPr>
          <w:sz w:val="24"/>
          <w:szCs w:val="24"/>
        </w:rPr>
      </w:pPr>
    </w:p>
    <w:p w14:paraId="7D9418BC" w14:textId="13CACF9E" w:rsidR="009143B5" w:rsidRPr="009F51B3" w:rsidRDefault="009143B5" w:rsidP="00EB7545">
      <w:pPr>
        <w:rPr>
          <w:sz w:val="24"/>
          <w:szCs w:val="24"/>
        </w:rPr>
      </w:pPr>
      <w:r w:rsidRPr="009F51B3">
        <w:rPr>
          <w:sz w:val="24"/>
          <w:szCs w:val="24"/>
        </w:rPr>
        <w:t>HMIC (2015</w:t>
      </w:r>
      <w:r w:rsidRPr="009F51B3">
        <w:rPr>
          <w:i/>
          <w:iCs/>
          <w:sz w:val="24"/>
          <w:szCs w:val="24"/>
        </w:rPr>
        <w:t xml:space="preserve">) </w:t>
      </w:r>
      <w:r w:rsidRPr="009F51B3">
        <w:rPr>
          <w:i/>
          <w:iCs/>
          <w:sz w:val="24"/>
          <w:szCs w:val="24"/>
        </w:rPr>
        <w:t>In harm's way: The role of the police in keeping children saf</w:t>
      </w:r>
      <w:r w:rsidRPr="009F51B3">
        <w:rPr>
          <w:i/>
          <w:iCs/>
          <w:sz w:val="24"/>
          <w:szCs w:val="24"/>
        </w:rPr>
        <w:t xml:space="preserve">e. </w:t>
      </w:r>
      <w:r w:rsidRPr="009F51B3">
        <w:rPr>
          <w:sz w:val="24"/>
          <w:szCs w:val="24"/>
        </w:rPr>
        <w:t xml:space="preserve">Available at: </w:t>
      </w:r>
      <w:r w:rsidRPr="009F51B3">
        <w:rPr>
          <w:sz w:val="24"/>
          <w:szCs w:val="24"/>
        </w:rPr>
        <w:t>https://assets-hmicfrs.justiceinspectorates.gov.uk/uploads/in-harms-way.pdf</w:t>
      </w:r>
      <w:r w:rsidRPr="009F51B3">
        <w:rPr>
          <w:sz w:val="24"/>
          <w:szCs w:val="24"/>
        </w:rPr>
        <w:t xml:space="preserve"> (Accessed October 1st)</w:t>
      </w:r>
    </w:p>
    <w:p w14:paraId="3F8E1CE6" w14:textId="77777777" w:rsidR="0017322B" w:rsidRPr="009F51B3" w:rsidRDefault="0017322B" w:rsidP="00EB7545">
      <w:pPr>
        <w:rPr>
          <w:sz w:val="24"/>
          <w:szCs w:val="24"/>
        </w:rPr>
      </w:pPr>
    </w:p>
    <w:p w14:paraId="3381A0AC" w14:textId="79426292" w:rsidR="0017322B" w:rsidRPr="009F51B3" w:rsidRDefault="0017322B" w:rsidP="00EB7545">
      <w:pPr>
        <w:rPr>
          <w:sz w:val="24"/>
          <w:szCs w:val="24"/>
        </w:rPr>
      </w:pPr>
      <w:r w:rsidRPr="009F51B3">
        <w:rPr>
          <w:sz w:val="24"/>
          <w:szCs w:val="24"/>
        </w:rPr>
        <w:t xml:space="preserve">HMIC (2016) </w:t>
      </w:r>
      <w:r w:rsidRPr="009F51B3">
        <w:rPr>
          <w:i/>
          <w:iCs/>
          <w:sz w:val="24"/>
          <w:szCs w:val="24"/>
        </w:rPr>
        <w:t>National Child Protection Inspection Post-Inspection Review</w:t>
      </w:r>
      <w:r w:rsidRPr="009F51B3">
        <w:rPr>
          <w:sz w:val="24"/>
          <w:szCs w:val="24"/>
        </w:rPr>
        <w:t xml:space="preserve">. Available at: </w:t>
      </w:r>
      <w:r w:rsidRPr="009F51B3">
        <w:rPr>
          <w:sz w:val="24"/>
          <w:szCs w:val="24"/>
        </w:rPr>
        <w:t>south-wales-national-child-protection-inspection-post-inspection-review.pdf</w:t>
      </w:r>
      <w:r w:rsidR="009F51B3">
        <w:rPr>
          <w:sz w:val="24"/>
          <w:szCs w:val="24"/>
        </w:rPr>
        <w:t xml:space="preserve"> (Accessed October 1</w:t>
      </w:r>
      <w:r w:rsidR="009F51B3" w:rsidRPr="009F51B3">
        <w:rPr>
          <w:sz w:val="24"/>
          <w:szCs w:val="24"/>
          <w:vertAlign w:val="superscript"/>
        </w:rPr>
        <w:t>st</w:t>
      </w:r>
      <w:r w:rsidR="009F51B3">
        <w:rPr>
          <w:sz w:val="24"/>
          <w:szCs w:val="24"/>
        </w:rPr>
        <w:t>)</w:t>
      </w:r>
    </w:p>
    <w:p w14:paraId="6EC3BB6A" w14:textId="77777777" w:rsidR="009143B5" w:rsidRPr="009F51B3" w:rsidRDefault="009143B5" w:rsidP="00EB7545">
      <w:pPr>
        <w:rPr>
          <w:sz w:val="24"/>
          <w:szCs w:val="24"/>
        </w:rPr>
      </w:pPr>
    </w:p>
    <w:p w14:paraId="5ADCC6FE" w14:textId="4987138E" w:rsidR="002B1862" w:rsidRPr="009F51B3" w:rsidRDefault="002B1862" w:rsidP="00EB7545">
      <w:pPr>
        <w:rPr>
          <w:sz w:val="24"/>
          <w:szCs w:val="24"/>
        </w:rPr>
      </w:pPr>
      <w:r w:rsidRPr="009F51B3">
        <w:rPr>
          <w:i/>
          <w:iCs/>
          <w:sz w:val="24"/>
          <w:szCs w:val="24"/>
        </w:rPr>
        <w:t>Human Rights Act 1998</w:t>
      </w:r>
      <w:r w:rsidRPr="009F51B3">
        <w:rPr>
          <w:sz w:val="24"/>
          <w:szCs w:val="24"/>
        </w:rPr>
        <w:t xml:space="preserve">, Article 5. Available at: </w:t>
      </w:r>
      <w:r w:rsidRPr="009F51B3">
        <w:rPr>
          <w:sz w:val="24"/>
          <w:szCs w:val="24"/>
        </w:rPr>
        <w:t>https://www.legislation.gov.uk/ukpga/</w:t>
      </w:r>
      <w:r w:rsidRPr="009F51B3">
        <w:rPr>
          <w:sz w:val="24"/>
          <w:szCs w:val="24"/>
        </w:rPr>
        <w:t xml:space="preserve"> </w:t>
      </w:r>
      <w:r w:rsidRPr="009F51B3">
        <w:rPr>
          <w:sz w:val="24"/>
          <w:szCs w:val="24"/>
        </w:rPr>
        <w:t>1998/42</w:t>
      </w:r>
      <w:r w:rsidRPr="009F51B3">
        <w:rPr>
          <w:sz w:val="24"/>
          <w:szCs w:val="24"/>
        </w:rPr>
        <w:t xml:space="preserve"> </w:t>
      </w:r>
      <w:r w:rsidRPr="009F51B3">
        <w:rPr>
          <w:sz w:val="24"/>
          <w:szCs w:val="24"/>
        </w:rPr>
        <w:t>/schedule/1/part/I/chapter/4</w:t>
      </w:r>
      <w:r w:rsidRPr="009F51B3">
        <w:rPr>
          <w:sz w:val="24"/>
          <w:szCs w:val="24"/>
        </w:rPr>
        <w:t xml:space="preserve"> </w:t>
      </w:r>
      <w:r w:rsidR="004111C9" w:rsidRPr="009F51B3">
        <w:rPr>
          <w:sz w:val="24"/>
          <w:szCs w:val="24"/>
        </w:rPr>
        <w:t>(Accessed October 1</w:t>
      </w:r>
      <w:r w:rsidR="004111C9" w:rsidRPr="009F51B3">
        <w:rPr>
          <w:sz w:val="24"/>
          <w:szCs w:val="24"/>
          <w:vertAlign w:val="superscript"/>
        </w:rPr>
        <w:t>st</w:t>
      </w:r>
      <w:r w:rsidR="004111C9" w:rsidRPr="009F51B3">
        <w:rPr>
          <w:sz w:val="24"/>
          <w:szCs w:val="24"/>
        </w:rPr>
        <w:t>)</w:t>
      </w:r>
    </w:p>
    <w:p w14:paraId="01D3FD2D" w14:textId="77777777" w:rsidR="002B1862" w:rsidRPr="009F51B3" w:rsidRDefault="002B1862" w:rsidP="002B1862">
      <w:pPr>
        <w:rPr>
          <w:sz w:val="24"/>
          <w:szCs w:val="24"/>
        </w:rPr>
      </w:pPr>
    </w:p>
    <w:p w14:paraId="6C5031AB" w14:textId="04ACA79D" w:rsidR="002B1862" w:rsidRPr="009F51B3" w:rsidRDefault="002B1862" w:rsidP="002B1862">
      <w:pPr>
        <w:rPr>
          <w:sz w:val="24"/>
          <w:szCs w:val="24"/>
        </w:rPr>
      </w:pPr>
      <w:r w:rsidRPr="009F51B3">
        <w:rPr>
          <w:i/>
          <w:iCs/>
          <w:sz w:val="24"/>
          <w:szCs w:val="24"/>
        </w:rPr>
        <w:t>Human R</w:t>
      </w:r>
      <w:r w:rsidRPr="009F51B3">
        <w:rPr>
          <w:i/>
          <w:iCs/>
          <w:sz w:val="24"/>
          <w:szCs w:val="24"/>
        </w:rPr>
        <w:t>i</w:t>
      </w:r>
      <w:r w:rsidRPr="009F51B3">
        <w:rPr>
          <w:i/>
          <w:iCs/>
          <w:sz w:val="24"/>
          <w:szCs w:val="24"/>
        </w:rPr>
        <w:t>ghts Act 1998</w:t>
      </w:r>
      <w:r w:rsidRPr="009F51B3">
        <w:rPr>
          <w:sz w:val="24"/>
          <w:szCs w:val="24"/>
        </w:rPr>
        <w:t xml:space="preserve">, Article </w:t>
      </w:r>
      <w:r w:rsidRPr="009F51B3">
        <w:rPr>
          <w:sz w:val="24"/>
          <w:szCs w:val="24"/>
        </w:rPr>
        <w:t>8</w:t>
      </w:r>
      <w:r w:rsidRPr="009F51B3">
        <w:rPr>
          <w:sz w:val="24"/>
          <w:szCs w:val="24"/>
        </w:rPr>
        <w:t>. Available at: https://www.legislation.gov.uk/ukpga/ 1998/42 /schedule/1/part/I/chapter/</w:t>
      </w:r>
      <w:r w:rsidRPr="009F51B3">
        <w:rPr>
          <w:sz w:val="24"/>
          <w:szCs w:val="24"/>
        </w:rPr>
        <w:t>7</w:t>
      </w:r>
      <w:r w:rsidR="004111C9" w:rsidRPr="009F51B3">
        <w:rPr>
          <w:sz w:val="24"/>
          <w:szCs w:val="24"/>
        </w:rPr>
        <w:t xml:space="preserve"> </w:t>
      </w:r>
      <w:r w:rsidR="004111C9" w:rsidRPr="009F51B3">
        <w:rPr>
          <w:sz w:val="24"/>
          <w:szCs w:val="24"/>
        </w:rPr>
        <w:t>(Accessed October 1</w:t>
      </w:r>
      <w:r w:rsidR="004111C9" w:rsidRPr="009F51B3">
        <w:rPr>
          <w:sz w:val="24"/>
          <w:szCs w:val="24"/>
          <w:vertAlign w:val="superscript"/>
        </w:rPr>
        <w:t>st</w:t>
      </w:r>
      <w:r w:rsidR="004111C9" w:rsidRPr="009F51B3">
        <w:rPr>
          <w:sz w:val="24"/>
          <w:szCs w:val="24"/>
        </w:rPr>
        <w:t>)</w:t>
      </w:r>
    </w:p>
    <w:p w14:paraId="3FAE84CE" w14:textId="77777777" w:rsidR="004111C9" w:rsidRPr="009F51B3" w:rsidRDefault="004111C9" w:rsidP="002B1862">
      <w:pPr>
        <w:rPr>
          <w:sz w:val="24"/>
          <w:szCs w:val="24"/>
        </w:rPr>
      </w:pPr>
    </w:p>
    <w:p w14:paraId="4B08D810" w14:textId="57BABBA4" w:rsidR="004111C9" w:rsidRPr="009F51B3" w:rsidRDefault="004111C9" w:rsidP="002B1862">
      <w:pPr>
        <w:rPr>
          <w:sz w:val="24"/>
          <w:szCs w:val="24"/>
        </w:rPr>
      </w:pPr>
      <w:r w:rsidRPr="009F51B3">
        <w:rPr>
          <w:sz w:val="24"/>
          <w:szCs w:val="24"/>
        </w:rPr>
        <w:t xml:space="preserve">Home Office (2014) </w:t>
      </w:r>
      <w:r w:rsidRPr="009F51B3">
        <w:rPr>
          <w:i/>
          <w:iCs/>
          <w:sz w:val="24"/>
          <w:szCs w:val="24"/>
        </w:rPr>
        <w:t>Multi Agency Working and Information Sharing Project Final report</w:t>
      </w:r>
      <w:r w:rsidRPr="009F51B3">
        <w:rPr>
          <w:i/>
          <w:iCs/>
          <w:sz w:val="24"/>
          <w:szCs w:val="24"/>
        </w:rPr>
        <w:t xml:space="preserve">. </w:t>
      </w:r>
      <w:r w:rsidRPr="009F51B3">
        <w:rPr>
          <w:sz w:val="24"/>
          <w:szCs w:val="24"/>
        </w:rPr>
        <w:t>Available at</w:t>
      </w:r>
      <w:r w:rsidRPr="009F51B3">
        <w:rPr>
          <w:sz w:val="24"/>
          <w:szCs w:val="24"/>
        </w:rPr>
        <w:t>https://assets.publishing.service.gov.uk/media/5a750ddb40f0b6360e472fa5/MASH.pdf</w:t>
      </w:r>
      <w:r w:rsidRPr="009F51B3">
        <w:rPr>
          <w:sz w:val="24"/>
          <w:szCs w:val="24"/>
        </w:rPr>
        <w:t xml:space="preserve"> (Accessed </w:t>
      </w:r>
      <w:r w:rsidR="009F51B3">
        <w:rPr>
          <w:sz w:val="24"/>
          <w:szCs w:val="24"/>
        </w:rPr>
        <w:t>September</w:t>
      </w:r>
      <w:r w:rsidRPr="009F51B3">
        <w:rPr>
          <w:sz w:val="24"/>
          <w:szCs w:val="24"/>
        </w:rPr>
        <w:t xml:space="preserve"> </w:t>
      </w:r>
      <w:r w:rsidR="009F51B3">
        <w:rPr>
          <w:sz w:val="24"/>
          <w:szCs w:val="24"/>
        </w:rPr>
        <w:t>1</w:t>
      </w:r>
      <w:r w:rsidRPr="009F51B3">
        <w:rPr>
          <w:sz w:val="24"/>
          <w:szCs w:val="24"/>
        </w:rPr>
        <w:t>1</w:t>
      </w:r>
      <w:r w:rsidR="009F51B3">
        <w:rPr>
          <w:sz w:val="24"/>
          <w:szCs w:val="24"/>
          <w:vertAlign w:val="superscript"/>
        </w:rPr>
        <w:t>th</w:t>
      </w:r>
      <w:r w:rsidRPr="009F51B3">
        <w:rPr>
          <w:sz w:val="24"/>
          <w:szCs w:val="24"/>
        </w:rPr>
        <w:t xml:space="preserve">) </w:t>
      </w:r>
    </w:p>
    <w:p w14:paraId="2366A157" w14:textId="77777777" w:rsidR="00F76576" w:rsidRPr="009F51B3" w:rsidRDefault="00F76576" w:rsidP="002B1862">
      <w:pPr>
        <w:rPr>
          <w:sz w:val="24"/>
          <w:szCs w:val="24"/>
        </w:rPr>
      </w:pPr>
    </w:p>
    <w:p w14:paraId="309DB7F1" w14:textId="77777777" w:rsidR="009F51B3" w:rsidRDefault="00F76576" w:rsidP="002B1862">
      <w:pPr>
        <w:rPr>
          <w:sz w:val="24"/>
          <w:szCs w:val="24"/>
        </w:rPr>
      </w:pPr>
      <w:r w:rsidRPr="009F51B3">
        <w:rPr>
          <w:sz w:val="24"/>
          <w:szCs w:val="24"/>
        </w:rPr>
        <w:t xml:space="preserve">Home Office (2012) </w:t>
      </w:r>
      <w:r w:rsidRPr="009F51B3">
        <w:rPr>
          <w:i/>
          <w:iCs/>
          <w:sz w:val="24"/>
          <w:szCs w:val="24"/>
        </w:rPr>
        <w:t>Pace Code G 2012</w:t>
      </w:r>
      <w:r w:rsidRPr="009F51B3">
        <w:rPr>
          <w:sz w:val="24"/>
          <w:szCs w:val="24"/>
        </w:rPr>
        <w:t xml:space="preserve">, Available at: </w:t>
      </w:r>
      <w:r w:rsidRPr="009F51B3">
        <w:rPr>
          <w:sz w:val="24"/>
          <w:szCs w:val="24"/>
        </w:rPr>
        <w:t>https://www.gov.uk/government/publications/pace-code-g-2012/pace-code-g-2012-accessible012 (</w:t>
      </w:r>
      <w:r w:rsidRPr="009F51B3">
        <w:rPr>
          <w:sz w:val="24"/>
          <w:szCs w:val="24"/>
        </w:rPr>
        <w:t xml:space="preserve">Accessed October </w:t>
      </w:r>
      <w:r w:rsidR="009F51B3">
        <w:rPr>
          <w:sz w:val="24"/>
          <w:szCs w:val="24"/>
        </w:rPr>
        <w:t>1st</w:t>
      </w:r>
      <w:r w:rsidRPr="009F51B3">
        <w:rPr>
          <w:sz w:val="24"/>
          <w:szCs w:val="24"/>
        </w:rPr>
        <w:t xml:space="preserve">) </w:t>
      </w:r>
    </w:p>
    <w:p w14:paraId="212AA08D" w14:textId="134B647E" w:rsidR="009F51B3" w:rsidRPr="009F51B3" w:rsidRDefault="009F51B3" w:rsidP="002B1862">
      <w:pPr>
        <w:rPr>
          <w:sz w:val="24"/>
          <w:szCs w:val="24"/>
        </w:rPr>
      </w:pPr>
      <w:r w:rsidRPr="009F51B3">
        <w:rPr>
          <w:sz w:val="24"/>
          <w:szCs w:val="24"/>
        </w:rPr>
        <w:lastRenderedPageBreak/>
        <w:t xml:space="preserve">Home Office (2017) </w:t>
      </w:r>
      <w:r w:rsidRPr="009F51B3">
        <w:rPr>
          <w:i/>
          <w:iCs/>
          <w:sz w:val="24"/>
          <w:szCs w:val="24"/>
        </w:rPr>
        <w:t>The Role of the Independent Sexual Violence Adviser: Essential Elements</w:t>
      </w:r>
      <w:r w:rsidRPr="009F51B3">
        <w:rPr>
          <w:sz w:val="24"/>
          <w:szCs w:val="24"/>
        </w:rPr>
        <w:t xml:space="preserve">, Available at </w:t>
      </w:r>
      <w:r w:rsidRPr="009F51B3">
        <w:rPr>
          <w:sz w:val="24"/>
          <w:szCs w:val="24"/>
        </w:rPr>
        <w:t>https://assets.publishing.service.gov.uk/media/5a823641ed</w:t>
      </w:r>
      <w:r>
        <w:rPr>
          <w:sz w:val="24"/>
          <w:szCs w:val="24"/>
        </w:rPr>
        <w:t xml:space="preserve"> </w:t>
      </w:r>
      <w:r w:rsidRPr="009F51B3">
        <w:rPr>
          <w:sz w:val="24"/>
          <w:szCs w:val="24"/>
        </w:rPr>
        <w:t>915d74e3402543/The_Role_of_the_Independent_Sexual_Violence_Adviser_-_Essential_Elements_September_2017_Final.pdf</w:t>
      </w:r>
      <w:r w:rsidRPr="009F51B3">
        <w:rPr>
          <w:sz w:val="24"/>
          <w:szCs w:val="24"/>
        </w:rPr>
        <w:t xml:space="preserve"> (Accessed October 21st)</w:t>
      </w:r>
    </w:p>
    <w:p w14:paraId="099A0EE9" w14:textId="77777777" w:rsidR="009F51B3" w:rsidRPr="009F51B3" w:rsidRDefault="009F51B3" w:rsidP="002B1862">
      <w:pPr>
        <w:rPr>
          <w:sz w:val="24"/>
          <w:szCs w:val="24"/>
        </w:rPr>
      </w:pPr>
    </w:p>
    <w:p w14:paraId="4564B7B3" w14:textId="067241D4" w:rsidR="009F51B3" w:rsidRPr="009F51B3" w:rsidRDefault="009F51B3" w:rsidP="002B1862">
      <w:pPr>
        <w:rPr>
          <w:sz w:val="24"/>
          <w:szCs w:val="24"/>
        </w:rPr>
      </w:pPr>
      <w:r w:rsidRPr="009F51B3">
        <w:rPr>
          <w:sz w:val="24"/>
          <w:szCs w:val="24"/>
        </w:rPr>
        <w:t xml:space="preserve">Information Commissioners Office (2011) </w:t>
      </w:r>
      <w:r w:rsidRPr="009F51B3">
        <w:rPr>
          <w:i/>
          <w:iCs/>
          <w:sz w:val="24"/>
          <w:szCs w:val="24"/>
        </w:rPr>
        <w:t>D</w:t>
      </w:r>
      <w:r w:rsidRPr="009F51B3">
        <w:rPr>
          <w:i/>
          <w:iCs/>
          <w:sz w:val="24"/>
          <w:szCs w:val="24"/>
        </w:rPr>
        <w:t>ata sharing code of practice</w:t>
      </w:r>
      <w:r w:rsidRPr="009F51B3">
        <w:rPr>
          <w:sz w:val="24"/>
          <w:szCs w:val="24"/>
        </w:rPr>
        <w:t xml:space="preserve">. Available at: </w:t>
      </w:r>
      <w:r w:rsidRPr="009F51B3">
        <w:rPr>
          <w:sz w:val="24"/>
          <w:szCs w:val="24"/>
        </w:rPr>
        <w:t>https://ico.org.uk/media/for-organisations/documents/1068/data_sharing_code_of_</w:t>
      </w:r>
      <w:r>
        <w:rPr>
          <w:sz w:val="24"/>
          <w:szCs w:val="24"/>
        </w:rPr>
        <w:t xml:space="preserve"> </w:t>
      </w:r>
      <w:r w:rsidRPr="009F51B3">
        <w:rPr>
          <w:sz w:val="24"/>
          <w:szCs w:val="24"/>
        </w:rPr>
        <w:t>practice.pdf</w:t>
      </w:r>
      <w:r w:rsidRPr="009F51B3">
        <w:rPr>
          <w:sz w:val="24"/>
          <w:szCs w:val="24"/>
        </w:rPr>
        <w:t xml:space="preserve"> (Accessed October 21st)</w:t>
      </w:r>
    </w:p>
    <w:p w14:paraId="4C8D85BB" w14:textId="77777777" w:rsidR="002B1862" w:rsidRPr="009F51B3" w:rsidRDefault="002B1862" w:rsidP="00EB7545">
      <w:pPr>
        <w:rPr>
          <w:sz w:val="24"/>
          <w:szCs w:val="24"/>
        </w:rPr>
      </w:pPr>
    </w:p>
    <w:p w14:paraId="2DD276D3" w14:textId="3921BB3A" w:rsidR="00EB7545" w:rsidRPr="009F51B3" w:rsidRDefault="00EB7545" w:rsidP="00EB7545">
      <w:pPr>
        <w:rPr>
          <w:sz w:val="24"/>
          <w:szCs w:val="24"/>
        </w:rPr>
      </w:pPr>
      <w:r w:rsidRPr="009F51B3">
        <w:rPr>
          <w:sz w:val="24"/>
          <w:szCs w:val="24"/>
        </w:rPr>
        <w:t>Lum, C. and Koper, C.S., 2024. Evidence-based policing. </w:t>
      </w:r>
      <w:r w:rsidRPr="009F51B3">
        <w:rPr>
          <w:i/>
          <w:iCs/>
          <w:sz w:val="24"/>
          <w:szCs w:val="24"/>
        </w:rPr>
        <w:t>The Oxford handbook of evidence-based crime and justice policy</w:t>
      </w:r>
      <w:r w:rsidRPr="009F51B3">
        <w:rPr>
          <w:sz w:val="24"/>
          <w:szCs w:val="24"/>
        </w:rPr>
        <w:t>, pp.245-264.</w:t>
      </w:r>
    </w:p>
    <w:p w14:paraId="1A491DC8" w14:textId="77777777" w:rsidR="00EB7545" w:rsidRPr="009F51B3" w:rsidRDefault="00EB7545" w:rsidP="00EB7545">
      <w:pPr>
        <w:rPr>
          <w:sz w:val="24"/>
          <w:szCs w:val="24"/>
        </w:rPr>
      </w:pPr>
    </w:p>
    <w:p w14:paraId="32D5E325" w14:textId="5AD78D00" w:rsidR="00EB7545" w:rsidRPr="009F51B3" w:rsidRDefault="00EB7545" w:rsidP="00EB7545">
      <w:pPr>
        <w:rPr>
          <w:sz w:val="24"/>
          <w:szCs w:val="24"/>
        </w:rPr>
      </w:pPr>
      <w:r w:rsidRPr="009F51B3">
        <w:rPr>
          <w:sz w:val="24"/>
          <w:szCs w:val="24"/>
        </w:rPr>
        <w:t>Lee, Y., Eck, J.E., O, S. and Martinez, N.N., 2017. How concentrated is crime at places? A systematic review from 1970 to 2015. </w:t>
      </w:r>
      <w:r w:rsidRPr="009F51B3">
        <w:rPr>
          <w:i/>
          <w:iCs/>
          <w:sz w:val="24"/>
          <w:szCs w:val="24"/>
        </w:rPr>
        <w:t>Crime Science</w:t>
      </w:r>
      <w:r w:rsidRPr="009F51B3">
        <w:rPr>
          <w:sz w:val="24"/>
          <w:szCs w:val="24"/>
        </w:rPr>
        <w:t>, </w:t>
      </w:r>
      <w:r w:rsidRPr="009F51B3">
        <w:rPr>
          <w:i/>
          <w:iCs/>
          <w:sz w:val="24"/>
          <w:szCs w:val="24"/>
        </w:rPr>
        <w:t>6</w:t>
      </w:r>
      <w:r w:rsidRPr="009F51B3">
        <w:rPr>
          <w:sz w:val="24"/>
          <w:szCs w:val="24"/>
        </w:rPr>
        <w:t>, pp.1-16</w:t>
      </w:r>
    </w:p>
    <w:p w14:paraId="5277D948" w14:textId="77777777" w:rsidR="00EB7545" w:rsidRPr="009F51B3" w:rsidRDefault="00EB7545" w:rsidP="00EB7545">
      <w:pPr>
        <w:rPr>
          <w:sz w:val="24"/>
          <w:szCs w:val="24"/>
        </w:rPr>
      </w:pPr>
      <w:r w:rsidRPr="009F51B3">
        <w:rPr>
          <w:sz w:val="24"/>
          <w:szCs w:val="24"/>
        </w:rPr>
        <w:t>Chalfin, A. and McCrary, J., 2017. Criminal deterrence: A review of the literature. </w:t>
      </w:r>
      <w:r w:rsidRPr="009F51B3">
        <w:rPr>
          <w:i/>
          <w:iCs/>
          <w:sz w:val="24"/>
          <w:szCs w:val="24"/>
        </w:rPr>
        <w:t>Journal of Economic Literature</w:t>
      </w:r>
      <w:r w:rsidRPr="009F51B3">
        <w:rPr>
          <w:sz w:val="24"/>
          <w:szCs w:val="24"/>
        </w:rPr>
        <w:t>, </w:t>
      </w:r>
      <w:r w:rsidRPr="009F51B3">
        <w:rPr>
          <w:i/>
          <w:iCs/>
          <w:sz w:val="24"/>
          <w:szCs w:val="24"/>
        </w:rPr>
        <w:t>55</w:t>
      </w:r>
      <w:r w:rsidRPr="009F51B3">
        <w:rPr>
          <w:sz w:val="24"/>
          <w:szCs w:val="24"/>
        </w:rPr>
        <w:t>(1), pp.5-48.</w:t>
      </w:r>
    </w:p>
    <w:p w14:paraId="43AA5B0B" w14:textId="77777777" w:rsidR="00EB7545" w:rsidRPr="009F51B3" w:rsidRDefault="00EB7545" w:rsidP="00EB7545">
      <w:pPr>
        <w:rPr>
          <w:sz w:val="24"/>
          <w:szCs w:val="24"/>
        </w:rPr>
      </w:pPr>
    </w:p>
    <w:p w14:paraId="619D3504" w14:textId="4398F6FE" w:rsidR="00EB7545" w:rsidRPr="009F51B3" w:rsidRDefault="00EB7545" w:rsidP="00EB7545">
      <w:pPr>
        <w:rPr>
          <w:sz w:val="24"/>
          <w:szCs w:val="24"/>
        </w:rPr>
      </w:pPr>
      <w:r w:rsidRPr="00EB7545">
        <w:rPr>
          <w:sz w:val="24"/>
          <w:szCs w:val="24"/>
        </w:rPr>
        <w:t>Macpherson, W. (1999), The Stephen Lawrence Inquiry, London: Home Office</w:t>
      </w:r>
    </w:p>
    <w:p w14:paraId="147983ED" w14:textId="77777777" w:rsidR="009143B5" w:rsidRPr="009F51B3" w:rsidRDefault="009143B5" w:rsidP="00EB7545">
      <w:pPr>
        <w:rPr>
          <w:sz w:val="24"/>
          <w:szCs w:val="24"/>
        </w:rPr>
      </w:pPr>
    </w:p>
    <w:p w14:paraId="2DFD6064" w14:textId="4B016205" w:rsidR="009143B5" w:rsidRPr="009F51B3" w:rsidRDefault="009143B5" w:rsidP="00EB7545">
      <w:pPr>
        <w:rPr>
          <w:sz w:val="24"/>
          <w:szCs w:val="24"/>
        </w:rPr>
      </w:pPr>
      <w:r w:rsidRPr="009F51B3">
        <w:rPr>
          <w:sz w:val="24"/>
          <w:szCs w:val="24"/>
        </w:rPr>
        <w:t>Martinez, N.N., Lee, Y. and Eck, J.E., 2017. How concentrated is crime among victims? A systematic review from 1977 to 2014. </w:t>
      </w:r>
      <w:r w:rsidRPr="009F51B3">
        <w:rPr>
          <w:i/>
          <w:iCs/>
          <w:sz w:val="24"/>
          <w:szCs w:val="24"/>
        </w:rPr>
        <w:t>Crime Science</w:t>
      </w:r>
      <w:r w:rsidRPr="009F51B3">
        <w:rPr>
          <w:sz w:val="24"/>
          <w:szCs w:val="24"/>
        </w:rPr>
        <w:t>, </w:t>
      </w:r>
      <w:r w:rsidRPr="009F51B3">
        <w:rPr>
          <w:i/>
          <w:iCs/>
          <w:sz w:val="24"/>
          <w:szCs w:val="24"/>
        </w:rPr>
        <w:t>6</w:t>
      </w:r>
      <w:r w:rsidRPr="009F51B3">
        <w:rPr>
          <w:sz w:val="24"/>
          <w:szCs w:val="24"/>
        </w:rPr>
        <w:t>(1), pp.1-16.</w:t>
      </w:r>
    </w:p>
    <w:p w14:paraId="1CE18987" w14:textId="77777777" w:rsidR="009143B5" w:rsidRPr="009F51B3" w:rsidRDefault="009143B5" w:rsidP="00EB7545">
      <w:pPr>
        <w:rPr>
          <w:sz w:val="24"/>
          <w:szCs w:val="24"/>
        </w:rPr>
      </w:pPr>
    </w:p>
    <w:p w14:paraId="45DA3D53" w14:textId="54A36EE1" w:rsidR="00EB7545" w:rsidRPr="009F51B3" w:rsidRDefault="00EB7545" w:rsidP="00EB7545">
      <w:pPr>
        <w:rPr>
          <w:sz w:val="24"/>
          <w:szCs w:val="24"/>
        </w:rPr>
      </w:pPr>
      <w:r w:rsidRPr="009F51B3">
        <w:rPr>
          <w:sz w:val="24"/>
          <w:szCs w:val="24"/>
        </w:rPr>
        <w:t xml:space="preserve">Maslen, H. and Paine, C., 2019. When should the police investigate cases of non-recent child sexual </w:t>
      </w:r>
      <w:proofErr w:type="gramStart"/>
      <w:r w:rsidRPr="009F51B3">
        <w:rPr>
          <w:sz w:val="24"/>
          <w:szCs w:val="24"/>
        </w:rPr>
        <w:t>abuse?.</w:t>
      </w:r>
      <w:proofErr w:type="gramEnd"/>
      <w:r w:rsidRPr="009F51B3">
        <w:rPr>
          <w:sz w:val="24"/>
          <w:szCs w:val="24"/>
        </w:rPr>
        <w:t> </w:t>
      </w:r>
      <w:r w:rsidRPr="009F51B3">
        <w:rPr>
          <w:i/>
          <w:iCs/>
          <w:sz w:val="24"/>
          <w:szCs w:val="24"/>
        </w:rPr>
        <w:t>Criminal justice ethics</w:t>
      </w:r>
      <w:r w:rsidRPr="009F51B3">
        <w:rPr>
          <w:sz w:val="24"/>
          <w:szCs w:val="24"/>
        </w:rPr>
        <w:t>, </w:t>
      </w:r>
      <w:r w:rsidRPr="009F51B3">
        <w:rPr>
          <w:i/>
          <w:iCs/>
          <w:sz w:val="24"/>
          <w:szCs w:val="24"/>
        </w:rPr>
        <w:t>38</w:t>
      </w:r>
      <w:r w:rsidRPr="009F51B3">
        <w:rPr>
          <w:sz w:val="24"/>
          <w:szCs w:val="24"/>
        </w:rPr>
        <w:t>(2), pp.65-102.</w:t>
      </w:r>
    </w:p>
    <w:p w14:paraId="4293053C" w14:textId="77777777" w:rsidR="009143B5" w:rsidRPr="009F51B3" w:rsidRDefault="009143B5" w:rsidP="00EB7545">
      <w:pPr>
        <w:rPr>
          <w:sz w:val="24"/>
          <w:szCs w:val="24"/>
        </w:rPr>
      </w:pPr>
    </w:p>
    <w:p w14:paraId="12AD2D5F" w14:textId="1365C714" w:rsidR="00F76576" w:rsidRPr="009F51B3" w:rsidRDefault="00F76576" w:rsidP="00EB7545">
      <w:pPr>
        <w:rPr>
          <w:sz w:val="24"/>
          <w:szCs w:val="24"/>
        </w:rPr>
      </w:pPr>
      <w:r w:rsidRPr="009F51B3">
        <w:rPr>
          <w:sz w:val="24"/>
          <w:szCs w:val="24"/>
        </w:rPr>
        <w:t>McGroarty, A. and Baxter, J.S., 2009. Interviewer behaviour, interviewee self-esteem and response change in simulated forensic interviews. </w:t>
      </w:r>
      <w:r w:rsidRPr="009F51B3">
        <w:rPr>
          <w:i/>
          <w:iCs/>
          <w:sz w:val="24"/>
          <w:szCs w:val="24"/>
        </w:rPr>
        <w:t>Personality and Individual Differences</w:t>
      </w:r>
      <w:r w:rsidRPr="009F51B3">
        <w:rPr>
          <w:sz w:val="24"/>
          <w:szCs w:val="24"/>
        </w:rPr>
        <w:t>, </w:t>
      </w:r>
      <w:r w:rsidRPr="009F51B3">
        <w:rPr>
          <w:i/>
          <w:iCs/>
          <w:sz w:val="24"/>
          <w:szCs w:val="24"/>
        </w:rPr>
        <w:t>47</w:t>
      </w:r>
      <w:r w:rsidRPr="009F51B3">
        <w:rPr>
          <w:sz w:val="24"/>
          <w:szCs w:val="24"/>
        </w:rPr>
        <w:t>(6), pp.642-646.</w:t>
      </w:r>
    </w:p>
    <w:p w14:paraId="47F434F0" w14:textId="77777777" w:rsidR="00F76576" w:rsidRPr="009F51B3" w:rsidRDefault="00F76576" w:rsidP="00EB7545">
      <w:pPr>
        <w:rPr>
          <w:sz w:val="24"/>
          <w:szCs w:val="24"/>
        </w:rPr>
      </w:pPr>
    </w:p>
    <w:p w14:paraId="4FDC801F" w14:textId="68541E68" w:rsidR="00F76576" w:rsidRPr="009F51B3" w:rsidRDefault="00F76576" w:rsidP="00EB7545">
      <w:pPr>
        <w:rPr>
          <w:sz w:val="24"/>
          <w:szCs w:val="24"/>
        </w:rPr>
      </w:pPr>
      <w:r w:rsidRPr="009F51B3">
        <w:rPr>
          <w:sz w:val="24"/>
          <w:szCs w:val="24"/>
        </w:rPr>
        <w:t xml:space="preserve">Ministry Of Justice (2022), </w:t>
      </w:r>
      <w:r w:rsidRPr="009F51B3">
        <w:rPr>
          <w:i/>
          <w:iCs/>
          <w:sz w:val="24"/>
          <w:szCs w:val="24"/>
        </w:rPr>
        <w:t>Achieving Best Evidence in Criminal Proceedings: Guidance on Interviewing Victims and Witnesses, and Guidance on Using Special Measures</w:t>
      </w:r>
      <w:r w:rsidRPr="009F51B3">
        <w:rPr>
          <w:i/>
          <w:iCs/>
          <w:sz w:val="24"/>
          <w:szCs w:val="24"/>
        </w:rPr>
        <w:t xml:space="preserve">. </w:t>
      </w:r>
      <w:r w:rsidRPr="009F51B3">
        <w:rPr>
          <w:sz w:val="24"/>
          <w:szCs w:val="24"/>
        </w:rPr>
        <w:t xml:space="preserve">Available at: </w:t>
      </w:r>
      <w:r w:rsidRPr="009F51B3">
        <w:rPr>
          <w:sz w:val="24"/>
          <w:szCs w:val="24"/>
        </w:rPr>
        <w:t>https://assets.publishing.service.gov.uk/media/6492e26c103ca6001303a331</w:t>
      </w:r>
      <w:r w:rsidR="009F51B3">
        <w:rPr>
          <w:sz w:val="24"/>
          <w:szCs w:val="24"/>
        </w:rPr>
        <w:t xml:space="preserve"> </w:t>
      </w:r>
      <w:r w:rsidRPr="009F51B3">
        <w:rPr>
          <w:sz w:val="24"/>
          <w:szCs w:val="24"/>
        </w:rPr>
        <w:t>/achieving-best-evidence-criminal-proceedings-2023.pdf</w:t>
      </w:r>
      <w:r w:rsidRPr="009F51B3">
        <w:rPr>
          <w:sz w:val="24"/>
          <w:szCs w:val="24"/>
        </w:rPr>
        <w:t xml:space="preserve"> (Accessed September 28th)</w:t>
      </w:r>
    </w:p>
    <w:p w14:paraId="66454597" w14:textId="77777777" w:rsidR="00EB7545" w:rsidRPr="009F51B3" w:rsidRDefault="00EB7545" w:rsidP="00EB7545">
      <w:pPr>
        <w:rPr>
          <w:sz w:val="24"/>
          <w:szCs w:val="24"/>
        </w:rPr>
      </w:pPr>
    </w:p>
    <w:p w14:paraId="6E50509A" w14:textId="1A31097A" w:rsidR="00EB7545" w:rsidRPr="009F51B3" w:rsidRDefault="00EB7545" w:rsidP="00EB7545">
      <w:pPr>
        <w:rPr>
          <w:sz w:val="24"/>
          <w:szCs w:val="24"/>
        </w:rPr>
      </w:pPr>
      <w:r w:rsidRPr="009F51B3">
        <w:rPr>
          <w:sz w:val="24"/>
          <w:szCs w:val="24"/>
        </w:rPr>
        <w:t>Nagin, D.S., 2013. Deterrence in the twenty-first century. </w:t>
      </w:r>
      <w:r w:rsidRPr="009F51B3">
        <w:rPr>
          <w:i/>
          <w:iCs/>
          <w:sz w:val="24"/>
          <w:szCs w:val="24"/>
        </w:rPr>
        <w:t>Crime and justice</w:t>
      </w:r>
      <w:r w:rsidRPr="009F51B3">
        <w:rPr>
          <w:sz w:val="24"/>
          <w:szCs w:val="24"/>
        </w:rPr>
        <w:t>, </w:t>
      </w:r>
      <w:r w:rsidRPr="009F51B3">
        <w:rPr>
          <w:i/>
          <w:iCs/>
          <w:sz w:val="24"/>
          <w:szCs w:val="24"/>
        </w:rPr>
        <w:t>42</w:t>
      </w:r>
      <w:r w:rsidRPr="009F51B3">
        <w:rPr>
          <w:sz w:val="24"/>
          <w:szCs w:val="24"/>
        </w:rPr>
        <w:t>(1), pp.199-263</w:t>
      </w:r>
    </w:p>
    <w:p w14:paraId="328DAF19" w14:textId="77777777" w:rsidR="00F76576" w:rsidRPr="009F51B3" w:rsidRDefault="00F76576" w:rsidP="00EB7545">
      <w:pPr>
        <w:rPr>
          <w:sz w:val="24"/>
          <w:szCs w:val="24"/>
        </w:rPr>
      </w:pPr>
    </w:p>
    <w:p w14:paraId="42195B57" w14:textId="08C10BB9" w:rsidR="00F76576" w:rsidRPr="009F51B3" w:rsidRDefault="00F76576" w:rsidP="00EB7545">
      <w:pPr>
        <w:rPr>
          <w:sz w:val="24"/>
          <w:szCs w:val="24"/>
        </w:rPr>
      </w:pPr>
      <w:r w:rsidRPr="009F51B3">
        <w:rPr>
          <w:sz w:val="24"/>
          <w:szCs w:val="24"/>
        </w:rPr>
        <w:t xml:space="preserve">National Police Chief’s Council (2023) </w:t>
      </w:r>
      <w:r w:rsidRPr="009F51B3">
        <w:rPr>
          <w:i/>
          <w:iCs/>
          <w:sz w:val="24"/>
          <w:szCs w:val="24"/>
        </w:rPr>
        <w:t>NPCC Voluntary Interview Guidance</w:t>
      </w:r>
      <w:r w:rsidRPr="009F51B3">
        <w:rPr>
          <w:i/>
          <w:iCs/>
          <w:sz w:val="24"/>
          <w:szCs w:val="24"/>
        </w:rPr>
        <w:t xml:space="preserve">. </w:t>
      </w:r>
      <w:r w:rsidRPr="009F51B3">
        <w:rPr>
          <w:sz w:val="24"/>
          <w:szCs w:val="24"/>
        </w:rPr>
        <w:t xml:space="preserve">Available at: </w:t>
      </w:r>
      <w:r w:rsidRPr="009F51B3">
        <w:rPr>
          <w:sz w:val="24"/>
          <w:szCs w:val="24"/>
        </w:rPr>
        <w:t>https://library.college.police.uk/docs/NPCC/Voluntary-interview-guidance-2024.pdf</w:t>
      </w:r>
      <w:r w:rsidRPr="009F51B3">
        <w:rPr>
          <w:sz w:val="24"/>
          <w:szCs w:val="24"/>
        </w:rPr>
        <w:t xml:space="preserve"> (Accessed September 28th)</w:t>
      </w:r>
    </w:p>
    <w:p w14:paraId="7B739CAA" w14:textId="77777777" w:rsidR="009F51B3" w:rsidRPr="009F51B3" w:rsidRDefault="009F51B3" w:rsidP="00EB7545">
      <w:pPr>
        <w:rPr>
          <w:sz w:val="24"/>
          <w:szCs w:val="24"/>
        </w:rPr>
      </w:pPr>
    </w:p>
    <w:p w14:paraId="56502B5D" w14:textId="72219A1A" w:rsidR="009F51B3" w:rsidRPr="009F51B3" w:rsidRDefault="009F51B3" w:rsidP="00EB7545">
      <w:pPr>
        <w:rPr>
          <w:sz w:val="24"/>
          <w:szCs w:val="24"/>
        </w:rPr>
      </w:pPr>
      <w:r w:rsidRPr="009F51B3">
        <w:rPr>
          <w:sz w:val="24"/>
          <w:szCs w:val="24"/>
        </w:rPr>
        <w:t>National Police Chief’s Council (202</w:t>
      </w:r>
      <w:r w:rsidRPr="009F51B3">
        <w:rPr>
          <w:sz w:val="24"/>
          <w:szCs w:val="24"/>
        </w:rPr>
        <w:t>4</w:t>
      </w:r>
      <w:r w:rsidRPr="009F51B3">
        <w:rPr>
          <w:sz w:val="24"/>
          <w:szCs w:val="24"/>
        </w:rPr>
        <w:t>)</w:t>
      </w:r>
      <w:r w:rsidRPr="009F51B3">
        <w:rPr>
          <w:sz w:val="24"/>
          <w:szCs w:val="24"/>
        </w:rPr>
        <w:t xml:space="preserve"> </w:t>
      </w:r>
      <w:r w:rsidRPr="009F51B3">
        <w:rPr>
          <w:i/>
          <w:iCs/>
          <w:sz w:val="24"/>
          <w:szCs w:val="24"/>
        </w:rPr>
        <w:t>Policing Vision 2025</w:t>
      </w:r>
      <w:r w:rsidRPr="009F51B3">
        <w:rPr>
          <w:sz w:val="24"/>
          <w:szCs w:val="24"/>
        </w:rPr>
        <w:t xml:space="preserve">. Available at: </w:t>
      </w:r>
      <w:r w:rsidRPr="009F51B3">
        <w:rPr>
          <w:sz w:val="24"/>
          <w:szCs w:val="24"/>
        </w:rPr>
        <w:t>https://assets.college.police.uk/s3fs-public/policing_vision_2025.pdf</w:t>
      </w:r>
      <w:r w:rsidRPr="009F51B3">
        <w:rPr>
          <w:sz w:val="24"/>
          <w:szCs w:val="24"/>
        </w:rPr>
        <w:t xml:space="preserve"> (Accessed October 21st)</w:t>
      </w:r>
    </w:p>
    <w:p w14:paraId="3AD66A1F" w14:textId="77777777" w:rsidR="009143B5" w:rsidRPr="009F51B3" w:rsidRDefault="009143B5" w:rsidP="00EB7545">
      <w:pPr>
        <w:rPr>
          <w:sz w:val="24"/>
          <w:szCs w:val="24"/>
        </w:rPr>
      </w:pPr>
    </w:p>
    <w:p w14:paraId="1C0109B8" w14:textId="0EE076BD" w:rsidR="009143B5" w:rsidRPr="009F51B3" w:rsidRDefault="009143B5" w:rsidP="00EB7545">
      <w:pPr>
        <w:rPr>
          <w:sz w:val="24"/>
          <w:szCs w:val="24"/>
        </w:rPr>
      </w:pPr>
      <w:r w:rsidRPr="009F51B3">
        <w:rPr>
          <w:sz w:val="24"/>
          <w:szCs w:val="24"/>
        </w:rPr>
        <w:t>NSPCC Learning (2020</w:t>
      </w:r>
      <w:r w:rsidRPr="009F51B3">
        <w:rPr>
          <w:i/>
          <w:iCs/>
          <w:sz w:val="24"/>
          <w:szCs w:val="24"/>
        </w:rPr>
        <w:t xml:space="preserve">) </w:t>
      </w:r>
      <w:r w:rsidRPr="009F51B3">
        <w:rPr>
          <w:i/>
          <w:iCs/>
          <w:sz w:val="24"/>
          <w:szCs w:val="24"/>
        </w:rPr>
        <w:t>How safe are our children? 2020</w:t>
      </w:r>
      <w:r w:rsidRPr="009F51B3">
        <w:rPr>
          <w:i/>
          <w:iCs/>
          <w:sz w:val="24"/>
          <w:szCs w:val="24"/>
        </w:rPr>
        <w:t>.</w:t>
      </w:r>
      <w:r w:rsidRPr="009F51B3">
        <w:rPr>
          <w:sz w:val="24"/>
          <w:szCs w:val="24"/>
        </w:rPr>
        <w:t xml:space="preserve"> Available at: </w:t>
      </w:r>
      <w:r w:rsidRPr="009F51B3">
        <w:rPr>
          <w:sz w:val="24"/>
          <w:szCs w:val="24"/>
        </w:rPr>
        <w:t>https://learning.nspcc.org.uk/media/2287/how-safe-are-our-children-2020.pdf</w:t>
      </w:r>
      <w:r w:rsidRPr="009F51B3">
        <w:rPr>
          <w:sz w:val="24"/>
          <w:szCs w:val="24"/>
        </w:rPr>
        <w:t xml:space="preserve"> (Access September 28th)</w:t>
      </w:r>
    </w:p>
    <w:p w14:paraId="772C02D7" w14:textId="77777777" w:rsidR="00EB7545" w:rsidRPr="009F51B3" w:rsidRDefault="00EB7545" w:rsidP="00EB7545">
      <w:pPr>
        <w:rPr>
          <w:sz w:val="24"/>
          <w:szCs w:val="24"/>
        </w:rPr>
      </w:pPr>
    </w:p>
    <w:p w14:paraId="53574575" w14:textId="5762E8C7" w:rsidR="004111C9" w:rsidRPr="009F51B3" w:rsidRDefault="004111C9" w:rsidP="00EB7545">
      <w:pPr>
        <w:rPr>
          <w:sz w:val="24"/>
          <w:szCs w:val="24"/>
        </w:rPr>
      </w:pPr>
      <w:r w:rsidRPr="009F51B3">
        <w:rPr>
          <w:sz w:val="24"/>
          <w:szCs w:val="24"/>
        </w:rPr>
        <w:lastRenderedPageBreak/>
        <w:t>Office of the Children’s Commissioner (2015) “If it’s not better, it’s not the end” − Inquiry into Child Sexual Exploitation in Gangs and Groups: One year on. London: Office of the Children’s Commissioner.</w:t>
      </w:r>
    </w:p>
    <w:p w14:paraId="021D8306" w14:textId="77777777" w:rsidR="009143B5" w:rsidRPr="009F51B3" w:rsidRDefault="009143B5" w:rsidP="00EB7545">
      <w:pPr>
        <w:rPr>
          <w:sz w:val="24"/>
          <w:szCs w:val="24"/>
        </w:rPr>
      </w:pPr>
    </w:p>
    <w:p w14:paraId="1FB65E00" w14:textId="1373E758" w:rsidR="009143B5" w:rsidRPr="009F51B3" w:rsidRDefault="009143B5" w:rsidP="009143B5">
      <w:pPr>
        <w:rPr>
          <w:sz w:val="24"/>
          <w:szCs w:val="24"/>
        </w:rPr>
      </w:pPr>
      <w:r w:rsidRPr="009F51B3">
        <w:rPr>
          <w:sz w:val="24"/>
          <w:szCs w:val="24"/>
        </w:rPr>
        <w:t xml:space="preserve">Office For National Statistics (2019) </w:t>
      </w:r>
      <w:r w:rsidRPr="009F51B3">
        <w:rPr>
          <w:i/>
          <w:iCs/>
          <w:sz w:val="24"/>
          <w:szCs w:val="24"/>
        </w:rPr>
        <w:t>Child sexual abuse in England and Wales: year ending March 2019</w:t>
      </w:r>
      <w:r w:rsidRPr="009F51B3">
        <w:rPr>
          <w:i/>
          <w:iCs/>
          <w:sz w:val="24"/>
          <w:szCs w:val="24"/>
        </w:rPr>
        <w:t xml:space="preserve">. </w:t>
      </w:r>
      <w:r w:rsidRPr="009F51B3">
        <w:rPr>
          <w:sz w:val="24"/>
          <w:szCs w:val="24"/>
        </w:rPr>
        <w:t xml:space="preserve">Available at: </w:t>
      </w:r>
      <w:r w:rsidRPr="009F51B3">
        <w:rPr>
          <w:sz w:val="24"/>
          <w:szCs w:val="24"/>
        </w:rPr>
        <w:t>https://www.ons.gov.uk/peoplepopulationandcommunity/crimeandjustice/articles/childsexualabuseinenglandandwales/yearendingmarch2019</w:t>
      </w:r>
      <w:r w:rsidRPr="009F51B3">
        <w:rPr>
          <w:sz w:val="24"/>
          <w:szCs w:val="24"/>
        </w:rPr>
        <w:t xml:space="preserve"> (Accessed October 10th) </w:t>
      </w:r>
    </w:p>
    <w:p w14:paraId="783307ED" w14:textId="77777777" w:rsidR="009F51B3" w:rsidRPr="009F51B3" w:rsidRDefault="009F51B3" w:rsidP="009143B5">
      <w:pPr>
        <w:rPr>
          <w:sz w:val="24"/>
          <w:szCs w:val="24"/>
        </w:rPr>
      </w:pPr>
    </w:p>
    <w:p w14:paraId="0AA98B06" w14:textId="646BA6BF" w:rsidR="009F51B3" w:rsidRPr="009F51B3" w:rsidRDefault="009F51B3" w:rsidP="009F51B3">
      <w:pPr>
        <w:rPr>
          <w:sz w:val="24"/>
          <w:szCs w:val="24"/>
        </w:rPr>
      </w:pPr>
      <w:r w:rsidRPr="009F51B3">
        <w:rPr>
          <w:sz w:val="24"/>
          <w:szCs w:val="24"/>
        </w:rPr>
        <w:t>Office For National Statistics</w:t>
      </w:r>
      <w:r w:rsidRPr="009F51B3">
        <w:rPr>
          <w:sz w:val="24"/>
          <w:szCs w:val="24"/>
        </w:rPr>
        <w:t xml:space="preserve"> (2020) </w:t>
      </w:r>
      <w:r w:rsidRPr="009F51B3">
        <w:rPr>
          <w:i/>
          <w:iCs/>
          <w:sz w:val="24"/>
          <w:szCs w:val="24"/>
        </w:rPr>
        <w:t>The nature of violent crime in England and Wales: Year ending March 2020</w:t>
      </w:r>
      <w:r w:rsidRPr="009F51B3">
        <w:rPr>
          <w:sz w:val="24"/>
          <w:szCs w:val="24"/>
        </w:rPr>
        <w:t xml:space="preserve">. Available at: </w:t>
      </w:r>
      <w:r w:rsidRPr="009F51B3">
        <w:rPr>
          <w:sz w:val="24"/>
          <w:szCs w:val="24"/>
        </w:rPr>
        <w:t>https://www.ons.gov.uk/peoplepopulationandcommunity/crimeandjustice/articles/thenatureofviolentcrimeinenglandandwales/yearendingmarch2020</w:t>
      </w:r>
      <w:r w:rsidRPr="009F51B3">
        <w:rPr>
          <w:sz w:val="24"/>
          <w:szCs w:val="24"/>
        </w:rPr>
        <w:t xml:space="preserve"> (Accessed October 21st)</w:t>
      </w:r>
    </w:p>
    <w:p w14:paraId="71C8AE88" w14:textId="25472B77" w:rsidR="009F51B3" w:rsidRPr="009F51B3" w:rsidRDefault="009F51B3" w:rsidP="009143B5">
      <w:pPr>
        <w:rPr>
          <w:sz w:val="24"/>
          <w:szCs w:val="24"/>
        </w:rPr>
      </w:pPr>
    </w:p>
    <w:p w14:paraId="3C9BA0EE" w14:textId="56106CF9" w:rsidR="00EB7545" w:rsidRPr="009F51B3" w:rsidRDefault="00EB7545" w:rsidP="00EB7545">
      <w:pPr>
        <w:rPr>
          <w:sz w:val="24"/>
          <w:szCs w:val="24"/>
        </w:rPr>
      </w:pPr>
      <w:r w:rsidRPr="009F51B3">
        <w:rPr>
          <w:sz w:val="24"/>
          <w:szCs w:val="24"/>
        </w:rPr>
        <w:t>Pepper, I., Rogers, C. and Martin, H., 2020. Evidence based policing: a view on its development within the police service. </w:t>
      </w:r>
      <w:r w:rsidRPr="009F51B3">
        <w:rPr>
          <w:i/>
          <w:iCs/>
          <w:sz w:val="24"/>
          <w:szCs w:val="24"/>
        </w:rPr>
        <w:t>Journal of Work-Applied Management</w:t>
      </w:r>
      <w:r w:rsidRPr="009F51B3">
        <w:rPr>
          <w:sz w:val="24"/>
          <w:szCs w:val="24"/>
        </w:rPr>
        <w:t>, </w:t>
      </w:r>
      <w:r w:rsidRPr="009F51B3">
        <w:rPr>
          <w:i/>
          <w:iCs/>
          <w:sz w:val="24"/>
          <w:szCs w:val="24"/>
        </w:rPr>
        <w:t>12</w:t>
      </w:r>
      <w:r w:rsidRPr="009F51B3">
        <w:rPr>
          <w:sz w:val="24"/>
          <w:szCs w:val="24"/>
        </w:rPr>
        <w:t>(1), pp.91-96</w:t>
      </w:r>
    </w:p>
    <w:p w14:paraId="63F1004F" w14:textId="77777777" w:rsidR="0073442E" w:rsidRPr="009F51B3" w:rsidRDefault="0073442E" w:rsidP="00EB7545">
      <w:pPr>
        <w:rPr>
          <w:sz w:val="24"/>
          <w:szCs w:val="24"/>
        </w:rPr>
      </w:pPr>
    </w:p>
    <w:p w14:paraId="06F03C14" w14:textId="1A9544ED" w:rsidR="0073442E" w:rsidRPr="009F51B3" w:rsidRDefault="0073442E" w:rsidP="00EB7545">
      <w:pPr>
        <w:rPr>
          <w:sz w:val="24"/>
          <w:szCs w:val="24"/>
        </w:rPr>
      </w:pPr>
      <w:r w:rsidRPr="009F51B3">
        <w:rPr>
          <w:i/>
          <w:iCs/>
          <w:sz w:val="24"/>
          <w:szCs w:val="24"/>
        </w:rPr>
        <w:t>Police and Criminal Evidence Act</w:t>
      </w:r>
      <w:r w:rsidR="002B1862" w:rsidRPr="009F51B3">
        <w:rPr>
          <w:i/>
          <w:iCs/>
          <w:sz w:val="24"/>
          <w:szCs w:val="24"/>
        </w:rPr>
        <w:t xml:space="preserve"> </w:t>
      </w:r>
      <w:r w:rsidRPr="009F51B3">
        <w:rPr>
          <w:i/>
          <w:iCs/>
          <w:sz w:val="24"/>
          <w:szCs w:val="24"/>
        </w:rPr>
        <w:t xml:space="preserve">1984, </w:t>
      </w:r>
      <w:r w:rsidRPr="009F51B3">
        <w:rPr>
          <w:sz w:val="24"/>
          <w:szCs w:val="24"/>
        </w:rPr>
        <w:t xml:space="preserve">S.24. Available at: </w:t>
      </w:r>
      <w:r w:rsidRPr="009F51B3">
        <w:rPr>
          <w:sz w:val="24"/>
          <w:szCs w:val="24"/>
        </w:rPr>
        <w:t>https://www.legislation.gov.uk/ukpga</w:t>
      </w:r>
      <w:r w:rsidRPr="009F51B3">
        <w:rPr>
          <w:sz w:val="24"/>
          <w:szCs w:val="24"/>
        </w:rPr>
        <w:t xml:space="preserve"> </w:t>
      </w:r>
      <w:r w:rsidRPr="009F51B3">
        <w:rPr>
          <w:sz w:val="24"/>
          <w:szCs w:val="24"/>
        </w:rPr>
        <w:t xml:space="preserve">/1984/60/section/24 </w:t>
      </w:r>
      <w:r w:rsidRPr="009F51B3">
        <w:rPr>
          <w:sz w:val="24"/>
          <w:szCs w:val="24"/>
        </w:rPr>
        <w:t>(Accessed 4th October)</w:t>
      </w:r>
    </w:p>
    <w:p w14:paraId="0CFEB98F" w14:textId="77777777" w:rsidR="0073442E" w:rsidRPr="009F51B3" w:rsidRDefault="0073442E" w:rsidP="00EB7545">
      <w:pPr>
        <w:rPr>
          <w:sz w:val="24"/>
          <w:szCs w:val="24"/>
        </w:rPr>
      </w:pPr>
    </w:p>
    <w:p w14:paraId="53226C91" w14:textId="10E333CE" w:rsidR="0073442E" w:rsidRPr="009F51B3" w:rsidRDefault="0073442E" w:rsidP="00EB7545">
      <w:pPr>
        <w:rPr>
          <w:sz w:val="24"/>
          <w:szCs w:val="24"/>
        </w:rPr>
      </w:pPr>
      <w:r w:rsidRPr="009F51B3">
        <w:rPr>
          <w:i/>
          <w:iCs/>
          <w:sz w:val="24"/>
          <w:szCs w:val="24"/>
        </w:rPr>
        <w:t>Police and Criminal Evidence Act 1984</w:t>
      </w:r>
      <w:r w:rsidRPr="009F51B3">
        <w:rPr>
          <w:sz w:val="24"/>
          <w:szCs w:val="24"/>
        </w:rPr>
        <w:t>, S</w:t>
      </w:r>
      <w:r w:rsidRPr="009F51B3">
        <w:rPr>
          <w:sz w:val="24"/>
          <w:szCs w:val="24"/>
        </w:rPr>
        <w:t xml:space="preserve">32. Available at </w:t>
      </w:r>
      <w:r w:rsidRPr="009F51B3">
        <w:rPr>
          <w:sz w:val="24"/>
          <w:szCs w:val="24"/>
        </w:rPr>
        <w:t>https://www.legislation.gov.uk/ukpga</w:t>
      </w:r>
      <w:r w:rsidRPr="009F51B3">
        <w:rPr>
          <w:sz w:val="24"/>
          <w:szCs w:val="24"/>
        </w:rPr>
        <w:t xml:space="preserve"> </w:t>
      </w:r>
      <w:r w:rsidRPr="009F51B3">
        <w:rPr>
          <w:sz w:val="24"/>
          <w:szCs w:val="24"/>
        </w:rPr>
        <w:t>/1984/60/section/32</w:t>
      </w:r>
      <w:r w:rsidRPr="009F51B3">
        <w:rPr>
          <w:sz w:val="24"/>
          <w:szCs w:val="24"/>
        </w:rPr>
        <w:t xml:space="preserve"> </w:t>
      </w:r>
      <w:r w:rsidRPr="009F51B3">
        <w:rPr>
          <w:sz w:val="24"/>
          <w:szCs w:val="24"/>
        </w:rPr>
        <w:t>(Accessed 4th October)</w:t>
      </w:r>
    </w:p>
    <w:p w14:paraId="6672682A" w14:textId="77777777" w:rsidR="0073442E" w:rsidRPr="009F51B3" w:rsidRDefault="0073442E" w:rsidP="00EB7545">
      <w:pPr>
        <w:rPr>
          <w:sz w:val="24"/>
          <w:szCs w:val="24"/>
        </w:rPr>
      </w:pPr>
    </w:p>
    <w:p w14:paraId="47696664" w14:textId="7AAEB891" w:rsidR="0073442E" w:rsidRPr="009F51B3" w:rsidRDefault="0073442E" w:rsidP="00EB7545">
      <w:pPr>
        <w:rPr>
          <w:sz w:val="24"/>
          <w:szCs w:val="24"/>
        </w:rPr>
      </w:pPr>
      <w:r w:rsidRPr="009F51B3">
        <w:rPr>
          <w:i/>
          <w:iCs/>
          <w:sz w:val="24"/>
          <w:szCs w:val="24"/>
        </w:rPr>
        <w:t>Police and Criminal Evidence Act 1</w:t>
      </w:r>
      <w:r w:rsidRPr="009F51B3">
        <w:rPr>
          <w:i/>
          <w:iCs/>
          <w:sz w:val="24"/>
          <w:szCs w:val="24"/>
        </w:rPr>
        <w:t>984</w:t>
      </w:r>
      <w:r w:rsidRPr="009F51B3">
        <w:rPr>
          <w:sz w:val="24"/>
          <w:szCs w:val="24"/>
        </w:rPr>
        <w:t xml:space="preserve">, S18. Available at </w:t>
      </w:r>
      <w:r w:rsidRPr="009F51B3">
        <w:rPr>
          <w:sz w:val="24"/>
          <w:szCs w:val="24"/>
        </w:rPr>
        <w:t>https://www.legislation.gov.uk/ukpga/1984/</w:t>
      </w:r>
      <w:r w:rsidRPr="009F51B3">
        <w:rPr>
          <w:sz w:val="24"/>
          <w:szCs w:val="24"/>
        </w:rPr>
        <w:t xml:space="preserve"> </w:t>
      </w:r>
      <w:r w:rsidRPr="009F51B3">
        <w:rPr>
          <w:sz w:val="24"/>
          <w:szCs w:val="24"/>
        </w:rPr>
        <w:t>60/section/18</w:t>
      </w:r>
      <w:r w:rsidR="002B1862" w:rsidRPr="009F51B3">
        <w:rPr>
          <w:sz w:val="24"/>
          <w:szCs w:val="24"/>
        </w:rPr>
        <w:t xml:space="preserve"> </w:t>
      </w:r>
      <w:r w:rsidR="002B1862" w:rsidRPr="009F51B3">
        <w:rPr>
          <w:sz w:val="24"/>
          <w:szCs w:val="24"/>
        </w:rPr>
        <w:t>(Accessed 4th October)</w:t>
      </w:r>
    </w:p>
    <w:p w14:paraId="70DE94BB" w14:textId="77777777" w:rsidR="0073442E" w:rsidRPr="009F51B3" w:rsidRDefault="0073442E" w:rsidP="00EB7545">
      <w:pPr>
        <w:rPr>
          <w:sz w:val="24"/>
          <w:szCs w:val="24"/>
        </w:rPr>
      </w:pPr>
    </w:p>
    <w:p w14:paraId="23A9AA47" w14:textId="6D0D4F67" w:rsidR="00EB7545" w:rsidRPr="009F51B3" w:rsidRDefault="00EB7545" w:rsidP="00EB7545">
      <w:pPr>
        <w:rPr>
          <w:sz w:val="24"/>
          <w:szCs w:val="24"/>
        </w:rPr>
      </w:pPr>
      <w:r w:rsidRPr="009F51B3">
        <w:rPr>
          <w:sz w:val="24"/>
          <w:szCs w:val="24"/>
        </w:rPr>
        <w:t>Robinson, A.L., 2006. Reducing repeat victimization among high-risk victims of domestic violence: The benefits of a coordinated community response in Cardiff, Wales. </w:t>
      </w:r>
      <w:r w:rsidRPr="009F51B3">
        <w:rPr>
          <w:i/>
          <w:iCs/>
          <w:sz w:val="24"/>
          <w:szCs w:val="24"/>
        </w:rPr>
        <w:t>Violence against women</w:t>
      </w:r>
      <w:r w:rsidRPr="009F51B3">
        <w:rPr>
          <w:sz w:val="24"/>
          <w:szCs w:val="24"/>
        </w:rPr>
        <w:t>, </w:t>
      </w:r>
      <w:r w:rsidRPr="009F51B3">
        <w:rPr>
          <w:i/>
          <w:iCs/>
          <w:sz w:val="24"/>
          <w:szCs w:val="24"/>
        </w:rPr>
        <w:t>12</w:t>
      </w:r>
      <w:r w:rsidRPr="009F51B3">
        <w:rPr>
          <w:sz w:val="24"/>
          <w:szCs w:val="24"/>
        </w:rPr>
        <w:t>(8), pp.761-788.</w:t>
      </w:r>
    </w:p>
    <w:p w14:paraId="3DAA8D19" w14:textId="77777777" w:rsidR="00EB7545" w:rsidRPr="009F51B3" w:rsidRDefault="00EB7545" w:rsidP="00EB7545">
      <w:pPr>
        <w:rPr>
          <w:sz w:val="24"/>
          <w:szCs w:val="24"/>
        </w:rPr>
      </w:pPr>
    </w:p>
    <w:p w14:paraId="0DFABE41" w14:textId="6ABC9D61" w:rsidR="00F76576" w:rsidRPr="009F51B3" w:rsidRDefault="00F76576" w:rsidP="00EB7545">
      <w:pPr>
        <w:rPr>
          <w:sz w:val="24"/>
          <w:szCs w:val="24"/>
        </w:rPr>
      </w:pPr>
      <w:r w:rsidRPr="009F51B3">
        <w:rPr>
          <w:sz w:val="24"/>
          <w:szCs w:val="24"/>
        </w:rPr>
        <w:t>Saywitz, K.J., Larson, R.P., Hobbs, S.D. and Wells, C.R., 2015. Developing rapport with children in forensic interviews: Systematic review of experimental research. </w:t>
      </w:r>
      <w:proofErr w:type="spellStart"/>
      <w:r w:rsidRPr="009F51B3">
        <w:rPr>
          <w:i/>
          <w:iCs/>
          <w:sz w:val="24"/>
          <w:szCs w:val="24"/>
        </w:rPr>
        <w:t>Behavioral</w:t>
      </w:r>
      <w:proofErr w:type="spellEnd"/>
      <w:r w:rsidRPr="009F51B3">
        <w:rPr>
          <w:i/>
          <w:iCs/>
          <w:sz w:val="24"/>
          <w:szCs w:val="24"/>
        </w:rPr>
        <w:t xml:space="preserve"> sciences &amp; the law</w:t>
      </w:r>
      <w:r w:rsidRPr="009F51B3">
        <w:rPr>
          <w:sz w:val="24"/>
          <w:szCs w:val="24"/>
        </w:rPr>
        <w:t>, </w:t>
      </w:r>
      <w:r w:rsidRPr="009F51B3">
        <w:rPr>
          <w:i/>
          <w:iCs/>
          <w:sz w:val="24"/>
          <w:szCs w:val="24"/>
        </w:rPr>
        <w:t>33</w:t>
      </w:r>
      <w:r w:rsidRPr="009F51B3">
        <w:rPr>
          <w:sz w:val="24"/>
          <w:szCs w:val="24"/>
        </w:rPr>
        <w:t>(4), pp.372-389.</w:t>
      </w:r>
    </w:p>
    <w:p w14:paraId="21F73576" w14:textId="77777777" w:rsidR="00F76576" w:rsidRPr="009F51B3" w:rsidRDefault="00F76576" w:rsidP="00EB7545">
      <w:pPr>
        <w:rPr>
          <w:sz w:val="24"/>
          <w:szCs w:val="24"/>
        </w:rPr>
      </w:pPr>
    </w:p>
    <w:p w14:paraId="7C7BAB0C" w14:textId="67617CA2" w:rsidR="00EB7545" w:rsidRPr="009F51B3" w:rsidRDefault="00EB7545" w:rsidP="00EB7545">
      <w:pPr>
        <w:rPr>
          <w:sz w:val="24"/>
          <w:szCs w:val="24"/>
        </w:rPr>
      </w:pPr>
      <w:r w:rsidRPr="00EB7545">
        <w:rPr>
          <w:sz w:val="24"/>
          <w:szCs w:val="24"/>
        </w:rPr>
        <w:t>Scarman, Lord J. (1981), The Brixton Disorders, 10–12th April (1981), London: HMSO</w:t>
      </w:r>
    </w:p>
    <w:p w14:paraId="131EAB82" w14:textId="77777777" w:rsidR="004111C9" w:rsidRPr="009F51B3" w:rsidRDefault="004111C9" w:rsidP="00EB7545">
      <w:pPr>
        <w:rPr>
          <w:sz w:val="24"/>
          <w:szCs w:val="24"/>
        </w:rPr>
      </w:pPr>
    </w:p>
    <w:p w14:paraId="790B438B" w14:textId="6F2357D2" w:rsidR="004111C9" w:rsidRDefault="004111C9" w:rsidP="00EB7545">
      <w:pPr>
        <w:rPr>
          <w:sz w:val="24"/>
          <w:szCs w:val="24"/>
        </w:rPr>
      </w:pPr>
      <w:r w:rsidRPr="009F51B3">
        <w:rPr>
          <w:i/>
          <w:iCs/>
          <w:sz w:val="24"/>
          <w:szCs w:val="24"/>
        </w:rPr>
        <w:t xml:space="preserve">Sexual Offences Act 2003. </w:t>
      </w:r>
      <w:r w:rsidRPr="009F51B3">
        <w:rPr>
          <w:sz w:val="24"/>
          <w:szCs w:val="24"/>
        </w:rPr>
        <w:t>Available at</w:t>
      </w:r>
      <w:r w:rsidRPr="009F51B3">
        <w:rPr>
          <w:sz w:val="24"/>
          <w:szCs w:val="24"/>
        </w:rPr>
        <w:t>https://www.legislation.gov.uk/ukpga/2003/42/part/1/</w:t>
      </w:r>
      <w:r w:rsidRPr="009F51B3">
        <w:rPr>
          <w:sz w:val="24"/>
          <w:szCs w:val="24"/>
        </w:rPr>
        <w:t xml:space="preserve"> </w:t>
      </w:r>
      <w:r w:rsidRPr="009F51B3">
        <w:rPr>
          <w:sz w:val="24"/>
          <w:szCs w:val="24"/>
        </w:rPr>
        <w:t>crossheading/rape-and-other-offences-against-children-under-13/made</w:t>
      </w:r>
      <w:r w:rsidRPr="009F51B3">
        <w:rPr>
          <w:sz w:val="24"/>
          <w:szCs w:val="24"/>
        </w:rPr>
        <w:t xml:space="preserve"> </w:t>
      </w:r>
    </w:p>
    <w:p w14:paraId="14B66EAF" w14:textId="77777777" w:rsidR="00324E9B" w:rsidRDefault="00324E9B" w:rsidP="00EB7545">
      <w:pPr>
        <w:rPr>
          <w:sz w:val="24"/>
          <w:szCs w:val="24"/>
        </w:rPr>
      </w:pPr>
    </w:p>
    <w:p w14:paraId="0CBA591B" w14:textId="1D4D12C2" w:rsidR="00324E9B" w:rsidRPr="00324E9B" w:rsidRDefault="00324E9B" w:rsidP="00324E9B">
      <w:pPr>
        <w:rPr>
          <w:b/>
          <w:bCs/>
          <w:sz w:val="24"/>
          <w:szCs w:val="24"/>
        </w:rPr>
      </w:pPr>
      <w:proofErr w:type="spellStart"/>
      <w:r>
        <w:rPr>
          <w:sz w:val="24"/>
          <w:szCs w:val="24"/>
        </w:rPr>
        <w:t>Standley</w:t>
      </w:r>
      <w:proofErr w:type="spellEnd"/>
      <w:r>
        <w:rPr>
          <w:sz w:val="24"/>
          <w:szCs w:val="24"/>
        </w:rPr>
        <w:t xml:space="preserve">, J. (2019), </w:t>
      </w:r>
      <w:r w:rsidRPr="00324E9B">
        <w:rPr>
          <w:i/>
          <w:iCs/>
          <w:sz w:val="24"/>
          <w:szCs w:val="24"/>
        </w:rPr>
        <w:t>Victims’ Code of Conduct Review</w:t>
      </w:r>
      <w:r>
        <w:rPr>
          <w:i/>
          <w:iCs/>
          <w:sz w:val="24"/>
          <w:szCs w:val="24"/>
        </w:rPr>
        <w:t xml:space="preserve">. </w:t>
      </w:r>
      <w:r>
        <w:rPr>
          <w:sz w:val="24"/>
          <w:szCs w:val="24"/>
        </w:rPr>
        <w:t xml:space="preserve">Available at: </w:t>
      </w:r>
      <w:r w:rsidRPr="00324E9B">
        <w:rPr>
          <w:sz w:val="24"/>
          <w:szCs w:val="24"/>
        </w:rPr>
        <w:t>https://www.boltburdonkemp.co.uk/our-insights/posts/victims-code-of-conduct-review/</w:t>
      </w:r>
      <w:r>
        <w:rPr>
          <w:sz w:val="24"/>
          <w:szCs w:val="24"/>
        </w:rPr>
        <w:t xml:space="preserve"> (Accessed October 17</w:t>
      </w:r>
      <w:r w:rsidRPr="00324E9B">
        <w:rPr>
          <w:sz w:val="24"/>
          <w:szCs w:val="24"/>
          <w:vertAlign w:val="superscript"/>
        </w:rPr>
        <w:t>th</w:t>
      </w:r>
      <w:r>
        <w:rPr>
          <w:sz w:val="24"/>
          <w:szCs w:val="24"/>
        </w:rPr>
        <w:t>)</w:t>
      </w:r>
    </w:p>
    <w:p w14:paraId="426ECB6E" w14:textId="63F92657" w:rsidR="00324E9B" w:rsidRPr="009F51B3" w:rsidRDefault="00324E9B" w:rsidP="00EB7545">
      <w:pPr>
        <w:rPr>
          <w:sz w:val="24"/>
          <w:szCs w:val="24"/>
        </w:rPr>
      </w:pPr>
    </w:p>
    <w:p w14:paraId="4DF3A8F9" w14:textId="3C88923E" w:rsidR="000662E3" w:rsidRDefault="000662E3" w:rsidP="00EB7545">
      <w:pPr>
        <w:rPr>
          <w:sz w:val="24"/>
          <w:szCs w:val="24"/>
        </w:rPr>
      </w:pPr>
      <w:r w:rsidRPr="009F51B3">
        <w:rPr>
          <w:sz w:val="24"/>
          <w:szCs w:val="24"/>
        </w:rPr>
        <w:t xml:space="preserve">Victim Support (2011) </w:t>
      </w:r>
      <w:r w:rsidRPr="009F51B3">
        <w:rPr>
          <w:i/>
          <w:iCs/>
          <w:sz w:val="24"/>
          <w:szCs w:val="24"/>
        </w:rPr>
        <w:t>Left in the dark Why victims of crime need to be kept informed</w:t>
      </w:r>
      <w:r w:rsidRPr="009F51B3">
        <w:rPr>
          <w:i/>
          <w:iCs/>
          <w:sz w:val="24"/>
          <w:szCs w:val="24"/>
        </w:rPr>
        <w:t>.</w:t>
      </w:r>
      <w:r w:rsidRPr="009F51B3">
        <w:rPr>
          <w:sz w:val="24"/>
          <w:szCs w:val="24"/>
        </w:rPr>
        <w:t xml:space="preserve"> Available at: </w:t>
      </w:r>
      <w:r w:rsidR="00196FCF" w:rsidRPr="00196FCF">
        <w:rPr>
          <w:sz w:val="24"/>
          <w:szCs w:val="24"/>
        </w:rPr>
        <w:t>https://www.victimsupport.org.uk/wp-content/uploads/documents/files/Left%20in%20the%20dark%20-</w:t>
      </w:r>
      <w:r w:rsidR="00196FCF" w:rsidRPr="00196FCF">
        <w:rPr>
          <w:sz w:val="24"/>
          <w:szCs w:val="24"/>
        </w:rPr>
        <w:lastRenderedPageBreak/>
        <w:t>%20why%20victims%20of%20crime%20need%20to%20be%20kept%20informed.pdf</w:t>
      </w:r>
      <w:r w:rsidRPr="009F51B3">
        <w:rPr>
          <w:sz w:val="24"/>
          <w:szCs w:val="24"/>
        </w:rPr>
        <w:t xml:space="preserve"> </w:t>
      </w:r>
    </w:p>
    <w:p w14:paraId="213CE077" w14:textId="77777777" w:rsidR="00196FCF" w:rsidRDefault="00196FCF" w:rsidP="00EB7545">
      <w:pPr>
        <w:rPr>
          <w:sz w:val="24"/>
          <w:szCs w:val="24"/>
        </w:rPr>
      </w:pPr>
    </w:p>
    <w:p w14:paraId="51F48EC9" w14:textId="4BB1621B" w:rsidR="00196FCF" w:rsidRPr="009F51B3" w:rsidRDefault="00196FCF" w:rsidP="00EB7545">
      <w:pPr>
        <w:rPr>
          <w:sz w:val="24"/>
          <w:szCs w:val="24"/>
        </w:rPr>
      </w:pPr>
      <w:proofErr w:type="spellStart"/>
      <w:r w:rsidRPr="00196FCF">
        <w:rPr>
          <w:sz w:val="24"/>
          <w:szCs w:val="24"/>
        </w:rPr>
        <w:t>Villettaz</w:t>
      </w:r>
      <w:proofErr w:type="spellEnd"/>
      <w:r w:rsidRPr="00196FCF">
        <w:rPr>
          <w:sz w:val="24"/>
          <w:szCs w:val="24"/>
        </w:rPr>
        <w:t xml:space="preserve">, P., </w:t>
      </w:r>
      <w:proofErr w:type="spellStart"/>
      <w:r w:rsidRPr="00196FCF">
        <w:rPr>
          <w:sz w:val="24"/>
          <w:szCs w:val="24"/>
        </w:rPr>
        <w:t>Gillieron</w:t>
      </w:r>
      <w:proofErr w:type="spellEnd"/>
      <w:r w:rsidRPr="00196FCF">
        <w:rPr>
          <w:sz w:val="24"/>
          <w:szCs w:val="24"/>
        </w:rPr>
        <w:t xml:space="preserve">, G. and </w:t>
      </w:r>
      <w:proofErr w:type="spellStart"/>
      <w:r w:rsidRPr="00196FCF">
        <w:rPr>
          <w:sz w:val="24"/>
          <w:szCs w:val="24"/>
        </w:rPr>
        <w:t>Killias</w:t>
      </w:r>
      <w:proofErr w:type="spellEnd"/>
      <w:r w:rsidRPr="00196FCF">
        <w:rPr>
          <w:sz w:val="24"/>
          <w:szCs w:val="24"/>
        </w:rPr>
        <w:t>, M., 2015. The effects on re</w:t>
      </w:r>
      <w:r w:rsidRPr="00196FCF">
        <w:rPr>
          <w:rFonts w:ascii="Cambria Math" w:hAnsi="Cambria Math" w:cs="Cambria Math"/>
          <w:sz w:val="24"/>
          <w:szCs w:val="24"/>
        </w:rPr>
        <w:t>‐</w:t>
      </w:r>
      <w:r w:rsidRPr="00196FCF">
        <w:rPr>
          <w:sz w:val="24"/>
          <w:szCs w:val="24"/>
        </w:rPr>
        <w:t>offending of custodial vs. non</w:t>
      </w:r>
      <w:r w:rsidRPr="00196FCF">
        <w:rPr>
          <w:rFonts w:ascii="Cambria Math" w:hAnsi="Cambria Math" w:cs="Cambria Math"/>
          <w:sz w:val="24"/>
          <w:szCs w:val="24"/>
        </w:rPr>
        <w:t>‐</w:t>
      </w:r>
      <w:r w:rsidRPr="00196FCF">
        <w:rPr>
          <w:sz w:val="24"/>
          <w:szCs w:val="24"/>
        </w:rPr>
        <w:t>custodial sanctions: An updated systematic review of the state of knowledge. </w:t>
      </w:r>
      <w:r w:rsidRPr="00196FCF">
        <w:rPr>
          <w:i/>
          <w:iCs/>
          <w:sz w:val="24"/>
          <w:szCs w:val="24"/>
        </w:rPr>
        <w:t>Campbell Systematic Reviews</w:t>
      </w:r>
      <w:r w:rsidRPr="00196FCF">
        <w:rPr>
          <w:sz w:val="24"/>
          <w:szCs w:val="24"/>
        </w:rPr>
        <w:t>, </w:t>
      </w:r>
      <w:r w:rsidRPr="00196FCF">
        <w:rPr>
          <w:i/>
          <w:iCs/>
          <w:sz w:val="24"/>
          <w:szCs w:val="24"/>
        </w:rPr>
        <w:t>11</w:t>
      </w:r>
      <w:r w:rsidRPr="00196FCF">
        <w:rPr>
          <w:sz w:val="24"/>
          <w:szCs w:val="24"/>
        </w:rPr>
        <w:t>(1), pp.1-92.</w:t>
      </w:r>
    </w:p>
    <w:p w14:paraId="19845AE6" w14:textId="77777777" w:rsidR="00F76576" w:rsidRPr="009F51B3" w:rsidRDefault="00F76576" w:rsidP="00EB7545">
      <w:pPr>
        <w:rPr>
          <w:sz w:val="24"/>
          <w:szCs w:val="24"/>
        </w:rPr>
      </w:pPr>
    </w:p>
    <w:p w14:paraId="6402EA24" w14:textId="2439495E" w:rsidR="00F76576" w:rsidRPr="00EB7545" w:rsidRDefault="00F76576" w:rsidP="00EB7545">
      <w:pPr>
        <w:rPr>
          <w:sz w:val="24"/>
          <w:szCs w:val="24"/>
        </w:rPr>
      </w:pPr>
      <w:r w:rsidRPr="009F51B3">
        <w:rPr>
          <w:i/>
          <w:iCs/>
          <w:sz w:val="24"/>
          <w:szCs w:val="24"/>
        </w:rPr>
        <w:t xml:space="preserve">Youth Justice and Criminal Evidence Act 1999, </w:t>
      </w:r>
      <w:r w:rsidRPr="009F51B3">
        <w:rPr>
          <w:sz w:val="24"/>
          <w:szCs w:val="24"/>
        </w:rPr>
        <w:t xml:space="preserve">Available at: </w:t>
      </w:r>
      <w:r w:rsidRPr="009F51B3">
        <w:rPr>
          <w:sz w:val="24"/>
          <w:szCs w:val="24"/>
        </w:rPr>
        <w:t>https://www.legislation.gov.uk/</w:t>
      </w:r>
      <w:r w:rsidRPr="009F51B3">
        <w:rPr>
          <w:sz w:val="24"/>
          <w:szCs w:val="24"/>
        </w:rPr>
        <w:t xml:space="preserve"> </w:t>
      </w:r>
      <w:proofErr w:type="spellStart"/>
      <w:r w:rsidRPr="009F51B3">
        <w:rPr>
          <w:sz w:val="24"/>
          <w:szCs w:val="24"/>
        </w:rPr>
        <w:t>ukpga</w:t>
      </w:r>
      <w:proofErr w:type="spellEnd"/>
      <w:r w:rsidRPr="009F51B3">
        <w:rPr>
          <w:sz w:val="24"/>
          <w:szCs w:val="24"/>
        </w:rPr>
        <w:t>/1999/23/section/16</w:t>
      </w:r>
      <w:r w:rsidRPr="009F51B3">
        <w:rPr>
          <w:sz w:val="24"/>
          <w:szCs w:val="24"/>
        </w:rPr>
        <w:t xml:space="preserve"> (Accessed October 2</w:t>
      </w:r>
      <w:r w:rsidRPr="009F51B3">
        <w:rPr>
          <w:sz w:val="24"/>
          <w:szCs w:val="24"/>
          <w:vertAlign w:val="superscript"/>
        </w:rPr>
        <w:t>nd</w:t>
      </w:r>
      <w:r w:rsidRPr="009F51B3">
        <w:rPr>
          <w:sz w:val="24"/>
          <w:szCs w:val="24"/>
        </w:rPr>
        <w:t>)</w:t>
      </w:r>
    </w:p>
    <w:p w14:paraId="0AB807FE" w14:textId="71D6507A"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62E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214"/>
    <w:rsid w:val="00114F52"/>
    <w:rsid w:val="001165F9"/>
    <w:rsid w:val="0012135C"/>
    <w:rsid w:val="00130E83"/>
    <w:rsid w:val="001347F8"/>
    <w:rsid w:val="00137BB5"/>
    <w:rsid w:val="00137E05"/>
    <w:rsid w:val="001447F6"/>
    <w:rsid w:val="00147DE3"/>
    <w:rsid w:val="00150794"/>
    <w:rsid w:val="001608C4"/>
    <w:rsid w:val="00171418"/>
    <w:rsid w:val="0017322B"/>
    <w:rsid w:val="00190913"/>
    <w:rsid w:val="001961CF"/>
    <w:rsid w:val="00196FCF"/>
    <w:rsid w:val="001A59BB"/>
    <w:rsid w:val="001A6A51"/>
    <w:rsid w:val="001A79C4"/>
    <w:rsid w:val="001B0DFF"/>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1862"/>
    <w:rsid w:val="002B23C3"/>
    <w:rsid w:val="002B443A"/>
    <w:rsid w:val="002B5B35"/>
    <w:rsid w:val="002C256A"/>
    <w:rsid w:val="002C496D"/>
    <w:rsid w:val="002D05EB"/>
    <w:rsid w:val="002D25E7"/>
    <w:rsid w:val="002D2F29"/>
    <w:rsid w:val="002D2FD3"/>
    <w:rsid w:val="002E7017"/>
    <w:rsid w:val="002F4F6E"/>
    <w:rsid w:val="003015C3"/>
    <w:rsid w:val="0030698D"/>
    <w:rsid w:val="003118A2"/>
    <w:rsid w:val="0031350A"/>
    <w:rsid w:val="00316815"/>
    <w:rsid w:val="003168CA"/>
    <w:rsid w:val="00321255"/>
    <w:rsid w:val="0032230D"/>
    <w:rsid w:val="00322A0B"/>
    <w:rsid w:val="00324E9B"/>
    <w:rsid w:val="00332F54"/>
    <w:rsid w:val="00335FC5"/>
    <w:rsid w:val="00340E9A"/>
    <w:rsid w:val="003516C0"/>
    <w:rsid w:val="00352E59"/>
    <w:rsid w:val="00354DBE"/>
    <w:rsid w:val="00355210"/>
    <w:rsid w:val="003555D5"/>
    <w:rsid w:val="0036482D"/>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5861"/>
    <w:rsid w:val="004046F0"/>
    <w:rsid w:val="0040668F"/>
    <w:rsid w:val="00410CD7"/>
    <w:rsid w:val="004111C9"/>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3B0A"/>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62CF"/>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42E"/>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B2F"/>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43B5"/>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51B3"/>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2256"/>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379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320A"/>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1E0C"/>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754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681C"/>
    <w:rsid w:val="00F50847"/>
    <w:rsid w:val="00F53F27"/>
    <w:rsid w:val="00F546D1"/>
    <w:rsid w:val="00F6513F"/>
    <w:rsid w:val="00F66272"/>
    <w:rsid w:val="00F6ACA0"/>
    <w:rsid w:val="00F709C0"/>
    <w:rsid w:val="00F76576"/>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3DF4"/>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7344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356655">
      <w:bodyDiv w:val="1"/>
      <w:marLeft w:val="0"/>
      <w:marRight w:val="0"/>
      <w:marTop w:val="0"/>
      <w:marBottom w:val="0"/>
      <w:divBdr>
        <w:top w:val="none" w:sz="0" w:space="0" w:color="auto"/>
        <w:left w:val="none" w:sz="0" w:space="0" w:color="auto"/>
        <w:bottom w:val="none" w:sz="0" w:space="0" w:color="auto"/>
        <w:right w:val="none" w:sz="0" w:space="0" w:color="auto"/>
      </w:divBdr>
      <w:divsChild>
        <w:div w:id="116144529">
          <w:marLeft w:val="0"/>
          <w:marRight w:val="120"/>
          <w:marTop w:val="0"/>
          <w:marBottom w:val="0"/>
          <w:divBdr>
            <w:top w:val="none" w:sz="0" w:space="0" w:color="auto"/>
            <w:left w:val="none" w:sz="0" w:space="0" w:color="auto"/>
            <w:bottom w:val="none" w:sz="0" w:space="0" w:color="auto"/>
            <w:right w:val="none" w:sz="0" w:space="0" w:color="auto"/>
          </w:divBdr>
        </w:div>
        <w:div w:id="224802384">
          <w:marLeft w:val="0"/>
          <w:marRight w:val="120"/>
          <w:marTop w:val="0"/>
          <w:marBottom w:val="0"/>
          <w:divBdr>
            <w:top w:val="none" w:sz="0" w:space="0" w:color="auto"/>
            <w:left w:val="none" w:sz="0" w:space="0" w:color="auto"/>
            <w:bottom w:val="none" w:sz="0" w:space="0" w:color="auto"/>
            <w:right w:val="none" w:sz="0" w:space="0" w:color="auto"/>
          </w:divBdr>
        </w:div>
        <w:div w:id="1083526564">
          <w:marLeft w:val="0"/>
          <w:marRight w:val="120"/>
          <w:marTop w:val="0"/>
          <w:marBottom w:val="0"/>
          <w:divBdr>
            <w:top w:val="none" w:sz="0" w:space="0" w:color="auto"/>
            <w:left w:val="none" w:sz="0" w:space="0" w:color="auto"/>
            <w:bottom w:val="none" w:sz="0" w:space="0" w:color="auto"/>
            <w:right w:val="none" w:sz="0" w:space="0" w:color="auto"/>
          </w:divBdr>
        </w:div>
        <w:div w:id="471756535">
          <w:marLeft w:val="0"/>
          <w:marRight w:val="0"/>
          <w:marTop w:val="0"/>
          <w:marBottom w:val="0"/>
          <w:divBdr>
            <w:top w:val="none" w:sz="0" w:space="0" w:color="auto"/>
            <w:left w:val="none" w:sz="0" w:space="0" w:color="auto"/>
            <w:bottom w:val="none" w:sz="0" w:space="0" w:color="auto"/>
            <w:right w:val="none" w:sz="0" w:space="0" w:color="auto"/>
          </w:divBdr>
        </w:div>
        <w:div w:id="445657288">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30731457">
      <w:bodyDiv w:val="1"/>
      <w:marLeft w:val="0"/>
      <w:marRight w:val="0"/>
      <w:marTop w:val="0"/>
      <w:marBottom w:val="0"/>
      <w:divBdr>
        <w:top w:val="none" w:sz="0" w:space="0" w:color="auto"/>
        <w:left w:val="none" w:sz="0" w:space="0" w:color="auto"/>
        <w:bottom w:val="none" w:sz="0" w:space="0" w:color="auto"/>
        <w:right w:val="none" w:sz="0" w:space="0" w:color="auto"/>
      </w:divBdr>
    </w:div>
    <w:div w:id="649872524">
      <w:bodyDiv w:val="1"/>
      <w:marLeft w:val="0"/>
      <w:marRight w:val="0"/>
      <w:marTop w:val="0"/>
      <w:marBottom w:val="0"/>
      <w:divBdr>
        <w:top w:val="none" w:sz="0" w:space="0" w:color="auto"/>
        <w:left w:val="none" w:sz="0" w:space="0" w:color="auto"/>
        <w:bottom w:val="none" w:sz="0" w:space="0" w:color="auto"/>
        <w:right w:val="none" w:sz="0" w:space="0" w:color="auto"/>
      </w:divBdr>
    </w:div>
    <w:div w:id="763064432">
      <w:bodyDiv w:val="1"/>
      <w:marLeft w:val="0"/>
      <w:marRight w:val="0"/>
      <w:marTop w:val="0"/>
      <w:marBottom w:val="0"/>
      <w:divBdr>
        <w:top w:val="none" w:sz="0" w:space="0" w:color="auto"/>
        <w:left w:val="none" w:sz="0" w:space="0" w:color="auto"/>
        <w:bottom w:val="none" w:sz="0" w:space="0" w:color="auto"/>
        <w:right w:val="none" w:sz="0" w:space="0" w:color="auto"/>
      </w:divBdr>
    </w:div>
    <w:div w:id="821852143">
      <w:bodyDiv w:val="1"/>
      <w:marLeft w:val="0"/>
      <w:marRight w:val="0"/>
      <w:marTop w:val="0"/>
      <w:marBottom w:val="0"/>
      <w:divBdr>
        <w:top w:val="none" w:sz="0" w:space="0" w:color="auto"/>
        <w:left w:val="none" w:sz="0" w:space="0" w:color="auto"/>
        <w:bottom w:val="none" w:sz="0" w:space="0" w:color="auto"/>
        <w:right w:val="none" w:sz="0" w:space="0" w:color="auto"/>
      </w:divBdr>
    </w:div>
    <w:div w:id="105928109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331348">
      <w:bodyDiv w:val="1"/>
      <w:marLeft w:val="0"/>
      <w:marRight w:val="0"/>
      <w:marTop w:val="0"/>
      <w:marBottom w:val="0"/>
      <w:divBdr>
        <w:top w:val="none" w:sz="0" w:space="0" w:color="auto"/>
        <w:left w:val="none" w:sz="0" w:space="0" w:color="auto"/>
        <w:bottom w:val="none" w:sz="0" w:space="0" w:color="auto"/>
        <w:right w:val="none" w:sz="0" w:space="0" w:color="auto"/>
      </w:divBdr>
      <w:divsChild>
        <w:div w:id="1217594895">
          <w:marLeft w:val="0"/>
          <w:marRight w:val="0"/>
          <w:marTop w:val="0"/>
          <w:marBottom w:val="0"/>
          <w:divBdr>
            <w:top w:val="none" w:sz="0" w:space="0" w:color="auto"/>
            <w:left w:val="none" w:sz="0" w:space="0" w:color="auto"/>
            <w:bottom w:val="none" w:sz="0" w:space="0" w:color="auto"/>
            <w:right w:val="none" w:sz="0" w:space="0" w:color="auto"/>
          </w:divBdr>
          <w:divsChild>
            <w:div w:id="265425453">
              <w:marLeft w:val="0"/>
              <w:marRight w:val="0"/>
              <w:marTop w:val="0"/>
              <w:marBottom w:val="0"/>
              <w:divBdr>
                <w:top w:val="none" w:sz="0" w:space="0" w:color="auto"/>
                <w:left w:val="none" w:sz="0" w:space="0" w:color="auto"/>
                <w:bottom w:val="none" w:sz="0" w:space="0" w:color="auto"/>
                <w:right w:val="none" w:sz="0" w:space="0" w:color="auto"/>
              </w:divBdr>
              <w:divsChild>
                <w:div w:id="1726639729">
                  <w:marLeft w:val="0"/>
                  <w:marRight w:val="0"/>
                  <w:marTop w:val="0"/>
                  <w:marBottom w:val="0"/>
                  <w:divBdr>
                    <w:top w:val="none" w:sz="0" w:space="0" w:color="auto"/>
                    <w:left w:val="none" w:sz="0" w:space="0" w:color="auto"/>
                    <w:bottom w:val="none" w:sz="0" w:space="0" w:color="auto"/>
                    <w:right w:val="none" w:sz="0" w:space="0" w:color="auto"/>
                  </w:divBdr>
                  <w:divsChild>
                    <w:div w:id="61290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23670">
          <w:marLeft w:val="0"/>
          <w:marRight w:val="0"/>
          <w:marTop w:val="0"/>
          <w:marBottom w:val="0"/>
          <w:divBdr>
            <w:top w:val="none" w:sz="0" w:space="0" w:color="auto"/>
            <w:left w:val="none" w:sz="0" w:space="0" w:color="auto"/>
            <w:bottom w:val="none" w:sz="0" w:space="0" w:color="auto"/>
            <w:right w:val="none" w:sz="0" w:space="0" w:color="auto"/>
          </w:divBdr>
          <w:divsChild>
            <w:div w:id="1946384392">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0480257">
      <w:bodyDiv w:val="1"/>
      <w:marLeft w:val="0"/>
      <w:marRight w:val="0"/>
      <w:marTop w:val="0"/>
      <w:marBottom w:val="0"/>
      <w:divBdr>
        <w:top w:val="none" w:sz="0" w:space="0" w:color="auto"/>
        <w:left w:val="none" w:sz="0" w:space="0" w:color="auto"/>
        <w:bottom w:val="none" w:sz="0" w:space="0" w:color="auto"/>
        <w:right w:val="none" w:sz="0" w:space="0" w:color="auto"/>
      </w:divBdr>
    </w:div>
    <w:div w:id="1685017129">
      <w:bodyDiv w:val="1"/>
      <w:marLeft w:val="0"/>
      <w:marRight w:val="0"/>
      <w:marTop w:val="0"/>
      <w:marBottom w:val="0"/>
      <w:divBdr>
        <w:top w:val="none" w:sz="0" w:space="0" w:color="auto"/>
        <w:left w:val="none" w:sz="0" w:space="0" w:color="auto"/>
        <w:bottom w:val="none" w:sz="0" w:space="0" w:color="auto"/>
        <w:right w:val="none" w:sz="0" w:space="0" w:color="auto"/>
      </w:divBdr>
      <w:divsChild>
        <w:div w:id="146437357">
          <w:marLeft w:val="0"/>
          <w:marRight w:val="120"/>
          <w:marTop w:val="0"/>
          <w:marBottom w:val="0"/>
          <w:divBdr>
            <w:top w:val="none" w:sz="0" w:space="0" w:color="auto"/>
            <w:left w:val="none" w:sz="0" w:space="0" w:color="auto"/>
            <w:bottom w:val="none" w:sz="0" w:space="0" w:color="auto"/>
            <w:right w:val="none" w:sz="0" w:space="0" w:color="auto"/>
          </w:divBdr>
        </w:div>
        <w:div w:id="1693992770">
          <w:marLeft w:val="0"/>
          <w:marRight w:val="120"/>
          <w:marTop w:val="0"/>
          <w:marBottom w:val="0"/>
          <w:divBdr>
            <w:top w:val="none" w:sz="0" w:space="0" w:color="auto"/>
            <w:left w:val="none" w:sz="0" w:space="0" w:color="auto"/>
            <w:bottom w:val="none" w:sz="0" w:space="0" w:color="auto"/>
            <w:right w:val="none" w:sz="0" w:space="0" w:color="auto"/>
          </w:divBdr>
        </w:div>
        <w:div w:id="1319841553">
          <w:marLeft w:val="0"/>
          <w:marRight w:val="120"/>
          <w:marTop w:val="0"/>
          <w:marBottom w:val="0"/>
          <w:divBdr>
            <w:top w:val="none" w:sz="0" w:space="0" w:color="auto"/>
            <w:left w:val="none" w:sz="0" w:space="0" w:color="auto"/>
            <w:bottom w:val="none" w:sz="0" w:space="0" w:color="auto"/>
            <w:right w:val="none" w:sz="0" w:space="0" w:color="auto"/>
          </w:divBdr>
        </w:div>
        <w:div w:id="1080099518">
          <w:marLeft w:val="0"/>
          <w:marRight w:val="0"/>
          <w:marTop w:val="0"/>
          <w:marBottom w:val="0"/>
          <w:divBdr>
            <w:top w:val="none" w:sz="0" w:space="0" w:color="auto"/>
            <w:left w:val="none" w:sz="0" w:space="0" w:color="auto"/>
            <w:bottom w:val="none" w:sz="0" w:space="0" w:color="auto"/>
            <w:right w:val="none" w:sz="0" w:space="0" w:color="auto"/>
          </w:divBdr>
        </w:div>
        <w:div w:id="1261644295">
          <w:marLeft w:val="0"/>
          <w:marRight w:val="0"/>
          <w:marTop w:val="0"/>
          <w:marBottom w:val="0"/>
          <w:divBdr>
            <w:top w:val="none" w:sz="0" w:space="0" w:color="auto"/>
            <w:left w:val="none" w:sz="0" w:space="0" w:color="auto"/>
            <w:bottom w:val="none" w:sz="0" w:space="0" w:color="auto"/>
            <w:right w:val="none" w:sz="0" w:space="0" w:color="auto"/>
          </w:divBdr>
        </w:div>
      </w:divsChild>
    </w:div>
    <w:div w:id="174425150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2425865">
      <w:bodyDiv w:val="1"/>
      <w:marLeft w:val="0"/>
      <w:marRight w:val="0"/>
      <w:marTop w:val="0"/>
      <w:marBottom w:val="0"/>
      <w:divBdr>
        <w:top w:val="none" w:sz="0" w:space="0" w:color="auto"/>
        <w:left w:val="none" w:sz="0" w:space="0" w:color="auto"/>
        <w:bottom w:val="none" w:sz="0" w:space="0" w:color="auto"/>
        <w:right w:val="none" w:sz="0" w:space="0" w:color="auto"/>
      </w:divBdr>
      <w:divsChild>
        <w:div w:id="199317922">
          <w:marLeft w:val="0"/>
          <w:marRight w:val="0"/>
          <w:marTop w:val="0"/>
          <w:marBottom w:val="0"/>
          <w:divBdr>
            <w:top w:val="none" w:sz="0" w:space="0" w:color="auto"/>
            <w:left w:val="none" w:sz="0" w:space="0" w:color="auto"/>
            <w:bottom w:val="none" w:sz="0" w:space="0" w:color="auto"/>
            <w:right w:val="none" w:sz="0" w:space="0" w:color="auto"/>
          </w:divBdr>
          <w:divsChild>
            <w:div w:id="893543111">
              <w:marLeft w:val="0"/>
              <w:marRight w:val="0"/>
              <w:marTop w:val="0"/>
              <w:marBottom w:val="0"/>
              <w:divBdr>
                <w:top w:val="none" w:sz="0" w:space="0" w:color="auto"/>
                <w:left w:val="none" w:sz="0" w:space="0" w:color="auto"/>
                <w:bottom w:val="none" w:sz="0" w:space="0" w:color="auto"/>
                <w:right w:val="none" w:sz="0" w:space="0" w:color="auto"/>
              </w:divBdr>
              <w:divsChild>
                <w:div w:id="933247245">
                  <w:marLeft w:val="0"/>
                  <w:marRight w:val="0"/>
                  <w:marTop w:val="0"/>
                  <w:marBottom w:val="0"/>
                  <w:divBdr>
                    <w:top w:val="none" w:sz="0" w:space="0" w:color="auto"/>
                    <w:left w:val="none" w:sz="0" w:space="0" w:color="auto"/>
                    <w:bottom w:val="none" w:sz="0" w:space="0" w:color="auto"/>
                    <w:right w:val="none" w:sz="0" w:space="0" w:color="auto"/>
                  </w:divBdr>
                  <w:divsChild>
                    <w:div w:id="9745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402173">
          <w:marLeft w:val="0"/>
          <w:marRight w:val="0"/>
          <w:marTop w:val="0"/>
          <w:marBottom w:val="0"/>
          <w:divBdr>
            <w:top w:val="none" w:sz="0" w:space="0" w:color="auto"/>
            <w:left w:val="none" w:sz="0" w:space="0" w:color="auto"/>
            <w:bottom w:val="none" w:sz="0" w:space="0" w:color="auto"/>
            <w:right w:val="none" w:sz="0" w:space="0" w:color="auto"/>
          </w:divBdr>
          <w:divsChild>
            <w:div w:id="1084767447">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9262111">
      <w:bodyDiv w:val="1"/>
      <w:marLeft w:val="0"/>
      <w:marRight w:val="0"/>
      <w:marTop w:val="0"/>
      <w:marBottom w:val="0"/>
      <w:divBdr>
        <w:top w:val="none" w:sz="0" w:space="0" w:color="auto"/>
        <w:left w:val="none" w:sz="0" w:space="0" w:color="auto"/>
        <w:bottom w:val="none" w:sz="0" w:space="0" w:color="auto"/>
        <w:right w:val="none" w:sz="0" w:space="0" w:color="auto"/>
      </w:divBdr>
    </w:div>
    <w:div w:id="20146037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1293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college.police.uk/article/why-code-ethics-has-chang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19</Pages>
  <Words>6269</Words>
  <Characters>37361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Bloxham,Katherine swp8673</cp:lastModifiedBy>
  <cp:revision>14</cp:revision>
  <cp:lastPrinted>2014-08-26T08:55:00Z</cp:lastPrinted>
  <dcterms:created xsi:type="dcterms:W3CDTF">2024-09-03T11:44:00Z</dcterms:created>
  <dcterms:modified xsi:type="dcterms:W3CDTF">2024-10-28T19:58:00Z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