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31C29" w14:textId="77777777" w:rsidR="00AD11F9" w:rsidRDefault="00AD11F9" w:rsidP="00724A99">
      <w:pPr>
        <w:spacing w:after="0" w:line="204" w:lineRule="auto"/>
        <w:contextualSpacing/>
        <w:rPr>
          <w:rFonts w:ascii="Times New Roman" w:eastAsia="Times New Roman" w:hAnsi="Times New Roman" w:cs="Times New Roman"/>
          <w:caps/>
          <w:color w:val="44546A"/>
          <w:spacing w:val="-15"/>
          <w:kern w:val="0"/>
          <w:sz w:val="48"/>
          <w:szCs w:val="72"/>
          <w14:ligatures w14:val="none"/>
        </w:rPr>
      </w:pPr>
    </w:p>
    <w:p w14:paraId="37EF91AF" w14:textId="4A133FE9" w:rsidR="000D2B8F" w:rsidRDefault="000D2B8F" w:rsidP="006C4D18">
      <w:pPr>
        <w:tabs>
          <w:tab w:val="left" w:pos="3132"/>
        </w:tabs>
        <w:jc w:val="center"/>
        <w:rPr>
          <w:rFonts w:ascii="Times New Roman" w:eastAsia="Times New Roman" w:hAnsi="Times New Roman" w:cs="Times New Roman"/>
          <w:caps/>
          <w:color w:val="44546A"/>
          <w:spacing w:val="-15"/>
          <w:kern w:val="0"/>
          <w:sz w:val="48"/>
          <w:szCs w:val="72"/>
          <w14:ligatures w14:val="none"/>
        </w:rPr>
      </w:pPr>
      <w:r w:rsidRPr="000D2B8F">
        <w:rPr>
          <w:rFonts w:ascii="Aptos" w:eastAsia="Aptos" w:hAnsi="Aptos" w:cs="Times New Roman"/>
          <w:noProof/>
        </w:rPr>
        <w:drawing>
          <wp:inline distT="0" distB="0" distL="0" distR="0" wp14:anchorId="56B4BC27" wp14:editId="121A823B">
            <wp:extent cx="4754880" cy="2379547"/>
            <wp:effectExtent l="0" t="0" r="7620" b="190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4145" cy="2384183"/>
                    </a:xfrm>
                    <a:prstGeom prst="rect">
                      <a:avLst/>
                    </a:prstGeom>
                    <a:noFill/>
                    <a:ln>
                      <a:noFill/>
                    </a:ln>
                  </pic:spPr>
                </pic:pic>
              </a:graphicData>
            </a:graphic>
          </wp:inline>
        </w:drawing>
      </w:r>
    </w:p>
    <w:p w14:paraId="3C377D97" w14:textId="5F87AEAD" w:rsidR="006C4D18" w:rsidRPr="006C4D18" w:rsidRDefault="006C4D18" w:rsidP="006C4D18">
      <w:pPr>
        <w:jc w:val="center"/>
        <w:rPr>
          <w:rFonts w:ascii="Times New Roman" w:eastAsia="Calibri" w:hAnsi="Times New Roman" w:cs="Times New Roman"/>
          <w:b/>
          <w:bCs/>
          <w:sz w:val="52"/>
          <w:szCs w:val="52"/>
        </w:rPr>
      </w:pPr>
      <w:r w:rsidRPr="006C4D18">
        <w:rPr>
          <w:rFonts w:ascii="Times New Roman" w:eastAsia="Calibri" w:hAnsi="Times New Roman" w:cs="Times New Roman"/>
          <w:b/>
          <w:bCs/>
          <w:sz w:val="52"/>
          <w:szCs w:val="52"/>
        </w:rPr>
        <w:t>Tash Halley</w:t>
      </w:r>
    </w:p>
    <w:p w14:paraId="37D9DC0D" w14:textId="77777777" w:rsidR="006C4D18" w:rsidRPr="006C4D18" w:rsidRDefault="006C4D18" w:rsidP="006C4D18">
      <w:pPr>
        <w:jc w:val="center"/>
        <w:rPr>
          <w:rFonts w:ascii="Times New Roman" w:eastAsia="Calibri" w:hAnsi="Times New Roman" w:cs="Times New Roman"/>
          <w:b/>
          <w:bCs/>
          <w:sz w:val="52"/>
          <w:szCs w:val="52"/>
        </w:rPr>
      </w:pPr>
      <w:r w:rsidRPr="006C4D18">
        <w:rPr>
          <w:rFonts w:ascii="Times New Roman" w:eastAsia="Calibri" w:hAnsi="Times New Roman" w:cs="Times New Roman"/>
          <w:b/>
          <w:bCs/>
          <w:sz w:val="52"/>
          <w:szCs w:val="52"/>
        </w:rPr>
        <w:t>2417049</w:t>
      </w:r>
    </w:p>
    <w:p w14:paraId="1A89BE7C" w14:textId="3BDBC287" w:rsidR="000D2B8F" w:rsidRDefault="000D2B8F" w:rsidP="006C4D18">
      <w:pPr>
        <w:tabs>
          <w:tab w:val="left" w:pos="4368"/>
        </w:tabs>
        <w:jc w:val="center"/>
        <w:rPr>
          <w:rFonts w:ascii="Times New Roman" w:eastAsia="Times New Roman" w:hAnsi="Times New Roman" w:cs="Times New Roman"/>
          <w:sz w:val="48"/>
          <w:szCs w:val="72"/>
        </w:rPr>
      </w:pPr>
    </w:p>
    <w:p w14:paraId="61638BAA" w14:textId="146202DF" w:rsidR="00AD11F9" w:rsidRDefault="00AD11F9" w:rsidP="000D2B8F">
      <w:pPr>
        <w:tabs>
          <w:tab w:val="left" w:pos="3132"/>
        </w:tabs>
        <w:rPr>
          <w:rFonts w:ascii="Times New Roman" w:eastAsia="Times New Roman" w:hAnsi="Times New Roman" w:cs="Times New Roman"/>
          <w:caps/>
          <w:color w:val="44546A"/>
          <w:spacing w:val="-15"/>
          <w:kern w:val="0"/>
          <w:sz w:val="48"/>
          <w:szCs w:val="72"/>
          <w14:ligatures w14:val="none"/>
        </w:rPr>
      </w:pPr>
      <w:r w:rsidRPr="000D2B8F">
        <w:rPr>
          <w:rFonts w:ascii="Times New Roman" w:eastAsia="Times New Roman" w:hAnsi="Times New Roman" w:cs="Times New Roman"/>
          <w:sz w:val="48"/>
          <w:szCs w:val="72"/>
        </w:rPr>
        <w:br w:type="page"/>
      </w:r>
    </w:p>
    <w:p w14:paraId="4887661C" w14:textId="77777777" w:rsidR="000D2B8F" w:rsidRDefault="000D2B8F" w:rsidP="005104AB">
      <w:pPr>
        <w:spacing w:after="0" w:line="204" w:lineRule="auto"/>
        <w:contextualSpacing/>
        <w:jc w:val="center"/>
        <w:rPr>
          <w:rFonts w:ascii="Times New Roman" w:eastAsia="Times New Roman" w:hAnsi="Times New Roman" w:cs="Times New Roman"/>
          <w:caps/>
          <w:color w:val="44546A"/>
          <w:spacing w:val="-15"/>
          <w:kern w:val="0"/>
          <w:sz w:val="48"/>
          <w:szCs w:val="72"/>
          <w14:ligatures w14:val="none"/>
        </w:rPr>
      </w:pPr>
    </w:p>
    <w:p w14:paraId="598FB96A" w14:textId="5890DD52" w:rsidR="005104AB" w:rsidRPr="001803D1" w:rsidRDefault="005104AB" w:rsidP="005104AB">
      <w:pPr>
        <w:spacing w:after="0" w:line="204" w:lineRule="auto"/>
        <w:contextualSpacing/>
        <w:jc w:val="center"/>
        <w:rPr>
          <w:rFonts w:ascii="Times New Roman" w:eastAsia="Times New Roman" w:hAnsi="Times New Roman" w:cs="Times New Roman"/>
          <w:caps/>
          <w:color w:val="44546A"/>
          <w:spacing w:val="-15"/>
          <w:kern w:val="0"/>
          <w:sz w:val="48"/>
          <w:szCs w:val="72"/>
          <w14:ligatures w14:val="none"/>
        </w:rPr>
      </w:pPr>
      <w:r>
        <w:rPr>
          <w:rFonts w:ascii="Times New Roman" w:eastAsia="Times New Roman" w:hAnsi="Times New Roman" w:cs="Times New Roman"/>
          <w:caps/>
          <w:color w:val="44546A"/>
          <w:spacing w:val="-15"/>
          <w:kern w:val="0"/>
          <w:sz w:val="48"/>
          <w:szCs w:val="72"/>
          <w14:ligatures w14:val="none"/>
        </w:rPr>
        <w:t xml:space="preserve">Securing the Modern Enterprise: From Zero Trust to AI Governance </w:t>
      </w:r>
    </w:p>
    <w:p w14:paraId="79C90221" w14:textId="77777777" w:rsidR="005104AB" w:rsidRPr="001803D1" w:rsidRDefault="005104AB" w:rsidP="005104AB">
      <w:pPr>
        <w:spacing w:line="259" w:lineRule="auto"/>
        <w:jc w:val="center"/>
        <w:rPr>
          <w:rFonts w:ascii="Times New Roman" w:eastAsia="Times New Roman" w:hAnsi="Times New Roman" w:cs="Times New Roman"/>
          <w:kern w:val="0"/>
          <w:sz w:val="22"/>
          <w:szCs w:val="22"/>
          <w14:ligatures w14:val="none"/>
        </w:rPr>
      </w:pPr>
      <w:r w:rsidRPr="001803D1">
        <w:rPr>
          <w:rFonts w:ascii="Times New Roman" w:eastAsia="Times New Roman" w:hAnsi="Times New Roman" w:cs="Times New Roman"/>
          <w:kern w:val="0"/>
          <w:sz w:val="22"/>
          <w:szCs w:val="22"/>
          <w14:ligatures w14:val="none"/>
        </w:rPr>
        <w:t>Tash Halley</w:t>
      </w:r>
    </w:p>
    <w:p w14:paraId="2F639809" w14:textId="77777777" w:rsidR="005104AB" w:rsidRPr="001803D1" w:rsidRDefault="005104AB" w:rsidP="005104AB">
      <w:pPr>
        <w:spacing w:line="259" w:lineRule="auto"/>
        <w:jc w:val="center"/>
        <w:rPr>
          <w:rFonts w:ascii="Times New Roman" w:eastAsia="Times New Roman" w:hAnsi="Times New Roman" w:cs="Times New Roman"/>
          <w:i/>
          <w:iCs/>
          <w:kern w:val="0"/>
          <w:sz w:val="20"/>
          <w:szCs w:val="20"/>
          <w14:ligatures w14:val="none"/>
        </w:rPr>
      </w:pPr>
      <w:r w:rsidRPr="001803D1">
        <w:rPr>
          <w:rFonts w:ascii="Times New Roman" w:eastAsia="Times New Roman" w:hAnsi="Times New Roman" w:cs="Times New Roman"/>
          <w:i/>
          <w:iCs/>
          <w:kern w:val="0"/>
          <w:sz w:val="20"/>
          <w:szCs w:val="20"/>
          <w14:ligatures w14:val="none"/>
        </w:rPr>
        <w:t>Student University of Wales Trinity St David, Swansea, Wales</w:t>
      </w:r>
    </w:p>
    <w:p w14:paraId="4E51E48B" w14:textId="77E7F97A" w:rsidR="005104AB" w:rsidRPr="00AC7842" w:rsidRDefault="00AC7842" w:rsidP="00AC7842">
      <w:pPr>
        <w:spacing w:line="259" w:lineRule="auto"/>
        <w:jc w:val="center"/>
        <w:rPr>
          <w:rFonts w:ascii="Courier New" w:eastAsia="Times New Roman" w:hAnsi="Courier New" w:cs="Courier New"/>
          <w:kern w:val="0"/>
          <w:sz w:val="18"/>
          <w:szCs w:val="18"/>
          <w14:ligatures w14:val="none"/>
        </w:rPr>
      </w:pPr>
      <w:hyperlink r:id="rId6" w:history="1">
        <w:r w:rsidRPr="009D0038">
          <w:rPr>
            <w:rStyle w:val="Hyperlink"/>
            <w:rFonts w:ascii="Courier New" w:eastAsia="Times New Roman" w:hAnsi="Courier New" w:cs="Courier New"/>
            <w:kern w:val="0"/>
            <w:sz w:val="18"/>
            <w:szCs w:val="18"/>
            <w14:ligatures w14:val="none"/>
          </w:rPr>
          <w:t>2417049@student.uwtsd.ac.uk</w:t>
        </w:r>
      </w:hyperlink>
      <w:r>
        <w:rPr>
          <w:rFonts w:ascii="Courier New" w:eastAsia="Times New Roman" w:hAnsi="Courier New" w:cs="Courier New"/>
          <w:kern w:val="0"/>
          <w:sz w:val="18"/>
          <w:szCs w:val="18"/>
          <w14:ligatures w14:val="none"/>
        </w:rPr>
        <w:br/>
      </w:r>
      <w:r w:rsidR="005104AB">
        <w:rPr>
          <w:rFonts w:ascii="Times New Roman" w:hAnsi="Times New Roman" w:cs="Times New Roman"/>
          <w:i/>
          <w:iCs/>
        </w:rPr>
        <w:t xml:space="preserve">Abstract </w:t>
      </w:r>
      <w:r w:rsidR="005104AB" w:rsidRPr="001E7B2E">
        <w:rPr>
          <w:rFonts w:ascii="Times New Roman" w:hAnsi="Times New Roman" w:cs="Times New Roman"/>
          <w:i/>
          <w:iCs/>
          <w:sz w:val="22"/>
          <w:szCs w:val="22"/>
        </w:rPr>
        <w:t xml:space="preserve">- </w:t>
      </w:r>
      <w:r w:rsidR="005104AB" w:rsidRPr="001E7B2E">
        <w:rPr>
          <w:rFonts w:ascii="Calibri" w:eastAsia="Calibri" w:hAnsi="Calibri" w:cs="Times New Roman"/>
          <w:i/>
          <w:sz w:val="20"/>
          <w:szCs w:val="20"/>
        </w:rPr>
        <w:t>This report critically evaluates the growing need for modern organisations to adopt Zero Trust Architecture in response to evolving cyber threats and the limitations of traditional perimeter-based security. It outlines the core principles of Zero Trust, examines how frameworks such as MITRE ATT&amp;CK support threat-informed defence and analyses the operational, cultural and regulatory challenges that organisations face when implementing ZTA. The report also assesses the role of Secure Access Service Edge (SASE) as a key enabler of Zero Trust, demonstrating how its integrated components; ZTNA, CASB, SWG, NGFW and SD-WAN provide cloud delivered, identity-centric protection for distributed environments. Additionally, the report identifies governance as a foundational requirement for operationalising Zero Trust across modern environments.</w:t>
      </w:r>
    </w:p>
    <w:p w14:paraId="602164ED" w14:textId="77777777" w:rsidR="005104AB" w:rsidRDefault="005104AB">
      <w:pPr>
        <w:rPr>
          <w:rFonts w:ascii="Times New Roman" w:hAnsi="Times New Roman" w:cs="Times New Roman"/>
          <w:iCs/>
        </w:rPr>
        <w:sectPr w:rsidR="005104AB" w:rsidSect="005104AB">
          <w:pgSz w:w="11906" w:h="16838"/>
          <w:pgMar w:top="1077" w:right="1077" w:bottom="1077" w:left="1077" w:header="708" w:footer="708" w:gutter="0"/>
          <w:cols w:space="708"/>
          <w:docGrid w:linePitch="360"/>
        </w:sectPr>
      </w:pPr>
    </w:p>
    <w:p w14:paraId="1CC61CCF" w14:textId="11DBD7DF" w:rsidR="005104AB" w:rsidRDefault="005104AB">
      <w:pPr>
        <w:rPr>
          <w:rFonts w:ascii="Times New Roman" w:eastAsia="Calibri" w:hAnsi="Times New Roman" w:cs="Times New Roman"/>
          <w:iCs/>
          <w:sz w:val="20"/>
          <w:szCs w:val="20"/>
        </w:rPr>
      </w:pPr>
      <w:r w:rsidRPr="005104AB">
        <w:rPr>
          <w:rFonts w:ascii="Times New Roman" w:hAnsi="Times New Roman" w:cs="Times New Roman"/>
          <w:b/>
          <w:bCs/>
          <w:iCs/>
          <w:u w:val="single"/>
        </w:rPr>
        <w:t>Introduction</w:t>
      </w:r>
      <w:r>
        <w:rPr>
          <w:rFonts w:ascii="Times New Roman" w:hAnsi="Times New Roman" w:cs="Times New Roman"/>
          <w:b/>
          <w:bCs/>
          <w:iCs/>
          <w:u w:val="single"/>
        </w:rPr>
        <w:br/>
      </w:r>
      <w:r w:rsidRPr="005104AB">
        <w:rPr>
          <w:rFonts w:ascii="Times New Roman" w:eastAsia="Calibri" w:hAnsi="Times New Roman" w:cs="Times New Roman"/>
          <w:iCs/>
          <w:sz w:val="20"/>
          <w:szCs w:val="20"/>
        </w:rPr>
        <w:t>This report critically examines the need for modern organisations to transition towards Zero Trust Architecture, a security model built on continuous verification, least-privilege access and the assumption that no user, device or network segment should be trusted. The report explores the principles of Zero Trust; the challenges associated with its implementation and the technological enablers that support its practical deployment. By analysing these components within the context of contemporary threats, the report demonstrates how Zero Trust provides a robust, adaptive and future proof approach to securing complex IT infrastructures.</w:t>
      </w:r>
    </w:p>
    <w:p w14:paraId="67CF2096" w14:textId="00B62839" w:rsidR="005104AB" w:rsidRDefault="005104AB">
      <w:pPr>
        <w:rPr>
          <w:rFonts w:ascii="Times New Roman" w:eastAsia="Calibri" w:hAnsi="Times New Roman" w:cs="Times New Roman"/>
          <w:iCs/>
          <w:color w:val="000000"/>
          <w:sz w:val="20"/>
          <w:szCs w:val="20"/>
        </w:rPr>
      </w:pPr>
      <w:r>
        <w:rPr>
          <w:rFonts w:ascii="Times New Roman" w:hAnsi="Times New Roman" w:cs="Times New Roman"/>
          <w:b/>
          <w:bCs/>
          <w:iCs/>
          <w:u w:val="single"/>
        </w:rPr>
        <w:t>Zero Trust</w:t>
      </w:r>
      <w:r>
        <w:rPr>
          <w:rFonts w:ascii="Times New Roman" w:hAnsi="Times New Roman" w:cs="Times New Roman"/>
          <w:b/>
          <w:bCs/>
          <w:iCs/>
          <w:u w:val="single"/>
        </w:rPr>
        <w:br/>
      </w:r>
      <w:r w:rsidRPr="005104AB">
        <w:rPr>
          <w:rFonts w:ascii="Times New Roman" w:eastAsia="Calibri" w:hAnsi="Times New Roman" w:cs="Times New Roman"/>
          <w:iCs/>
          <w:sz w:val="20"/>
          <w:szCs w:val="20"/>
        </w:rPr>
        <w:t xml:space="preserve">Zero Trust is a proposal for a cybersecurity framework which aims to provide solutions to the risks of the perimetric security approach according to Poirrier et al </w:t>
      </w:r>
      <w:sdt>
        <w:sdtPr>
          <w:rPr>
            <w:rFonts w:ascii="Times New Roman" w:eastAsia="Calibri" w:hAnsi="Times New Roman" w:cs="Times New Roman"/>
            <w:iCs/>
            <w:color w:val="000000"/>
            <w:sz w:val="20"/>
            <w:szCs w:val="20"/>
          </w:rPr>
          <w:tag w:val="MENDELEY_CITATION_v3_eyJjaXRhdGlvbklEIjoiTUVOREVMRVlfQ0lUQVRJT05fNTQwMjQyYmItZGFjOC00OGY1LTllY2QtMjVhMTllOWE4NmRk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890951392"/>
          <w:placeholder>
            <w:docPart w:val="9BBDEAFC090F458B848C06BA0EE08C06"/>
          </w:placeholder>
        </w:sdtPr>
        <w:sdtEnd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The risks being that it is impossible to trust network portions or packets, that verifications are performed within a perimeter and that malicious insiders often are in a position of trust that can be abused </w:t>
      </w:r>
      <w:sdt>
        <w:sdtPr>
          <w:rPr>
            <w:rFonts w:ascii="Times New Roman" w:eastAsia="Calibri" w:hAnsi="Times New Roman" w:cs="Times New Roman"/>
            <w:iCs/>
            <w:color w:val="000000"/>
            <w:sz w:val="20"/>
            <w:szCs w:val="20"/>
          </w:rPr>
          <w:tag w:val="MENDELEY_CITATION_v3_eyJjaXRhdGlvbklEIjoiTUVOREVMRVlfQ0lUQVRJT05fOGI4OTI4MDgtN2FkNC00NTA3LTk2YmYtMTdjY2U4ZTdhNzdh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1052584834"/>
          <w:placeholder>
            <w:docPart w:val="9BBDEAFC090F458B848C06BA0EE08C06"/>
          </w:placeholder>
        </w:sdtPr>
        <w:sdtEnd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goes onto mention. The Zero Trust architecture aims to follow the motto “never trust, always verify”. This means that to reach the goal of having no unauthorised access or unauthorised use of a resource, every access is to be verified without presumed trust </w:t>
      </w:r>
      <w:sdt>
        <w:sdtPr>
          <w:rPr>
            <w:rFonts w:ascii="Times New Roman" w:eastAsia="Calibri" w:hAnsi="Times New Roman" w:cs="Times New Roman"/>
            <w:iCs/>
            <w:color w:val="000000"/>
            <w:sz w:val="20"/>
            <w:szCs w:val="20"/>
          </w:rPr>
          <w:tag w:val="MENDELEY_CITATION_v3_eyJjaXRhdGlvbklEIjoiTUVOREVMRVlfQ0lUQVRJT05fNDMwMzU4MGEtNDViNC00ZmMwLTg3NTktZjQ4NGNlZDk0MThi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1923681404"/>
          <w:placeholder>
            <w:docPart w:val="9BBDEAFC090F458B848C06BA0EE08C06"/>
          </w:placeholder>
        </w:sdtPr>
        <w:sdtEnd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states.</w:t>
      </w:r>
    </w:p>
    <w:p w14:paraId="6C22A0FA" w14:textId="536945D3" w:rsidR="005104AB" w:rsidRDefault="005104AB">
      <w:pPr>
        <w:rPr>
          <w:rFonts w:ascii="Times New Roman" w:eastAsia="Calibri" w:hAnsi="Times New Roman" w:cs="Times New Roman"/>
          <w:iCs/>
          <w:color w:val="000000"/>
          <w:sz w:val="20"/>
          <w:szCs w:val="20"/>
        </w:rPr>
      </w:pPr>
      <w:r w:rsidRPr="005104AB">
        <w:rPr>
          <w:rFonts w:ascii="Times New Roman" w:eastAsia="Calibri" w:hAnsi="Times New Roman" w:cs="Times New Roman"/>
          <w:b/>
          <w:bCs/>
          <w:iCs/>
          <w:sz w:val="22"/>
          <w:szCs w:val="22"/>
          <w:u w:val="single"/>
        </w:rPr>
        <w:t>Threat Model – MITRE ATT&amp;CK Enterprise Framework</w:t>
      </w:r>
      <w:r w:rsidRPr="005104AB">
        <w:rPr>
          <w:rFonts w:ascii="Times New Roman" w:hAnsi="Times New Roman" w:cs="Times New Roman"/>
          <w:b/>
          <w:bCs/>
          <w:iCs/>
          <w:u w:val="single"/>
        </w:rPr>
        <w:br/>
      </w:r>
      <w:r w:rsidR="005D1627" w:rsidRPr="005D1627">
        <w:rPr>
          <w:rFonts w:ascii="Times New Roman" w:eastAsia="Calibri" w:hAnsi="Times New Roman" w:cs="Times New Roman"/>
          <w:iCs/>
          <w:sz w:val="20"/>
          <w:szCs w:val="20"/>
        </w:rPr>
        <w:t xml:space="preserve">This framework is a detailed resource that sorts the tactics, techniques and procedures used by opponents in cyberspace as mentioned by </w:t>
      </w:r>
      <w:proofErr w:type="spellStart"/>
      <w:r w:rsidR="005D1627" w:rsidRPr="005D1627">
        <w:rPr>
          <w:rFonts w:ascii="Times New Roman" w:eastAsia="Calibri" w:hAnsi="Times New Roman" w:cs="Times New Roman"/>
          <w:iCs/>
          <w:sz w:val="20"/>
          <w:szCs w:val="20"/>
        </w:rPr>
        <w:t>Uralov</w:t>
      </w:r>
      <w:proofErr w:type="spellEnd"/>
      <w:r w:rsidR="005D1627" w:rsidRPr="005D1627">
        <w:rPr>
          <w:rFonts w:ascii="Times New Roman" w:eastAsia="Calibri" w:hAnsi="Times New Roman" w:cs="Times New Roman"/>
          <w:iCs/>
          <w:sz w:val="20"/>
          <w:szCs w:val="20"/>
        </w:rPr>
        <w:t xml:space="preserve"> et al </w:t>
      </w:r>
      <w:sdt>
        <w:sdtPr>
          <w:rPr>
            <w:rFonts w:ascii="Times New Roman" w:eastAsia="Calibri" w:hAnsi="Times New Roman" w:cs="Times New Roman"/>
            <w:iCs/>
            <w:color w:val="000000"/>
            <w:sz w:val="20"/>
            <w:szCs w:val="20"/>
          </w:rPr>
          <w:tag w:val="MENDELEY_CITATION_v3_eyJjaXRhdGlvbklEIjoiTUVOREVMRVlfQ0lUQVRJT05fZTdkMzg3ZjQtMDljOS00Y2ZjLWI1YTQtODhkZWQ3N2JjZTAw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
          <w:id w:val="1374357018"/>
          <w:placeholder>
            <w:docPart w:val="F7E8BB008EDE4EDBA648C70A5CFEDB22"/>
          </w:placeholder>
        </w:sdtPr>
        <w:sdtEndPr/>
        <w:sdtContent>
          <w:r w:rsidR="006A16C7" w:rsidRPr="006A16C7">
            <w:rPr>
              <w:rFonts w:ascii="Times New Roman" w:eastAsia="Calibri" w:hAnsi="Times New Roman" w:cs="Times New Roman"/>
              <w:iCs/>
              <w:color w:val="000000"/>
              <w:sz w:val="20"/>
              <w:szCs w:val="20"/>
            </w:rPr>
            <w:t>[2]</w:t>
          </w:r>
        </w:sdtContent>
      </w:sdt>
      <w:r w:rsidR="005D1627" w:rsidRPr="005D1627">
        <w:rPr>
          <w:rFonts w:ascii="Times New Roman" w:eastAsia="Calibri" w:hAnsi="Times New Roman" w:cs="Times New Roman"/>
          <w:iCs/>
          <w:color w:val="000000"/>
          <w:sz w:val="20"/>
          <w:szCs w:val="20"/>
        </w:rPr>
        <w:t>. This helps SOC analysts by offering a clear way to detect</w:t>
      </w:r>
      <w:r w:rsidR="005D1627" w:rsidRPr="005D1627">
        <w:rPr>
          <w:rFonts w:ascii="Calibri" w:eastAsia="Calibri" w:hAnsi="Calibri" w:cs="Calibri"/>
          <w:iCs/>
          <w:color w:val="000000"/>
          <w:sz w:val="22"/>
          <w:szCs w:val="22"/>
        </w:rPr>
        <w:t xml:space="preserve"> </w:t>
      </w:r>
      <w:r w:rsidR="005D1627" w:rsidRPr="00516FFE">
        <w:rPr>
          <w:rFonts w:ascii="Times New Roman" w:eastAsia="Calibri" w:hAnsi="Times New Roman" w:cs="Times New Roman"/>
          <w:iCs/>
          <w:color w:val="000000"/>
          <w:sz w:val="20"/>
          <w:szCs w:val="20"/>
        </w:rPr>
        <w:t>threats,</w:t>
      </w:r>
      <w:r w:rsidR="005D1627" w:rsidRPr="005D1627">
        <w:rPr>
          <w:rFonts w:ascii="Calibri" w:eastAsia="Calibri" w:hAnsi="Calibri" w:cs="Calibri"/>
          <w:iCs/>
          <w:color w:val="000000"/>
          <w:sz w:val="22"/>
          <w:szCs w:val="22"/>
        </w:rPr>
        <w:t xml:space="preserve"> </w:t>
      </w:r>
      <w:r w:rsidR="005D1627" w:rsidRPr="005D1627">
        <w:rPr>
          <w:rFonts w:ascii="Times New Roman" w:eastAsia="Calibri" w:hAnsi="Times New Roman" w:cs="Times New Roman"/>
          <w:iCs/>
          <w:color w:val="000000"/>
          <w:sz w:val="20"/>
          <w:szCs w:val="20"/>
        </w:rPr>
        <w:t>enabling them to connect</w:t>
      </w:r>
      <w:r w:rsidR="00516FFE">
        <w:rPr>
          <w:rFonts w:ascii="Times New Roman" w:eastAsia="Calibri" w:hAnsi="Times New Roman" w:cs="Times New Roman"/>
          <w:iCs/>
          <w:color w:val="000000"/>
          <w:sz w:val="20"/>
          <w:szCs w:val="20"/>
        </w:rPr>
        <w:t xml:space="preserve"> </w:t>
      </w:r>
      <w:r w:rsidR="005D1627" w:rsidRPr="005D1627">
        <w:rPr>
          <w:rFonts w:ascii="Times New Roman" w:eastAsia="Calibri" w:hAnsi="Times New Roman" w:cs="Times New Roman"/>
          <w:iCs/>
          <w:color w:val="000000"/>
          <w:sz w:val="20"/>
          <w:szCs w:val="20"/>
        </w:rPr>
        <w:t xml:space="preserve">harmful activities to specific techniques found in the framework. For organisations, </w:t>
      </w:r>
      <w:r w:rsidR="005D1627" w:rsidRPr="005D1627">
        <w:rPr>
          <w:rFonts w:ascii="Times New Roman" w:eastAsia="Calibri" w:hAnsi="Times New Roman" w:cs="Times New Roman"/>
          <w:iCs/>
          <w:color w:val="000000"/>
          <w:sz w:val="20"/>
          <w:szCs w:val="20"/>
        </w:rPr>
        <w:t xml:space="preserve">the MITRE ATT&amp;CK framework can massively improve their cybersecurity status and strength against changing threats </w:t>
      </w:r>
      <w:sdt>
        <w:sdtPr>
          <w:rPr>
            <w:rFonts w:ascii="Times New Roman" w:eastAsia="Calibri" w:hAnsi="Times New Roman" w:cs="Times New Roman"/>
            <w:iCs/>
            <w:color w:val="000000"/>
            <w:sz w:val="20"/>
            <w:szCs w:val="20"/>
          </w:rPr>
          <w:tag w:val="MENDELEY_CITATION_v3_eyJjaXRhdGlvbklEIjoiTUVOREVMRVlfQ0lUQVRJT05fY2FlNWFiZTAtNTkxMS00OTU3LWI0ZTUtNDc5ZTRiZjg1NmYz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
          <w:id w:val="-1913231123"/>
          <w:placeholder>
            <w:docPart w:val="F7E8BB008EDE4EDBA648C70A5CFEDB22"/>
          </w:placeholder>
        </w:sdtPr>
        <w:sdtEndPr/>
        <w:sdtContent>
          <w:r w:rsidR="006A16C7" w:rsidRPr="006A16C7">
            <w:rPr>
              <w:rFonts w:ascii="Times New Roman" w:eastAsia="Calibri" w:hAnsi="Times New Roman" w:cs="Times New Roman"/>
              <w:iCs/>
              <w:color w:val="000000"/>
              <w:sz w:val="20"/>
              <w:szCs w:val="20"/>
            </w:rPr>
            <w:t>[2]</w:t>
          </w:r>
        </w:sdtContent>
      </w:sdt>
      <w:r w:rsidR="005D1627" w:rsidRPr="005D1627">
        <w:rPr>
          <w:rFonts w:ascii="Times New Roman" w:eastAsia="Calibri" w:hAnsi="Times New Roman" w:cs="Times New Roman"/>
          <w:iCs/>
          <w:color w:val="000000"/>
          <w:sz w:val="20"/>
          <w:szCs w:val="20"/>
        </w:rPr>
        <w:t xml:space="preserve"> goes onto mention.</w:t>
      </w:r>
    </w:p>
    <w:p w14:paraId="23811CEF" w14:textId="32A82A0E" w:rsidR="005D1627" w:rsidRPr="005D1627" w:rsidRDefault="005D1627" w:rsidP="005D1627">
      <w:pPr>
        <w:tabs>
          <w:tab w:val="left" w:pos="3780"/>
        </w:tabs>
        <w:rPr>
          <w:rFonts w:ascii="Times New Roman" w:eastAsia="Calibri" w:hAnsi="Times New Roman" w:cs="Times New Roman"/>
          <w:iCs/>
          <w:color w:val="000000"/>
          <w:sz w:val="20"/>
          <w:szCs w:val="20"/>
        </w:rPr>
      </w:pPr>
      <w:r w:rsidRPr="005D1627">
        <w:rPr>
          <w:rFonts w:ascii="Times New Roman" w:hAnsi="Times New Roman" w:cs="Times New Roman"/>
          <w:b/>
          <w:bCs/>
          <w:iCs/>
          <w:color w:val="000000"/>
          <w:sz w:val="22"/>
          <w:szCs w:val="22"/>
          <w:u w:val="single"/>
        </w:rPr>
        <w:t>Zero Trust Principles</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 xml:space="preserve">According to Rose et al </w:t>
      </w:r>
      <w:sdt>
        <w:sdtPr>
          <w:rPr>
            <w:rFonts w:ascii="Times New Roman" w:eastAsia="Calibri" w:hAnsi="Times New Roman" w:cs="Times New Roman"/>
            <w:iCs/>
            <w:color w:val="000000"/>
            <w:sz w:val="20"/>
            <w:szCs w:val="20"/>
          </w:rPr>
          <w:tag w:val="MENDELEY_CITATION_v3_eyJjaXRhdGlvbklEIjoiTUVOREVMRVlfQ0lUQVRJT05fYmM0MmY3ZTQtMDEwMy00NjdjLTk2NWQtMzlhNjI3ZWZmYWZ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
          <w:id w:val="984971729"/>
          <w:placeholder>
            <w:docPart w:val="C12D631E92054CC2AE33370FE21EC5B0"/>
          </w:placeholder>
        </w:sdtPr>
        <w:sdtEndPr/>
        <w:sdtContent>
          <w:r w:rsidR="006A16C7" w:rsidRPr="006A16C7">
            <w:rPr>
              <w:rFonts w:ascii="Times New Roman" w:eastAsia="Calibri" w:hAnsi="Times New Roman" w:cs="Times New Roman"/>
              <w:iCs/>
              <w:color w:val="000000"/>
              <w:sz w:val="20"/>
              <w:szCs w:val="20"/>
            </w:rPr>
            <w:t>[3]</w:t>
          </w:r>
        </w:sdtContent>
      </w:sdt>
      <w:r w:rsidRPr="005D1627">
        <w:rPr>
          <w:rFonts w:ascii="Times New Roman" w:eastAsia="Calibri" w:hAnsi="Times New Roman" w:cs="Times New Roman"/>
          <w:iCs/>
          <w:color w:val="000000"/>
          <w:sz w:val="20"/>
          <w:szCs w:val="20"/>
        </w:rPr>
        <w:t xml:space="preserve"> at the National Institute of Standards and Technology, they focus on Zero Trust as an architectural framework; emphasising on continuous verification, least privilege, assuming breach and protecting resources rather than relying on network location.</w:t>
      </w:r>
      <w:r>
        <w:rPr>
          <w:rFonts w:ascii="Times New Roman" w:eastAsia="Calibri" w:hAnsi="Times New Roman" w:cs="Times New Roman"/>
          <w:iCs/>
          <w:color w:val="000000"/>
          <w:sz w:val="20"/>
          <w:szCs w:val="20"/>
        </w:rPr>
        <w:t xml:space="preserve"> </w:t>
      </w:r>
      <w:r w:rsidRPr="005D1627">
        <w:rPr>
          <w:rFonts w:ascii="Times New Roman" w:eastAsia="Calibri" w:hAnsi="Times New Roman" w:cs="Times New Roman"/>
          <w:iCs/>
          <w:color w:val="000000"/>
          <w:sz w:val="20"/>
          <w:szCs w:val="20"/>
        </w:rPr>
        <w:t xml:space="preserve">A Zero Trust architecture is designed and deployed with adherence to the following basic principles </w:t>
      </w:r>
      <w:sdt>
        <w:sdtPr>
          <w:rPr>
            <w:rFonts w:ascii="Times New Roman" w:eastAsia="Calibri" w:hAnsi="Times New Roman" w:cs="Times New Roman"/>
            <w:iCs/>
            <w:color w:val="000000"/>
            <w:sz w:val="20"/>
            <w:szCs w:val="20"/>
          </w:rPr>
          <w:tag w:val="MENDELEY_CITATION_v3_eyJjaXRhdGlvbklEIjoiTUVOREVMRVlfQ0lUQVRJT05fYzVkMzAwOTAtYmQ1MC00M2E4LWFiZmQtMjViMTQ1NDk1NjJ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
          <w:id w:val="-864975360"/>
          <w:placeholder>
            <w:docPart w:val="C12D631E92054CC2AE33370FE21EC5B0"/>
          </w:placeholder>
        </w:sdtPr>
        <w:sdtEndPr/>
        <w:sdtContent>
          <w:r w:rsidR="006A16C7" w:rsidRPr="006A16C7">
            <w:rPr>
              <w:rFonts w:ascii="Times New Roman" w:eastAsia="Calibri" w:hAnsi="Times New Roman" w:cs="Times New Roman"/>
              <w:iCs/>
              <w:color w:val="000000"/>
              <w:sz w:val="20"/>
              <w:szCs w:val="20"/>
            </w:rPr>
            <w:t>[3]</w:t>
          </w:r>
        </w:sdtContent>
      </w:sdt>
      <w:r w:rsidRPr="005D1627">
        <w:rPr>
          <w:rFonts w:ascii="Times New Roman" w:eastAsia="Calibri" w:hAnsi="Times New Roman" w:cs="Times New Roman"/>
          <w:iCs/>
          <w:color w:val="000000"/>
          <w:sz w:val="20"/>
          <w:szCs w:val="20"/>
        </w:rPr>
        <w:t xml:space="preserve"> goes onto mention. The principles are the ideal end goal, but not all need to be acknowledged to be fully implemented. </w:t>
      </w:r>
    </w:p>
    <w:p w14:paraId="548902FA" w14:textId="58FB7695"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Principle 1</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In Zero Trust Architecture, all data sources and computing services are considered resources. This includes various types of devices, such as small footprint devices, Software as a Service (SaaS) applications and systems that send instructions to actuators. Personally owned devices can be classified as resources if they are used to access enterprise-owned resources.</w:t>
      </w:r>
    </w:p>
    <w:p w14:paraId="3DFC1A34" w14:textId="45876A3D"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Principle 2</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All communication within a Zero Trust Architecture must be secured, regardless of its network location. The physical or logical location of a network does not grant trust to any device or communication. Trust is never automatically granted based solely on a device’s presence within the enterprise network. Furthermore, all communications should prioritize the highest level of security, ensuring confidentiality, integrity and source authentication.</w:t>
      </w:r>
    </w:p>
    <w:p w14:paraId="55008487" w14:textId="42DE75C0"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lastRenderedPageBreak/>
        <w:t>Principle 3</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Access to individual enterprise resources is granted on a per-session basis, with trust in the requester evaluated before access is provided. The access is limited to the least privileges necessary for the task and authentication and authorisation for one resource do not automatically extend to others.</w:t>
      </w:r>
    </w:p>
    <w:p w14:paraId="18B1F01A" w14:textId="1F97DD5E"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Principle 4</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Access to resources is governed by dynamic polices. These policies consider various factors including the identity of the client, the state of the requesting asset and other behavioural and environmental attributes. The client identity encompasses user accounts, service identities and associated attributes or authentication artifacts for automated tasks. Behavioural attributes involve automated analytics of subjects and devices, and deviations from typical usage patterns whereas environmental attributes can include factors such as network location, time and active attacks. Access is always granted with the least privilege necessary for the task, restricting both visibility and accessibility based on the sensitivity of the resource.</w:t>
      </w:r>
    </w:p>
    <w:p w14:paraId="2C3B3D42" w14:textId="02FF18A8" w:rsidR="005D1627" w:rsidRDefault="005D1627">
      <w:pPr>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5</w:t>
      </w:r>
      <w:r>
        <w:rPr>
          <w:rFonts w:ascii="Times New Roman" w:hAnsi="Times New Roman" w:cs="Times New Roman"/>
          <w:b/>
          <w:bCs/>
          <w:iCs/>
          <w:sz w:val="22"/>
          <w:szCs w:val="22"/>
          <w:u w:val="single"/>
        </w:rPr>
        <w:br/>
      </w:r>
      <w:r w:rsidRPr="005D1627">
        <w:rPr>
          <w:rFonts w:ascii="Times New Roman" w:eastAsia="Calibri" w:hAnsi="Times New Roman" w:cs="Times New Roman"/>
          <w:iCs/>
          <w:color w:val="000000"/>
          <w:sz w:val="20"/>
          <w:szCs w:val="20"/>
        </w:rPr>
        <w:t>An enterprise operating under a Zero Trust Architecture continuously monitors and assesses the integrity and security posture of all its assets, considering no asset trustworthy. When a resource request is made, the enterprise evaluates the security status of the asset involved. If these assets are compromised, have known vulnerabilities or are unmanaged may be handled differently, potentially leading to denial of access.</w:t>
      </w:r>
    </w:p>
    <w:p w14:paraId="63231DAD" w14:textId="4B60804C" w:rsidR="005D1627" w:rsidRDefault="005D1627">
      <w:pPr>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6</w:t>
      </w:r>
      <w:r>
        <w:rPr>
          <w:rFonts w:ascii="Times New Roman" w:hAnsi="Times New Roman" w:cs="Times New Roman"/>
          <w:b/>
          <w:bCs/>
          <w:iCs/>
          <w:sz w:val="22"/>
          <w:szCs w:val="22"/>
          <w:u w:val="single"/>
        </w:rPr>
        <w:br/>
      </w:r>
      <w:r w:rsidRPr="005D1627">
        <w:rPr>
          <w:rFonts w:ascii="Times New Roman" w:eastAsia="Calibri" w:hAnsi="Times New Roman" w:cs="Times New Roman"/>
          <w:iCs/>
          <w:color w:val="000000"/>
          <w:sz w:val="20"/>
          <w:szCs w:val="20"/>
        </w:rPr>
        <w:t>Access to resources is dynamically and strictly enforced through continuous authentication and authorisation. This process involves a constant cycle of obtaining access, scanning and assessing threats, adapting and reevaluating trust during communication. Enterprises that implement a ZTA must have robust Identity, Credential and Access Management (ICAM) and asset management systems. In addition, when reauthentication is needed, polices define when a new resource is requested or if abnormal activity is detected. The end goal is to balance security with availability, usability and cost-efficiency.</w:t>
      </w:r>
    </w:p>
    <w:p w14:paraId="4AA1FAB2" w14:textId="013632BB" w:rsidR="00335E04" w:rsidRDefault="00335E04" w:rsidP="00335E04">
      <w:pPr>
        <w:tabs>
          <w:tab w:val="left" w:pos="3780"/>
        </w:tabs>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7</w:t>
      </w:r>
      <w:r>
        <w:rPr>
          <w:rFonts w:ascii="Times New Roman" w:hAnsi="Times New Roman" w:cs="Times New Roman"/>
          <w:b/>
          <w:bCs/>
          <w:iCs/>
          <w:sz w:val="22"/>
          <w:szCs w:val="22"/>
          <w:u w:val="single"/>
        </w:rPr>
        <w:br/>
      </w:r>
      <w:r w:rsidRPr="00335E04">
        <w:rPr>
          <w:rFonts w:ascii="Times New Roman" w:eastAsia="Calibri" w:hAnsi="Times New Roman" w:cs="Times New Roman"/>
          <w:iCs/>
          <w:color w:val="000000"/>
          <w:sz w:val="20"/>
          <w:szCs w:val="20"/>
        </w:rPr>
        <w:t>Enterprises should gather extensive information regarding the current state of their assets, network infrastructure and communications. This data includes asset security posture, network</w:t>
      </w:r>
      <w:r w:rsidRPr="00335E04">
        <w:rPr>
          <w:rFonts w:ascii="Calibri" w:eastAsia="Calibri" w:hAnsi="Calibri" w:cs="Calibri"/>
          <w:iCs/>
          <w:color w:val="000000"/>
          <w:sz w:val="20"/>
          <w:szCs w:val="20"/>
        </w:rPr>
        <w:t xml:space="preserve"> </w:t>
      </w:r>
      <w:r w:rsidRPr="00335E04">
        <w:rPr>
          <w:rFonts w:ascii="Times New Roman" w:eastAsia="Calibri" w:hAnsi="Times New Roman" w:cs="Times New Roman"/>
          <w:iCs/>
          <w:color w:val="000000"/>
          <w:sz w:val="20"/>
          <w:szCs w:val="20"/>
        </w:rPr>
        <w:t>traffic and access</w:t>
      </w:r>
      <w:r w:rsidRPr="00335E04">
        <w:rPr>
          <w:rFonts w:ascii="Calibri" w:eastAsia="Calibri" w:hAnsi="Calibri" w:cs="Calibri"/>
          <w:iCs/>
          <w:color w:val="000000"/>
          <w:sz w:val="20"/>
          <w:szCs w:val="20"/>
        </w:rPr>
        <w:t xml:space="preserve"> </w:t>
      </w:r>
      <w:r w:rsidRPr="00335E04">
        <w:rPr>
          <w:rFonts w:ascii="Times New Roman" w:eastAsia="Calibri" w:hAnsi="Times New Roman" w:cs="Times New Roman"/>
          <w:iCs/>
          <w:color w:val="000000"/>
          <w:sz w:val="20"/>
          <w:szCs w:val="20"/>
        </w:rPr>
        <w:t xml:space="preserve">requests is processed and analysed. The results from this analysis are then used to enhance the creation and enforcement of security policies whilst also providing </w:t>
      </w:r>
      <w:r w:rsidRPr="00335E04">
        <w:rPr>
          <w:rFonts w:ascii="Times New Roman" w:eastAsia="Calibri" w:hAnsi="Times New Roman" w:cs="Times New Roman"/>
          <w:iCs/>
          <w:color w:val="000000"/>
          <w:sz w:val="20"/>
          <w:szCs w:val="20"/>
        </w:rPr>
        <w:t xml:space="preserve">additional context when evaluating access requests from users. </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335E04">
        <w:rPr>
          <w:rFonts w:ascii="Times New Roman" w:eastAsia="Calibri" w:hAnsi="Times New Roman" w:cs="Times New Roman"/>
          <w:iCs/>
          <w:color w:val="000000"/>
          <w:sz w:val="20"/>
          <w:szCs w:val="20"/>
        </w:rPr>
        <w:t xml:space="preserve">As stated by </w:t>
      </w:r>
      <w:proofErr w:type="spellStart"/>
      <w:r w:rsidRPr="00335E04">
        <w:rPr>
          <w:rFonts w:ascii="Times New Roman" w:eastAsia="Calibri" w:hAnsi="Times New Roman" w:cs="Times New Roman"/>
          <w:iCs/>
          <w:color w:val="000000"/>
          <w:sz w:val="20"/>
          <w:szCs w:val="20"/>
        </w:rPr>
        <w:t>Hongzhaoning</w:t>
      </w:r>
      <w:proofErr w:type="spellEnd"/>
      <w:r w:rsidRPr="00335E04">
        <w:rPr>
          <w:rFonts w:ascii="Times New Roman" w:eastAsia="Calibri" w:hAnsi="Times New Roman" w:cs="Times New Roman"/>
          <w:iCs/>
          <w:color w:val="000000"/>
          <w:sz w:val="20"/>
          <w:szCs w:val="20"/>
        </w:rPr>
        <w:t xml:space="preserve"> et al </w:t>
      </w:r>
      <w:sdt>
        <w:sdtPr>
          <w:rPr>
            <w:rFonts w:ascii="Times New Roman" w:eastAsia="Calibri" w:hAnsi="Times New Roman" w:cs="Times New Roman"/>
            <w:iCs/>
            <w:color w:val="000000"/>
            <w:sz w:val="20"/>
            <w:szCs w:val="20"/>
          </w:rPr>
          <w:tag w:val="MENDELEY_CITATION_v3_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"/>
          <w:id w:val="179936289"/>
          <w:placeholder>
            <w:docPart w:val="E3280AE906ED4DF290BFFC377BDFEE46"/>
          </w:placeholder>
        </w:sdtPr>
        <w:sdtEndPr/>
        <w:sdtContent>
          <w:r w:rsidR="006A16C7" w:rsidRPr="006A16C7">
            <w:rPr>
              <w:rFonts w:ascii="Times New Roman" w:eastAsia="Calibri" w:hAnsi="Times New Roman" w:cs="Times New Roman"/>
              <w:iCs/>
              <w:color w:val="000000"/>
              <w:sz w:val="20"/>
              <w:szCs w:val="20"/>
            </w:rPr>
            <w:t>[4]</w:t>
          </w:r>
        </w:sdtContent>
      </w:sdt>
      <w:r w:rsidRPr="00335E04">
        <w:rPr>
          <w:rFonts w:ascii="Times New Roman" w:eastAsia="Calibri" w:hAnsi="Times New Roman" w:cs="Times New Roman"/>
          <w:iCs/>
          <w:color w:val="000000"/>
          <w:sz w:val="20"/>
          <w:szCs w:val="20"/>
        </w:rPr>
        <w:t xml:space="preserve"> the Zero Trust principles can be interpreted in various ways in different scenarios, but they remain constant. They collectively create an environment that anticipates threats through continuous monitoring and analysis, protects resources via least privilege and secure communication, detects anomalies using behavioural and environmental signals whilst automatically responding through dynamic policies and continuous authentication. However, the effectiveness of the principles depends heavily on mature identity governance, strong leadership support and investment in automation. </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335E04">
        <w:rPr>
          <w:rFonts w:ascii="Times New Roman" w:eastAsia="Calibri" w:hAnsi="Times New Roman" w:cs="Times New Roman"/>
          <w:iCs/>
          <w:color w:val="000000"/>
          <w:sz w:val="20"/>
          <w:szCs w:val="20"/>
        </w:rPr>
        <w:t xml:space="preserve">Zero Trust is a strategic shift requiring organisational commitment and when implemented correctly, these principles directly address the advanced threats facing modern and complex IT infrastructures. </w:t>
      </w:r>
    </w:p>
    <w:p w14:paraId="1296AFB2" w14:textId="3341B288" w:rsidR="00335E04" w:rsidRDefault="00335E04" w:rsidP="00335E04">
      <w:pPr>
        <w:tabs>
          <w:tab w:val="left" w:pos="3780"/>
        </w:tabs>
        <w:rPr>
          <w:rFonts w:ascii="Calibri" w:eastAsia="Calibri" w:hAnsi="Calibri" w:cs="Calibri"/>
          <w:iCs/>
          <w:color w:val="000000"/>
          <w:sz w:val="20"/>
          <w:szCs w:val="20"/>
        </w:rPr>
      </w:pPr>
      <w:r>
        <w:rPr>
          <w:rFonts w:ascii="Times New Roman" w:eastAsia="Calibri" w:hAnsi="Times New Roman" w:cs="Times New Roman"/>
          <w:b/>
          <w:bCs/>
          <w:iCs/>
          <w:color w:val="000000"/>
          <w:sz w:val="20"/>
          <w:szCs w:val="20"/>
          <w:u w:val="single"/>
        </w:rPr>
        <w:t>Challenges of Zero Trust</w:t>
      </w:r>
      <w:r>
        <w:rPr>
          <w:rFonts w:ascii="Times New Roman" w:eastAsia="Calibri" w:hAnsi="Times New Roman" w:cs="Times New Roman"/>
          <w:b/>
          <w:bCs/>
          <w:iCs/>
          <w:color w:val="000000"/>
          <w:sz w:val="20"/>
          <w:szCs w:val="20"/>
          <w:u w:val="single"/>
        </w:rPr>
        <w:br/>
      </w:r>
      <w:r w:rsidRPr="00335E04">
        <w:rPr>
          <w:rFonts w:ascii="Times New Roman" w:eastAsia="Calibri" w:hAnsi="Times New Roman" w:cs="Times New Roman"/>
          <w:iCs/>
          <w:color w:val="000000"/>
          <w:sz w:val="20"/>
          <w:szCs w:val="20"/>
        </w:rPr>
        <w:t xml:space="preserve">As stated by Gambo and </w:t>
      </w:r>
      <w:proofErr w:type="spellStart"/>
      <w:r w:rsidRPr="00335E04">
        <w:rPr>
          <w:rFonts w:ascii="Times New Roman" w:eastAsia="Calibri" w:hAnsi="Times New Roman" w:cs="Times New Roman"/>
          <w:iCs/>
          <w:color w:val="000000"/>
          <w:sz w:val="20"/>
          <w:szCs w:val="20"/>
        </w:rPr>
        <w:t>Almulhem</w:t>
      </w:r>
      <w:proofErr w:type="spellEnd"/>
      <w:r w:rsidRPr="00335E04">
        <w:rPr>
          <w:rFonts w:ascii="Times New Roman" w:eastAsia="Calibri" w:hAnsi="Times New Roman" w:cs="Times New Roman"/>
          <w:iCs/>
          <w:color w:val="000000"/>
          <w:sz w:val="20"/>
          <w:szCs w:val="20"/>
        </w:rPr>
        <w:t xml:space="preserve"> </w:t>
      </w:r>
      <w:sdt>
        <w:sdtPr>
          <w:rPr>
            <w:rFonts w:ascii="Times New Roman" w:eastAsia="Calibri" w:hAnsi="Times New Roman" w:cs="Times New Roman"/>
            <w:iCs/>
            <w:color w:val="000000"/>
            <w:sz w:val="20"/>
            <w:szCs w:val="20"/>
          </w:rPr>
          <w:tag w:val="MENDELEY_CITATION_v3_eyJjaXRhdGlvbklEIjoiTUVOREVMRVlfQ0lUQVRJT05fNjJjMzk3MGUtMzZiMC00NWMzLTg1MTktZWE2ZTY5OTk4OTM0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
          <w:id w:val="1232272540"/>
          <w:placeholder>
            <w:docPart w:val="999B1E6C616441DFA471F724C510FBA4"/>
          </w:placeholder>
        </w:sdtPr>
        <w:sdtEndPr/>
        <w:sdtContent>
          <w:r w:rsidR="006A16C7" w:rsidRPr="006A16C7">
            <w:rPr>
              <w:rFonts w:ascii="Times New Roman" w:eastAsia="Calibri" w:hAnsi="Times New Roman" w:cs="Times New Roman"/>
              <w:iCs/>
              <w:color w:val="000000"/>
              <w:sz w:val="20"/>
              <w:szCs w:val="20"/>
            </w:rPr>
            <w:t>[5]</w:t>
          </w:r>
        </w:sdtContent>
      </w:sdt>
      <w:r w:rsidRPr="00335E04">
        <w:rPr>
          <w:rFonts w:ascii="Times New Roman" w:eastAsia="Calibri" w:hAnsi="Times New Roman" w:cs="Times New Roman"/>
          <w:iCs/>
          <w:color w:val="000000"/>
          <w:sz w:val="20"/>
          <w:szCs w:val="20"/>
        </w:rPr>
        <w:t xml:space="preserve"> Zero Trust comes with a few challenges that can slow down or interfere with the successful adoption and implementation of organisations.</w:t>
      </w:r>
      <w:r w:rsidRPr="00335E04">
        <w:rPr>
          <w:rFonts w:ascii="Calibri" w:eastAsia="Calibri" w:hAnsi="Calibri" w:cs="Calibri"/>
          <w:iCs/>
          <w:color w:val="000000"/>
          <w:sz w:val="20"/>
          <w:szCs w:val="20"/>
        </w:rPr>
        <w:t xml:space="preserve"> </w:t>
      </w:r>
    </w:p>
    <w:p w14:paraId="19C4F342" w14:textId="7E49603D"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Challenge 1 – Fine Grained Access Control Strategies</w:t>
      </w:r>
      <w:r>
        <w:rPr>
          <w:rFonts w:ascii="Calibri" w:eastAsia="Calibri" w:hAnsi="Calibri" w:cs="Calibri"/>
          <w:b/>
          <w:bCs/>
          <w:iCs/>
          <w:color w:val="000000"/>
          <w:sz w:val="22"/>
          <w:szCs w:val="22"/>
          <w:u w:val="single"/>
        </w:rPr>
        <w:br/>
      </w:r>
      <w:r w:rsidRPr="00335E04">
        <w:rPr>
          <w:rFonts w:ascii="Times New Roman" w:eastAsia="Calibri" w:hAnsi="Times New Roman" w:cs="Times New Roman"/>
          <w:iCs/>
          <w:color w:val="000000"/>
          <w:sz w:val="20"/>
          <w:szCs w:val="20"/>
        </w:rPr>
        <w:t>ZTA is founded on continuous verification and strict policy enforcement. However, implementing this requires security administrators to define and enforce highly specific policies regarding who can access resources and under what conditions. In addition, fine-grained access control whilst enhancing security introduces complexities in management as this can be resource intensive. Furthermore, the effectiveness of fine-grained access control will continue to evolve and become more challenging as network dynamics change.</w:t>
      </w:r>
    </w:p>
    <w:p w14:paraId="3F695682" w14:textId="19609B40"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2 – Large-Scale Networks</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 xml:space="preserve">Implementing ZTA in large, distributed enterprises including cloud environments, remote work setups, and numerous IoT devices can present significant scalability and performance challenges. For example, whilst traditional networks use techniques like subnetting and VLANs for segmentation, these are insufficient for modern, geographically dispersed networks because they rely on trusted internal networks and provide coarse and static segmentation. Modern threats exploit lateral movement and cloud misconfigurations whilst attacking vectors that VLANs cannot mitigate. Zero Trust requires dynamic, least-privilege access decisions based on identity, behaviour and environmental context, which legacy network segmentation cannot deliver. In addition, large networks have a broader attack surface, </w:t>
      </w:r>
      <w:r w:rsidRPr="00335E04">
        <w:rPr>
          <w:rFonts w:ascii="Times New Roman" w:eastAsia="Calibri" w:hAnsi="Times New Roman" w:cs="Times New Roman"/>
          <w:iCs/>
          <w:color w:val="000000"/>
          <w:sz w:val="20"/>
          <w:szCs w:val="20"/>
        </w:rPr>
        <w:lastRenderedPageBreak/>
        <w:t>making ZTA implementation more difficult due to its strict security requirements. This is due to most larger organisations applying strict, identity-centric controls across a vast and often inconsistent environment; something that traditional segmentation and legacy architectures were never designed to support.</w:t>
      </w:r>
    </w:p>
    <w:p w14:paraId="76AF2A63" w14:textId="16D27648"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3 – Cultural &amp; Operational Shifts</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Adopting ZTA is not just a technical change, it requires a deep cultural and operational shift within an organisation. For example, employees, administrators and stakeholders must adapt to new workflows and protocols which requires extensive training. In addition, end-users may resist the continuous authentication and verification of ZTA due to potential fatigue from frequent prompts or performance slowness. These human and organisational factors can slow adoption and undermine the effectiveness of Zero Trust if not managed carefully. In addition, organisations with weak cybersecurity practices or limited awareness face particular challenges because they lack the foundational controls, identity governance, skilled staff and cultural maturity to support continuous verification and least-privilege access. These deficiencies make Zero Trust operationally difficult and significantly increase resistance, misconfigurations and security gaps.</w:t>
      </w:r>
    </w:p>
    <w:p w14:paraId="7B08C5D8" w14:textId="1D293538"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4 – Compliance &amp; Regulatory Landscape</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Organisations adopting ZTA must navigate complex regulatory landscapes. This implementation introduces real-world complexities in meeting compliance and regulatory requirements such as GDPR and HIPAA. This is particularly difficult for auditors as traditional audits rely on static access logs which contrasts with ZTA’s dynamic nature. Zero Trust improves security but complicates regulatory compliance because auditors must validate dynamic, context-driven access decisions using complex, distributed logs. Organisations must significantly mature their identity governance, logging architecture and audit processes to meet GDPR and HIPPA requirements within a Zero Trust environment.</w:t>
      </w:r>
    </w:p>
    <w:p w14:paraId="68A4C699" w14:textId="77777777" w:rsidR="00027A1A" w:rsidRPr="00027A1A" w:rsidRDefault="00027A1A" w:rsidP="00027A1A">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5 – Policy Coordination</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Enterprise networks today are highly diverse and dynamic, especially with the growth of IoT and smart devices, which makes managing security functions and polices difficult. Developing and managing Zero Trust security rules can become extremely complex in such networks. For example, each platform, device type and application</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introduces its own identity model and policy requirements. As a result of this,</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organisations must</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 xml:space="preserve">coordinate thousands of access rules, integrate inconsistent security capabilities and continuously adapt policies to dynamic workloads and legacy systems that were never designed for Zero Trust. </w:t>
      </w:r>
    </w:p>
    <w:p w14:paraId="1463DB90" w14:textId="41F809A5"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Ultimately, the challenges set out by </w:t>
      </w:r>
      <w:sdt>
        <w:sdtPr>
          <w:rPr>
            <w:rFonts w:ascii="Times New Roman" w:eastAsia="Calibri" w:hAnsi="Times New Roman" w:cs="Times New Roman"/>
            <w:iCs/>
            <w:color w:val="000000"/>
            <w:sz w:val="20"/>
            <w:szCs w:val="20"/>
          </w:rPr>
          <w:tag w:val="MENDELEY_CITATION_v3_eyJjaXRhdGlvbklEIjoiTUVOREVMRVlfQ0lUQVRJT05fNWUxYTc2MjYtOWY1YS00ZjVlLTk0YTAtZGM3OTdmY2Y2NjAx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
          <w:id w:val="-116529484"/>
          <w:placeholder>
            <w:docPart w:val="83F4723BD60948A4A533C44085869960"/>
          </w:placeholder>
        </w:sdtPr>
        <w:sdtEndPr/>
        <w:sdtContent>
          <w:r w:rsidR="006A16C7" w:rsidRPr="006A16C7">
            <w:rPr>
              <w:rFonts w:ascii="Times New Roman" w:eastAsia="Calibri" w:hAnsi="Times New Roman" w:cs="Times New Roman"/>
              <w:iCs/>
              <w:color w:val="000000"/>
              <w:sz w:val="20"/>
              <w:szCs w:val="20"/>
            </w:rPr>
            <w:t>[5]</w:t>
          </w:r>
        </w:sdtContent>
      </w:sdt>
      <w:r w:rsidRPr="00027A1A">
        <w:rPr>
          <w:rFonts w:ascii="Times New Roman" w:eastAsia="Calibri" w:hAnsi="Times New Roman" w:cs="Times New Roman"/>
          <w:iCs/>
          <w:color w:val="000000"/>
          <w:sz w:val="20"/>
          <w:szCs w:val="20"/>
        </w:rPr>
        <w:t xml:space="preserve"> highlight how diversity magnifies every aspect of Zero Trust, from identity management to policy design to compliance. Without careful planning and strong governance, the complexity can quickly overwhelm teams and undermine the very security benefits Zero Trust is meant to deliver. </w:t>
      </w:r>
    </w:p>
    <w:p w14:paraId="5DE25C93" w14:textId="040945DB" w:rsidR="00027A1A" w:rsidRPr="00027A1A" w:rsidRDefault="00027A1A" w:rsidP="00027A1A">
      <w:pPr>
        <w:tabs>
          <w:tab w:val="left" w:pos="3780"/>
        </w:tabs>
        <w:rPr>
          <w:rFonts w:ascii="Times New Roman" w:eastAsia="Calibri" w:hAnsi="Times New Roman" w:cs="Times New Roman"/>
          <w:iCs/>
          <w:color w:val="000000"/>
          <w:sz w:val="20"/>
          <w:szCs w:val="20"/>
        </w:rPr>
      </w:pPr>
      <w:r>
        <w:rPr>
          <w:rFonts w:ascii="Times New Roman" w:eastAsia="Calibri" w:hAnsi="Times New Roman" w:cs="Times New Roman"/>
          <w:b/>
          <w:bCs/>
          <w:iCs/>
          <w:color w:val="000000"/>
          <w:sz w:val="22"/>
          <w:szCs w:val="22"/>
          <w:u w:val="single"/>
        </w:rPr>
        <w:t>Secure Access Service Edge (SASE)</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 xml:space="preserve">According to Lee &amp; Park </w:t>
      </w:r>
      <w:sdt>
        <w:sdtPr>
          <w:rPr>
            <w:rFonts w:ascii="Times New Roman" w:eastAsia="Calibri" w:hAnsi="Times New Roman" w:cs="Times New Roman"/>
            <w:iCs/>
            <w:color w:val="000000"/>
            <w:sz w:val="20"/>
            <w:szCs w:val="20"/>
          </w:rPr>
          <w:tag w:val="MENDELEY_CITATION_v3_eyJjaXRhdGlvbklEIjoiTUVOREVMRVlfQ0lUQVRJT05fOWZkZjMxODMtNTZmYS00YWFlLWExYTgtMzM0YTg2MmI0YzBm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344240199"/>
          <w:placeholder>
            <w:docPart w:val="6BEB7F23B31F4BF296D4BB7286BB4069"/>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Secure Access Service Edge is an architectural framework that combines wide-area networking with comprehensive security services in a cloud-native environment. As organisations increasingly adopt cloud services and enable remote workforces, the traditional network perimeter is dissolving, making it difficult to maintain consistent security policies. SASE addresses this challenge by bringing security and networking functions closer to users, devices or applications, regardless of their location. </w:t>
      </w:r>
    </w:p>
    <w:p w14:paraId="50065495" w14:textId="3355EDB5"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In addition, </w:t>
      </w:r>
      <w:sdt>
        <w:sdtPr>
          <w:rPr>
            <w:rFonts w:ascii="Times New Roman" w:eastAsia="Calibri" w:hAnsi="Times New Roman" w:cs="Times New Roman"/>
            <w:iCs/>
            <w:color w:val="000000"/>
            <w:sz w:val="20"/>
            <w:szCs w:val="20"/>
          </w:rPr>
          <w:tag w:val="MENDELEY_CITATION_v3_eyJjaXRhdGlvbklEIjoiTUVOREVMRVlfQ0lUQVRJT05fNzAwOThkMjItN2JmMC00Y2JiLThhNjAtM2Y4YWEyNzVlYTNj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22664768"/>
          <w:placeholder>
            <w:docPart w:val="6BEB7F23B31F4BF296D4BB7286BB4069"/>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states that SASE integrate several security solutions including Zero Trust Network Access (ZTNA), Secure Web Gateway (SWG) and Cloud Access Security Broker (CASB) into a unified, cloud-delivered service as shown in Figure 1. This architecture supports dynamic scalability and flexibility, ensuring secure access to applications and data from any location.</w:t>
      </w:r>
    </w:p>
    <w:p w14:paraId="0564182B" w14:textId="77777777" w:rsidR="000740ED" w:rsidRDefault="00027A1A" w:rsidP="000740ED">
      <w:pPr>
        <w:keepNext/>
        <w:tabs>
          <w:tab w:val="left" w:pos="3780"/>
        </w:tabs>
      </w:pPr>
      <w:r w:rsidRPr="00027A1A">
        <w:rPr>
          <w:rFonts w:ascii="Calibri" w:eastAsia="Calibri" w:hAnsi="Calibri" w:cs="Times New Roman"/>
          <w:noProof/>
        </w:rPr>
        <w:drawing>
          <wp:inline distT="0" distB="0" distL="0" distR="0" wp14:anchorId="0ACB500B" wp14:editId="0C0E6F60">
            <wp:extent cx="2871470" cy="1956374"/>
            <wp:effectExtent l="0" t="0" r="5080" b="6350"/>
            <wp:docPr id="10" name="Picture 4" descr="Exploring the Benefits of SASE Architecture Today - Lume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loring the Benefits of SASE Architecture Today - Lumen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1470" cy="1956374"/>
                    </a:xfrm>
                    <a:prstGeom prst="rect">
                      <a:avLst/>
                    </a:prstGeom>
                    <a:noFill/>
                    <a:ln>
                      <a:noFill/>
                    </a:ln>
                  </pic:spPr>
                </pic:pic>
              </a:graphicData>
            </a:graphic>
          </wp:inline>
        </w:drawing>
      </w:r>
    </w:p>
    <w:p w14:paraId="6BFFD41A" w14:textId="16D7E91C" w:rsidR="000740ED" w:rsidRDefault="000740ED" w:rsidP="000740ED">
      <w:pPr>
        <w:pStyle w:val="Caption"/>
      </w:pPr>
      <w:bookmarkStart w:id="0" w:name="_Toc235536860"/>
      <w:r>
        <w:t xml:space="preserve">Figure </w:t>
      </w:r>
      <w:fldSimple w:instr=" SEQ Figure \* ARABIC ">
        <w:r w:rsidR="00DC7A2E">
          <w:rPr>
            <w:noProof/>
          </w:rPr>
          <w:t>1</w:t>
        </w:r>
      </w:fldSimple>
      <w:r>
        <w:t xml:space="preserve"> - Image of SASE Architecture</w:t>
      </w:r>
      <w:bookmarkEnd w:id="0"/>
    </w:p>
    <w:p w14:paraId="6382FCBC" w14:textId="63182D04" w:rsidR="00027A1A" w:rsidRPr="000740ED" w:rsidRDefault="00027A1A" w:rsidP="00027A1A">
      <w:pPr>
        <w:tabs>
          <w:tab w:val="left" w:pos="3780"/>
        </w:tabs>
        <w:rPr>
          <w:rFonts w:ascii="Times New Roman" w:eastAsia="Calibri" w:hAnsi="Times New Roman" w:cs="Times New Roman"/>
          <w:i/>
          <w:color w:val="000000"/>
          <w:sz w:val="18"/>
          <w:szCs w:val="18"/>
        </w:rPr>
      </w:pPr>
      <w:r>
        <w:rPr>
          <w:rFonts w:ascii="Times New Roman" w:eastAsia="Calibri" w:hAnsi="Times New Roman" w:cs="Times New Roman"/>
          <w:b/>
          <w:bCs/>
          <w:iCs/>
          <w:color w:val="000000"/>
          <w:sz w:val="22"/>
          <w:szCs w:val="22"/>
          <w:u w:val="single"/>
        </w:rPr>
        <w:t>Components of SASE</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Zero Trust Network Access (ZNTA) is a core component of the SASE model because it provides the identity-centric, context-aware, least-privilege access controls that enforce Zero Trust principles. Whilst SASE delivers cloud-based networking and security services, ZTNA ensures that access to applications is continuously verified, segmented</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 xml:space="preserve">and protected against lateral movement, making SASE effective in modern, distributed environments as mentioned by </w:t>
      </w:r>
      <w:sdt>
        <w:sdtPr>
          <w:rPr>
            <w:rFonts w:ascii="Times New Roman" w:eastAsia="Calibri" w:hAnsi="Times New Roman" w:cs="Times New Roman"/>
            <w:iCs/>
            <w:color w:val="000000"/>
            <w:sz w:val="20"/>
            <w:szCs w:val="20"/>
          </w:rPr>
          <w:tag w:val="MENDELEY_CITATION_v3_eyJjaXRhdGlvbklEIjoiTUVOREVMRVlfQ0lUQVRJT05fZDgzZmZlZGQtOWMyOS00ZjZiLWJkMzEtOTczNTA2Y2MzYTYz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895749508"/>
          <w:placeholder>
            <w:docPart w:val="AC57045F7CC6465CA2DBDF4F62EFB682"/>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w:t>
      </w:r>
    </w:p>
    <w:p w14:paraId="33269F66" w14:textId="15A4EFA3"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lastRenderedPageBreak/>
        <w:t xml:space="preserve">Cloud Access Security Broker (CASB) is another core component of SASE because it delivers the cloud-specific visibility, data protection and policy enforcement that traditional network security tools cannot provide according to </w:t>
      </w:r>
      <w:sdt>
        <w:sdtPr>
          <w:rPr>
            <w:rFonts w:ascii="Times New Roman" w:eastAsia="Calibri" w:hAnsi="Times New Roman" w:cs="Times New Roman"/>
            <w:iCs/>
            <w:color w:val="000000"/>
            <w:sz w:val="20"/>
            <w:szCs w:val="20"/>
          </w:rPr>
          <w:tag w:val="MENDELEY_CITATION_v3_eyJjaXRhdGlvbklEIjoiTUVOREVMRVlfQ0lUQVRJT05fNmIxNGJjN2MtYWM3ZS00ZTlmLTgzY2EtZWMwNWIyYTZiMDg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2146187123"/>
          <w:placeholder>
            <w:docPart w:val="AC57045F7CC6465CA2DBDF4F62EFB682"/>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Whilst SASE unifies networking and security in the cloud, CASB ensures that sensitive data within SASE and multi-cloud environments are monitored, governed and protected using context-aware controls that are aligned with Zero Trust principles. </w:t>
      </w:r>
    </w:p>
    <w:p w14:paraId="6BBDE37E" w14:textId="0299C15B"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Secure Web Gateway (SWG) is a third component of SASE which provides the real-time web filtering, malware protection and policy enforcement needed to secure internet traffic. Whilst ZNTA and CASB protect internal and cloud applications, SWG ensures that users are protected from web-based threats and that internet usage complies with organisational standards, making SASE effective in modern, distributed environments </w:t>
      </w:r>
      <w:sdt>
        <w:sdtPr>
          <w:rPr>
            <w:rFonts w:ascii="Times New Roman" w:eastAsia="Calibri" w:hAnsi="Times New Roman" w:cs="Times New Roman"/>
            <w:iCs/>
            <w:color w:val="000000"/>
            <w:sz w:val="20"/>
            <w:szCs w:val="20"/>
          </w:rPr>
          <w:tag w:val="MENDELEY_CITATION_v3_eyJjaXRhdGlvbklEIjoiTUVOREVMRVlfQ0lUQVRJT05fMmQwZDRlMWMtMWQzNi00ZDEzLWI4MTgtMTgzNTE5NDBlNWE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917435609"/>
          <w:placeholder>
            <w:docPart w:val="AC57045F7CC6465CA2DBDF4F62EFB682"/>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goes onto mention. </w:t>
      </w:r>
    </w:p>
    <w:p w14:paraId="5185462C" w14:textId="77777777"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Next-Generation Firewall (NGFW) is another essential component to SASE because it provides the deep threat prevention that the other SASE components can’t deliver. Whilst ZNTA controls access, CASB governs cloud usage and SWG filters web traffic, NGFW is the part of SASE that inspects, blocks and prevents network-based attacks across all environments, including internal, external and cloud-delivered traffic. </w:t>
      </w:r>
    </w:p>
    <w:p w14:paraId="1A38DDEF" w14:textId="77777777"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Software-Defined Wide Area Networks (SD-WAN) is the last core component to SASE. This is important to SASE because it provides the intelligent, cloud-optimised networking foundation that enables secure, high-performance access to applications from any location. Whilst SASE’s security components protect users and data, SD-WAN ensures that traffic is routed efficiently, consistently and in alignment with Zero Trust policies, making the entire SASE model scalable, resilient and effective for modern distributed organisations. </w:t>
      </w:r>
    </w:p>
    <w:p w14:paraId="76103E87" w14:textId="7801B79E"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Together, these integrated components stated by </w:t>
      </w:r>
      <w:sdt>
        <w:sdtPr>
          <w:rPr>
            <w:rFonts w:ascii="Times New Roman" w:eastAsia="Calibri" w:hAnsi="Times New Roman" w:cs="Times New Roman"/>
            <w:iCs/>
            <w:color w:val="000000"/>
            <w:sz w:val="20"/>
            <w:szCs w:val="20"/>
          </w:rPr>
          <w:tag w:val="MENDELEY_CITATION_v3_eyJjaXRhdGlvbklEIjoiTUVOREVMRVlfQ0lUQVRJT05fYWRiNmM1YzktYTgxYy00ZmM3LTk1NmEtNzRhYTg1ZmUwMzJk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48073523"/>
          <w:placeholder>
            <w:docPart w:val="4163ACCEA91D43FDB08C2B1660C76972"/>
          </w:placeholder>
        </w:sdtPr>
        <w:sdtEnd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demonstrate how SASE unifies networking and security into a single cloud-delivered model, providing consistent, high performance and context-aware protection across modern distributed enterprise environments. </w:t>
      </w:r>
    </w:p>
    <w:p w14:paraId="23DA7659" w14:textId="020B03C2" w:rsidR="00AC7842" w:rsidRDefault="00AC7842" w:rsidP="00027A1A">
      <w:pPr>
        <w:tabs>
          <w:tab w:val="left" w:pos="3780"/>
        </w:tabs>
        <w:rPr>
          <w:rFonts w:ascii="Times New Roman" w:eastAsia="Calibri" w:hAnsi="Times New Roman" w:cs="Times New Roman"/>
          <w:iCs/>
          <w:color w:val="000000"/>
          <w:sz w:val="20"/>
          <w:szCs w:val="20"/>
        </w:rPr>
      </w:pPr>
      <w:r>
        <w:rPr>
          <w:rFonts w:ascii="Times New Roman" w:eastAsia="Calibri" w:hAnsi="Times New Roman" w:cs="Times New Roman"/>
          <w:b/>
          <w:bCs/>
          <w:iCs/>
          <w:color w:val="000000"/>
          <w:sz w:val="22"/>
          <w:szCs w:val="22"/>
          <w:u w:val="single"/>
        </w:rPr>
        <w:t>Identity Governance</w:t>
      </w:r>
      <w:r>
        <w:rPr>
          <w:rFonts w:ascii="Times New Roman" w:eastAsia="Calibri" w:hAnsi="Times New Roman" w:cs="Times New Roman"/>
          <w:b/>
          <w:bCs/>
          <w:iCs/>
          <w:color w:val="000000"/>
          <w:sz w:val="22"/>
          <w:szCs w:val="22"/>
          <w:u w:val="single"/>
        </w:rPr>
        <w:br/>
      </w:r>
      <w:r w:rsidRPr="00AC7842">
        <w:rPr>
          <w:rFonts w:ascii="Times New Roman" w:eastAsia="Calibri" w:hAnsi="Times New Roman" w:cs="Times New Roman"/>
          <w:iCs/>
          <w:color w:val="000000"/>
          <w:sz w:val="20"/>
          <w:szCs w:val="20"/>
        </w:rPr>
        <w:t xml:space="preserve">As mentioned by Coursera </w:t>
      </w:r>
      <w:sdt>
        <w:sdtPr>
          <w:rPr>
            <w:rFonts w:ascii="Times New Roman" w:eastAsia="Calibri" w:hAnsi="Times New Roman" w:cs="Times New Roman"/>
            <w:iCs/>
            <w:color w:val="000000"/>
            <w:sz w:val="20"/>
            <w:szCs w:val="20"/>
          </w:rPr>
          <w:tag w:val="MENDELEY_CITATION_v3_eyJjaXRhdGlvbklEIjoiTUVOREVMRVlfQ0lUQVRJT05fMzVlMTVjZWUtOTQ5MS00NGY0LTg4ZTItODZkODM1YzlkYzc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
          <w:id w:val="-747952379"/>
          <w:placeholder>
            <w:docPart w:val="464ADEA5AED945B080190D24906DE461"/>
          </w:placeholder>
        </w:sdtPr>
        <w:sdtEndPr/>
        <w:sdtContent>
          <w:r w:rsidR="006A16C7" w:rsidRPr="006A16C7">
            <w:rPr>
              <w:rFonts w:ascii="Times New Roman" w:eastAsia="Calibri" w:hAnsi="Times New Roman" w:cs="Times New Roman"/>
              <w:iCs/>
              <w:color w:val="000000"/>
              <w:sz w:val="20"/>
              <w:szCs w:val="20"/>
            </w:rPr>
            <w:t>[7]</w:t>
          </w:r>
        </w:sdtContent>
      </w:sdt>
      <w:r w:rsidRPr="00AC7842">
        <w:rPr>
          <w:rFonts w:ascii="Times New Roman" w:eastAsia="Calibri" w:hAnsi="Times New Roman" w:cs="Times New Roman"/>
          <w:iCs/>
          <w:color w:val="000000"/>
          <w:sz w:val="20"/>
          <w:szCs w:val="20"/>
        </w:rPr>
        <w:t xml:space="preserve"> identity governance and administration is a policy framework that allows a business to reduce its risk of access-related data hacks through set processes and security</w:t>
      </w:r>
      <w:r w:rsidRPr="00AC7842">
        <w:rPr>
          <w:rFonts w:ascii="Calibri" w:eastAsia="Calibri" w:hAnsi="Calibri" w:cs="Calibri"/>
          <w:iCs/>
          <w:color w:val="000000"/>
          <w:sz w:val="20"/>
          <w:szCs w:val="20"/>
        </w:rPr>
        <w:t xml:space="preserve"> </w:t>
      </w:r>
      <w:r w:rsidRPr="00AC7842">
        <w:rPr>
          <w:rFonts w:ascii="Times New Roman" w:eastAsia="Calibri" w:hAnsi="Times New Roman" w:cs="Times New Roman"/>
          <w:iCs/>
          <w:color w:val="000000"/>
          <w:sz w:val="20"/>
          <w:szCs w:val="20"/>
        </w:rPr>
        <w:t>protocols. In</w:t>
      </w:r>
      <w:r w:rsidRPr="00AC7842">
        <w:rPr>
          <w:rFonts w:ascii="Calibri" w:eastAsia="Calibri" w:hAnsi="Calibri" w:cs="Calibri"/>
          <w:iCs/>
          <w:color w:val="000000"/>
          <w:sz w:val="20"/>
          <w:szCs w:val="20"/>
        </w:rPr>
        <w:t xml:space="preserve"> </w:t>
      </w:r>
      <w:r w:rsidRPr="00AC7842">
        <w:rPr>
          <w:rFonts w:ascii="Times New Roman" w:eastAsia="Calibri" w:hAnsi="Times New Roman" w:cs="Times New Roman"/>
          <w:iCs/>
          <w:color w:val="000000"/>
          <w:sz w:val="20"/>
          <w:szCs w:val="20"/>
        </w:rPr>
        <w:t>addition, it is vital for businesses to allow automated access without increasing the risk of that access.</w:t>
      </w:r>
    </w:p>
    <w:p w14:paraId="04DD8E0F" w14:textId="4F10A564" w:rsidR="00AC7842" w:rsidRDefault="00AC7842" w:rsidP="00AC7842">
      <w:pPr>
        <w:tabs>
          <w:tab w:val="left" w:pos="3780"/>
        </w:tabs>
        <w:rPr>
          <w:rFonts w:ascii="Times New Roman" w:eastAsia="Calibri" w:hAnsi="Times New Roman" w:cs="Times New Roman"/>
          <w:iCs/>
          <w:color w:val="000000"/>
          <w:sz w:val="20"/>
          <w:szCs w:val="20"/>
        </w:rPr>
      </w:pPr>
      <w:r w:rsidRPr="00AC7842">
        <w:rPr>
          <w:rFonts w:ascii="Times New Roman" w:eastAsia="Calibri" w:hAnsi="Times New Roman" w:cs="Times New Roman"/>
          <w:iCs/>
          <w:color w:val="000000"/>
          <w:sz w:val="20"/>
          <w:szCs w:val="20"/>
        </w:rPr>
        <w:t xml:space="preserve">The primary goals of identity governance is to ensure the right people have access to an organisations data at the appropriate time, reducing the risk of data exposure, security hacks or incorrect usage </w:t>
      </w:r>
      <w:sdt>
        <w:sdtPr>
          <w:rPr>
            <w:rFonts w:ascii="Times New Roman" w:eastAsia="Calibri" w:hAnsi="Times New Roman" w:cs="Times New Roman"/>
            <w:iCs/>
            <w:color w:val="000000"/>
            <w:sz w:val="20"/>
            <w:szCs w:val="20"/>
          </w:rPr>
          <w:tag w:val="MENDELEY_CITATION_v3_eyJjaXRhdGlvbklEIjoiTUVOREVMRVlfQ0lUQVRJT05fNWUyOTlmMDYtZmE3YS00MjFmLTk3YWUtYWQ4MDYxZjVmYTY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
          <w:id w:val="-1372909639"/>
          <w:placeholder>
            <w:docPart w:val="506111B856944E7FBD42B9E8BD3FDCEA"/>
          </w:placeholder>
        </w:sdtPr>
        <w:sdtEndPr/>
        <w:sdtContent>
          <w:r w:rsidR="006A16C7" w:rsidRPr="006A16C7">
            <w:rPr>
              <w:rFonts w:ascii="Times New Roman" w:eastAsia="Calibri" w:hAnsi="Times New Roman" w:cs="Times New Roman"/>
              <w:iCs/>
              <w:color w:val="000000"/>
              <w:sz w:val="20"/>
              <w:szCs w:val="20"/>
            </w:rPr>
            <w:t>[7]</w:t>
          </w:r>
        </w:sdtContent>
      </w:sdt>
      <w:r w:rsidRPr="00AC7842">
        <w:rPr>
          <w:rFonts w:ascii="Times New Roman" w:eastAsia="Calibri" w:hAnsi="Times New Roman" w:cs="Times New Roman"/>
          <w:iCs/>
          <w:color w:val="000000"/>
          <w:sz w:val="20"/>
          <w:szCs w:val="20"/>
        </w:rPr>
        <w:t xml:space="preserve"> goes onto mention.</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AC7842">
        <w:rPr>
          <w:rFonts w:ascii="Times New Roman" w:eastAsia="Calibri" w:hAnsi="Times New Roman" w:cs="Times New Roman"/>
          <w:iCs/>
          <w:color w:val="000000"/>
          <w:sz w:val="20"/>
          <w:szCs w:val="20"/>
        </w:rPr>
        <w:t xml:space="preserve">Identity governance can be classed as a technological enabler for Zero Trust because it provides the core identity-centric infrastructure that Zero Trust depends on to function effectively as stated by Parveen et al </w:t>
      </w:r>
      <w:sdt>
        <w:sdtPr>
          <w:rPr>
            <w:rFonts w:ascii="Times New Roman" w:eastAsia="Calibri" w:hAnsi="Times New Roman" w:cs="Times New Roman"/>
            <w:iCs/>
            <w:color w:val="000000"/>
            <w:sz w:val="20"/>
            <w:szCs w:val="20"/>
          </w:rPr>
          <w:tag w:val="MENDELEY_CITATION_v3_eyJjaXRhdGlvbklEIjoiTUVOREVMRVlfQ0lUQVRJT05fMGYwZDViN2ItMmQ4Yi00NzUyLWJkMmItNmRiMDljMzg3MzJi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
          <w:id w:val="-38361517"/>
          <w:placeholder>
            <w:docPart w:val="A908AE411C08465A9F3575A68C41D016"/>
          </w:placeholder>
        </w:sdtPr>
        <w:sdtEndPr/>
        <w:sdtContent>
          <w:r w:rsidR="006A16C7" w:rsidRPr="006A16C7">
            <w:rPr>
              <w:rFonts w:ascii="Times New Roman" w:eastAsia="Calibri" w:hAnsi="Times New Roman" w:cs="Times New Roman"/>
              <w:iCs/>
              <w:color w:val="000000"/>
              <w:sz w:val="20"/>
              <w:szCs w:val="20"/>
            </w:rPr>
            <w:t>[8]</w:t>
          </w:r>
        </w:sdtContent>
      </w:sdt>
      <w:r w:rsidRPr="00AC7842">
        <w:rPr>
          <w:rFonts w:ascii="Times New Roman" w:eastAsia="Calibri" w:hAnsi="Times New Roman" w:cs="Times New Roman"/>
          <w:iCs/>
          <w:color w:val="000000"/>
          <w:sz w:val="20"/>
          <w:szCs w:val="20"/>
        </w:rPr>
        <w:t xml:space="preserve">. Mature identity governance delivers accurate and authoritative identity data, ensuring that access decisions are based on reliable user and device attributes. Without this, organisations cannot effectively implement Zero Trust because they lack the authoritative identity data, automated access controls and policy consistency required for continuous verification. In addition, access rights become inaccurate or outdated, and users retain permissions long after they are needed, undermining the least-privilege enforcement. </w:t>
      </w:r>
    </w:p>
    <w:p w14:paraId="6A2508D0" w14:textId="5507B0FF" w:rsidR="00FF03EA" w:rsidRDefault="00AC7842" w:rsidP="00AC7842">
      <w:pPr>
        <w:tabs>
          <w:tab w:val="left" w:pos="3780"/>
        </w:tabs>
        <w:rPr>
          <w:rFonts w:ascii="Times New Roman" w:eastAsia="Calibri" w:hAnsi="Times New Roman" w:cs="Times New Roman"/>
          <w:iCs/>
          <w:sz w:val="20"/>
          <w:szCs w:val="20"/>
        </w:rPr>
        <w:sectPr w:rsidR="00FF03EA" w:rsidSect="005104AB">
          <w:type w:val="continuous"/>
          <w:pgSz w:w="11906" w:h="16838"/>
          <w:pgMar w:top="1077" w:right="1077" w:bottom="1077" w:left="1077" w:header="708" w:footer="708" w:gutter="0"/>
          <w:cols w:num="2" w:space="708"/>
          <w:docGrid w:linePitch="360"/>
        </w:sectPr>
      </w:pPr>
      <w:r w:rsidRPr="00AC7842">
        <w:rPr>
          <w:rFonts w:ascii="Times New Roman" w:eastAsia="Calibri" w:hAnsi="Times New Roman" w:cs="Times New Roman"/>
          <w:iCs/>
          <w:color w:val="000000"/>
          <w:sz w:val="20"/>
          <w:szCs w:val="20"/>
        </w:rPr>
        <w:t xml:space="preserve">By maintaining dynamic identity, behavioural and environmental attributes, identity governance enables Zero Trust systems to make context-aware, adaptive access decisions in real time. It also provides the audit trails, certification workflows and compliance evidence required to support continuous authentication. Furthermore, identity governance underpins every Zero Trust control by supplying the identity signals and policy foundations needed to verify users, restrict access and respond to risk dynamically; failing to adopt this leaves Zero Trust architectures fragmented, manually intensive and prone to misconfigurations, preventing organisations from achieving the security benefits Zero Trust is designed to deliver </w:t>
      </w:r>
      <w:sdt>
        <w:sdtPr>
          <w:rPr>
            <w:rFonts w:ascii="Times New Roman" w:eastAsia="Calibri" w:hAnsi="Times New Roman" w:cs="Times New Roman"/>
            <w:iCs/>
            <w:color w:val="000000"/>
            <w:sz w:val="20"/>
            <w:szCs w:val="20"/>
          </w:rPr>
          <w:tag w:val="MENDELEY_CITATION_v3_eyJjaXRhdGlvbklEIjoiTUVOREVMRVlfQ0lUQVRJT05fNzcyZTRjN2UtMTJiZC00ZDhjLTg2YTctYWVjY2M4ZjczMzU1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
          <w:id w:val="999702504"/>
          <w:placeholder>
            <w:docPart w:val="E17C72B2745546A2A5110C4FAFB4EACC"/>
          </w:placeholder>
        </w:sdtPr>
        <w:sdtEndPr/>
        <w:sdtContent>
          <w:r w:rsidR="006A16C7" w:rsidRPr="006A16C7">
            <w:rPr>
              <w:rFonts w:ascii="Times New Roman" w:eastAsia="Calibri" w:hAnsi="Times New Roman" w:cs="Times New Roman"/>
              <w:iCs/>
              <w:color w:val="000000"/>
              <w:sz w:val="20"/>
              <w:szCs w:val="20"/>
            </w:rPr>
            <w:t>[8]</w:t>
          </w:r>
        </w:sdtContent>
      </w:sdt>
      <w:r w:rsidRPr="00AC7842">
        <w:rPr>
          <w:rFonts w:ascii="Times New Roman" w:eastAsia="Calibri" w:hAnsi="Times New Roman" w:cs="Times New Roman"/>
          <w:iCs/>
          <w:color w:val="000000"/>
          <w:sz w:val="20"/>
          <w:szCs w:val="20"/>
        </w:rPr>
        <w:t xml:space="preserve"> goes onto mention.</w:t>
      </w:r>
      <w:r>
        <w:rPr>
          <w:rFonts w:ascii="Times New Roman" w:eastAsia="Calibri" w:hAnsi="Times New Roman" w:cs="Times New Roman"/>
          <w:iCs/>
          <w:color w:val="000000"/>
          <w:sz w:val="20"/>
          <w:szCs w:val="20"/>
        </w:rPr>
        <w:br/>
      </w:r>
      <w:r w:rsidR="00595EA6">
        <w:rPr>
          <w:rFonts w:ascii="Times New Roman" w:eastAsia="Calibri" w:hAnsi="Times New Roman" w:cs="Times New Roman"/>
          <w:iCs/>
          <w:color w:val="000000"/>
          <w:sz w:val="20"/>
          <w:szCs w:val="20"/>
        </w:rPr>
        <w:br/>
      </w:r>
      <w:r>
        <w:rPr>
          <w:rFonts w:ascii="Times New Roman" w:eastAsia="Calibri" w:hAnsi="Times New Roman" w:cs="Times New Roman"/>
          <w:b/>
          <w:bCs/>
          <w:iCs/>
          <w:color w:val="000000"/>
          <w:sz w:val="22"/>
          <w:szCs w:val="22"/>
          <w:u w:val="single"/>
        </w:rPr>
        <w:t>Conclusion</w:t>
      </w:r>
      <w:r>
        <w:rPr>
          <w:rFonts w:ascii="Times New Roman" w:eastAsia="Calibri" w:hAnsi="Times New Roman" w:cs="Times New Roman"/>
          <w:b/>
          <w:bCs/>
          <w:iCs/>
          <w:color w:val="000000"/>
          <w:sz w:val="22"/>
          <w:szCs w:val="22"/>
          <w:u w:val="single"/>
        </w:rPr>
        <w:br/>
      </w:r>
      <w:r w:rsidRPr="00AC7842">
        <w:rPr>
          <w:rFonts w:ascii="Times New Roman" w:eastAsia="Calibri" w:hAnsi="Times New Roman" w:cs="Times New Roman"/>
          <w:iCs/>
          <w:sz w:val="20"/>
          <w:szCs w:val="20"/>
        </w:rPr>
        <w:t>In summary, this report has shown that Zero Trust is a necessary shift away from perimeter-based security, offering continuous verification, least-privilege access and identity-centric control to counter modern cyber threats. By examining frameworks such as MITRE ATT&amp;CK and the core NIST principles, the report highlights how Zero Trust strengthens organisational resilience whilst also introducing cultural, operational and regulatory challenges. These challenges emphasise the importance of mature identity governance, which provides the reliable identity data and automated access controls required to enforce Zero Trust effectively. Finally, the report identifies</w:t>
      </w:r>
      <w:r w:rsidRPr="00AC7842">
        <w:rPr>
          <w:rFonts w:ascii="Calibri" w:eastAsia="Calibri" w:hAnsi="Calibri" w:cs="Times New Roman"/>
          <w:iCs/>
          <w:sz w:val="20"/>
          <w:szCs w:val="20"/>
        </w:rPr>
        <w:t xml:space="preserve"> </w:t>
      </w:r>
      <w:r w:rsidRPr="00AC7842">
        <w:rPr>
          <w:rFonts w:ascii="Times New Roman" w:eastAsia="Calibri" w:hAnsi="Times New Roman" w:cs="Times New Roman"/>
          <w:iCs/>
          <w:sz w:val="20"/>
          <w:szCs w:val="20"/>
        </w:rPr>
        <w:t>Secure Access Service Edge as a key enabler, delivering cloud-based, integrated security capabilities that support Zero Trust across distributed environments. Together, these insights demonstrate that Zero Trust is an essential strategy for securing</w:t>
      </w:r>
      <w:r>
        <w:rPr>
          <w:rFonts w:ascii="Times New Roman" w:eastAsia="Calibri" w:hAnsi="Times New Roman" w:cs="Times New Roman"/>
          <w:iCs/>
          <w:sz w:val="20"/>
          <w:szCs w:val="20"/>
        </w:rPr>
        <w:t xml:space="preserve"> </w:t>
      </w:r>
      <w:r w:rsidRPr="00AC7842">
        <w:rPr>
          <w:rFonts w:ascii="Times New Roman" w:eastAsia="Calibri" w:hAnsi="Times New Roman" w:cs="Times New Roman"/>
          <w:iCs/>
          <w:sz w:val="20"/>
          <w:szCs w:val="20"/>
        </w:rPr>
        <w:t>IT infrastructures</w:t>
      </w:r>
      <w:r w:rsidR="00516FFE">
        <w:rPr>
          <w:rFonts w:ascii="Times New Roman" w:eastAsia="Calibri" w:hAnsi="Times New Roman" w:cs="Times New Roman"/>
          <w:iCs/>
          <w:sz w:val="20"/>
          <w:szCs w:val="20"/>
        </w:rPr>
        <w:t>.</w:t>
      </w:r>
    </w:p>
    <w:p w14:paraId="213ABBCC" w14:textId="77777777" w:rsidR="00FF03EA" w:rsidRDefault="00FF03EA" w:rsidP="00FF03EA">
      <w:pPr>
        <w:jc w:val="center"/>
        <w:rPr>
          <w:rFonts w:ascii="Times New Roman" w:hAnsi="Times New Roman" w:cs="Times New Roman"/>
          <w:b/>
          <w:bCs/>
          <w:sz w:val="28"/>
          <w:szCs w:val="28"/>
          <w:u w:val="single"/>
        </w:rPr>
      </w:pPr>
      <w:r w:rsidRPr="00D73697">
        <w:rPr>
          <w:rFonts w:ascii="Times New Roman" w:hAnsi="Times New Roman" w:cs="Times New Roman"/>
          <w:b/>
          <w:bCs/>
          <w:sz w:val="28"/>
          <w:szCs w:val="28"/>
          <w:u w:val="single"/>
        </w:rPr>
        <w:lastRenderedPageBreak/>
        <w:t>Chief Information Security Officer (CISO) Proposal</w:t>
      </w:r>
    </w:p>
    <w:sdt>
      <w:sdtPr>
        <w:rPr>
          <w:rFonts w:asciiTheme="minorHAnsi" w:eastAsiaTheme="minorHAnsi" w:hAnsiTheme="minorHAnsi" w:cstheme="minorBidi"/>
          <w:color w:val="auto"/>
          <w:kern w:val="2"/>
          <w:sz w:val="24"/>
          <w:szCs w:val="24"/>
          <w:lang w:eastAsia="en-US"/>
          <w14:ligatures w14:val="standardContextual"/>
        </w:rPr>
        <w:id w:val="37321777"/>
        <w:docPartObj>
          <w:docPartGallery w:val="Table of Contents"/>
          <w:docPartUnique/>
        </w:docPartObj>
      </w:sdtPr>
      <w:sdtEndPr>
        <w:rPr>
          <w:b/>
          <w:bCs/>
        </w:rPr>
      </w:sdtEndPr>
      <w:sdtContent>
        <w:p w14:paraId="5C4E0BC4" w14:textId="77777777" w:rsidR="000F0A70" w:rsidRDefault="000F0A70" w:rsidP="000F0A70">
          <w:pPr>
            <w:pStyle w:val="TOCHeading"/>
          </w:pPr>
        </w:p>
        <w:p w14:paraId="1ECAFA7B" w14:textId="60EF1694" w:rsidR="005F174B" w:rsidRDefault="000F0A70">
          <w:pPr>
            <w:pStyle w:val="TOC2"/>
            <w:tabs>
              <w:tab w:val="right" w:leader="dot" w:pos="9742"/>
            </w:tabs>
            <w:rPr>
              <w:rFonts w:eastAsiaTheme="minorEastAsia"/>
              <w:noProof/>
              <w:lang w:eastAsia="en-GB"/>
            </w:rPr>
          </w:pPr>
          <w:r>
            <w:fldChar w:fldCharType="begin"/>
          </w:r>
          <w:r>
            <w:instrText xml:space="preserve"> TOC \o "1-3" \h \z \u </w:instrText>
          </w:r>
          <w:r>
            <w:fldChar w:fldCharType="separate"/>
          </w:r>
          <w:hyperlink w:anchor="_Toc235611384" w:history="1">
            <w:r w:rsidR="005F174B" w:rsidRPr="007F0E1F">
              <w:rPr>
                <w:rStyle w:val="Hyperlink"/>
                <w:b/>
                <w:bCs/>
                <w:noProof/>
              </w:rPr>
              <w:t>Introduction</w:t>
            </w:r>
            <w:r w:rsidR="005F174B">
              <w:rPr>
                <w:noProof/>
                <w:webHidden/>
              </w:rPr>
              <w:tab/>
            </w:r>
            <w:r w:rsidR="005F174B">
              <w:rPr>
                <w:noProof/>
                <w:webHidden/>
              </w:rPr>
              <w:fldChar w:fldCharType="begin"/>
            </w:r>
            <w:r w:rsidR="005F174B">
              <w:rPr>
                <w:noProof/>
                <w:webHidden/>
              </w:rPr>
              <w:instrText xml:space="preserve"> PAGEREF _Toc235611384 \h </w:instrText>
            </w:r>
            <w:r w:rsidR="005F174B">
              <w:rPr>
                <w:noProof/>
                <w:webHidden/>
              </w:rPr>
            </w:r>
            <w:r w:rsidR="005F174B">
              <w:rPr>
                <w:noProof/>
                <w:webHidden/>
              </w:rPr>
              <w:fldChar w:fldCharType="separate"/>
            </w:r>
            <w:r w:rsidR="005F174B">
              <w:rPr>
                <w:noProof/>
                <w:webHidden/>
              </w:rPr>
              <w:t>7</w:t>
            </w:r>
            <w:r w:rsidR="005F174B">
              <w:rPr>
                <w:noProof/>
                <w:webHidden/>
              </w:rPr>
              <w:fldChar w:fldCharType="end"/>
            </w:r>
          </w:hyperlink>
        </w:p>
        <w:p w14:paraId="6BF81533" w14:textId="32F7BBD1" w:rsidR="005F174B" w:rsidRDefault="005F174B">
          <w:pPr>
            <w:pStyle w:val="TOC2"/>
            <w:tabs>
              <w:tab w:val="right" w:leader="dot" w:pos="9742"/>
            </w:tabs>
            <w:rPr>
              <w:rFonts w:eastAsiaTheme="minorEastAsia"/>
              <w:noProof/>
              <w:lang w:eastAsia="en-GB"/>
            </w:rPr>
          </w:pPr>
          <w:hyperlink w:anchor="_Toc235611385" w:history="1">
            <w:r w:rsidRPr="007F0E1F">
              <w:rPr>
                <w:rStyle w:val="Hyperlink"/>
                <w:b/>
                <w:bCs/>
                <w:noProof/>
              </w:rPr>
              <w:t>Chief Information Security Officer (CISO)</w:t>
            </w:r>
            <w:r>
              <w:rPr>
                <w:noProof/>
                <w:webHidden/>
              </w:rPr>
              <w:tab/>
            </w:r>
            <w:r>
              <w:rPr>
                <w:noProof/>
                <w:webHidden/>
              </w:rPr>
              <w:fldChar w:fldCharType="begin"/>
            </w:r>
            <w:r>
              <w:rPr>
                <w:noProof/>
                <w:webHidden/>
              </w:rPr>
              <w:instrText xml:space="preserve"> PAGEREF _Toc235611385 \h </w:instrText>
            </w:r>
            <w:r>
              <w:rPr>
                <w:noProof/>
                <w:webHidden/>
              </w:rPr>
            </w:r>
            <w:r>
              <w:rPr>
                <w:noProof/>
                <w:webHidden/>
              </w:rPr>
              <w:fldChar w:fldCharType="separate"/>
            </w:r>
            <w:r>
              <w:rPr>
                <w:noProof/>
                <w:webHidden/>
              </w:rPr>
              <w:t>7</w:t>
            </w:r>
            <w:r>
              <w:rPr>
                <w:noProof/>
                <w:webHidden/>
              </w:rPr>
              <w:fldChar w:fldCharType="end"/>
            </w:r>
          </w:hyperlink>
        </w:p>
        <w:p w14:paraId="27524189" w14:textId="77484173" w:rsidR="005F174B" w:rsidRDefault="005F174B">
          <w:pPr>
            <w:pStyle w:val="TOC2"/>
            <w:tabs>
              <w:tab w:val="right" w:leader="dot" w:pos="9742"/>
            </w:tabs>
            <w:rPr>
              <w:rFonts w:eastAsiaTheme="minorEastAsia"/>
              <w:noProof/>
              <w:lang w:eastAsia="en-GB"/>
            </w:rPr>
          </w:pPr>
          <w:hyperlink w:anchor="_Toc235611386" w:history="1">
            <w:r w:rsidRPr="007F0E1F">
              <w:rPr>
                <w:rStyle w:val="Hyperlink"/>
                <w:b/>
                <w:bCs/>
                <w:noProof/>
              </w:rPr>
              <w:t>SOC Analyst</w:t>
            </w:r>
            <w:r>
              <w:rPr>
                <w:noProof/>
                <w:webHidden/>
              </w:rPr>
              <w:tab/>
            </w:r>
            <w:r>
              <w:rPr>
                <w:noProof/>
                <w:webHidden/>
              </w:rPr>
              <w:fldChar w:fldCharType="begin"/>
            </w:r>
            <w:r>
              <w:rPr>
                <w:noProof/>
                <w:webHidden/>
              </w:rPr>
              <w:instrText xml:space="preserve"> PAGEREF _Toc235611386 \h </w:instrText>
            </w:r>
            <w:r>
              <w:rPr>
                <w:noProof/>
                <w:webHidden/>
              </w:rPr>
            </w:r>
            <w:r>
              <w:rPr>
                <w:noProof/>
                <w:webHidden/>
              </w:rPr>
              <w:fldChar w:fldCharType="separate"/>
            </w:r>
            <w:r>
              <w:rPr>
                <w:noProof/>
                <w:webHidden/>
              </w:rPr>
              <w:t>8</w:t>
            </w:r>
            <w:r>
              <w:rPr>
                <w:noProof/>
                <w:webHidden/>
              </w:rPr>
              <w:fldChar w:fldCharType="end"/>
            </w:r>
          </w:hyperlink>
        </w:p>
        <w:p w14:paraId="19A8EFED" w14:textId="6F8B53A8" w:rsidR="005F174B" w:rsidRDefault="005F174B">
          <w:pPr>
            <w:pStyle w:val="TOC2"/>
            <w:tabs>
              <w:tab w:val="right" w:leader="dot" w:pos="9742"/>
            </w:tabs>
            <w:rPr>
              <w:rFonts w:eastAsiaTheme="minorEastAsia"/>
              <w:noProof/>
              <w:lang w:eastAsia="en-GB"/>
            </w:rPr>
          </w:pPr>
          <w:hyperlink w:anchor="_Toc235611387" w:history="1">
            <w:r w:rsidRPr="007F0E1F">
              <w:rPr>
                <w:rStyle w:val="Hyperlink"/>
                <w:b/>
                <w:bCs/>
                <w:noProof/>
              </w:rPr>
              <w:t>Incident Response Analyst</w:t>
            </w:r>
            <w:r>
              <w:rPr>
                <w:noProof/>
                <w:webHidden/>
              </w:rPr>
              <w:tab/>
            </w:r>
            <w:r>
              <w:rPr>
                <w:noProof/>
                <w:webHidden/>
              </w:rPr>
              <w:fldChar w:fldCharType="begin"/>
            </w:r>
            <w:r>
              <w:rPr>
                <w:noProof/>
                <w:webHidden/>
              </w:rPr>
              <w:instrText xml:space="preserve"> PAGEREF _Toc235611387 \h </w:instrText>
            </w:r>
            <w:r>
              <w:rPr>
                <w:noProof/>
                <w:webHidden/>
              </w:rPr>
            </w:r>
            <w:r>
              <w:rPr>
                <w:noProof/>
                <w:webHidden/>
              </w:rPr>
              <w:fldChar w:fldCharType="separate"/>
            </w:r>
            <w:r>
              <w:rPr>
                <w:noProof/>
                <w:webHidden/>
              </w:rPr>
              <w:t>8</w:t>
            </w:r>
            <w:r>
              <w:rPr>
                <w:noProof/>
                <w:webHidden/>
              </w:rPr>
              <w:fldChar w:fldCharType="end"/>
            </w:r>
          </w:hyperlink>
        </w:p>
        <w:p w14:paraId="010911B2" w14:textId="7E228C93" w:rsidR="005F174B" w:rsidRDefault="005F174B">
          <w:pPr>
            <w:pStyle w:val="TOC2"/>
            <w:tabs>
              <w:tab w:val="right" w:leader="dot" w:pos="9742"/>
            </w:tabs>
            <w:rPr>
              <w:rFonts w:eastAsiaTheme="minorEastAsia"/>
              <w:noProof/>
              <w:lang w:eastAsia="en-GB"/>
            </w:rPr>
          </w:pPr>
          <w:hyperlink w:anchor="_Toc235611388" w:history="1">
            <w:r w:rsidRPr="007F0E1F">
              <w:rPr>
                <w:rStyle w:val="Hyperlink"/>
                <w:b/>
                <w:bCs/>
                <w:noProof/>
              </w:rPr>
              <w:t>Cloud Security Architect</w:t>
            </w:r>
            <w:r>
              <w:rPr>
                <w:noProof/>
                <w:webHidden/>
              </w:rPr>
              <w:tab/>
            </w:r>
            <w:r>
              <w:rPr>
                <w:noProof/>
                <w:webHidden/>
              </w:rPr>
              <w:fldChar w:fldCharType="begin"/>
            </w:r>
            <w:r>
              <w:rPr>
                <w:noProof/>
                <w:webHidden/>
              </w:rPr>
              <w:instrText xml:space="preserve"> PAGEREF _Toc235611388 \h </w:instrText>
            </w:r>
            <w:r>
              <w:rPr>
                <w:noProof/>
                <w:webHidden/>
              </w:rPr>
            </w:r>
            <w:r>
              <w:rPr>
                <w:noProof/>
                <w:webHidden/>
              </w:rPr>
              <w:fldChar w:fldCharType="separate"/>
            </w:r>
            <w:r>
              <w:rPr>
                <w:noProof/>
                <w:webHidden/>
              </w:rPr>
              <w:t>8</w:t>
            </w:r>
            <w:r>
              <w:rPr>
                <w:noProof/>
                <w:webHidden/>
              </w:rPr>
              <w:fldChar w:fldCharType="end"/>
            </w:r>
          </w:hyperlink>
        </w:p>
        <w:p w14:paraId="53F88ECA" w14:textId="28DF1D92" w:rsidR="005F174B" w:rsidRDefault="005F174B">
          <w:pPr>
            <w:pStyle w:val="TOC2"/>
            <w:tabs>
              <w:tab w:val="right" w:leader="dot" w:pos="9742"/>
            </w:tabs>
            <w:rPr>
              <w:rFonts w:eastAsiaTheme="minorEastAsia"/>
              <w:noProof/>
              <w:lang w:eastAsia="en-GB"/>
            </w:rPr>
          </w:pPr>
          <w:hyperlink w:anchor="_Toc235611389" w:history="1">
            <w:r w:rsidRPr="007F0E1F">
              <w:rPr>
                <w:rStyle w:val="Hyperlink"/>
                <w:b/>
                <w:bCs/>
                <w:noProof/>
              </w:rPr>
              <w:t>DevSecOps Engineer</w:t>
            </w:r>
            <w:r>
              <w:rPr>
                <w:noProof/>
                <w:webHidden/>
              </w:rPr>
              <w:tab/>
            </w:r>
            <w:r>
              <w:rPr>
                <w:noProof/>
                <w:webHidden/>
              </w:rPr>
              <w:fldChar w:fldCharType="begin"/>
            </w:r>
            <w:r>
              <w:rPr>
                <w:noProof/>
                <w:webHidden/>
              </w:rPr>
              <w:instrText xml:space="preserve"> PAGEREF _Toc235611389 \h </w:instrText>
            </w:r>
            <w:r>
              <w:rPr>
                <w:noProof/>
                <w:webHidden/>
              </w:rPr>
            </w:r>
            <w:r>
              <w:rPr>
                <w:noProof/>
                <w:webHidden/>
              </w:rPr>
              <w:fldChar w:fldCharType="separate"/>
            </w:r>
            <w:r>
              <w:rPr>
                <w:noProof/>
                <w:webHidden/>
              </w:rPr>
              <w:t>8</w:t>
            </w:r>
            <w:r>
              <w:rPr>
                <w:noProof/>
                <w:webHidden/>
              </w:rPr>
              <w:fldChar w:fldCharType="end"/>
            </w:r>
          </w:hyperlink>
        </w:p>
        <w:p w14:paraId="018AACE9" w14:textId="0F751222" w:rsidR="005F174B" w:rsidRDefault="005F174B">
          <w:pPr>
            <w:pStyle w:val="TOC2"/>
            <w:tabs>
              <w:tab w:val="right" w:leader="dot" w:pos="9742"/>
            </w:tabs>
            <w:rPr>
              <w:rFonts w:eastAsiaTheme="minorEastAsia"/>
              <w:noProof/>
              <w:lang w:eastAsia="en-GB"/>
            </w:rPr>
          </w:pPr>
          <w:hyperlink w:anchor="_Toc235611390" w:history="1">
            <w:r w:rsidRPr="007F0E1F">
              <w:rPr>
                <w:rStyle w:val="Hyperlink"/>
                <w:b/>
                <w:bCs/>
                <w:noProof/>
              </w:rPr>
              <w:t>Identity &amp; Access Management Engineer</w:t>
            </w:r>
            <w:r>
              <w:rPr>
                <w:noProof/>
                <w:webHidden/>
              </w:rPr>
              <w:tab/>
            </w:r>
            <w:r>
              <w:rPr>
                <w:noProof/>
                <w:webHidden/>
              </w:rPr>
              <w:fldChar w:fldCharType="begin"/>
            </w:r>
            <w:r>
              <w:rPr>
                <w:noProof/>
                <w:webHidden/>
              </w:rPr>
              <w:instrText xml:space="preserve"> PAGEREF _Toc235611390 \h </w:instrText>
            </w:r>
            <w:r>
              <w:rPr>
                <w:noProof/>
                <w:webHidden/>
              </w:rPr>
            </w:r>
            <w:r>
              <w:rPr>
                <w:noProof/>
                <w:webHidden/>
              </w:rPr>
              <w:fldChar w:fldCharType="separate"/>
            </w:r>
            <w:r>
              <w:rPr>
                <w:noProof/>
                <w:webHidden/>
              </w:rPr>
              <w:t>8</w:t>
            </w:r>
            <w:r>
              <w:rPr>
                <w:noProof/>
                <w:webHidden/>
              </w:rPr>
              <w:fldChar w:fldCharType="end"/>
            </w:r>
          </w:hyperlink>
        </w:p>
        <w:p w14:paraId="40181733" w14:textId="12486B38" w:rsidR="005F174B" w:rsidRDefault="005F174B">
          <w:pPr>
            <w:pStyle w:val="TOC2"/>
            <w:tabs>
              <w:tab w:val="right" w:leader="dot" w:pos="9742"/>
            </w:tabs>
            <w:rPr>
              <w:rFonts w:eastAsiaTheme="minorEastAsia"/>
              <w:noProof/>
              <w:lang w:eastAsia="en-GB"/>
            </w:rPr>
          </w:pPr>
          <w:hyperlink w:anchor="_Toc235611391" w:history="1">
            <w:r w:rsidRPr="007F0E1F">
              <w:rPr>
                <w:rStyle w:val="Hyperlink"/>
                <w:b/>
                <w:bCs/>
                <w:noProof/>
              </w:rPr>
              <w:t>Governance, Risk &amp; Compliance Manager</w:t>
            </w:r>
            <w:r>
              <w:rPr>
                <w:noProof/>
                <w:webHidden/>
              </w:rPr>
              <w:tab/>
            </w:r>
            <w:r>
              <w:rPr>
                <w:noProof/>
                <w:webHidden/>
              </w:rPr>
              <w:fldChar w:fldCharType="begin"/>
            </w:r>
            <w:r>
              <w:rPr>
                <w:noProof/>
                <w:webHidden/>
              </w:rPr>
              <w:instrText xml:space="preserve"> PAGEREF _Toc235611391 \h </w:instrText>
            </w:r>
            <w:r>
              <w:rPr>
                <w:noProof/>
                <w:webHidden/>
              </w:rPr>
            </w:r>
            <w:r>
              <w:rPr>
                <w:noProof/>
                <w:webHidden/>
              </w:rPr>
              <w:fldChar w:fldCharType="separate"/>
            </w:r>
            <w:r>
              <w:rPr>
                <w:noProof/>
                <w:webHidden/>
              </w:rPr>
              <w:t>8</w:t>
            </w:r>
            <w:r>
              <w:rPr>
                <w:noProof/>
                <w:webHidden/>
              </w:rPr>
              <w:fldChar w:fldCharType="end"/>
            </w:r>
          </w:hyperlink>
        </w:p>
        <w:p w14:paraId="773ECDFA" w14:textId="3B4E3A20" w:rsidR="005F174B" w:rsidRDefault="005F174B">
          <w:pPr>
            <w:pStyle w:val="TOC2"/>
            <w:tabs>
              <w:tab w:val="right" w:leader="dot" w:pos="9742"/>
            </w:tabs>
            <w:rPr>
              <w:rFonts w:eastAsiaTheme="minorEastAsia"/>
              <w:noProof/>
              <w:lang w:eastAsia="en-GB"/>
            </w:rPr>
          </w:pPr>
          <w:hyperlink w:anchor="_Toc235611392" w:history="1">
            <w:r w:rsidRPr="007F0E1F">
              <w:rPr>
                <w:rStyle w:val="Hyperlink"/>
                <w:b/>
                <w:bCs/>
                <w:noProof/>
              </w:rPr>
              <w:t>Data Protection Officer</w:t>
            </w:r>
            <w:r>
              <w:rPr>
                <w:noProof/>
                <w:webHidden/>
              </w:rPr>
              <w:tab/>
            </w:r>
            <w:r>
              <w:rPr>
                <w:noProof/>
                <w:webHidden/>
              </w:rPr>
              <w:fldChar w:fldCharType="begin"/>
            </w:r>
            <w:r>
              <w:rPr>
                <w:noProof/>
                <w:webHidden/>
              </w:rPr>
              <w:instrText xml:space="preserve"> PAGEREF _Toc235611392 \h </w:instrText>
            </w:r>
            <w:r>
              <w:rPr>
                <w:noProof/>
                <w:webHidden/>
              </w:rPr>
            </w:r>
            <w:r>
              <w:rPr>
                <w:noProof/>
                <w:webHidden/>
              </w:rPr>
              <w:fldChar w:fldCharType="separate"/>
            </w:r>
            <w:r>
              <w:rPr>
                <w:noProof/>
                <w:webHidden/>
              </w:rPr>
              <w:t>9</w:t>
            </w:r>
            <w:r>
              <w:rPr>
                <w:noProof/>
                <w:webHidden/>
              </w:rPr>
              <w:fldChar w:fldCharType="end"/>
            </w:r>
          </w:hyperlink>
        </w:p>
        <w:p w14:paraId="3F70DBF1" w14:textId="235D8345" w:rsidR="005F174B" w:rsidRDefault="005F174B">
          <w:pPr>
            <w:pStyle w:val="TOC2"/>
            <w:tabs>
              <w:tab w:val="right" w:leader="dot" w:pos="9742"/>
            </w:tabs>
            <w:rPr>
              <w:rFonts w:eastAsiaTheme="minorEastAsia"/>
              <w:noProof/>
              <w:lang w:eastAsia="en-GB"/>
            </w:rPr>
          </w:pPr>
          <w:hyperlink w:anchor="_Toc235611393" w:history="1">
            <w:r w:rsidRPr="007F0E1F">
              <w:rPr>
                <w:rStyle w:val="Hyperlink"/>
                <w:b/>
                <w:bCs/>
                <w:noProof/>
              </w:rPr>
              <w:t>Security Awareness &amp; Training Manager</w:t>
            </w:r>
            <w:r>
              <w:rPr>
                <w:noProof/>
                <w:webHidden/>
              </w:rPr>
              <w:tab/>
            </w:r>
            <w:r>
              <w:rPr>
                <w:noProof/>
                <w:webHidden/>
              </w:rPr>
              <w:fldChar w:fldCharType="begin"/>
            </w:r>
            <w:r>
              <w:rPr>
                <w:noProof/>
                <w:webHidden/>
              </w:rPr>
              <w:instrText xml:space="preserve"> PAGEREF _Toc235611393 \h </w:instrText>
            </w:r>
            <w:r>
              <w:rPr>
                <w:noProof/>
                <w:webHidden/>
              </w:rPr>
            </w:r>
            <w:r>
              <w:rPr>
                <w:noProof/>
                <w:webHidden/>
              </w:rPr>
              <w:fldChar w:fldCharType="separate"/>
            </w:r>
            <w:r>
              <w:rPr>
                <w:noProof/>
                <w:webHidden/>
              </w:rPr>
              <w:t>9</w:t>
            </w:r>
            <w:r>
              <w:rPr>
                <w:noProof/>
                <w:webHidden/>
              </w:rPr>
              <w:fldChar w:fldCharType="end"/>
            </w:r>
          </w:hyperlink>
        </w:p>
        <w:p w14:paraId="67B28A95" w14:textId="6D29F49C" w:rsidR="005F174B" w:rsidRDefault="005F174B">
          <w:pPr>
            <w:pStyle w:val="TOC2"/>
            <w:tabs>
              <w:tab w:val="right" w:leader="dot" w:pos="9742"/>
            </w:tabs>
            <w:rPr>
              <w:rFonts w:eastAsiaTheme="minorEastAsia"/>
              <w:noProof/>
              <w:lang w:eastAsia="en-GB"/>
            </w:rPr>
          </w:pPr>
          <w:hyperlink w:anchor="_Toc235611394" w:history="1">
            <w:r w:rsidRPr="007F0E1F">
              <w:rPr>
                <w:rStyle w:val="Hyperlink"/>
                <w:b/>
                <w:bCs/>
                <w:noProof/>
              </w:rPr>
              <w:t>Policy Framework Development</w:t>
            </w:r>
            <w:r>
              <w:rPr>
                <w:noProof/>
                <w:webHidden/>
              </w:rPr>
              <w:tab/>
            </w:r>
            <w:r>
              <w:rPr>
                <w:noProof/>
                <w:webHidden/>
              </w:rPr>
              <w:fldChar w:fldCharType="begin"/>
            </w:r>
            <w:r>
              <w:rPr>
                <w:noProof/>
                <w:webHidden/>
              </w:rPr>
              <w:instrText xml:space="preserve"> PAGEREF _Toc235611394 \h </w:instrText>
            </w:r>
            <w:r>
              <w:rPr>
                <w:noProof/>
                <w:webHidden/>
              </w:rPr>
            </w:r>
            <w:r>
              <w:rPr>
                <w:noProof/>
                <w:webHidden/>
              </w:rPr>
              <w:fldChar w:fldCharType="separate"/>
            </w:r>
            <w:r>
              <w:rPr>
                <w:noProof/>
                <w:webHidden/>
              </w:rPr>
              <w:t>9</w:t>
            </w:r>
            <w:r>
              <w:rPr>
                <w:noProof/>
                <w:webHidden/>
              </w:rPr>
              <w:fldChar w:fldCharType="end"/>
            </w:r>
          </w:hyperlink>
        </w:p>
        <w:p w14:paraId="477B74C2" w14:textId="14CBC464" w:rsidR="005F174B" w:rsidRDefault="005F174B">
          <w:pPr>
            <w:pStyle w:val="TOC2"/>
            <w:tabs>
              <w:tab w:val="right" w:leader="dot" w:pos="9742"/>
            </w:tabs>
            <w:rPr>
              <w:rFonts w:eastAsiaTheme="minorEastAsia"/>
              <w:noProof/>
              <w:lang w:eastAsia="en-GB"/>
            </w:rPr>
          </w:pPr>
          <w:hyperlink w:anchor="_Toc235611395" w:history="1">
            <w:r w:rsidRPr="007F0E1F">
              <w:rPr>
                <w:rStyle w:val="Hyperlink"/>
                <w:b/>
                <w:bCs/>
                <w:noProof/>
              </w:rPr>
              <w:t>Policy 1 – Acceptable Use Policy for AI &amp; Cloud Services</w:t>
            </w:r>
            <w:r>
              <w:rPr>
                <w:noProof/>
                <w:webHidden/>
              </w:rPr>
              <w:tab/>
            </w:r>
            <w:r>
              <w:rPr>
                <w:noProof/>
                <w:webHidden/>
              </w:rPr>
              <w:fldChar w:fldCharType="begin"/>
            </w:r>
            <w:r>
              <w:rPr>
                <w:noProof/>
                <w:webHidden/>
              </w:rPr>
              <w:instrText xml:space="preserve"> PAGEREF _Toc235611395 \h </w:instrText>
            </w:r>
            <w:r>
              <w:rPr>
                <w:noProof/>
                <w:webHidden/>
              </w:rPr>
            </w:r>
            <w:r>
              <w:rPr>
                <w:noProof/>
                <w:webHidden/>
              </w:rPr>
              <w:fldChar w:fldCharType="separate"/>
            </w:r>
            <w:r>
              <w:rPr>
                <w:noProof/>
                <w:webHidden/>
              </w:rPr>
              <w:t>9</w:t>
            </w:r>
            <w:r>
              <w:rPr>
                <w:noProof/>
                <w:webHidden/>
              </w:rPr>
              <w:fldChar w:fldCharType="end"/>
            </w:r>
          </w:hyperlink>
        </w:p>
        <w:p w14:paraId="663B0F44" w14:textId="0E91F6C6" w:rsidR="005F174B" w:rsidRDefault="005F174B">
          <w:pPr>
            <w:pStyle w:val="TOC2"/>
            <w:tabs>
              <w:tab w:val="right" w:leader="dot" w:pos="9742"/>
            </w:tabs>
            <w:rPr>
              <w:rFonts w:eastAsiaTheme="minorEastAsia"/>
              <w:noProof/>
              <w:lang w:eastAsia="en-GB"/>
            </w:rPr>
          </w:pPr>
          <w:hyperlink w:anchor="_Toc235611396" w:history="1">
            <w:r w:rsidRPr="007F0E1F">
              <w:rPr>
                <w:rStyle w:val="Hyperlink"/>
                <w:b/>
                <w:bCs/>
                <w:noProof/>
              </w:rPr>
              <w:t>Policy 2 – Hybrid Work &amp; Remote Access Security Policy</w:t>
            </w:r>
            <w:r>
              <w:rPr>
                <w:noProof/>
                <w:webHidden/>
              </w:rPr>
              <w:tab/>
            </w:r>
            <w:r>
              <w:rPr>
                <w:noProof/>
                <w:webHidden/>
              </w:rPr>
              <w:fldChar w:fldCharType="begin"/>
            </w:r>
            <w:r>
              <w:rPr>
                <w:noProof/>
                <w:webHidden/>
              </w:rPr>
              <w:instrText xml:space="preserve"> PAGEREF _Toc235611396 \h </w:instrText>
            </w:r>
            <w:r>
              <w:rPr>
                <w:noProof/>
                <w:webHidden/>
              </w:rPr>
            </w:r>
            <w:r>
              <w:rPr>
                <w:noProof/>
                <w:webHidden/>
              </w:rPr>
              <w:fldChar w:fldCharType="separate"/>
            </w:r>
            <w:r>
              <w:rPr>
                <w:noProof/>
                <w:webHidden/>
              </w:rPr>
              <w:t>9</w:t>
            </w:r>
            <w:r>
              <w:rPr>
                <w:noProof/>
                <w:webHidden/>
              </w:rPr>
              <w:fldChar w:fldCharType="end"/>
            </w:r>
          </w:hyperlink>
        </w:p>
        <w:p w14:paraId="02C586EA" w14:textId="7EE4A6B2" w:rsidR="005F174B" w:rsidRDefault="005F174B">
          <w:pPr>
            <w:pStyle w:val="TOC2"/>
            <w:tabs>
              <w:tab w:val="right" w:leader="dot" w:pos="9742"/>
            </w:tabs>
            <w:rPr>
              <w:rFonts w:eastAsiaTheme="minorEastAsia"/>
              <w:noProof/>
              <w:lang w:eastAsia="en-GB"/>
            </w:rPr>
          </w:pPr>
          <w:hyperlink w:anchor="_Toc235611397" w:history="1">
            <w:r w:rsidRPr="007F0E1F">
              <w:rPr>
                <w:rStyle w:val="Hyperlink"/>
                <w:b/>
                <w:bCs/>
                <w:noProof/>
              </w:rPr>
              <w:t>Policy 3 – Third-Party &amp; Cloud Vendor Risk Management Policy</w:t>
            </w:r>
            <w:r>
              <w:rPr>
                <w:noProof/>
                <w:webHidden/>
              </w:rPr>
              <w:tab/>
            </w:r>
            <w:r>
              <w:rPr>
                <w:noProof/>
                <w:webHidden/>
              </w:rPr>
              <w:fldChar w:fldCharType="begin"/>
            </w:r>
            <w:r>
              <w:rPr>
                <w:noProof/>
                <w:webHidden/>
              </w:rPr>
              <w:instrText xml:space="preserve"> PAGEREF _Toc235611397 \h </w:instrText>
            </w:r>
            <w:r>
              <w:rPr>
                <w:noProof/>
                <w:webHidden/>
              </w:rPr>
            </w:r>
            <w:r>
              <w:rPr>
                <w:noProof/>
                <w:webHidden/>
              </w:rPr>
              <w:fldChar w:fldCharType="separate"/>
            </w:r>
            <w:r>
              <w:rPr>
                <w:noProof/>
                <w:webHidden/>
              </w:rPr>
              <w:t>9</w:t>
            </w:r>
            <w:r>
              <w:rPr>
                <w:noProof/>
                <w:webHidden/>
              </w:rPr>
              <w:fldChar w:fldCharType="end"/>
            </w:r>
          </w:hyperlink>
        </w:p>
        <w:p w14:paraId="6ED55F00" w14:textId="23204BD5" w:rsidR="005F174B" w:rsidRDefault="005F174B">
          <w:pPr>
            <w:pStyle w:val="TOC2"/>
            <w:tabs>
              <w:tab w:val="right" w:leader="dot" w:pos="9742"/>
            </w:tabs>
            <w:rPr>
              <w:rFonts w:eastAsiaTheme="minorEastAsia"/>
              <w:noProof/>
              <w:lang w:eastAsia="en-GB"/>
            </w:rPr>
          </w:pPr>
          <w:hyperlink w:anchor="_Toc235611398" w:history="1">
            <w:r w:rsidRPr="007F0E1F">
              <w:rPr>
                <w:rStyle w:val="Hyperlink"/>
                <w:b/>
                <w:bCs/>
                <w:noProof/>
              </w:rPr>
              <w:t>Regulatory Compliance Strategy</w:t>
            </w:r>
            <w:r>
              <w:rPr>
                <w:noProof/>
                <w:webHidden/>
              </w:rPr>
              <w:tab/>
            </w:r>
            <w:r>
              <w:rPr>
                <w:noProof/>
                <w:webHidden/>
              </w:rPr>
              <w:fldChar w:fldCharType="begin"/>
            </w:r>
            <w:r>
              <w:rPr>
                <w:noProof/>
                <w:webHidden/>
              </w:rPr>
              <w:instrText xml:space="preserve"> PAGEREF _Toc235611398 \h </w:instrText>
            </w:r>
            <w:r>
              <w:rPr>
                <w:noProof/>
                <w:webHidden/>
              </w:rPr>
            </w:r>
            <w:r>
              <w:rPr>
                <w:noProof/>
                <w:webHidden/>
              </w:rPr>
              <w:fldChar w:fldCharType="separate"/>
            </w:r>
            <w:r>
              <w:rPr>
                <w:noProof/>
                <w:webHidden/>
              </w:rPr>
              <w:t>10</w:t>
            </w:r>
            <w:r>
              <w:rPr>
                <w:noProof/>
                <w:webHidden/>
              </w:rPr>
              <w:fldChar w:fldCharType="end"/>
            </w:r>
          </w:hyperlink>
        </w:p>
        <w:p w14:paraId="0AAA7259" w14:textId="7E092444" w:rsidR="005F174B" w:rsidRDefault="005F174B">
          <w:pPr>
            <w:pStyle w:val="TOC2"/>
            <w:tabs>
              <w:tab w:val="right" w:leader="dot" w:pos="9742"/>
            </w:tabs>
            <w:rPr>
              <w:rFonts w:eastAsiaTheme="minorEastAsia"/>
              <w:noProof/>
              <w:lang w:eastAsia="en-GB"/>
            </w:rPr>
          </w:pPr>
          <w:hyperlink w:anchor="_Toc235611399" w:history="1">
            <w:r w:rsidRPr="007F0E1F">
              <w:rPr>
                <w:rStyle w:val="Hyperlink"/>
                <w:b/>
                <w:bCs/>
                <w:noProof/>
              </w:rPr>
              <w:t>Technical Standards &amp; Architecture</w:t>
            </w:r>
            <w:r>
              <w:rPr>
                <w:noProof/>
                <w:webHidden/>
              </w:rPr>
              <w:tab/>
            </w:r>
            <w:r>
              <w:rPr>
                <w:noProof/>
                <w:webHidden/>
              </w:rPr>
              <w:fldChar w:fldCharType="begin"/>
            </w:r>
            <w:r>
              <w:rPr>
                <w:noProof/>
                <w:webHidden/>
              </w:rPr>
              <w:instrText xml:space="preserve"> PAGEREF _Toc235611399 \h </w:instrText>
            </w:r>
            <w:r>
              <w:rPr>
                <w:noProof/>
                <w:webHidden/>
              </w:rPr>
            </w:r>
            <w:r>
              <w:rPr>
                <w:noProof/>
                <w:webHidden/>
              </w:rPr>
              <w:fldChar w:fldCharType="separate"/>
            </w:r>
            <w:r>
              <w:rPr>
                <w:noProof/>
                <w:webHidden/>
              </w:rPr>
              <w:t>10</w:t>
            </w:r>
            <w:r>
              <w:rPr>
                <w:noProof/>
                <w:webHidden/>
              </w:rPr>
              <w:fldChar w:fldCharType="end"/>
            </w:r>
          </w:hyperlink>
        </w:p>
        <w:p w14:paraId="47F187BD" w14:textId="734F77AE" w:rsidR="005F174B" w:rsidRDefault="005F174B">
          <w:pPr>
            <w:pStyle w:val="TOC2"/>
            <w:tabs>
              <w:tab w:val="right" w:leader="dot" w:pos="9742"/>
            </w:tabs>
            <w:rPr>
              <w:rFonts w:eastAsiaTheme="minorEastAsia"/>
              <w:noProof/>
              <w:lang w:eastAsia="en-GB"/>
            </w:rPr>
          </w:pPr>
          <w:hyperlink w:anchor="_Toc235611400" w:history="1">
            <w:r w:rsidRPr="007F0E1F">
              <w:rPr>
                <w:rStyle w:val="Hyperlink"/>
                <w:b/>
                <w:bCs/>
                <w:noProof/>
              </w:rPr>
              <w:t>Strategic Risk Assessment</w:t>
            </w:r>
            <w:r>
              <w:rPr>
                <w:noProof/>
                <w:webHidden/>
              </w:rPr>
              <w:tab/>
            </w:r>
            <w:r>
              <w:rPr>
                <w:noProof/>
                <w:webHidden/>
              </w:rPr>
              <w:fldChar w:fldCharType="begin"/>
            </w:r>
            <w:r>
              <w:rPr>
                <w:noProof/>
                <w:webHidden/>
              </w:rPr>
              <w:instrText xml:space="preserve"> PAGEREF _Toc235611400 \h </w:instrText>
            </w:r>
            <w:r>
              <w:rPr>
                <w:noProof/>
                <w:webHidden/>
              </w:rPr>
            </w:r>
            <w:r>
              <w:rPr>
                <w:noProof/>
                <w:webHidden/>
              </w:rPr>
              <w:fldChar w:fldCharType="separate"/>
            </w:r>
            <w:r>
              <w:rPr>
                <w:noProof/>
                <w:webHidden/>
              </w:rPr>
              <w:t>12</w:t>
            </w:r>
            <w:r>
              <w:rPr>
                <w:noProof/>
                <w:webHidden/>
              </w:rPr>
              <w:fldChar w:fldCharType="end"/>
            </w:r>
          </w:hyperlink>
        </w:p>
        <w:p w14:paraId="17F13B79" w14:textId="4040C2C6" w:rsidR="005F174B" w:rsidRDefault="005F174B">
          <w:pPr>
            <w:pStyle w:val="TOC2"/>
            <w:tabs>
              <w:tab w:val="right" w:leader="dot" w:pos="9742"/>
            </w:tabs>
            <w:rPr>
              <w:rFonts w:eastAsiaTheme="minorEastAsia"/>
              <w:noProof/>
              <w:lang w:eastAsia="en-GB"/>
            </w:rPr>
          </w:pPr>
          <w:hyperlink w:anchor="_Toc235611401" w:history="1">
            <w:r w:rsidRPr="007F0E1F">
              <w:rPr>
                <w:rStyle w:val="Hyperlink"/>
                <w:b/>
                <w:bCs/>
                <w:noProof/>
              </w:rPr>
              <w:t>Incident Response &amp; Business Continuity</w:t>
            </w:r>
            <w:r>
              <w:rPr>
                <w:noProof/>
                <w:webHidden/>
              </w:rPr>
              <w:tab/>
            </w:r>
            <w:r>
              <w:rPr>
                <w:noProof/>
                <w:webHidden/>
              </w:rPr>
              <w:fldChar w:fldCharType="begin"/>
            </w:r>
            <w:r>
              <w:rPr>
                <w:noProof/>
                <w:webHidden/>
              </w:rPr>
              <w:instrText xml:space="preserve"> PAGEREF _Toc235611401 \h </w:instrText>
            </w:r>
            <w:r>
              <w:rPr>
                <w:noProof/>
                <w:webHidden/>
              </w:rPr>
            </w:r>
            <w:r>
              <w:rPr>
                <w:noProof/>
                <w:webHidden/>
              </w:rPr>
              <w:fldChar w:fldCharType="separate"/>
            </w:r>
            <w:r>
              <w:rPr>
                <w:noProof/>
                <w:webHidden/>
              </w:rPr>
              <w:t>12</w:t>
            </w:r>
            <w:r>
              <w:rPr>
                <w:noProof/>
                <w:webHidden/>
              </w:rPr>
              <w:fldChar w:fldCharType="end"/>
            </w:r>
          </w:hyperlink>
        </w:p>
        <w:p w14:paraId="1C835452" w14:textId="47703121" w:rsidR="005F174B" w:rsidRDefault="005F174B">
          <w:pPr>
            <w:pStyle w:val="TOC2"/>
            <w:tabs>
              <w:tab w:val="right" w:leader="dot" w:pos="9742"/>
            </w:tabs>
            <w:rPr>
              <w:rFonts w:eastAsiaTheme="minorEastAsia"/>
              <w:noProof/>
              <w:lang w:eastAsia="en-GB"/>
            </w:rPr>
          </w:pPr>
          <w:hyperlink w:anchor="_Toc235611402" w:history="1">
            <w:r w:rsidRPr="007F0E1F">
              <w:rPr>
                <w:rStyle w:val="Hyperlink"/>
                <w:b/>
                <w:bCs/>
                <w:noProof/>
              </w:rPr>
              <w:t>Steering Committee &amp; Roadmap</w:t>
            </w:r>
            <w:r>
              <w:rPr>
                <w:noProof/>
                <w:webHidden/>
              </w:rPr>
              <w:tab/>
            </w:r>
            <w:r>
              <w:rPr>
                <w:noProof/>
                <w:webHidden/>
              </w:rPr>
              <w:fldChar w:fldCharType="begin"/>
            </w:r>
            <w:r>
              <w:rPr>
                <w:noProof/>
                <w:webHidden/>
              </w:rPr>
              <w:instrText xml:space="preserve"> PAGEREF _Toc235611402 \h </w:instrText>
            </w:r>
            <w:r>
              <w:rPr>
                <w:noProof/>
                <w:webHidden/>
              </w:rPr>
            </w:r>
            <w:r>
              <w:rPr>
                <w:noProof/>
                <w:webHidden/>
              </w:rPr>
              <w:fldChar w:fldCharType="separate"/>
            </w:r>
            <w:r>
              <w:rPr>
                <w:noProof/>
                <w:webHidden/>
              </w:rPr>
              <w:t>14</w:t>
            </w:r>
            <w:r>
              <w:rPr>
                <w:noProof/>
                <w:webHidden/>
              </w:rPr>
              <w:fldChar w:fldCharType="end"/>
            </w:r>
          </w:hyperlink>
        </w:p>
        <w:p w14:paraId="75468C93" w14:textId="0F0BAE90" w:rsidR="005F174B" w:rsidRDefault="005F174B">
          <w:pPr>
            <w:pStyle w:val="TOC2"/>
            <w:tabs>
              <w:tab w:val="right" w:leader="dot" w:pos="9742"/>
            </w:tabs>
            <w:rPr>
              <w:rFonts w:eastAsiaTheme="minorEastAsia"/>
              <w:noProof/>
              <w:lang w:eastAsia="en-GB"/>
            </w:rPr>
          </w:pPr>
          <w:hyperlink w:anchor="_Toc235611403" w:history="1">
            <w:r w:rsidRPr="007F0E1F">
              <w:rPr>
                <w:rStyle w:val="Hyperlink"/>
                <w:b/>
                <w:bCs/>
                <w:noProof/>
              </w:rPr>
              <w:t>Conclusion</w:t>
            </w:r>
            <w:r>
              <w:rPr>
                <w:noProof/>
                <w:webHidden/>
              </w:rPr>
              <w:tab/>
            </w:r>
            <w:r>
              <w:rPr>
                <w:noProof/>
                <w:webHidden/>
              </w:rPr>
              <w:fldChar w:fldCharType="begin"/>
            </w:r>
            <w:r>
              <w:rPr>
                <w:noProof/>
                <w:webHidden/>
              </w:rPr>
              <w:instrText xml:space="preserve"> PAGEREF _Toc235611403 \h </w:instrText>
            </w:r>
            <w:r>
              <w:rPr>
                <w:noProof/>
                <w:webHidden/>
              </w:rPr>
            </w:r>
            <w:r>
              <w:rPr>
                <w:noProof/>
                <w:webHidden/>
              </w:rPr>
              <w:fldChar w:fldCharType="separate"/>
            </w:r>
            <w:r>
              <w:rPr>
                <w:noProof/>
                <w:webHidden/>
              </w:rPr>
              <w:t>15</w:t>
            </w:r>
            <w:r>
              <w:rPr>
                <w:noProof/>
                <w:webHidden/>
              </w:rPr>
              <w:fldChar w:fldCharType="end"/>
            </w:r>
          </w:hyperlink>
        </w:p>
        <w:p w14:paraId="2E8BEBD9" w14:textId="4E1B27F1" w:rsidR="005F174B" w:rsidRDefault="005F174B">
          <w:pPr>
            <w:pStyle w:val="TOC2"/>
            <w:tabs>
              <w:tab w:val="right" w:leader="dot" w:pos="9742"/>
            </w:tabs>
            <w:rPr>
              <w:rFonts w:eastAsiaTheme="minorEastAsia"/>
              <w:noProof/>
              <w:lang w:eastAsia="en-GB"/>
            </w:rPr>
          </w:pPr>
          <w:hyperlink w:anchor="_Toc235611404" w:history="1">
            <w:r w:rsidRPr="007F0E1F">
              <w:rPr>
                <w:rStyle w:val="Hyperlink"/>
                <w:b/>
                <w:bCs/>
                <w:noProof/>
              </w:rPr>
              <w:t>List of Figures</w:t>
            </w:r>
            <w:r>
              <w:rPr>
                <w:noProof/>
                <w:webHidden/>
              </w:rPr>
              <w:tab/>
            </w:r>
            <w:r>
              <w:rPr>
                <w:noProof/>
                <w:webHidden/>
              </w:rPr>
              <w:fldChar w:fldCharType="begin"/>
            </w:r>
            <w:r>
              <w:rPr>
                <w:noProof/>
                <w:webHidden/>
              </w:rPr>
              <w:instrText xml:space="preserve"> PAGEREF _Toc235611404 \h </w:instrText>
            </w:r>
            <w:r>
              <w:rPr>
                <w:noProof/>
                <w:webHidden/>
              </w:rPr>
            </w:r>
            <w:r>
              <w:rPr>
                <w:noProof/>
                <w:webHidden/>
              </w:rPr>
              <w:fldChar w:fldCharType="separate"/>
            </w:r>
            <w:r>
              <w:rPr>
                <w:noProof/>
                <w:webHidden/>
              </w:rPr>
              <w:t>17</w:t>
            </w:r>
            <w:r>
              <w:rPr>
                <w:noProof/>
                <w:webHidden/>
              </w:rPr>
              <w:fldChar w:fldCharType="end"/>
            </w:r>
          </w:hyperlink>
        </w:p>
        <w:p w14:paraId="48E3B4D4" w14:textId="3BC8642D" w:rsidR="005F174B" w:rsidRDefault="005F174B">
          <w:pPr>
            <w:pStyle w:val="TOC2"/>
            <w:tabs>
              <w:tab w:val="right" w:leader="dot" w:pos="9742"/>
            </w:tabs>
            <w:rPr>
              <w:rFonts w:eastAsiaTheme="minorEastAsia"/>
              <w:noProof/>
              <w:lang w:eastAsia="en-GB"/>
            </w:rPr>
          </w:pPr>
          <w:hyperlink w:anchor="_Toc235611405" w:history="1">
            <w:r w:rsidRPr="007F0E1F">
              <w:rPr>
                <w:rStyle w:val="Hyperlink"/>
                <w:b/>
                <w:bCs/>
                <w:noProof/>
              </w:rPr>
              <w:t>List of Tables</w:t>
            </w:r>
            <w:r>
              <w:rPr>
                <w:noProof/>
                <w:webHidden/>
              </w:rPr>
              <w:tab/>
            </w:r>
            <w:r>
              <w:rPr>
                <w:noProof/>
                <w:webHidden/>
              </w:rPr>
              <w:fldChar w:fldCharType="begin"/>
            </w:r>
            <w:r>
              <w:rPr>
                <w:noProof/>
                <w:webHidden/>
              </w:rPr>
              <w:instrText xml:space="preserve"> PAGEREF _Toc235611405 \h </w:instrText>
            </w:r>
            <w:r>
              <w:rPr>
                <w:noProof/>
                <w:webHidden/>
              </w:rPr>
            </w:r>
            <w:r>
              <w:rPr>
                <w:noProof/>
                <w:webHidden/>
              </w:rPr>
              <w:fldChar w:fldCharType="separate"/>
            </w:r>
            <w:r>
              <w:rPr>
                <w:noProof/>
                <w:webHidden/>
              </w:rPr>
              <w:t>17</w:t>
            </w:r>
            <w:r>
              <w:rPr>
                <w:noProof/>
                <w:webHidden/>
              </w:rPr>
              <w:fldChar w:fldCharType="end"/>
            </w:r>
          </w:hyperlink>
        </w:p>
        <w:p w14:paraId="629D106A" w14:textId="5942E6B9" w:rsidR="005F174B" w:rsidRDefault="005F174B">
          <w:pPr>
            <w:pStyle w:val="TOC2"/>
            <w:tabs>
              <w:tab w:val="right" w:leader="dot" w:pos="9742"/>
            </w:tabs>
            <w:rPr>
              <w:rFonts w:eastAsiaTheme="minorEastAsia"/>
              <w:noProof/>
              <w:lang w:eastAsia="en-GB"/>
            </w:rPr>
          </w:pPr>
          <w:hyperlink w:anchor="_Toc235611406" w:history="1">
            <w:r w:rsidRPr="007F0E1F">
              <w:rPr>
                <w:rStyle w:val="Hyperlink"/>
                <w:b/>
                <w:bCs/>
                <w:noProof/>
              </w:rPr>
              <w:t>Bibliography</w:t>
            </w:r>
            <w:r>
              <w:rPr>
                <w:noProof/>
                <w:webHidden/>
              </w:rPr>
              <w:tab/>
            </w:r>
            <w:r>
              <w:rPr>
                <w:noProof/>
                <w:webHidden/>
              </w:rPr>
              <w:fldChar w:fldCharType="begin"/>
            </w:r>
            <w:r>
              <w:rPr>
                <w:noProof/>
                <w:webHidden/>
              </w:rPr>
              <w:instrText xml:space="preserve"> PAGEREF _Toc235611406 \h </w:instrText>
            </w:r>
            <w:r>
              <w:rPr>
                <w:noProof/>
                <w:webHidden/>
              </w:rPr>
            </w:r>
            <w:r>
              <w:rPr>
                <w:noProof/>
                <w:webHidden/>
              </w:rPr>
              <w:fldChar w:fldCharType="separate"/>
            </w:r>
            <w:r>
              <w:rPr>
                <w:noProof/>
                <w:webHidden/>
              </w:rPr>
              <w:t>17</w:t>
            </w:r>
            <w:r>
              <w:rPr>
                <w:noProof/>
                <w:webHidden/>
              </w:rPr>
              <w:fldChar w:fldCharType="end"/>
            </w:r>
          </w:hyperlink>
        </w:p>
        <w:p w14:paraId="74C83C47" w14:textId="3E8BA5D3" w:rsidR="000F0A70" w:rsidRDefault="000F0A70" w:rsidP="000F0A70">
          <w:pPr>
            <w:rPr>
              <w:b/>
              <w:bCs/>
            </w:rPr>
          </w:pPr>
          <w:r>
            <w:rPr>
              <w:b/>
              <w:bCs/>
            </w:rPr>
            <w:fldChar w:fldCharType="end"/>
          </w:r>
        </w:p>
      </w:sdtContent>
    </w:sdt>
    <w:p w14:paraId="51ACCA0D" w14:textId="77777777" w:rsidR="00A47753" w:rsidRDefault="00A47753" w:rsidP="00FF03EA">
      <w:pPr>
        <w:jc w:val="center"/>
        <w:rPr>
          <w:rFonts w:ascii="Times New Roman" w:hAnsi="Times New Roman" w:cs="Times New Roman"/>
          <w:b/>
          <w:bCs/>
          <w:sz w:val="28"/>
          <w:szCs w:val="28"/>
          <w:u w:val="single"/>
        </w:rPr>
      </w:pPr>
    </w:p>
    <w:p w14:paraId="0AA26FF6" w14:textId="77777777" w:rsidR="00A47753" w:rsidRPr="00D73697" w:rsidRDefault="00A47753" w:rsidP="00A47753">
      <w:pPr>
        <w:rPr>
          <w:rStyle w:val="Heading2Char"/>
          <w:rFonts w:ascii="Times New Roman" w:hAnsi="Times New Roman" w:cs="Times New Roman"/>
          <w:b/>
          <w:bCs/>
          <w:color w:val="auto"/>
          <w:u w:val="single"/>
        </w:rPr>
      </w:pPr>
    </w:p>
    <w:p w14:paraId="112742C5" w14:textId="06E3EB62" w:rsidR="00C054C7" w:rsidRPr="00874104" w:rsidRDefault="00C054C7" w:rsidP="00874104">
      <w:pPr>
        <w:rPr>
          <w:rFonts w:ascii="Times New Roman" w:eastAsia="Calibri" w:hAnsi="Times New Roman" w:cs="Times New Roman"/>
          <w:iCs/>
          <w:sz w:val="20"/>
          <w:szCs w:val="20"/>
        </w:rPr>
        <w:sectPr w:rsidR="00C054C7" w:rsidRPr="00874104" w:rsidSect="00FF03EA">
          <w:pgSz w:w="11906" w:h="16838"/>
          <w:pgMar w:top="1077" w:right="1077" w:bottom="1077" w:left="1077" w:header="708" w:footer="708" w:gutter="0"/>
          <w:cols w:space="708"/>
          <w:docGrid w:linePitch="360"/>
        </w:sectPr>
      </w:pPr>
    </w:p>
    <w:p w14:paraId="230B74F0" w14:textId="77777777" w:rsidR="00367774" w:rsidRDefault="00367774" w:rsidP="00367774">
      <w:pPr>
        <w:jc w:val="center"/>
        <w:rPr>
          <w:rFonts w:ascii="Times New Roman" w:hAnsi="Times New Roman" w:cs="Times New Roman"/>
          <w:b/>
          <w:bCs/>
          <w:sz w:val="28"/>
          <w:szCs w:val="28"/>
          <w:u w:val="single"/>
        </w:rPr>
        <w:sectPr w:rsidR="00367774" w:rsidSect="005104AB">
          <w:type w:val="continuous"/>
          <w:pgSz w:w="11906" w:h="16838"/>
          <w:pgMar w:top="1077" w:right="1077" w:bottom="1077" w:left="1077" w:header="708" w:footer="708" w:gutter="0"/>
          <w:cols w:num="2" w:space="708"/>
          <w:docGrid w:linePitch="360"/>
        </w:sectPr>
      </w:pPr>
    </w:p>
    <w:p w14:paraId="0991E585" w14:textId="77777777" w:rsidR="00367774" w:rsidRDefault="00367774" w:rsidP="00AC7842">
      <w:pPr>
        <w:tabs>
          <w:tab w:val="left" w:pos="3780"/>
        </w:tabs>
        <w:rPr>
          <w:rFonts w:ascii="Times New Roman" w:eastAsia="Calibri" w:hAnsi="Times New Roman" w:cs="Times New Roman"/>
          <w:iCs/>
          <w:sz w:val="20"/>
          <w:szCs w:val="20"/>
        </w:rPr>
        <w:sectPr w:rsidR="00367774" w:rsidSect="00367774">
          <w:type w:val="continuous"/>
          <w:pgSz w:w="11906" w:h="16838"/>
          <w:pgMar w:top="1077" w:right="1077" w:bottom="1077" w:left="1077" w:header="708" w:footer="708" w:gutter="0"/>
          <w:cols w:space="708"/>
          <w:docGrid w:linePitch="360"/>
        </w:sectPr>
      </w:pPr>
    </w:p>
    <w:p w14:paraId="238BBC14" w14:textId="20F5EEE9" w:rsidR="00367774" w:rsidRDefault="00367774" w:rsidP="00AC7842">
      <w:pPr>
        <w:tabs>
          <w:tab w:val="left" w:pos="3780"/>
        </w:tabs>
        <w:rPr>
          <w:rFonts w:ascii="Times New Roman" w:eastAsia="Calibri" w:hAnsi="Times New Roman" w:cs="Times New Roman"/>
          <w:iCs/>
          <w:sz w:val="20"/>
          <w:szCs w:val="20"/>
        </w:rPr>
      </w:pPr>
    </w:p>
    <w:p w14:paraId="15DB189E" w14:textId="77777777" w:rsidR="00367774" w:rsidRDefault="00367774">
      <w:pPr>
        <w:rPr>
          <w:rFonts w:ascii="Times New Roman" w:eastAsia="Calibri" w:hAnsi="Times New Roman" w:cs="Times New Roman"/>
          <w:iCs/>
          <w:sz w:val="20"/>
          <w:szCs w:val="20"/>
        </w:rPr>
      </w:pPr>
      <w:r>
        <w:rPr>
          <w:rFonts w:ascii="Times New Roman" w:eastAsia="Calibri" w:hAnsi="Times New Roman" w:cs="Times New Roman"/>
          <w:iCs/>
          <w:sz w:val="20"/>
          <w:szCs w:val="20"/>
        </w:rPr>
        <w:br w:type="page"/>
      </w:r>
    </w:p>
    <w:p w14:paraId="5634C53C" w14:textId="327F892D" w:rsidR="00EE3B94" w:rsidRDefault="00EE3B94" w:rsidP="00EE3B94">
      <w:pPr>
        <w:rPr>
          <w:b/>
          <w:bCs/>
        </w:rPr>
      </w:pPr>
    </w:p>
    <w:p w14:paraId="24594ADD" w14:textId="01EC6839" w:rsidR="00EE3B94" w:rsidRDefault="00EE3B94"/>
    <w:p w14:paraId="79B7F319" w14:textId="77777777" w:rsidR="00367774" w:rsidRPr="00B82F8F" w:rsidRDefault="00367774" w:rsidP="00AC7842">
      <w:pPr>
        <w:tabs>
          <w:tab w:val="left" w:pos="3780"/>
        </w:tabs>
        <w:rPr>
          <w:rFonts w:ascii="Times New Roman" w:eastAsia="Calibri" w:hAnsi="Times New Roman" w:cs="Times New Roman"/>
          <w:iCs/>
          <w:sz w:val="20"/>
          <w:szCs w:val="20"/>
        </w:rPr>
        <w:sectPr w:rsidR="00367774" w:rsidRPr="00B82F8F" w:rsidSect="005104AB">
          <w:type w:val="continuous"/>
          <w:pgSz w:w="11906" w:h="16838"/>
          <w:pgMar w:top="1077" w:right="1077" w:bottom="1077" w:left="1077" w:header="708" w:footer="708" w:gutter="0"/>
          <w:cols w:num="2" w:space="708"/>
          <w:docGrid w:linePitch="360"/>
        </w:sectPr>
      </w:pPr>
    </w:p>
    <w:p w14:paraId="03D66848" w14:textId="3BB4D86B" w:rsidR="00072EAA" w:rsidRDefault="007043CB" w:rsidP="00072EAA">
      <w:pPr>
        <w:rPr>
          <w:rFonts w:ascii="Times New Roman" w:hAnsi="Times New Roman" w:cs="Times New Roman"/>
          <w:sz w:val="22"/>
          <w:szCs w:val="22"/>
        </w:rPr>
      </w:pPr>
      <w:bookmarkStart w:id="1" w:name="_Toc235536168"/>
      <w:bookmarkStart w:id="2" w:name="_Toc235611384"/>
      <w:r w:rsidRPr="00DA555A">
        <w:rPr>
          <w:rStyle w:val="Heading2Char"/>
          <w:b/>
          <w:bCs/>
          <w:color w:val="auto"/>
          <w:sz w:val="28"/>
          <w:szCs w:val="28"/>
          <w:u w:val="single"/>
        </w:rPr>
        <w:t>Introduction</w:t>
      </w:r>
      <w:bookmarkEnd w:id="1"/>
      <w:bookmarkEnd w:id="2"/>
      <w:r w:rsidR="00B82F8F" w:rsidRPr="009B2BC1">
        <w:rPr>
          <w:rFonts w:eastAsia="Calibri"/>
          <w:b/>
          <w:bCs/>
          <w:sz w:val="28"/>
          <w:szCs w:val="28"/>
          <w:u w:val="single"/>
        </w:rPr>
        <w:br/>
      </w:r>
      <w:r w:rsidR="00CB358B">
        <w:rPr>
          <w:rFonts w:ascii="Times New Roman" w:hAnsi="Times New Roman" w:cs="Times New Roman"/>
          <w:sz w:val="22"/>
          <w:szCs w:val="22"/>
        </w:rPr>
        <w:t xml:space="preserve">Aegis FinTech Innovations LTD is entering a critical phase of growth as it prepares for a Series B funding round and expands its AI-driven financial analytics services into the European Union. In response to increasing ransomware threats and the regulatory requirements of GDPR and DORA, the board has approved the creation of a dedicated Information Security Unit. </w:t>
      </w:r>
      <w:r w:rsidR="00CB358B" w:rsidRPr="009F2E4C">
        <w:rPr>
          <w:rFonts w:ascii="Times New Roman" w:hAnsi="Times New Roman" w:cs="Times New Roman"/>
          <w:sz w:val="22"/>
          <w:szCs w:val="22"/>
        </w:rPr>
        <w:t>This report presents a proposal outlining the organisational structure, policy framework, compliance strategy, technical architecture, risk assessment, incident response capability and governance model required to establish a resilient and scalable security function. The recommendations are informed by the Zero Trust research undertaken in Task 1.</w:t>
      </w:r>
      <w:r w:rsidR="00637CCC">
        <w:rPr>
          <w:rFonts w:eastAsia="Calibri"/>
          <w:b/>
          <w:bCs/>
          <w:sz w:val="28"/>
          <w:szCs w:val="28"/>
          <w:u w:val="single"/>
        </w:rPr>
        <w:br/>
      </w:r>
      <w:r w:rsidRPr="005F174B">
        <w:rPr>
          <w:rStyle w:val="Heading2Char"/>
          <w:b/>
          <w:bCs/>
          <w:color w:val="auto"/>
          <w:sz w:val="28"/>
          <w:szCs w:val="28"/>
          <w:u w:val="single"/>
        </w:rPr>
        <w:t>Organisational Design &amp; Resourcing</w:t>
      </w:r>
      <w:r w:rsidR="009B2BC1" w:rsidRPr="00DA555A">
        <w:rPr>
          <w:rFonts w:ascii="Times New Roman" w:hAnsi="Times New Roman" w:cs="Times New Roman"/>
          <w:sz w:val="22"/>
          <w:szCs w:val="22"/>
        </w:rPr>
        <w:br/>
      </w:r>
      <w:r w:rsidR="00072EAA" w:rsidRPr="009F2E4C">
        <w:rPr>
          <w:rFonts w:ascii="Times New Roman" w:hAnsi="Times New Roman" w:cs="Times New Roman"/>
          <w:sz w:val="22"/>
          <w:szCs w:val="22"/>
        </w:rPr>
        <w:t>According to Saporito and Georgis [9], an organisational chart defines authority, accountability and reporting relationships while improving communication and operational efficiency. Figure 1 presents the proposed organisational structure for the Information Security Unit at Aegis FinTech Innovations Ltd. The structure has been designed to support the organisation's strategic objectives, strengthen cyber resilience and ensure compliance with GDPR and DORA through clearly defined responsibilities across governance, cloud security, identity management, security operations and security awareness.</w:t>
      </w:r>
    </w:p>
    <w:p w14:paraId="5AB499E9" w14:textId="77777777" w:rsidR="000740ED" w:rsidRDefault="000D51A0" w:rsidP="000740ED">
      <w:pPr>
        <w:keepNext/>
      </w:pPr>
      <w:r>
        <w:rPr>
          <w:b/>
          <w:bCs/>
          <w:noProof/>
          <w:sz w:val="28"/>
          <w:szCs w:val="28"/>
          <w:u w:val="single"/>
        </w:rPr>
        <w:drawing>
          <wp:inline distT="0" distB="0" distL="0" distR="0" wp14:anchorId="5A172413" wp14:editId="2CBAE50F">
            <wp:extent cx="5334635" cy="3023870"/>
            <wp:effectExtent l="0" t="0" r="0" b="5080"/>
            <wp:docPr id="1767154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635" cy="3023870"/>
                    </a:xfrm>
                    <a:prstGeom prst="rect">
                      <a:avLst/>
                    </a:prstGeom>
                    <a:noFill/>
                  </pic:spPr>
                </pic:pic>
              </a:graphicData>
            </a:graphic>
          </wp:inline>
        </w:drawing>
      </w:r>
    </w:p>
    <w:p w14:paraId="5D81731C" w14:textId="6E705A2B" w:rsidR="000740ED" w:rsidRDefault="000740ED" w:rsidP="000740ED">
      <w:pPr>
        <w:pStyle w:val="Caption"/>
      </w:pPr>
      <w:bookmarkStart w:id="3" w:name="_Toc235536861"/>
      <w:r>
        <w:t xml:space="preserve">Figure </w:t>
      </w:r>
      <w:fldSimple w:instr=" SEQ Figure \* ARABIC ">
        <w:r w:rsidR="00DC7A2E">
          <w:rPr>
            <w:noProof/>
          </w:rPr>
          <w:t>2</w:t>
        </w:r>
      </w:fldSimple>
      <w:r>
        <w:t xml:space="preserve"> - Aegis FinTech Organisation Chart</w:t>
      </w:r>
      <w:bookmarkEnd w:id="3"/>
    </w:p>
    <w:p w14:paraId="59F7CA23" w14:textId="12EBAEB0" w:rsidR="0000051F" w:rsidRPr="000740ED" w:rsidRDefault="005B7627" w:rsidP="0000051F">
      <w:pPr>
        <w:rPr>
          <w:rFonts w:ascii="Times New Roman" w:hAnsi="Times New Roman" w:cs="Times New Roman"/>
          <w:i/>
          <w:iCs/>
          <w:sz w:val="20"/>
          <w:szCs w:val="20"/>
        </w:rPr>
      </w:pPr>
      <w:bookmarkStart w:id="4" w:name="_Toc235536169"/>
      <w:bookmarkStart w:id="5" w:name="_Toc235611385"/>
      <w:r w:rsidRPr="00DA555A">
        <w:rPr>
          <w:rStyle w:val="Heading2Char"/>
          <w:b/>
          <w:bCs/>
          <w:color w:val="auto"/>
          <w:sz w:val="28"/>
          <w:szCs w:val="28"/>
          <w:u w:val="single"/>
        </w:rPr>
        <w:t>Chief Information Security Officer (CISO)</w:t>
      </w:r>
      <w:bookmarkEnd w:id="4"/>
      <w:bookmarkEnd w:id="5"/>
      <w:r w:rsidR="006202FF">
        <w:rPr>
          <w:b/>
          <w:bCs/>
          <w:sz w:val="28"/>
          <w:szCs w:val="28"/>
          <w:u w:val="single"/>
        </w:rPr>
        <w:br/>
      </w:r>
      <w:r w:rsidR="00B54021" w:rsidRPr="009F2E4C">
        <w:rPr>
          <w:rFonts w:ascii="Times New Roman" w:hAnsi="Times New Roman" w:cs="Times New Roman"/>
          <w:sz w:val="22"/>
          <w:szCs w:val="22"/>
        </w:rPr>
        <w:t>According to Cisco [10], the Chief Information Security Officer (CISO) oversees an organisation's information and cybersecurity strategy. As Aegis FinTech prepares for EU expansion and a Series B funding round, the CISO will lead regulatory compliance, manage enterprise cyber risk and report security performance directly to the CEO and Board of Directors. The role will also oversee the implementation of the organisation's security framework. As identified in Task 1, Zero Trust requires executive leadership to ensure security is embedded across governance, business processes and organisational culture</w:t>
      </w:r>
      <w:r w:rsidR="005F174B">
        <w:rPr>
          <w:rFonts w:ascii="Times New Roman" w:hAnsi="Times New Roman" w:cs="Times New Roman"/>
          <w:sz w:val="22"/>
          <w:szCs w:val="22"/>
        </w:rPr>
        <w:t>.</w:t>
      </w:r>
      <w:r w:rsidR="00D47157">
        <w:rPr>
          <w:rFonts w:eastAsia="Calibri"/>
          <w:b/>
          <w:bCs/>
          <w:u w:val="single"/>
        </w:rPr>
        <w:br/>
      </w:r>
      <w:r w:rsidR="007043CB" w:rsidRPr="00DA555A">
        <w:rPr>
          <w:rStyle w:val="Heading2Char"/>
          <w:b/>
          <w:bCs/>
          <w:color w:val="auto"/>
          <w:sz w:val="28"/>
          <w:szCs w:val="28"/>
          <w:u w:val="single"/>
        </w:rPr>
        <w:t>Security Operations Manager</w:t>
      </w:r>
      <w:r w:rsidR="007043CB" w:rsidRPr="009B2BC1">
        <w:rPr>
          <w:b/>
          <w:bCs/>
          <w:u w:val="single"/>
        </w:rPr>
        <w:br/>
      </w:r>
      <w:r w:rsidR="0000051F" w:rsidRPr="00B461C2">
        <w:rPr>
          <w:rFonts w:ascii="Times New Roman" w:hAnsi="Times New Roman" w:cs="Times New Roman"/>
          <w:sz w:val="22"/>
          <w:szCs w:val="22"/>
        </w:rPr>
        <w:t xml:space="preserve">According to </w:t>
      </w:r>
      <w:proofErr w:type="spellStart"/>
      <w:r w:rsidR="0000051F" w:rsidRPr="00B461C2">
        <w:rPr>
          <w:rFonts w:ascii="Times New Roman" w:hAnsi="Times New Roman" w:cs="Times New Roman"/>
          <w:sz w:val="22"/>
          <w:szCs w:val="22"/>
        </w:rPr>
        <w:t>Zippia</w:t>
      </w:r>
      <w:proofErr w:type="spellEnd"/>
      <w:r w:rsidR="0000051F" w:rsidRPr="00B461C2">
        <w:rPr>
          <w:rFonts w:ascii="Times New Roman" w:hAnsi="Times New Roman" w:cs="Times New Roman"/>
          <w:sz w:val="22"/>
          <w:szCs w:val="22"/>
        </w:rPr>
        <w:t xml:space="preserve"> [11], the Security Operations Manager oversees the detection, investigation and response to cybersecurity threats. At Aegis FinTech, the role will manage the SOC Analyst and Incident Response Analyst while coordinating security monitoring and incident response activities. As highlighted in Task 1, </w:t>
      </w:r>
      <w:r w:rsidR="0000051F" w:rsidRPr="00B461C2">
        <w:rPr>
          <w:rFonts w:ascii="Times New Roman" w:hAnsi="Times New Roman" w:cs="Times New Roman"/>
          <w:sz w:val="22"/>
          <w:szCs w:val="22"/>
        </w:rPr>
        <w:lastRenderedPageBreak/>
        <w:t>ransomware remains a significant threat to the financial sector, making rapid detection and coordinated response essential for minimising operational disruption and strengthening organisational resilience.</w:t>
      </w:r>
    </w:p>
    <w:p w14:paraId="542D0411" w14:textId="56899FC9" w:rsidR="0000051F" w:rsidRDefault="007043CB" w:rsidP="00B54021">
      <w:pPr>
        <w:rPr>
          <w:rFonts w:ascii="Times New Roman" w:hAnsi="Times New Roman" w:cs="Times New Roman"/>
          <w:sz w:val="22"/>
          <w:szCs w:val="22"/>
        </w:rPr>
      </w:pPr>
      <w:bookmarkStart w:id="6" w:name="_Toc235536170"/>
      <w:bookmarkStart w:id="7" w:name="_Toc235611386"/>
      <w:r w:rsidRPr="00DA555A">
        <w:rPr>
          <w:rStyle w:val="Heading2Char"/>
          <w:b/>
          <w:bCs/>
          <w:color w:val="auto"/>
          <w:sz w:val="28"/>
          <w:szCs w:val="28"/>
          <w:u w:val="single"/>
        </w:rPr>
        <w:t>SOC Analyst</w:t>
      </w:r>
      <w:bookmarkEnd w:id="6"/>
      <w:bookmarkEnd w:id="7"/>
      <w:r w:rsidRPr="009B2BC1">
        <w:rPr>
          <w:b/>
          <w:bCs/>
          <w:u w:val="single"/>
        </w:rPr>
        <w:br/>
      </w:r>
      <w:r w:rsidR="00A02D43" w:rsidRPr="00B461C2">
        <w:rPr>
          <w:rFonts w:ascii="Times New Roman" w:hAnsi="Times New Roman" w:cs="Times New Roman"/>
          <w:sz w:val="22"/>
          <w:szCs w:val="22"/>
        </w:rPr>
        <w:t>According to Coursera [12], a SOC Analyst continuously monitors network activity, analyses security events and investigates potential cyber threats. As discussed in Task 1, Zero Trust requires continuous monitoring and verification of user and device behaviour rather than implicit trust. The SOC Analyst supports this approach by maintaining visibility across Aegis FinTech's IT environment and enabling the rapid detection of suspicious activity.</w:t>
      </w:r>
    </w:p>
    <w:p w14:paraId="532B534B" w14:textId="77777777" w:rsidR="00C33F65" w:rsidRDefault="007043CB" w:rsidP="00C33F65">
      <w:pPr>
        <w:rPr>
          <w:rFonts w:ascii="Times New Roman" w:hAnsi="Times New Roman" w:cs="Times New Roman"/>
          <w:sz w:val="22"/>
          <w:szCs w:val="22"/>
        </w:rPr>
      </w:pPr>
      <w:bookmarkStart w:id="8" w:name="_Toc235536171"/>
      <w:bookmarkStart w:id="9" w:name="_Toc235611387"/>
      <w:r w:rsidRPr="00DA555A">
        <w:rPr>
          <w:rStyle w:val="Heading2Char"/>
          <w:b/>
          <w:bCs/>
          <w:color w:val="auto"/>
          <w:sz w:val="28"/>
          <w:szCs w:val="28"/>
          <w:u w:val="single"/>
        </w:rPr>
        <w:t>Incident Response Analyst</w:t>
      </w:r>
      <w:bookmarkEnd w:id="8"/>
      <w:bookmarkEnd w:id="9"/>
      <w:r w:rsidRPr="009B2BC1">
        <w:rPr>
          <w:b/>
          <w:bCs/>
          <w:u w:val="single"/>
        </w:rPr>
        <w:br/>
      </w:r>
      <w:r w:rsidR="00C33F65" w:rsidRPr="008E5B79">
        <w:rPr>
          <w:rFonts w:ascii="Times New Roman" w:hAnsi="Times New Roman" w:cs="Times New Roman"/>
          <w:sz w:val="22"/>
          <w:szCs w:val="22"/>
        </w:rPr>
        <w:t xml:space="preserve">According to </w:t>
      </w:r>
      <w:proofErr w:type="spellStart"/>
      <w:r w:rsidR="00C33F65" w:rsidRPr="008E5B79">
        <w:rPr>
          <w:rFonts w:ascii="Times New Roman" w:hAnsi="Times New Roman" w:cs="Times New Roman"/>
          <w:sz w:val="22"/>
          <w:szCs w:val="22"/>
        </w:rPr>
        <w:t>Hasnis</w:t>
      </w:r>
      <w:proofErr w:type="spellEnd"/>
      <w:r w:rsidR="00C33F65" w:rsidRPr="008E5B79">
        <w:rPr>
          <w:rFonts w:ascii="Times New Roman" w:hAnsi="Times New Roman" w:cs="Times New Roman"/>
          <w:sz w:val="22"/>
          <w:szCs w:val="22"/>
        </w:rPr>
        <w:t xml:space="preserve"> [13], the Incident Response Analyst identifies cybersecurity incidents, coordinates containment activities and supports the recovery of affected systems. Working closely with the Security Operations Manager, the role ensures incidents are managed efficiently while preserving forensic evidence where required. As discussed in Task 1, rapid incident response is essential for limiting the impact of ransomware and supply chain attacks, strengthening Aegis FinTech's operational resilience.</w:t>
      </w:r>
    </w:p>
    <w:p w14:paraId="1CD6B154" w14:textId="77777777" w:rsidR="00203A21" w:rsidRDefault="007043CB" w:rsidP="00203A21">
      <w:pPr>
        <w:rPr>
          <w:rFonts w:ascii="Times New Roman" w:hAnsi="Times New Roman" w:cs="Times New Roman"/>
          <w:sz w:val="22"/>
          <w:szCs w:val="22"/>
        </w:rPr>
      </w:pPr>
      <w:bookmarkStart w:id="10" w:name="_Toc235536172"/>
      <w:bookmarkStart w:id="11" w:name="_Toc235611388"/>
      <w:r w:rsidRPr="00DA555A">
        <w:rPr>
          <w:rStyle w:val="Heading2Char"/>
          <w:b/>
          <w:bCs/>
          <w:color w:val="auto"/>
          <w:sz w:val="28"/>
          <w:szCs w:val="28"/>
          <w:u w:val="single"/>
        </w:rPr>
        <w:t>Cloud Security Architect</w:t>
      </w:r>
      <w:bookmarkEnd w:id="10"/>
      <w:bookmarkEnd w:id="11"/>
      <w:r w:rsidRPr="009B2BC1">
        <w:rPr>
          <w:b/>
          <w:bCs/>
          <w:u w:val="single"/>
        </w:rPr>
        <w:br/>
      </w:r>
      <w:r w:rsidR="00203A21" w:rsidRPr="008E5B79">
        <w:rPr>
          <w:rFonts w:ascii="Times New Roman" w:hAnsi="Times New Roman" w:cs="Times New Roman"/>
          <w:sz w:val="22"/>
          <w:szCs w:val="22"/>
        </w:rPr>
        <w:t>According to Cloud Security [14], a Cloud Security Architect designs and implements secure cloud architectures while developing security policies with cloud engineering teams. As Aegis FinTech relies heavily on cloud technologies, the role ensures cloud services are securely configured, monitored and aligned with recognised security frameworks. Responsibilities include implementing secure network segmentation, encryption and identity integration to reduce the organisation's attack surface. As identified in Task 1, cloud environments are a primary target for cyberattacks, making the Cloud Security Architect fundamental to implementing the proposed Zero Trust architecture.</w:t>
      </w:r>
    </w:p>
    <w:p w14:paraId="065407AB" w14:textId="77777777" w:rsidR="00FD3A0F" w:rsidRDefault="007043CB" w:rsidP="00FD3A0F">
      <w:pPr>
        <w:rPr>
          <w:rFonts w:ascii="Times New Roman" w:hAnsi="Times New Roman" w:cs="Times New Roman"/>
          <w:sz w:val="22"/>
          <w:szCs w:val="22"/>
        </w:rPr>
      </w:pPr>
      <w:bookmarkStart w:id="12" w:name="_Toc235536173"/>
      <w:bookmarkStart w:id="13" w:name="_Toc235611389"/>
      <w:proofErr w:type="spellStart"/>
      <w:r w:rsidRPr="00DA555A">
        <w:rPr>
          <w:rStyle w:val="Heading2Char"/>
          <w:b/>
          <w:bCs/>
          <w:color w:val="auto"/>
          <w:sz w:val="28"/>
          <w:szCs w:val="28"/>
          <w:u w:val="single"/>
        </w:rPr>
        <w:t>DevSecOps</w:t>
      </w:r>
      <w:proofErr w:type="spellEnd"/>
      <w:r w:rsidRPr="00DA555A">
        <w:rPr>
          <w:rStyle w:val="Heading2Char"/>
          <w:b/>
          <w:bCs/>
          <w:color w:val="auto"/>
          <w:sz w:val="28"/>
          <w:szCs w:val="28"/>
          <w:u w:val="single"/>
        </w:rPr>
        <w:t xml:space="preserve"> Engineer</w:t>
      </w:r>
      <w:bookmarkEnd w:id="12"/>
      <w:bookmarkEnd w:id="13"/>
      <w:r w:rsidRPr="009B2BC1">
        <w:rPr>
          <w:b/>
          <w:bCs/>
          <w:u w:val="single"/>
        </w:rPr>
        <w:br/>
      </w:r>
      <w:r w:rsidR="00FD3A0F" w:rsidRPr="008E5B79">
        <w:rPr>
          <w:rFonts w:ascii="Times New Roman" w:hAnsi="Times New Roman" w:cs="Times New Roman"/>
          <w:sz w:val="22"/>
          <w:szCs w:val="22"/>
        </w:rPr>
        <w:t xml:space="preserve">According to </w:t>
      </w:r>
      <w:proofErr w:type="spellStart"/>
      <w:r w:rsidR="00FD3A0F" w:rsidRPr="008E5B79">
        <w:rPr>
          <w:rFonts w:ascii="Times New Roman" w:hAnsi="Times New Roman" w:cs="Times New Roman"/>
          <w:sz w:val="22"/>
          <w:szCs w:val="22"/>
        </w:rPr>
        <w:t>GeeksforGeeks</w:t>
      </w:r>
      <w:proofErr w:type="spellEnd"/>
      <w:r w:rsidR="00FD3A0F" w:rsidRPr="008E5B79">
        <w:rPr>
          <w:rFonts w:ascii="Times New Roman" w:hAnsi="Times New Roman" w:cs="Times New Roman"/>
          <w:sz w:val="22"/>
          <w:szCs w:val="22"/>
        </w:rPr>
        <w:t xml:space="preserve"> [15], a </w:t>
      </w:r>
      <w:proofErr w:type="spellStart"/>
      <w:r w:rsidR="00FD3A0F" w:rsidRPr="008E5B79">
        <w:rPr>
          <w:rFonts w:ascii="Times New Roman" w:hAnsi="Times New Roman" w:cs="Times New Roman"/>
          <w:sz w:val="22"/>
          <w:szCs w:val="22"/>
        </w:rPr>
        <w:t>DevSecOps</w:t>
      </w:r>
      <w:proofErr w:type="spellEnd"/>
      <w:r w:rsidR="00FD3A0F" w:rsidRPr="008E5B79">
        <w:rPr>
          <w:rFonts w:ascii="Times New Roman" w:hAnsi="Times New Roman" w:cs="Times New Roman"/>
          <w:sz w:val="22"/>
          <w:szCs w:val="22"/>
        </w:rPr>
        <w:t xml:space="preserve"> Engineer integrates security throughout the DevOps lifecycle by embedding security controls from the earliest stages of software development. Responsibilities include automating vulnerability scanning, secure code analysis and continuous security testing within CI/CD pipelines. As Aegis FinTech develops an AI-powered financial platform, this role reduces vulnerabilities before deployment. Consistent with the findings of Task 1, </w:t>
      </w:r>
      <w:proofErr w:type="spellStart"/>
      <w:r w:rsidR="00FD3A0F" w:rsidRPr="008E5B79">
        <w:rPr>
          <w:rFonts w:ascii="Times New Roman" w:hAnsi="Times New Roman" w:cs="Times New Roman"/>
          <w:sz w:val="22"/>
          <w:szCs w:val="22"/>
        </w:rPr>
        <w:t>DevSecOps</w:t>
      </w:r>
      <w:proofErr w:type="spellEnd"/>
      <w:r w:rsidR="00FD3A0F" w:rsidRPr="008E5B79">
        <w:rPr>
          <w:rFonts w:ascii="Times New Roman" w:hAnsi="Times New Roman" w:cs="Times New Roman"/>
          <w:sz w:val="22"/>
          <w:szCs w:val="22"/>
        </w:rPr>
        <w:t xml:space="preserve"> supports Zero Trust by promoting continuous validation and reducing opportunities for attackers to exploit insecure application</w:t>
      </w:r>
      <w:r w:rsidR="00FD3A0F">
        <w:rPr>
          <w:rFonts w:ascii="Times New Roman" w:hAnsi="Times New Roman" w:cs="Times New Roman"/>
          <w:sz w:val="22"/>
          <w:szCs w:val="22"/>
        </w:rPr>
        <w:t>s.</w:t>
      </w:r>
    </w:p>
    <w:p w14:paraId="4D0FF22D" w14:textId="77777777" w:rsidR="003416FC" w:rsidRDefault="007043CB" w:rsidP="003416FC">
      <w:pPr>
        <w:rPr>
          <w:rFonts w:ascii="Times New Roman" w:hAnsi="Times New Roman" w:cs="Times New Roman"/>
          <w:sz w:val="22"/>
          <w:szCs w:val="22"/>
        </w:rPr>
      </w:pPr>
      <w:bookmarkStart w:id="14" w:name="_Toc235536174"/>
      <w:bookmarkStart w:id="15" w:name="_Toc235611390"/>
      <w:r w:rsidRPr="00DA555A">
        <w:rPr>
          <w:rStyle w:val="Heading2Char"/>
          <w:b/>
          <w:bCs/>
          <w:color w:val="auto"/>
          <w:sz w:val="28"/>
          <w:szCs w:val="28"/>
          <w:u w:val="single"/>
        </w:rPr>
        <w:t>Identity &amp; Access Management Engineer</w:t>
      </w:r>
      <w:bookmarkEnd w:id="14"/>
      <w:bookmarkEnd w:id="15"/>
      <w:r w:rsidRPr="009B2BC1">
        <w:rPr>
          <w:b/>
          <w:bCs/>
          <w:u w:val="single"/>
        </w:rPr>
        <w:br/>
      </w:r>
      <w:r w:rsidR="003416FC" w:rsidRPr="008E5B79">
        <w:rPr>
          <w:rFonts w:ascii="Times New Roman" w:hAnsi="Times New Roman" w:cs="Times New Roman"/>
          <w:sz w:val="22"/>
          <w:szCs w:val="22"/>
        </w:rPr>
        <w:t xml:space="preserve">According to </w:t>
      </w:r>
      <w:proofErr w:type="spellStart"/>
      <w:r w:rsidR="003416FC" w:rsidRPr="008E5B79">
        <w:rPr>
          <w:rFonts w:ascii="Times New Roman" w:hAnsi="Times New Roman" w:cs="Times New Roman"/>
          <w:sz w:val="22"/>
          <w:szCs w:val="22"/>
        </w:rPr>
        <w:t>TechNeeds</w:t>
      </w:r>
      <w:proofErr w:type="spellEnd"/>
      <w:r w:rsidR="003416FC" w:rsidRPr="008E5B79">
        <w:rPr>
          <w:rFonts w:ascii="Times New Roman" w:hAnsi="Times New Roman" w:cs="Times New Roman"/>
          <w:sz w:val="22"/>
          <w:szCs w:val="22"/>
        </w:rPr>
        <w:t xml:space="preserve"> [16], an Identity and Access Management (IAM) Engineer designs, implements and manages systems that control user access to organisational resources. Responsibilities include implementing multi-factor authentication (MFA), role-based access control (RBAC), single sign-on (SSO) and conditional access policies. As established in Task 1, identity is the foundation of Zero Trust because no user or device should be trusted by default. Consequently, the IAM Engineer is central to enforcing continuous authentication, least-privilege access and regulatory compliance across Aegis FinTech</w:t>
      </w:r>
      <w:r w:rsidR="003416FC">
        <w:rPr>
          <w:rFonts w:ascii="Times New Roman" w:hAnsi="Times New Roman" w:cs="Times New Roman"/>
          <w:sz w:val="22"/>
          <w:szCs w:val="22"/>
        </w:rPr>
        <w:t>.</w:t>
      </w:r>
    </w:p>
    <w:p w14:paraId="35329527" w14:textId="77777777" w:rsidR="00480536" w:rsidRDefault="007043CB" w:rsidP="00B54021">
      <w:pPr>
        <w:rPr>
          <w:rFonts w:ascii="Times New Roman" w:hAnsi="Times New Roman" w:cs="Times New Roman"/>
          <w:sz w:val="22"/>
          <w:szCs w:val="22"/>
        </w:rPr>
      </w:pPr>
      <w:bookmarkStart w:id="16" w:name="_Toc235536175"/>
      <w:bookmarkStart w:id="17" w:name="_Toc235611391"/>
      <w:r w:rsidRPr="00DA555A">
        <w:rPr>
          <w:rStyle w:val="Heading2Char"/>
          <w:b/>
          <w:bCs/>
          <w:color w:val="auto"/>
          <w:sz w:val="28"/>
          <w:szCs w:val="28"/>
          <w:u w:val="single"/>
        </w:rPr>
        <w:t>Governance, Risk &amp; Compliance Manager</w:t>
      </w:r>
      <w:bookmarkEnd w:id="16"/>
      <w:bookmarkEnd w:id="17"/>
      <w:r w:rsidRPr="00DA555A">
        <w:rPr>
          <w:b/>
          <w:bCs/>
          <w:sz w:val="22"/>
          <w:szCs w:val="22"/>
          <w:u w:val="single"/>
        </w:rPr>
        <w:t xml:space="preserve"> </w:t>
      </w:r>
      <w:r w:rsidRPr="009B2BC1">
        <w:rPr>
          <w:b/>
          <w:bCs/>
          <w:u w:val="single"/>
        </w:rPr>
        <w:br/>
      </w:r>
      <w:r w:rsidR="005B04D2" w:rsidRPr="008E5B79">
        <w:rPr>
          <w:rFonts w:ascii="Times New Roman" w:hAnsi="Times New Roman" w:cs="Times New Roman"/>
          <w:sz w:val="22"/>
          <w:szCs w:val="22"/>
        </w:rPr>
        <w:t>According to Horvath [17], a Governance, Risk and Compliance (GRC) Manager ensures organisational compliance with legal, regulatory and industry standards. Responsibilities include developing information security policies, maintaining the enterprise risk register, coordinating internal audits and ensuring compliance with GDPR and DORA. The role also monitors emerging regulatory requirements and aligns security controls with frameworks such as the NIST Cybersecurity Framework 2.0. As highlighted in Task 1, Zero Trust requires strong governance alongside technical controls, making the GRC Manager essential for maintaining effective, measurable and compliant security practices.</w:t>
      </w:r>
    </w:p>
    <w:p w14:paraId="60570045" w14:textId="7721EE48" w:rsidR="00923444" w:rsidRDefault="007043CB" w:rsidP="00923444">
      <w:pPr>
        <w:rPr>
          <w:rFonts w:ascii="Times New Roman" w:hAnsi="Times New Roman" w:cs="Times New Roman"/>
          <w:sz w:val="22"/>
          <w:szCs w:val="22"/>
        </w:rPr>
      </w:pPr>
      <w:bookmarkStart w:id="18" w:name="_Toc235536176"/>
      <w:bookmarkStart w:id="19" w:name="_Toc235611392"/>
      <w:r w:rsidRPr="00DA555A">
        <w:rPr>
          <w:rStyle w:val="Heading2Char"/>
          <w:b/>
          <w:bCs/>
          <w:color w:val="auto"/>
          <w:sz w:val="28"/>
          <w:szCs w:val="28"/>
          <w:u w:val="single"/>
        </w:rPr>
        <w:lastRenderedPageBreak/>
        <w:t>Data Protection Officer</w:t>
      </w:r>
      <w:bookmarkEnd w:id="18"/>
      <w:bookmarkEnd w:id="19"/>
      <w:r w:rsidRPr="00DA555A">
        <w:rPr>
          <w:rFonts w:ascii="Times New Roman" w:hAnsi="Times New Roman" w:cs="Times New Roman"/>
          <w:sz w:val="22"/>
          <w:szCs w:val="22"/>
        </w:rPr>
        <w:br/>
      </w:r>
      <w:r w:rsidR="00923444" w:rsidRPr="008E5B79">
        <w:rPr>
          <w:rFonts w:ascii="Times New Roman" w:hAnsi="Times New Roman" w:cs="Times New Roman"/>
          <w:sz w:val="22"/>
          <w:szCs w:val="22"/>
        </w:rPr>
        <w:t>According to Deer [18], a Data Protection Officer (DPO) develops and oversees an organisation's data protection strategy. Responsibilities include supporting privacy-by-design initiatives, monitoring GDPR compliance and acting as the primary contact for regulatory authorities. Given Aegis FinTech's planned EU expansion and the sensitive financial data processed by its platform, the DPO is essential for protecting customer privacy and ensuring regulatory compliance</w:t>
      </w:r>
      <w:r w:rsidR="00DF4D13">
        <w:rPr>
          <w:rFonts w:ascii="Times New Roman" w:hAnsi="Times New Roman" w:cs="Times New Roman"/>
          <w:sz w:val="22"/>
          <w:szCs w:val="22"/>
        </w:rPr>
        <w:t>.</w:t>
      </w:r>
    </w:p>
    <w:p w14:paraId="7B2B3482" w14:textId="752DBFBF" w:rsidR="00375197" w:rsidRDefault="007043CB" w:rsidP="00375197">
      <w:pPr>
        <w:rPr>
          <w:rFonts w:ascii="Times New Roman" w:hAnsi="Times New Roman" w:cs="Times New Roman"/>
          <w:sz w:val="22"/>
          <w:szCs w:val="22"/>
        </w:rPr>
      </w:pPr>
      <w:bookmarkStart w:id="20" w:name="_Toc235536177"/>
      <w:bookmarkStart w:id="21" w:name="_Toc235611393"/>
      <w:r w:rsidRPr="00DA555A">
        <w:rPr>
          <w:rStyle w:val="Heading2Char"/>
          <w:b/>
          <w:bCs/>
          <w:color w:val="auto"/>
          <w:sz w:val="28"/>
          <w:szCs w:val="28"/>
          <w:u w:val="single"/>
        </w:rPr>
        <w:t>Security Awareness &amp; Training Manager</w:t>
      </w:r>
      <w:bookmarkEnd w:id="20"/>
      <w:bookmarkEnd w:id="21"/>
      <w:r w:rsidRPr="009B2BC1">
        <w:rPr>
          <w:b/>
          <w:bCs/>
          <w:u w:val="single"/>
        </w:rPr>
        <w:br/>
      </w:r>
      <w:r w:rsidR="00375197" w:rsidRPr="008E5B79">
        <w:rPr>
          <w:rFonts w:ascii="Times New Roman" w:hAnsi="Times New Roman" w:cs="Times New Roman"/>
          <w:sz w:val="22"/>
          <w:szCs w:val="22"/>
        </w:rPr>
        <w:t>According to IAISP [19], the Security Awareness and Training Manager designs and delivers cybersecurity education programmes that promote secure behaviours across the organisation. Responsibilities include phishing awareness campaigns, mandatory security training, policy communication and targeted education for high-risk users. As discussed in Task 1, Zero Trust assumes that no user should be implicitly trusted, making continuous security awareness essential alongside technical controls to reduce human error and strengthen Aegis FinTech's security posture</w:t>
      </w:r>
      <w:r w:rsidR="00DF4D13">
        <w:rPr>
          <w:rFonts w:ascii="Times New Roman" w:hAnsi="Times New Roman" w:cs="Times New Roman"/>
          <w:sz w:val="22"/>
          <w:szCs w:val="22"/>
        </w:rPr>
        <w:t>.</w:t>
      </w:r>
    </w:p>
    <w:p w14:paraId="27B3230E" w14:textId="0434B5C4" w:rsidR="00DF4D13" w:rsidRDefault="007043CB" w:rsidP="00DF4D13">
      <w:pPr>
        <w:rPr>
          <w:rFonts w:ascii="Times New Roman" w:hAnsi="Times New Roman" w:cs="Times New Roman"/>
          <w:sz w:val="22"/>
          <w:szCs w:val="22"/>
        </w:rPr>
      </w:pPr>
      <w:bookmarkStart w:id="22" w:name="_Toc235536178"/>
      <w:bookmarkStart w:id="23" w:name="_Toc235611394"/>
      <w:r w:rsidRPr="00DA555A">
        <w:rPr>
          <w:rStyle w:val="Heading2Char"/>
          <w:b/>
          <w:bCs/>
          <w:color w:val="auto"/>
          <w:sz w:val="28"/>
          <w:szCs w:val="28"/>
          <w:u w:val="single"/>
        </w:rPr>
        <w:t>Policy Framework Development</w:t>
      </w:r>
      <w:bookmarkEnd w:id="22"/>
      <w:bookmarkEnd w:id="23"/>
      <w:r w:rsidRPr="00DA555A">
        <w:rPr>
          <w:b/>
          <w:bCs/>
          <w:sz w:val="22"/>
          <w:szCs w:val="22"/>
          <w:u w:val="single"/>
        </w:rPr>
        <w:t xml:space="preserve"> </w:t>
      </w:r>
      <w:r w:rsidRPr="009B2BC1">
        <w:rPr>
          <w:b/>
          <w:bCs/>
          <w:u w:val="single"/>
        </w:rPr>
        <w:br/>
      </w:r>
      <w:r w:rsidR="00DF4D13" w:rsidRPr="008E5B79">
        <w:rPr>
          <w:rFonts w:ascii="Times New Roman" w:hAnsi="Times New Roman" w:cs="Times New Roman"/>
          <w:sz w:val="22"/>
          <w:szCs w:val="22"/>
        </w:rPr>
        <w:t>Information security policies establish the standards and behaviours required to protect organisational assets and support effective security governance. As Aegis FinTech expands into the European Union, robust policies are essential for ensuring regulatory compliance, reducing organisational risk and supporting the Zero Trust approach proposed in Task 1. The following executive summaries outline three key policies designed to strengthen the organisation's security posture</w:t>
      </w:r>
      <w:r w:rsidR="00DF4D13">
        <w:rPr>
          <w:rFonts w:ascii="Times New Roman" w:hAnsi="Times New Roman" w:cs="Times New Roman"/>
          <w:sz w:val="22"/>
          <w:szCs w:val="22"/>
        </w:rPr>
        <w:t>.</w:t>
      </w:r>
    </w:p>
    <w:p w14:paraId="76E3CCF5" w14:textId="77777777" w:rsidR="00B134F2" w:rsidRDefault="007043CB" w:rsidP="00B134F2">
      <w:pPr>
        <w:rPr>
          <w:rFonts w:ascii="Times New Roman" w:hAnsi="Times New Roman" w:cs="Times New Roman"/>
          <w:sz w:val="22"/>
          <w:szCs w:val="22"/>
        </w:rPr>
      </w:pPr>
      <w:bookmarkStart w:id="24" w:name="_Toc235536179"/>
      <w:bookmarkStart w:id="25" w:name="_Toc235611395"/>
      <w:r w:rsidRPr="00DA555A">
        <w:rPr>
          <w:rStyle w:val="Heading2Char"/>
          <w:b/>
          <w:bCs/>
          <w:color w:val="auto"/>
          <w:sz w:val="28"/>
          <w:szCs w:val="28"/>
          <w:u w:val="single"/>
        </w:rPr>
        <w:t>Policy 1 – Acceptable Use Policy for AI &amp; Cloud Services</w:t>
      </w:r>
      <w:bookmarkEnd w:id="24"/>
      <w:bookmarkEnd w:id="25"/>
      <w:r w:rsidRPr="009B2BC1">
        <w:rPr>
          <w:b/>
          <w:bCs/>
          <w:u w:val="single"/>
        </w:rPr>
        <w:br/>
      </w:r>
      <w:r w:rsidR="00B134F2" w:rsidRPr="006E55A1">
        <w:rPr>
          <w:rFonts w:ascii="Times New Roman" w:hAnsi="Times New Roman" w:cs="Times New Roman"/>
          <w:sz w:val="22"/>
          <w:szCs w:val="22"/>
        </w:rPr>
        <w:t>The Acceptable Use Policy for AI and Cloud Services ensures employees use artificial intelligence, cloud platforms and Software-as-a-Service (SaaS) solutions securely and in accordance with organisational requirements. As Aegis FinTech develops an AI-powered financial analytics platform, the policy protects sensitive financial and customer data by restricting employees to organisation-approved AI and cloud services that have undergone appropriate security and compliance assessments. It also prohibits the use of unauthorised public AI tools for confidential information and requires approved cloud services to support encryption, multi-factor authentication (MFA) and audit logging. As identified in Task 1, Zero Trust assumes that no user, device or application should be trusted by default. Accordingly, the policy supports Zero Trust by enforcing identity-based controls, continuous verification and ongoing monitoring to reduce the risk of unauthorised access and data leakage.</w:t>
      </w:r>
    </w:p>
    <w:p w14:paraId="3E64C654" w14:textId="7262D083" w:rsidR="00513818" w:rsidRDefault="007043CB" w:rsidP="00513818">
      <w:pPr>
        <w:rPr>
          <w:rFonts w:ascii="Times New Roman" w:hAnsi="Times New Roman" w:cs="Times New Roman"/>
          <w:sz w:val="22"/>
          <w:szCs w:val="22"/>
        </w:rPr>
      </w:pPr>
      <w:bookmarkStart w:id="26" w:name="_Toc235536180"/>
      <w:bookmarkStart w:id="27" w:name="_Toc235611396"/>
      <w:r w:rsidRPr="00DA555A">
        <w:rPr>
          <w:rStyle w:val="Heading2Char"/>
          <w:b/>
          <w:bCs/>
          <w:color w:val="auto"/>
          <w:sz w:val="28"/>
          <w:szCs w:val="28"/>
          <w:u w:val="single"/>
        </w:rPr>
        <w:t>Policy 2 – Hybrid Work &amp; Remote Access Security Policy</w:t>
      </w:r>
      <w:bookmarkEnd w:id="26"/>
      <w:bookmarkEnd w:id="27"/>
      <w:r w:rsidRPr="009B2BC1">
        <w:rPr>
          <w:b/>
          <w:bCs/>
          <w:u w:val="single"/>
        </w:rPr>
        <w:br/>
      </w:r>
      <w:r w:rsidR="00513818" w:rsidRPr="006E55A1">
        <w:rPr>
          <w:rFonts w:ascii="Times New Roman" w:hAnsi="Times New Roman" w:cs="Times New Roman"/>
          <w:sz w:val="22"/>
          <w:szCs w:val="22"/>
        </w:rPr>
        <w:t xml:space="preserve">The Hybrid Work and Remote Access Security Policy </w:t>
      </w:r>
      <w:r w:rsidR="005F174B" w:rsidRPr="006E55A1">
        <w:rPr>
          <w:rFonts w:ascii="Times New Roman" w:hAnsi="Times New Roman" w:cs="Times New Roman"/>
          <w:sz w:val="22"/>
          <w:szCs w:val="22"/>
        </w:rPr>
        <w:t>define</w:t>
      </w:r>
      <w:r w:rsidR="00513818" w:rsidRPr="006E55A1">
        <w:rPr>
          <w:rFonts w:ascii="Times New Roman" w:hAnsi="Times New Roman" w:cs="Times New Roman"/>
          <w:sz w:val="22"/>
          <w:szCs w:val="22"/>
        </w:rPr>
        <w:t xml:space="preserve"> the security requirements for employees accessing organisational systems outside traditional office environments. As hybrid working becomes increasingly common, the policy protects organisational information by requiring remote users to authenticate using multi-factor authentication (MFA), access corporate resources through Zero Trust Network Access (ZTNA) and use organisation-managed or approved Bring Your Own Device (BYOD) devices that meet defined security standards. Guest users are restricted to role-based access appropriate to their authorised activities. As concluded in Task 1, traditional perimeter-based security is insufficient for modern organisations. Accordingly, the policy applies Zero Trust principles through continuous authentication, device verification and least-privilege access, reducing the risk of unauthorised access and credential compromise</w:t>
      </w:r>
    </w:p>
    <w:p w14:paraId="0F84CE31" w14:textId="77777777" w:rsidR="00093CF5" w:rsidRDefault="007043CB" w:rsidP="00093CF5">
      <w:pPr>
        <w:rPr>
          <w:rFonts w:ascii="Times New Roman" w:hAnsi="Times New Roman" w:cs="Times New Roman"/>
          <w:sz w:val="22"/>
          <w:szCs w:val="22"/>
        </w:rPr>
      </w:pPr>
      <w:bookmarkStart w:id="28" w:name="_Toc235536181"/>
      <w:bookmarkStart w:id="29" w:name="_Toc235611397"/>
      <w:r w:rsidRPr="00DA555A">
        <w:rPr>
          <w:rStyle w:val="Heading2Char"/>
          <w:b/>
          <w:bCs/>
          <w:color w:val="auto"/>
          <w:sz w:val="28"/>
          <w:szCs w:val="28"/>
          <w:u w:val="single"/>
        </w:rPr>
        <w:t>Policy 3 – Third-Party &amp; Cloud Vendor Risk Management Policy</w:t>
      </w:r>
      <w:bookmarkEnd w:id="28"/>
      <w:bookmarkEnd w:id="29"/>
      <w:r w:rsidRPr="009B2BC1">
        <w:rPr>
          <w:b/>
          <w:bCs/>
          <w:u w:val="single"/>
        </w:rPr>
        <w:br/>
      </w:r>
      <w:r w:rsidR="00093CF5" w:rsidRPr="006E55A1">
        <w:rPr>
          <w:rFonts w:ascii="Times New Roman" w:hAnsi="Times New Roman" w:cs="Times New Roman"/>
          <w:sz w:val="22"/>
          <w:szCs w:val="22"/>
        </w:rPr>
        <w:t xml:space="preserve">The Third-Party and Cloud Vendor Risk Management Policy establishes a structured approach for assessing, selecting and continuously monitoring external suppliers that provide cloud services, software platforms and technology solutions to Aegis FinTech. As the organisation expands its digital services, third-party providers represent a significant cyber risk. Before engagement, suppliers must undergo security due diligence covering </w:t>
      </w:r>
      <w:r w:rsidR="00093CF5" w:rsidRPr="006E55A1">
        <w:rPr>
          <w:rFonts w:ascii="Times New Roman" w:hAnsi="Times New Roman" w:cs="Times New Roman"/>
          <w:sz w:val="22"/>
          <w:szCs w:val="22"/>
        </w:rPr>
        <w:lastRenderedPageBreak/>
        <w:t>regulatory compliance, security controls, data protection and business continuity. High-risk suppliers must demonstrate compliance with recognised standards, including ISO/IEC 27001, GDPR and DORA where applicable, and remain subject to ongoing risk assessments throughout the supplier lifecycle. As identified in Task 1, cloud misconfiguration and supply chain vulnerabilities are significant threats. Accordingly, the policy supports Zero Trust by requiring continuous assessment of external vendors against defined security and compliance requirements</w:t>
      </w:r>
    </w:p>
    <w:p w14:paraId="0AF90893" w14:textId="77777777" w:rsidR="00712DE9" w:rsidRDefault="007043CB" w:rsidP="00712DE9">
      <w:pPr>
        <w:rPr>
          <w:rFonts w:ascii="Times New Roman" w:hAnsi="Times New Roman" w:cs="Times New Roman"/>
          <w:sz w:val="22"/>
          <w:szCs w:val="22"/>
        </w:rPr>
      </w:pPr>
      <w:bookmarkStart w:id="30" w:name="_Toc235536182"/>
      <w:bookmarkStart w:id="31" w:name="_Toc235611398"/>
      <w:r w:rsidRPr="007F5BEC">
        <w:rPr>
          <w:rStyle w:val="Heading2Char"/>
          <w:b/>
          <w:bCs/>
          <w:color w:val="auto"/>
          <w:sz w:val="28"/>
          <w:szCs w:val="28"/>
          <w:u w:val="single"/>
        </w:rPr>
        <w:t>Regulatory Compliance Strategy</w:t>
      </w:r>
      <w:bookmarkEnd w:id="30"/>
      <w:bookmarkEnd w:id="31"/>
      <w:r w:rsidRPr="009B2BC1">
        <w:rPr>
          <w:b/>
          <w:bCs/>
          <w:u w:val="single"/>
        </w:rPr>
        <w:br/>
      </w:r>
      <w:r w:rsidR="00712DE9" w:rsidRPr="006E55A1">
        <w:rPr>
          <w:rFonts w:ascii="Times New Roman" w:hAnsi="Times New Roman" w:cs="Times New Roman"/>
          <w:sz w:val="22"/>
          <w:szCs w:val="22"/>
        </w:rPr>
        <w:t>Table 1 presents a phased roadmap for achieving GDPR and DORA compliance during Aegis FinTech's expansion into the European Union. Phase 1 establishes governance structures, ICT governance and data management foundations. Phase 2 focuses on implementing operational controls, including data protection measures, ICT risk management and third-party oversight. Phase 3 validates compliance through audits, resilience testing and incident response exercises, while Phase 4 embeds continuous monitoring and prepares the organisation for regulatory review. Consistent with the findings of Task 1, the roadmap adopts Zero Trust principles by supporting continuous authentication, least-privilege access and continuous monitoring, strengthening both GDPR compliance and DORA's ICT resilience requirements.</w:t>
      </w:r>
    </w:p>
    <w:tbl>
      <w:tblPr>
        <w:tblStyle w:val="TableGrid"/>
        <w:tblW w:w="0" w:type="auto"/>
        <w:tblLook w:val="04A0" w:firstRow="1" w:lastRow="0" w:firstColumn="1" w:lastColumn="0" w:noHBand="0" w:noVBand="1"/>
      </w:tblPr>
      <w:tblGrid>
        <w:gridCol w:w="2254"/>
        <w:gridCol w:w="2254"/>
        <w:gridCol w:w="2254"/>
        <w:gridCol w:w="2254"/>
      </w:tblGrid>
      <w:tr w:rsidR="002951E2" w:rsidRPr="002951E2" w14:paraId="4B64B241" w14:textId="77777777" w:rsidTr="00843EF9">
        <w:tc>
          <w:tcPr>
            <w:tcW w:w="2254" w:type="dxa"/>
          </w:tcPr>
          <w:p w14:paraId="513CEAB9"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Phase</w:t>
            </w:r>
          </w:p>
        </w:tc>
        <w:tc>
          <w:tcPr>
            <w:tcW w:w="2254" w:type="dxa"/>
          </w:tcPr>
          <w:p w14:paraId="2905A5D5"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Timeline</w:t>
            </w:r>
          </w:p>
        </w:tc>
        <w:tc>
          <w:tcPr>
            <w:tcW w:w="2254" w:type="dxa"/>
          </w:tcPr>
          <w:p w14:paraId="58B7A210"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GDPR Milestones</w:t>
            </w:r>
          </w:p>
        </w:tc>
        <w:tc>
          <w:tcPr>
            <w:tcW w:w="2254" w:type="dxa"/>
          </w:tcPr>
          <w:p w14:paraId="17D116CF"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DORA Milestones</w:t>
            </w:r>
          </w:p>
        </w:tc>
      </w:tr>
      <w:tr w:rsidR="002951E2" w:rsidRPr="002951E2" w14:paraId="63518777" w14:textId="77777777" w:rsidTr="00843EF9">
        <w:tc>
          <w:tcPr>
            <w:tcW w:w="2254" w:type="dxa"/>
          </w:tcPr>
          <w:p w14:paraId="71174426"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1</w:t>
            </w:r>
          </w:p>
        </w:tc>
        <w:tc>
          <w:tcPr>
            <w:tcW w:w="2254" w:type="dxa"/>
          </w:tcPr>
          <w:p w14:paraId="249E4C29"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1-3</w:t>
            </w:r>
          </w:p>
        </w:tc>
        <w:tc>
          <w:tcPr>
            <w:tcW w:w="2254" w:type="dxa"/>
          </w:tcPr>
          <w:p w14:paraId="67DC792A"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Appoint DPO</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Conduct data mapping</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Complete data </w:t>
            </w:r>
            <w:r w:rsidRPr="002C7963">
              <w:rPr>
                <w:rFonts w:ascii="Calibri" w:eastAsia="Calibri" w:hAnsi="Calibri" w:cs="Times New Roman"/>
                <w:iCs/>
                <w:sz w:val="18"/>
                <w:szCs w:val="18"/>
              </w:rPr>
              <w:br/>
              <w:t>inventory</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 Review privacy notices</w:t>
            </w:r>
          </w:p>
        </w:tc>
        <w:tc>
          <w:tcPr>
            <w:tcW w:w="2254" w:type="dxa"/>
          </w:tcPr>
          <w:p w14:paraId="102129E9"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Perform ICT risk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Establish ICT governance framework</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Identify critical ICT assets</w:t>
            </w:r>
          </w:p>
        </w:tc>
      </w:tr>
      <w:tr w:rsidR="002951E2" w:rsidRPr="002951E2" w14:paraId="115A4548" w14:textId="77777777" w:rsidTr="00843EF9">
        <w:tc>
          <w:tcPr>
            <w:tcW w:w="2254" w:type="dxa"/>
          </w:tcPr>
          <w:p w14:paraId="49C6C66F"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2</w:t>
            </w:r>
          </w:p>
        </w:tc>
        <w:tc>
          <w:tcPr>
            <w:tcW w:w="2254" w:type="dxa"/>
          </w:tcPr>
          <w:p w14:paraId="69B760DF"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4-6</w:t>
            </w:r>
          </w:p>
        </w:tc>
        <w:tc>
          <w:tcPr>
            <w:tcW w:w="2254" w:type="dxa"/>
          </w:tcPr>
          <w:p w14:paraId="3B0C2EF7"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Complete data protection impact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Implement data retention procedures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Staff GDPR training</w:t>
            </w:r>
          </w:p>
        </w:tc>
        <w:tc>
          <w:tcPr>
            <w:tcW w:w="2254" w:type="dxa"/>
          </w:tcPr>
          <w:p w14:paraId="5D729F68"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Implement ICT risk management controls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Review third-party ICT providers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Strengthen incident management procedures</w:t>
            </w:r>
          </w:p>
        </w:tc>
      </w:tr>
      <w:tr w:rsidR="002951E2" w:rsidRPr="002951E2" w14:paraId="5D92A9E8" w14:textId="77777777" w:rsidTr="00843EF9">
        <w:tc>
          <w:tcPr>
            <w:tcW w:w="2254" w:type="dxa"/>
          </w:tcPr>
          <w:p w14:paraId="4F208F3B"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3</w:t>
            </w:r>
          </w:p>
        </w:tc>
        <w:tc>
          <w:tcPr>
            <w:tcW w:w="2254" w:type="dxa"/>
          </w:tcPr>
          <w:p w14:paraId="2F23AD7D"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7-9</w:t>
            </w:r>
          </w:p>
        </w:tc>
        <w:tc>
          <w:tcPr>
            <w:tcW w:w="2254" w:type="dxa"/>
          </w:tcPr>
          <w:p w14:paraId="06C37333"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Conduct internal GDPR compliance audit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Test data breach notification procedures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Review subject access request processes</w:t>
            </w:r>
          </w:p>
        </w:tc>
        <w:tc>
          <w:tcPr>
            <w:tcW w:w="2254" w:type="dxa"/>
          </w:tcPr>
          <w:p w14:paraId="13271664"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Perform operational resilience testing</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Conduct disaster recovery exercises </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Validate cyber incident reporting processes</w:t>
            </w:r>
          </w:p>
        </w:tc>
      </w:tr>
      <w:tr w:rsidR="002951E2" w:rsidRPr="002951E2" w14:paraId="10F3D83E" w14:textId="77777777" w:rsidTr="00843EF9">
        <w:tc>
          <w:tcPr>
            <w:tcW w:w="2254" w:type="dxa"/>
          </w:tcPr>
          <w:p w14:paraId="5E8D103B"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4</w:t>
            </w:r>
          </w:p>
          <w:p w14:paraId="64B4974D" w14:textId="77777777" w:rsidR="002951E2" w:rsidRPr="002C7963" w:rsidRDefault="002951E2" w:rsidP="002951E2">
            <w:pPr>
              <w:rPr>
                <w:rFonts w:ascii="Calibri" w:eastAsia="Calibri" w:hAnsi="Calibri" w:cs="Times New Roman"/>
                <w:sz w:val="18"/>
                <w:szCs w:val="18"/>
              </w:rPr>
            </w:pPr>
          </w:p>
          <w:p w14:paraId="7F1D4614" w14:textId="77777777" w:rsidR="002951E2" w:rsidRPr="002C7963" w:rsidRDefault="002951E2" w:rsidP="002951E2">
            <w:pPr>
              <w:rPr>
                <w:rFonts w:ascii="Calibri" w:eastAsia="Calibri" w:hAnsi="Calibri" w:cs="Times New Roman"/>
                <w:sz w:val="18"/>
                <w:szCs w:val="18"/>
              </w:rPr>
            </w:pPr>
          </w:p>
          <w:p w14:paraId="211656B1" w14:textId="77777777" w:rsidR="002951E2" w:rsidRPr="002C7963" w:rsidRDefault="002951E2" w:rsidP="002951E2">
            <w:pPr>
              <w:rPr>
                <w:rFonts w:ascii="Calibri" w:eastAsia="Calibri" w:hAnsi="Calibri" w:cs="Times New Roman"/>
                <w:sz w:val="18"/>
                <w:szCs w:val="18"/>
              </w:rPr>
            </w:pPr>
          </w:p>
          <w:p w14:paraId="71088DA7" w14:textId="77777777" w:rsidR="002951E2" w:rsidRPr="002C7963" w:rsidRDefault="002951E2" w:rsidP="002951E2">
            <w:pPr>
              <w:rPr>
                <w:rFonts w:ascii="Calibri" w:eastAsia="Calibri" w:hAnsi="Calibri" w:cs="Times New Roman"/>
                <w:iCs/>
                <w:sz w:val="18"/>
                <w:szCs w:val="18"/>
              </w:rPr>
            </w:pPr>
          </w:p>
          <w:p w14:paraId="702F3933" w14:textId="77777777" w:rsidR="002951E2" w:rsidRPr="002C7963" w:rsidRDefault="002951E2" w:rsidP="002951E2">
            <w:pPr>
              <w:rPr>
                <w:rFonts w:ascii="Calibri" w:eastAsia="Calibri" w:hAnsi="Calibri" w:cs="Times New Roman"/>
                <w:sz w:val="18"/>
                <w:szCs w:val="18"/>
              </w:rPr>
            </w:pPr>
          </w:p>
          <w:p w14:paraId="5EB24B58" w14:textId="77777777" w:rsidR="002951E2" w:rsidRPr="002C7963" w:rsidRDefault="002951E2" w:rsidP="002951E2">
            <w:pPr>
              <w:rPr>
                <w:rFonts w:ascii="Calibri" w:eastAsia="Calibri" w:hAnsi="Calibri" w:cs="Times New Roman"/>
                <w:iCs/>
                <w:sz w:val="18"/>
                <w:szCs w:val="18"/>
              </w:rPr>
            </w:pPr>
          </w:p>
          <w:p w14:paraId="79014582" w14:textId="77777777" w:rsidR="002951E2" w:rsidRPr="002C7963" w:rsidRDefault="002951E2" w:rsidP="002951E2">
            <w:pPr>
              <w:rPr>
                <w:rFonts w:ascii="Calibri" w:eastAsia="Calibri" w:hAnsi="Calibri" w:cs="Times New Roman"/>
                <w:sz w:val="18"/>
                <w:szCs w:val="18"/>
              </w:rPr>
            </w:pPr>
          </w:p>
        </w:tc>
        <w:tc>
          <w:tcPr>
            <w:tcW w:w="2254" w:type="dxa"/>
          </w:tcPr>
          <w:p w14:paraId="40D48490"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10-12</w:t>
            </w:r>
          </w:p>
        </w:tc>
        <w:tc>
          <w:tcPr>
            <w:tcW w:w="2254" w:type="dxa"/>
          </w:tcPr>
          <w:p w14:paraId="33EE575D"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Review compliance programme</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Prepare for regulatory review </w:t>
            </w:r>
          </w:p>
        </w:tc>
        <w:tc>
          <w:tcPr>
            <w:tcW w:w="2254" w:type="dxa"/>
          </w:tcPr>
          <w:p w14:paraId="599A5676"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Complete DORA readiness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Finalise resilience testing programme</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Establish continuous monitoring</w:t>
            </w:r>
          </w:p>
        </w:tc>
      </w:tr>
    </w:tbl>
    <w:p w14:paraId="587E8910" w14:textId="5B3B07A7" w:rsidR="00522E70" w:rsidRDefault="009543F4" w:rsidP="009543F4">
      <w:pPr>
        <w:pStyle w:val="Caption"/>
        <w:rPr>
          <w:rFonts w:ascii="Times New Roman" w:hAnsi="Times New Roman" w:cs="Times New Roman"/>
          <w:sz w:val="22"/>
          <w:szCs w:val="22"/>
        </w:rPr>
      </w:pPr>
      <w:bookmarkStart w:id="32" w:name="_Toc235536887"/>
      <w:r>
        <w:t xml:space="preserve">Table </w:t>
      </w:r>
      <w:fldSimple w:instr=" SEQ Table \* ARABIC ">
        <w:r w:rsidR="009B6933">
          <w:rPr>
            <w:noProof/>
          </w:rPr>
          <w:t>1</w:t>
        </w:r>
      </w:fldSimple>
      <w:r>
        <w:t xml:space="preserve"> -</w:t>
      </w:r>
      <w:r w:rsidRPr="007370AF">
        <w:t xml:space="preserve"> Proposed GDPR and DORA Compliance Roadmap</w:t>
      </w:r>
      <w:bookmarkEnd w:id="32"/>
    </w:p>
    <w:p w14:paraId="0ECAB65D" w14:textId="1CA00675" w:rsidR="00712DE9" w:rsidRDefault="00522E70" w:rsidP="00712DE9">
      <w:pPr>
        <w:rPr>
          <w:rFonts w:ascii="Times New Roman" w:hAnsi="Times New Roman" w:cs="Times New Roman"/>
          <w:sz w:val="22"/>
          <w:szCs w:val="22"/>
        </w:rPr>
      </w:pPr>
      <w:bookmarkStart w:id="33" w:name="_Toc235536183"/>
      <w:bookmarkStart w:id="34" w:name="_Toc235611399"/>
      <w:r w:rsidRPr="007F5BEC">
        <w:rPr>
          <w:rStyle w:val="Heading2Char"/>
          <w:b/>
          <w:bCs/>
          <w:color w:val="auto"/>
          <w:sz w:val="28"/>
          <w:szCs w:val="28"/>
          <w:u w:val="single"/>
        </w:rPr>
        <w:t>Technical Standards &amp; Architecture</w:t>
      </w:r>
      <w:bookmarkEnd w:id="33"/>
      <w:bookmarkEnd w:id="34"/>
      <w:r>
        <w:rPr>
          <w:rFonts w:ascii="Times New Roman" w:hAnsi="Times New Roman" w:cs="Times New Roman"/>
          <w:sz w:val="22"/>
          <w:szCs w:val="22"/>
        </w:rPr>
        <w:br/>
      </w:r>
      <w:r w:rsidR="00712DE9" w:rsidRPr="006E55A1">
        <w:rPr>
          <w:rFonts w:ascii="Times New Roman" w:hAnsi="Times New Roman" w:cs="Times New Roman"/>
          <w:sz w:val="22"/>
          <w:szCs w:val="22"/>
        </w:rPr>
        <w:t>The successful implementation of Aegis FinTech's cybersecurity strategy requires an internationally recognised security framework and a technical architecture capable of protecting cloud-based financial services against evolving cyber threats. Based on the findings of Task 1, this proposal recommends adopting the NIST Cybersecurity Framework (CSF) 2.0 alongside a Zero Trust Architecture to provide a structured approach to cyber risk management while supporting the organisation's planned expansion into the EU.</w:t>
      </w:r>
    </w:p>
    <w:p w14:paraId="7F2BE553" w14:textId="77777777" w:rsidR="009543F4" w:rsidRDefault="009543F4" w:rsidP="00712DE9">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4508"/>
        <w:gridCol w:w="4508"/>
      </w:tblGrid>
      <w:tr w:rsidR="00EB69F2" w:rsidRPr="00EB69F2" w14:paraId="4FF114B1" w14:textId="77777777" w:rsidTr="00843EF9">
        <w:tc>
          <w:tcPr>
            <w:tcW w:w="4508" w:type="dxa"/>
          </w:tcPr>
          <w:p w14:paraId="6905F350" w14:textId="7E84A812" w:rsidR="00EB69F2" w:rsidRPr="00EB69F2" w:rsidRDefault="00EB69F2" w:rsidP="00EB69F2">
            <w:pPr>
              <w:tabs>
                <w:tab w:val="left" w:pos="3780"/>
              </w:tabs>
              <w:jc w:val="center"/>
              <w:rPr>
                <w:rFonts w:ascii="Calibri" w:eastAsia="Calibri" w:hAnsi="Calibri" w:cs="Times New Roman"/>
                <w:iCs/>
                <w:sz w:val="22"/>
                <w:szCs w:val="22"/>
              </w:rPr>
            </w:pPr>
            <w:r w:rsidRPr="00EB69F2">
              <w:rPr>
                <w:rFonts w:ascii="Calibri" w:eastAsia="Calibri" w:hAnsi="Calibri" w:cs="Times New Roman"/>
                <w:iCs/>
                <w:sz w:val="22"/>
                <w:szCs w:val="22"/>
              </w:rPr>
              <w:t>Reason</w:t>
            </w:r>
          </w:p>
        </w:tc>
        <w:tc>
          <w:tcPr>
            <w:tcW w:w="4508" w:type="dxa"/>
          </w:tcPr>
          <w:p w14:paraId="2454453E" w14:textId="77777777" w:rsidR="00EB69F2" w:rsidRPr="00EB69F2" w:rsidRDefault="00EB69F2" w:rsidP="00EB69F2">
            <w:pPr>
              <w:tabs>
                <w:tab w:val="left" w:pos="3780"/>
              </w:tabs>
              <w:jc w:val="center"/>
              <w:rPr>
                <w:rFonts w:ascii="Calibri" w:eastAsia="Calibri" w:hAnsi="Calibri" w:cs="Times New Roman"/>
                <w:iCs/>
                <w:sz w:val="22"/>
                <w:szCs w:val="22"/>
              </w:rPr>
            </w:pPr>
            <w:r w:rsidRPr="00EB69F2">
              <w:rPr>
                <w:rFonts w:ascii="Calibri" w:eastAsia="Calibri" w:hAnsi="Calibri" w:cs="Times New Roman"/>
                <w:iCs/>
                <w:sz w:val="22"/>
                <w:szCs w:val="22"/>
              </w:rPr>
              <w:t>Justification</w:t>
            </w:r>
          </w:p>
        </w:tc>
      </w:tr>
      <w:tr w:rsidR="00EB69F2" w:rsidRPr="00EB69F2" w14:paraId="11425617" w14:textId="77777777" w:rsidTr="00843EF9">
        <w:tc>
          <w:tcPr>
            <w:tcW w:w="4508" w:type="dxa"/>
          </w:tcPr>
          <w:p w14:paraId="6EB3BAD7"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Risk-based approach</w:t>
            </w:r>
          </w:p>
        </w:tc>
        <w:tc>
          <w:tcPr>
            <w:tcW w:w="4508" w:type="dxa"/>
          </w:tcPr>
          <w:p w14:paraId="0013C392"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Enables cyber risks to be identified, prioritised and managed according to business impact.</w:t>
            </w:r>
          </w:p>
        </w:tc>
      </w:tr>
      <w:tr w:rsidR="00EB69F2" w:rsidRPr="00EB69F2" w14:paraId="310EBB9A" w14:textId="77777777" w:rsidTr="00843EF9">
        <w:tc>
          <w:tcPr>
            <w:tcW w:w="4508" w:type="dxa"/>
          </w:tcPr>
          <w:p w14:paraId="38ED5D9D" w14:textId="68AECF16"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Zero Trust compatibility</w:t>
            </w:r>
          </w:p>
        </w:tc>
        <w:tc>
          <w:tcPr>
            <w:tcW w:w="4508" w:type="dxa"/>
          </w:tcPr>
          <w:p w14:paraId="052D2C72"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Complements identity-centric security, continuous monitoring and least privilege identified in Task 1</w:t>
            </w:r>
          </w:p>
        </w:tc>
      </w:tr>
      <w:tr w:rsidR="00EB69F2" w:rsidRPr="00EB69F2" w14:paraId="343E5AE9" w14:textId="77777777" w:rsidTr="00843EF9">
        <w:tc>
          <w:tcPr>
            <w:tcW w:w="4508" w:type="dxa"/>
          </w:tcPr>
          <w:p w14:paraId="1D3FC08A" w14:textId="23F68FC3"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 xml:space="preserve">Cloud security </w:t>
            </w:r>
          </w:p>
        </w:tc>
        <w:tc>
          <w:tcPr>
            <w:tcW w:w="4508" w:type="dxa"/>
          </w:tcPr>
          <w:p w14:paraId="31CA2D73"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Well suited to hybrid and cloud-native environments used by Aegis FinTech</w:t>
            </w:r>
          </w:p>
        </w:tc>
      </w:tr>
      <w:tr w:rsidR="00EB69F2" w:rsidRPr="00EB69F2" w14:paraId="52A46F5C" w14:textId="77777777" w:rsidTr="00843EF9">
        <w:tc>
          <w:tcPr>
            <w:tcW w:w="4508" w:type="dxa"/>
          </w:tcPr>
          <w:p w14:paraId="57327715" w14:textId="4463811C"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Governance</w:t>
            </w:r>
          </w:p>
        </w:tc>
        <w:tc>
          <w:tcPr>
            <w:tcW w:w="4508" w:type="dxa"/>
          </w:tcPr>
          <w:p w14:paraId="460F43AF"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CSF 2.0 introduces the Govern function, strengthening board oversight and accountability</w:t>
            </w:r>
          </w:p>
        </w:tc>
      </w:tr>
      <w:tr w:rsidR="00EB69F2" w:rsidRPr="00EB69F2" w14:paraId="6D90CD0D" w14:textId="77777777" w:rsidTr="00843EF9">
        <w:tc>
          <w:tcPr>
            <w:tcW w:w="4508" w:type="dxa"/>
          </w:tcPr>
          <w:p w14:paraId="0950EDA6" w14:textId="1C1B21E0"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Scalability</w:t>
            </w:r>
          </w:p>
        </w:tc>
        <w:tc>
          <w:tcPr>
            <w:tcW w:w="4508" w:type="dxa"/>
          </w:tcPr>
          <w:p w14:paraId="00B9A8E3"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 xml:space="preserve">Supports future organisational growth across the European market. </w:t>
            </w:r>
          </w:p>
        </w:tc>
      </w:tr>
    </w:tbl>
    <w:p w14:paraId="447822C4" w14:textId="6D69F74D" w:rsidR="009543F4" w:rsidRDefault="009543F4" w:rsidP="009543F4">
      <w:pPr>
        <w:pStyle w:val="Caption"/>
        <w:rPr>
          <w:rFonts w:ascii="Times New Roman" w:hAnsi="Times New Roman" w:cs="Times New Roman"/>
          <w:sz w:val="22"/>
          <w:szCs w:val="22"/>
        </w:rPr>
      </w:pPr>
      <w:bookmarkStart w:id="35" w:name="_Toc235536888"/>
      <w:r>
        <w:t xml:space="preserve">Table </w:t>
      </w:r>
      <w:fldSimple w:instr=" SEQ Table \* ARABIC ">
        <w:r w:rsidR="009B6933">
          <w:rPr>
            <w:noProof/>
          </w:rPr>
          <w:t>2</w:t>
        </w:r>
      </w:fldSimple>
      <w:r>
        <w:t xml:space="preserve"> - </w:t>
      </w:r>
      <w:r w:rsidRPr="00E46A7A">
        <w:t>Justification for Selecting NIST CSF 2.0</w:t>
      </w:r>
      <w:bookmarkEnd w:id="35"/>
    </w:p>
    <w:p w14:paraId="44D113C3" w14:textId="6AB1DCFF" w:rsidR="00D44739" w:rsidRDefault="00D44739" w:rsidP="00D44739">
      <w:pPr>
        <w:rPr>
          <w:rFonts w:ascii="Times New Roman" w:hAnsi="Times New Roman" w:cs="Times New Roman"/>
          <w:sz w:val="22"/>
          <w:szCs w:val="22"/>
        </w:rPr>
      </w:pPr>
      <w:r w:rsidRPr="006E55A1">
        <w:rPr>
          <w:rFonts w:ascii="Times New Roman" w:hAnsi="Times New Roman" w:cs="Times New Roman"/>
          <w:sz w:val="22"/>
          <w:szCs w:val="22"/>
        </w:rPr>
        <w:t>Table 2 summarises the rationale for adopting the NIST Cybersecurity Framework (CSF) 2.0. Its risk-based approach, governance capabilities and compatibility with Zero Trust make it well suited to Aegis FinTech's cloud-first environment and planned European expansion. As identified in Task 1, the framework complements Zero Trust by supporting continuous risk assessment, asset visibility and incident response while providing a scalable model for improving cybersecurity maturity.</w:t>
      </w:r>
    </w:p>
    <w:p w14:paraId="1464D553" w14:textId="1DD27C4C" w:rsidR="00AF7A12" w:rsidRDefault="000D4193" w:rsidP="00AF7A12">
      <w:pPr>
        <w:rPr>
          <w:rFonts w:ascii="Times New Roman" w:hAnsi="Times New Roman" w:cs="Times New Roman"/>
          <w:sz w:val="22"/>
          <w:szCs w:val="22"/>
        </w:rPr>
      </w:pPr>
      <w:r w:rsidRPr="00C25312">
        <w:rPr>
          <w:rFonts w:ascii="Calibri" w:eastAsia="Calibri" w:hAnsi="Calibri" w:cs="Times New Roman"/>
          <w:iCs/>
          <w:noProof/>
          <w:sz w:val="22"/>
          <w:szCs w:val="22"/>
        </w:rPr>
        <w:drawing>
          <wp:anchor distT="0" distB="0" distL="114300" distR="114300" simplePos="0" relativeHeight="251658240" behindDoc="0" locked="0" layoutInCell="1" allowOverlap="1" wp14:anchorId="15FBA785" wp14:editId="7D6384C6">
            <wp:simplePos x="0" y="0"/>
            <wp:positionH relativeFrom="margin">
              <wp:align>left</wp:align>
            </wp:positionH>
            <wp:positionV relativeFrom="page">
              <wp:posOffset>5532120</wp:posOffset>
            </wp:positionV>
            <wp:extent cx="4655820" cy="3481070"/>
            <wp:effectExtent l="0" t="0" r="0" b="5080"/>
            <wp:wrapSquare wrapText="bothSides"/>
            <wp:docPr id="36964307" name="Picture 1" descr="The diagram illustrates a high-level zero trust architecture involving various components such as identity providers, gateways, employees, contractors, and security measures like encryption, monitoring, and incident respon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4307" name="Picture 1" descr="The diagram illustrates a high-level zero trust architecture involving various components such as identity providers, gateways, employees, contractors, and security measures like encryption, monitoring, and incident respons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5820" cy="3481070"/>
                    </a:xfrm>
                    <a:prstGeom prst="rect">
                      <a:avLst/>
                    </a:prstGeom>
                  </pic:spPr>
                </pic:pic>
              </a:graphicData>
            </a:graphic>
            <wp14:sizeRelH relativeFrom="margin">
              <wp14:pctWidth>0</wp14:pctWidth>
            </wp14:sizeRelH>
            <wp14:sizeRelV relativeFrom="margin">
              <wp14:pctHeight>0</wp14:pctHeight>
            </wp14:sizeRelV>
          </wp:anchor>
        </w:drawing>
      </w:r>
      <w:r w:rsidR="00AF7A12" w:rsidRPr="006E55A1">
        <w:rPr>
          <w:rFonts w:ascii="Times New Roman" w:hAnsi="Times New Roman" w:cs="Times New Roman"/>
          <w:sz w:val="22"/>
          <w:szCs w:val="22"/>
        </w:rPr>
        <w:t xml:space="preserve">Figure </w:t>
      </w:r>
      <w:r w:rsidR="00DC7A2E">
        <w:rPr>
          <w:rFonts w:ascii="Times New Roman" w:hAnsi="Times New Roman" w:cs="Times New Roman"/>
          <w:sz w:val="22"/>
          <w:szCs w:val="22"/>
        </w:rPr>
        <w:t>3</w:t>
      </w:r>
      <w:r w:rsidR="00AF7A12" w:rsidRPr="006E55A1">
        <w:rPr>
          <w:rFonts w:ascii="Times New Roman" w:hAnsi="Times New Roman" w:cs="Times New Roman"/>
          <w:sz w:val="22"/>
          <w:szCs w:val="22"/>
        </w:rPr>
        <w:t xml:space="preserve"> presents the proposed high-level Zero Trust Architecture for Aegis FinTech. It demonstrates how users, applications and cloud services interact within an identity-centric security model that continuously verifies access and monitors activity. By integrating identity management, ZTNA, cloud security technologies and centralised monitoring, the architecture strengthens cyber resilience and supports GDPR and DORA compliance.</w:t>
      </w:r>
    </w:p>
    <w:p w14:paraId="4234916C" w14:textId="41776E62" w:rsidR="00093CF5" w:rsidRDefault="00093CF5" w:rsidP="00B54021">
      <w:pPr>
        <w:rPr>
          <w:b/>
          <w:bCs/>
          <w:u w:val="single"/>
        </w:rPr>
      </w:pPr>
    </w:p>
    <w:p w14:paraId="3D110AE7" w14:textId="41C0CC46" w:rsidR="00093CF5" w:rsidRDefault="00093CF5" w:rsidP="00B54021">
      <w:pPr>
        <w:rPr>
          <w:b/>
          <w:bCs/>
          <w:u w:val="single"/>
        </w:rPr>
      </w:pPr>
    </w:p>
    <w:p w14:paraId="0361FE53" w14:textId="1768A848" w:rsidR="00093CF5" w:rsidRDefault="00093CF5" w:rsidP="00B54021">
      <w:pPr>
        <w:rPr>
          <w:b/>
          <w:bCs/>
          <w:u w:val="single"/>
        </w:rPr>
      </w:pPr>
    </w:p>
    <w:p w14:paraId="4FD749C6" w14:textId="26F2B898" w:rsidR="0036428D" w:rsidRDefault="0036428D" w:rsidP="00B54021">
      <w:pPr>
        <w:rPr>
          <w:b/>
          <w:bCs/>
          <w:u w:val="single"/>
        </w:rPr>
      </w:pPr>
    </w:p>
    <w:p w14:paraId="183A359C" w14:textId="75172909" w:rsidR="0036428D" w:rsidRDefault="0036428D" w:rsidP="00B54021">
      <w:pPr>
        <w:rPr>
          <w:b/>
          <w:bCs/>
          <w:u w:val="single"/>
        </w:rPr>
      </w:pPr>
    </w:p>
    <w:p w14:paraId="5EDA435E" w14:textId="76B31808" w:rsidR="0036428D" w:rsidRDefault="0036428D" w:rsidP="00B54021">
      <w:pPr>
        <w:rPr>
          <w:b/>
          <w:bCs/>
          <w:u w:val="single"/>
        </w:rPr>
      </w:pPr>
    </w:p>
    <w:p w14:paraId="0D01557E" w14:textId="77777777" w:rsidR="00817B86" w:rsidRDefault="00BE6F49" w:rsidP="00AE69DD">
      <w:pPr>
        <w:tabs>
          <w:tab w:val="left" w:pos="3780"/>
        </w:tabs>
        <w:rPr>
          <w:rFonts w:ascii="Calibri" w:eastAsia="Calibri" w:hAnsi="Calibri" w:cs="Times New Roman"/>
          <w:i/>
          <w:sz w:val="20"/>
          <w:szCs w:val="20"/>
        </w:rPr>
      </w:pPr>
      <w:r>
        <w:rPr>
          <w:b/>
          <w:bCs/>
          <w:u w:val="single"/>
        </w:rPr>
        <w:br/>
      </w:r>
      <w:r>
        <w:rPr>
          <w:b/>
          <w:bCs/>
          <w:u w:val="single"/>
        </w:rPr>
        <w:br/>
      </w:r>
      <w:r>
        <w:rPr>
          <w:b/>
          <w:bCs/>
          <w:u w:val="single"/>
        </w:rPr>
        <w:br/>
      </w:r>
      <w:r>
        <w:rPr>
          <w:b/>
          <w:bCs/>
          <w:u w:val="single"/>
        </w:rPr>
        <w:br/>
      </w:r>
      <w:r>
        <w:rPr>
          <w:b/>
          <w:bCs/>
          <w:u w:val="single"/>
        </w:rPr>
        <w:br/>
      </w:r>
    </w:p>
    <w:p w14:paraId="44F86A36" w14:textId="148ABBAD" w:rsidR="00817B86" w:rsidRDefault="00DC7A2E" w:rsidP="00AE69DD">
      <w:pPr>
        <w:tabs>
          <w:tab w:val="left" w:pos="3780"/>
        </w:tabs>
        <w:rPr>
          <w:rFonts w:ascii="Calibri" w:eastAsia="Calibri" w:hAnsi="Calibri" w:cs="Times New Roman"/>
          <w:i/>
          <w:sz w:val="20"/>
          <w:szCs w:val="20"/>
        </w:rPr>
      </w:pPr>
      <w:r>
        <w:rPr>
          <w:noProof/>
        </w:rPr>
        <mc:AlternateContent>
          <mc:Choice Requires="wps">
            <w:drawing>
              <wp:anchor distT="0" distB="0" distL="114300" distR="114300" simplePos="0" relativeHeight="251662336" behindDoc="0" locked="0" layoutInCell="1" allowOverlap="1" wp14:anchorId="1665E716" wp14:editId="294E9ADD">
                <wp:simplePos x="0" y="0"/>
                <wp:positionH relativeFrom="margin">
                  <wp:align>left</wp:align>
                </wp:positionH>
                <wp:positionV relativeFrom="paragraph">
                  <wp:posOffset>178435</wp:posOffset>
                </wp:positionV>
                <wp:extent cx="2651760" cy="635"/>
                <wp:effectExtent l="0" t="0" r="0" b="0"/>
                <wp:wrapSquare wrapText="bothSides"/>
                <wp:docPr id="1673912575" name="Text Box 1"/>
                <wp:cNvGraphicFramePr/>
                <a:graphic xmlns:a="http://schemas.openxmlformats.org/drawingml/2006/main">
                  <a:graphicData uri="http://schemas.microsoft.com/office/word/2010/wordprocessingShape">
                    <wps:wsp>
                      <wps:cNvSpPr txBox="1"/>
                      <wps:spPr>
                        <a:xfrm>
                          <a:off x="0" y="0"/>
                          <a:ext cx="2651760" cy="635"/>
                        </a:xfrm>
                        <a:prstGeom prst="rect">
                          <a:avLst/>
                        </a:prstGeom>
                        <a:solidFill>
                          <a:prstClr val="white"/>
                        </a:solidFill>
                        <a:ln>
                          <a:noFill/>
                        </a:ln>
                      </wps:spPr>
                      <wps:txbx>
                        <w:txbxContent>
                          <w:p w14:paraId="77A473B4" w14:textId="02098CE4" w:rsidR="00DC7A2E" w:rsidRPr="00A21F93" w:rsidRDefault="00DC7A2E" w:rsidP="00DC7A2E">
                            <w:pPr>
                              <w:pStyle w:val="Caption"/>
                              <w:rPr>
                                <w:rFonts w:ascii="Calibri" w:eastAsia="Calibri" w:hAnsi="Calibri" w:cs="Times New Roman"/>
                                <w:sz w:val="22"/>
                                <w:szCs w:val="22"/>
                              </w:rPr>
                            </w:pPr>
                            <w:bookmarkStart w:id="36" w:name="_Toc235536862"/>
                            <w:r>
                              <w:t xml:space="preserve">Figure </w:t>
                            </w:r>
                            <w:fldSimple w:instr=" SEQ Figure \* ARABIC ">
                              <w:r>
                                <w:rPr>
                                  <w:noProof/>
                                </w:rPr>
                                <w:t>3</w:t>
                              </w:r>
                            </w:fldSimple>
                            <w:r>
                              <w:t xml:space="preserve"> - High-Level Zero Trust Architecture Diagram</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665E716" id="_x0000_t202" coordsize="21600,21600" o:spt="202" path="m,l,21600r21600,l21600,xe">
                <v:stroke joinstyle="miter"/>
                <v:path gradientshapeok="t" o:connecttype="rect"/>
              </v:shapetype>
              <v:shape id="Text Box 1" o:spid="_x0000_s1026" type="#_x0000_t202" style="position:absolute;margin-left:0;margin-top:14.05pt;width:208.8pt;height:.05pt;z-index:25166233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" stroked="f">
                <v:textbox style="mso-fit-shape-to-text:t" inset="0,0,0,0">
                  <w:txbxContent>
                    <w:p w14:paraId="77A473B4" w14:textId="02098CE4" w:rsidR="00DC7A2E" w:rsidRPr="00A21F93" w:rsidRDefault="00DC7A2E" w:rsidP="00DC7A2E">
                      <w:pPr>
                        <w:pStyle w:val="Caption"/>
                        <w:rPr>
                          <w:rFonts w:ascii="Calibri" w:eastAsia="Calibri" w:hAnsi="Calibri" w:cs="Times New Roman"/>
                          <w:sz w:val="22"/>
                          <w:szCs w:val="22"/>
                        </w:rPr>
                      </w:pPr>
                      <w:bookmarkStart w:id="37" w:name="_Toc235536862"/>
                      <w:r>
                        <w:t xml:space="preserve">Figure </w:t>
                      </w:r>
                      <w:fldSimple w:instr=" SEQ Figure \* ARABIC ">
                        <w:r>
                          <w:rPr>
                            <w:noProof/>
                          </w:rPr>
                          <w:t>3</w:t>
                        </w:r>
                      </w:fldSimple>
                      <w:r>
                        <w:t xml:space="preserve"> - High-Level Zero Trust Architecture Diagram</w:t>
                      </w:r>
                      <w:bookmarkEnd w:id="37"/>
                    </w:p>
                  </w:txbxContent>
                </v:textbox>
                <w10:wrap type="square" anchorx="margin"/>
              </v:shape>
            </w:pict>
          </mc:Fallback>
        </mc:AlternateContent>
      </w:r>
    </w:p>
    <w:p w14:paraId="289C0F35" w14:textId="77777777" w:rsidR="00DC7A2E" w:rsidRDefault="00DC7A2E" w:rsidP="00BE6F49">
      <w:pPr>
        <w:rPr>
          <w:rFonts w:ascii="Times New Roman" w:hAnsi="Times New Roman" w:cs="Times New Roman"/>
          <w:sz w:val="22"/>
          <w:szCs w:val="22"/>
        </w:rPr>
      </w:pPr>
    </w:p>
    <w:p w14:paraId="666E9B97" w14:textId="4797E0E8" w:rsidR="00BE6F49" w:rsidRDefault="00BE6F49" w:rsidP="00BE6F49">
      <w:pPr>
        <w:rPr>
          <w:rFonts w:ascii="Times New Roman" w:hAnsi="Times New Roman" w:cs="Times New Roman"/>
          <w:sz w:val="22"/>
          <w:szCs w:val="22"/>
        </w:rPr>
      </w:pPr>
      <w:r w:rsidRPr="006E55A1">
        <w:rPr>
          <w:rFonts w:ascii="Times New Roman" w:hAnsi="Times New Roman" w:cs="Times New Roman"/>
          <w:sz w:val="22"/>
          <w:szCs w:val="22"/>
        </w:rPr>
        <w:t xml:space="preserve">The proposed architecture follows the Zero Trust principle of never trust, always verify, ensuring every access request is authenticated, authorised and continuously validated. Zero Trust Network Access (ZTNA) restricts users to authorised applications, while Cloud Security Posture Management (CSPM) and Cloud Access </w:t>
      </w:r>
      <w:r w:rsidRPr="006E55A1">
        <w:rPr>
          <w:rFonts w:ascii="Times New Roman" w:hAnsi="Times New Roman" w:cs="Times New Roman"/>
          <w:sz w:val="22"/>
          <w:szCs w:val="22"/>
        </w:rPr>
        <w:lastRenderedPageBreak/>
        <w:t>Security Broker (CASB) secure cloud resources through continuous monitoring and policy enforcement. Security telemetry is centralised within the Security Information and Event Management (SIEM) platform, enabling the Security Operations Centre (SOC) to detect and respond to threats using Security Orchestration, Automation and Response (SOAR). Together, these controls strengthen cyber resilience, reduce the risk of credential compromise and cloud misconfiguration, and support GDPR and DORA compliance</w:t>
      </w:r>
      <w:r w:rsidR="005F5CF3">
        <w:rPr>
          <w:rFonts w:ascii="Times New Roman" w:hAnsi="Times New Roman" w:cs="Times New Roman"/>
          <w:sz w:val="22"/>
          <w:szCs w:val="22"/>
        </w:rPr>
        <w:t>.</w:t>
      </w:r>
    </w:p>
    <w:p w14:paraId="3C53D29D" w14:textId="154B3E11" w:rsidR="00BE6F49" w:rsidRDefault="00BE6F49" w:rsidP="00BE6F49">
      <w:pPr>
        <w:rPr>
          <w:rFonts w:ascii="Times New Roman" w:hAnsi="Times New Roman" w:cs="Times New Roman"/>
          <w:sz w:val="22"/>
          <w:szCs w:val="22"/>
        </w:rPr>
      </w:pPr>
      <w:r w:rsidRPr="006E55A1">
        <w:rPr>
          <w:rFonts w:ascii="Times New Roman" w:hAnsi="Times New Roman" w:cs="Times New Roman"/>
          <w:sz w:val="22"/>
          <w:szCs w:val="22"/>
        </w:rPr>
        <w:t>Consistent with the findings of Task 1, the proposed architecture translates Zero Trust principles into a practical implementation strategy for Aegis FinTech. The combination of NIST CSF 2.0 and Zero Trust provides a structured framework for embedding governance, continuous verification and risk management while supporting regulatory compliance and future organisational growth</w:t>
      </w:r>
      <w:r w:rsidR="005F5CF3">
        <w:rPr>
          <w:rFonts w:ascii="Times New Roman" w:hAnsi="Times New Roman" w:cs="Times New Roman"/>
          <w:sz w:val="22"/>
          <w:szCs w:val="22"/>
        </w:rPr>
        <w:t>.</w:t>
      </w:r>
    </w:p>
    <w:p w14:paraId="072B991D" w14:textId="77777777" w:rsidR="00807149" w:rsidRPr="0033616C" w:rsidRDefault="007043CB" w:rsidP="00807149">
      <w:pPr>
        <w:rPr>
          <w:rFonts w:ascii="Times New Roman" w:hAnsi="Times New Roman" w:cs="Times New Roman"/>
          <w:sz w:val="22"/>
          <w:szCs w:val="22"/>
        </w:rPr>
      </w:pPr>
      <w:bookmarkStart w:id="38" w:name="_Toc235536184"/>
      <w:bookmarkStart w:id="39" w:name="_Toc235611400"/>
      <w:r w:rsidRPr="007F5BEC">
        <w:rPr>
          <w:rStyle w:val="Heading2Char"/>
          <w:b/>
          <w:bCs/>
          <w:color w:val="auto"/>
          <w:sz w:val="28"/>
          <w:szCs w:val="28"/>
          <w:u w:val="single"/>
        </w:rPr>
        <w:t>Strategic Risk Assessment</w:t>
      </w:r>
      <w:bookmarkEnd w:id="38"/>
      <w:bookmarkEnd w:id="39"/>
      <w:r w:rsidRPr="009B2BC1">
        <w:rPr>
          <w:b/>
          <w:bCs/>
          <w:u w:val="single"/>
        </w:rPr>
        <w:br/>
      </w:r>
      <w:r w:rsidR="00807149" w:rsidRPr="0033616C">
        <w:rPr>
          <w:rFonts w:ascii="Times New Roman" w:hAnsi="Times New Roman" w:cs="Times New Roman"/>
          <w:sz w:val="22"/>
          <w:szCs w:val="22"/>
        </w:rPr>
        <w:t>As Aegis FinTech expands its cloud-based financial services into the EU, it faces strategic cyber risks that could affect the confidentiality, integrity and availability of its systems and customer data. A high-level risk assessment enables the organisation to prioritise key threats and implement appropriate security controls. Table 3 identifies the most significant risks facing Aegis FinTech and the recommended mitigation strategies aligned with the proposed Zero Trust Architecture and NIST Cybersecurity Framework (CSF) 2.0.</w:t>
      </w:r>
    </w:p>
    <w:tbl>
      <w:tblPr>
        <w:tblStyle w:val="TableGrid"/>
        <w:tblW w:w="0" w:type="auto"/>
        <w:tblLook w:val="04A0" w:firstRow="1" w:lastRow="0" w:firstColumn="1" w:lastColumn="0" w:noHBand="0" w:noVBand="1"/>
      </w:tblPr>
      <w:tblGrid>
        <w:gridCol w:w="1803"/>
        <w:gridCol w:w="1803"/>
        <w:gridCol w:w="1803"/>
        <w:gridCol w:w="1803"/>
        <w:gridCol w:w="1804"/>
      </w:tblGrid>
      <w:tr w:rsidR="00937A2B" w:rsidRPr="00937A2B" w14:paraId="12208B56" w14:textId="77777777" w:rsidTr="00843EF9">
        <w:tc>
          <w:tcPr>
            <w:tcW w:w="1803" w:type="dxa"/>
          </w:tcPr>
          <w:p w14:paraId="431D31F1"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Risk</w:t>
            </w:r>
          </w:p>
        </w:tc>
        <w:tc>
          <w:tcPr>
            <w:tcW w:w="1803" w:type="dxa"/>
          </w:tcPr>
          <w:p w14:paraId="5211CAAF"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Likelihood</w:t>
            </w:r>
          </w:p>
        </w:tc>
        <w:tc>
          <w:tcPr>
            <w:tcW w:w="1803" w:type="dxa"/>
          </w:tcPr>
          <w:p w14:paraId="0F997724"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Business Impact</w:t>
            </w:r>
          </w:p>
        </w:tc>
        <w:tc>
          <w:tcPr>
            <w:tcW w:w="1803" w:type="dxa"/>
          </w:tcPr>
          <w:p w14:paraId="0D7C5235"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Potential Cost</w:t>
            </w:r>
          </w:p>
        </w:tc>
        <w:tc>
          <w:tcPr>
            <w:tcW w:w="1804" w:type="dxa"/>
          </w:tcPr>
          <w:p w14:paraId="756A8295"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 xml:space="preserve">Recommended Mitigation </w:t>
            </w:r>
          </w:p>
        </w:tc>
      </w:tr>
      <w:tr w:rsidR="00937A2B" w:rsidRPr="00937A2B" w14:paraId="1FF73B5A" w14:textId="77777777" w:rsidTr="00843EF9">
        <w:tc>
          <w:tcPr>
            <w:tcW w:w="1803" w:type="dxa"/>
          </w:tcPr>
          <w:p w14:paraId="058E29CD"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Cloud Misconfiguration</w:t>
            </w:r>
          </w:p>
        </w:tc>
        <w:tc>
          <w:tcPr>
            <w:tcW w:w="1803" w:type="dxa"/>
          </w:tcPr>
          <w:p w14:paraId="39E662DB"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High</w:t>
            </w:r>
          </w:p>
        </w:tc>
        <w:tc>
          <w:tcPr>
            <w:tcW w:w="1803" w:type="dxa"/>
          </w:tcPr>
          <w:p w14:paraId="566B4D0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Exposure of sensitive customer data, GDPR fines, reputational damage and operational disruption</w:t>
            </w:r>
          </w:p>
        </w:tc>
        <w:tc>
          <w:tcPr>
            <w:tcW w:w="1803" w:type="dxa"/>
          </w:tcPr>
          <w:p w14:paraId="6D775E88"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£1M-5M including regulatory fines, incident response, legal costs and customer compensation </w:t>
            </w:r>
          </w:p>
        </w:tc>
        <w:tc>
          <w:tcPr>
            <w:tcW w:w="1804" w:type="dxa"/>
          </w:tcPr>
          <w:p w14:paraId="177288CF"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Implement CSPM, least-privilege access, automated configuration monitoring, regular security audits </w:t>
            </w:r>
          </w:p>
        </w:tc>
      </w:tr>
      <w:tr w:rsidR="00937A2B" w:rsidRPr="00937A2B" w14:paraId="143E0022" w14:textId="77777777" w:rsidTr="00843EF9">
        <w:tc>
          <w:tcPr>
            <w:tcW w:w="1803" w:type="dxa"/>
          </w:tcPr>
          <w:p w14:paraId="6AACB07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Supply Chain Compromise</w:t>
            </w:r>
          </w:p>
        </w:tc>
        <w:tc>
          <w:tcPr>
            <w:tcW w:w="1803" w:type="dxa"/>
          </w:tcPr>
          <w:p w14:paraId="7DFB2EC7"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Medium-High</w:t>
            </w:r>
          </w:p>
        </w:tc>
        <w:tc>
          <w:tcPr>
            <w:tcW w:w="1803" w:type="dxa"/>
          </w:tcPr>
          <w:p w14:paraId="283E8F2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Third-party compromise resulting in unauthorised access, malware deployment and service outages</w:t>
            </w:r>
          </w:p>
        </w:tc>
        <w:tc>
          <w:tcPr>
            <w:tcW w:w="1803" w:type="dxa"/>
          </w:tcPr>
          <w:p w14:paraId="0307164D"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£500K-£3M through business disruption, forensic investigations, contractual liabilities and recovery costs</w:t>
            </w:r>
          </w:p>
        </w:tc>
        <w:tc>
          <w:tcPr>
            <w:tcW w:w="1804" w:type="dxa"/>
          </w:tcPr>
          <w:p w14:paraId="41EF4BDC"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Conduct comprehensive vendor due diligence, continuous third-party monitoring, contractual security requirements and supplier audits</w:t>
            </w:r>
          </w:p>
        </w:tc>
      </w:tr>
      <w:tr w:rsidR="00937A2B" w:rsidRPr="00937A2B" w14:paraId="4373B547" w14:textId="77777777" w:rsidTr="00843EF9">
        <w:tc>
          <w:tcPr>
            <w:tcW w:w="1803" w:type="dxa"/>
          </w:tcPr>
          <w:p w14:paraId="2997CE3A"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 xml:space="preserve">AI Data </w:t>
            </w:r>
            <w:proofErr w:type="spellStart"/>
            <w:r w:rsidRPr="00817B86">
              <w:rPr>
                <w:rFonts w:ascii="Calibri" w:eastAsia="Calibri" w:hAnsi="Calibri" w:cs="Times New Roman"/>
                <w:iCs/>
                <w:sz w:val="16"/>
                <w:szCs w:val="16"/>
              </w:rPr>
              <w:t>Poisioning</w:t>
            </w:r>
            <w:proofErr w:type="spellEnd"/>
          </w:p>
        </w:tc>
        <w:tc>
          <w:tcPr>
            <w:tcW w:w="1803" w:type="dxa"/>
          </w:tcPr>
          <w:p w14:paraId="3FCF518D"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Medium</w:t>
            </w:r>
          </w:p>
        </w:tc>
        <w:tc>
          <w:tcPr>
            <w:tcW w:w="1803" w:type="dxa"/>
          </w:tcPr>
          <w:p w14:paraId="0F7856D5"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Manipulation of AI models leading to inaccurate financial analytics, poor business decisions and loss of customer confidence </w:t>
            </w:r>
          </w:p>
        </w:tc>
        <w:tc>
          <w:tcPr>
            <w:tcW w:w="1803" w:type="dxa"/>
          </w:tcPr>
          <w:p w14:paraId="16A7DD3B"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£250K-£2M through model retraining, operational delays, reputational damage and reduced customer trust </w:t>
            </w:r>
          </w:p>
        </w:tc>
        <w:tc>
          <w:tcPr>
            <w:tcW w:w="1804" w:type="dxa"/>
          </w:tcPr>
          <w:p w14:paraId="40DEEE96"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Secure AI training datasets, validate data integrity, restrict access to training environments and regularly test AI outputs for anomalies </w:t>
            </w:r>
          </w:p>
        </w:tc>
      </w:tr>
    </w:tbl>
    <w:p w14:paraId="15BBA0CE" w14:textId="4CAD0341" w:rsidR="009543F4" w:rsidRDefault="009543F4" w:rsidP="009543F4">
      <w:pPr>
        <w:pStyle w:val="Caption"/>
        <w:rPr>
          <w:rFonts w:ascii="Times New Roman" w:hAnsi="Times New Roman" w:cs="Times New Roman"/>
          <w:sz w:val="22"/>
          <w:szCs w:val="22"/>
        </w:rPr>
      </w:pPr>
      <w:bookmarkStart w:id="40" w:name="_Toc235536889"/>
      <w:r>
        <w:t xml:space="preserve">Table </w:t>
      </w:r>
      <w:fldSimple w:instr=" SEQ Table \* ARABIC ">
        <w:r w:rsidR="009B6933">
          <w:rPr>
            <w:noProof/>
          </w:rPr>
          <w:t>3</w:t>
        </w:r>
      </w:fldSimple>
      <w:r w:rsidRPr="00E64C91">
        <w:t xml:space="preserve"> – Proposed Risk Register for Aegis FinTech</w:t>
      </w:r>
      <w:bookmarkEnd w:id="40"/>
    </w:p>
    <w:p w14:paraId="67468467" w14:textId="05B89869" w:rsidR="004959D9" w:rsidRDefault="004959D9" w:rsidP="004959D9">
      <w:pPr>
        <w:rPr>
          <w:rFonts w:ascii="Times New Roman" w:hAnsi="Times New Roman" w:cs="Times New Roman"/>
          <w:sz w:val="22"/>
          <w:szCs w:val="22"/>
        </w:rPr>
      </w:pPr>
      <w:r w:rsidRPr="0033616C">
        <w:rPr>
          <w:rFonts w:ascii="Times New Roman" w:hAnsi="Times New Roman" w:cs="Times New Roman"/>
          <w:sz w:val="22"/>
          <w:szCs w:val="22"/>
        </w:rPr>
        <w:t>Table 3 demonstrates that cloud misconfiguration, supply chain compromise and AI data poisoning present the greatest strategic risks to Aegis FinTech. As identified in Task 1, these threats are best mitigated through proactive security controls, making investment in prevention more cost-effective than responding to a major cyber incident.</w:t>
      </w:r>
    </w:p>
    <w:p w14:paraId="17120D23" w14:textId="0F35A004" w:rsidR="00F44A7D" w:rsidRDefault="007043CB" w:rsidP="00B54021">
      <w:pPr>
        <w:rPr>
          <w:rFonts w:ascii="Times New Roman" w:hAnsi="Times New Roman" w:cs="Times New Roman"/>
          <w:sz w:val="22"/>
          <w:szCs w:val="22"/>
        </w:rPr>
      </w:pPr>
      <w:bookmarkStart w:id="41" w:name="_Toc235536185"/>
      <w:bookmarkStart w:id="42" w:name="_Toc235611401"/>
      <w:r w:rsidRPr="00C618D8">
        <w:rPr>
          <w:rStyle w:val="Heading2Char"/>
          <w:b/>
          <w:bCs/>
          <w:color w:val="auto"/>
          <w:sz w:val="28"/>
          <w:szCs w:val="28"/>
          <w:u w:val="single"/>
        </w:rPr>
        <w:t xml:space="preserve">Incident </w:t>
      </w:r>
      <w:r w:rsidR="008E01B5" w:rsidRPr="00C618D8">
        <w:rPr>
          <w:rStyle w:val="Heading2Char"/>
          <w:b/>
          <w:bCs/>
          <w:color w:val="auto"/>
          <w:sz w:val="28"/>
          <w:szCs w:val="28"/>
          <w:u w:val="single"/>
        </w:rPr>
        <w:t>Respons</w:t>
      </w:r>
      <w:r w:rsidR="0074050C" w:rsidRPr="00C618D8">
        <w:rPr>
          <w:rStyle w:val="Heading2Char"/>
          <w:b/>
          <w:bCs/>
          <w:color w:val="auto"/>
          <w:sz w:val="28"/>
          <w:szCs w:val="28"/>
          <w:u w:val="single"/>
        </w:rPr>
        <w:t>e &amp; Business Continuity</w:t>
      </w:r>
      <w:bookmarkEnd w:id="41"/>
      <w:bookmarkEnd w:id="42"/>
      <w:r w:rsidR="0074050C" w:rsidRPr="00C618D8">
        <w:rPr>
          <w:b/>
          <w:bCs/>
          <w:sz w:val="22"/>
          <w:szCs w:val="22"/>
          <w:u w:val="single"/>
        </w:rPr>
        <w:t xml:space="preserve"> </w:t>
      </w:r>
      <w:r w:rsidR="0074050C" w:rsidRPr="009B2BC1">
        <w:rPr>
          <w:b/>
          <w:bCs/>
          <w:u w:val="single"/>
        </w:rPr>
        <w:br/>
      </w:r>
      <w:r w:rsidR="008C2949" w:rsidRPr="0033616C">
        <w:rPr>
          <w:rFonts w:ascii="Times New Roman" w:hAnsi="Times New Roman" w:cs="Times New Roman"/>
          <w:sz w:val="22"/>
          <w:szCs w:val="22"/>
        </w:rPr>
        <w:t>Despite implementing preventative security controls, Aegis FinTech must be prepared to respond effectively to cyber incidents that disrupt business operations. As identified in Task 1, ransomware remains one of the most significant threats to financial organisations. Tables 4 and 5 present a structured ransomware response playbook and communication plan to coordinate technical response, stakeholder communication and business continuity, minimising operational disruption and supporting rapid recovery</w:t>
      </w:r>
    </w:p>
    <w:p w14:paraId="4DC34549" w14:textId="77777777" w:rsidR="00DC7A2E" w:rsidRDefault="00DC7A2E" w:rsidP="00B54021">
      <w:pPr>
        <w:rPr>
          <w:rFonts w:ascii="Times New Roman" w:hAnsi="Times New Roman" w:cs="Times New Roman"/>
          <w:b/>
          <w:bCs/>
          <w:sz w:val="22"/>
          <w:szCs w:val="22"/>
          <w:u w:val="single"/>
        </w:rPr>
      </w:pPr>
    </w:p>
    <w:p w14:paraId="2D8D0F24" w14:textId="77777777" w:rsidR="00DC7A2E" w:rsidRDefault="00DC7A2E" w:rsidP="00B54021">
      <w:pPr>
        <w:rPr>
          <w:rFonts w:ascii="Times New Roman" w:hAnsi="Times New Roman" w:cs="Times New Roman"/>
          <w:b/>
          <w:bCs/>
          <w:sz w:val="22"/>
          <w:szCs w:val="22"/>
          <w:u w:val="single"/>
        </w:rPr>
      </w:pPr>
    </w:p>
    <w:p w14:paraId="3A1E2C7D" w14:textId="77777777" w:rsidR="00DC7A2E" w:rsidRDefault="00DC7A2E" w:rsidP="00B54021">
      <w:pPr>
        <w:rPr>
          <w:rFonts w:ascii="Times New Roman" w:hAnsi="Times New Roman" w:cs="Times New Roman"/>
          <w:b/>
          <w:bCs/>
          <w:sz w:val="22"/>
          <w:szCs w:val="22"/>
          <w:u w:val="single"/>
        </w:rPr>
      </w:pPr>
    </w:p>
    <w:p w14:paraId="631367D3" w14:textId="77777777" w:rsidR="00DC7A2E" w:rsidRDefault="00DC7A2E" w:rsidP="00B54021">
      <w:pPr>
        <w:rPr>
          <w:rFonts w:ascii="Times New Roman" w:hAnsi="Times New Roman" w:cs="Times New Roman"/>
          <w:b/>
          <w:bCs/>
          <w:sz w:val="22"/>
          <w:szCs w:val="22"/>
          <w:u w:val="single"/>
        </w:rPr>
      </w:pPr>
    </w:p>
    <w:p w14:paraId="0BF937F5" w14:textId="77777777" w:rsidR="00DC7A2E" w:rsidRDefault="00DC7A2E" w:rsidP="00B54021">
      <w:pPr>
        <w:rPr>
          <w:b/>
          <w:bCs/>
          <w:u w:val="single"/>
        </w:rPr>
      </w:pPr>
    </w:p>
    <w:p w14:paraId="5E4ED0E7" w14:textId="368AB3AB" w:rsidR="00801F6D" w:rsidRDefault="00801F6D" w:rsidP="00801F6D">
      <w:pPr>
        <w:pStyle w:val="Caption"/>
        <w:keepNext/>
      </w:pPr>
    </w:p>
    <w:tbl>
      <w:tblPr>
        <w:tblStyle w:val="TableGrid"/>
        <w:tblW w:w="0" w:type="auto"/>
        <w:tblLook w:val="04A0" w:firstRow="1" w:lastRow="0" w:firstColumn="1" w:lastColumn="0" w:noHBand="0" w:noVBand="1"/>
      </w:tblPr>
      <w:tblGrid>
        <w:gridCol w:w="3005"/>
        <w:gridCol w:w="3005"/>
        <w:gridCol w:w="3006"/>
      </w:tblGrid>
      <w:tr w:rsidR="00692EC5" w:rsidRPr="00692EC5" w14:paraId="1531965D" w14:textId="77777777" w:rsidTr="00843EF9">
        <w:tc>
          <w:tcPr>
            <w:tcW w:w="3005" w:type="dxa"/>
          </w:tcPr>
          <w:p w14:paraId="02EF481E"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Phase</w:t>
            </w:r>
          </w:p>
        </w:tc>
        <w:tc>
          <w:tcPr>
            <w:tcW w:w="3005" w:type="dxa"/>
          </w:tcPr>
          <w:p w14:paraId="30AE5581"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Key Activities</w:t>
            </w:r>
          </w:p>
        </w:tc>
        <w:tc>
          <w:tcPr>
            <w:tcW w:w="3006" w:type="dxa"/>
          </w:tcPr>
          <w:p w14:paraId="2B130EF5"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Responsible Team</w:t>
            </w:r>
          </w:p>
        </w:tc>
      </w:tr>
      <w:tr w:rsidR="00692EC5" w:rsidRPr="00692EC5" w14:paraId="3CC557DD" w14:textId="77777777" w:rsidTr="00843EF9">
        <w:tc>
          <w:tcPr>
            <w:tcW w:w="3005" w:type="dxa"/>
          </w:tcPr>
          <w:p w14:paraId="2A621A98"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Detection &amp; Identification </w:t>
            </w:r>
          </w:p>
        </w:tc>
        <w:tc>
          <w:tcPr>
            <w:tcW w:w="3005" w:type="dxa"/>
          </w:tcPr>
          <w:p w14:paraId="10A30486"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Detect suspicious encryption activity using SIEM, EDR and user reports. Confirm whether ransomware is present and identify affected systems. </w:t>
            </w:r>
          </w:p>
        </w:tc>
        <w:tc>
          <w:tcPr>
            <w:tcW w:w="3006" w:type="dxa"/>
          </w:tcPr>
          <w:p w14:paraId="58F15136"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SOC Analysts</w:t>
            </w:r>
          </w:p>
        </w:tc>
      </w:tr>
      <w:tr w:rsidR="00692EC5" w:rsidRPr="00692EC5" w14:paraId="6050569D" w14:textId="77777777" w:rsidTr="00843EF9">
        <w:tc>
          <w:tcPr>
            <w:tcW w:w="3005" w:type="dxa"/>
          </w:tcPr>
          <w:p w14:paraId="79C88B8E"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Containment</w:t>
            </w:r>
          </w:p>
        </w:tc>
        <w:tc>
          <w:tcPr>
            <w:tcW w:w="3005" w:type="dxa"/>
          </w:tcPr>
          <w:p w14:paraId="1D9EB15C"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Immediately isolate infected endpoints and servers from the network, disable compromised accounts and block malicious communications to prevent lateral movement. </w:t>
            </w:r>
          </w:p>
        </w:tc>
        <w:tc>
          <w:tcPr>
            <w:tcW w:w="3006" w:type="dxa"/>
          </w:tcPr>
          <w:p w14:paraId="6C06EA1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SOC Analysts &amp; Incident Response Team</w:t>
            </w:r>
          </w:p>
        </w:tc>
      </w:tr>
      <w:tr w:rsidR="00692EC5" w:rsidRPr="00692EC5" w14:paraId="180228C8" w14:textId="77777777" w:rsidTr="00843EF9">
        <w:tc>
          <w:tcPr>
            <w:tcW w:w="3005" w:type="dxa"/>
          </w:tcPr>
          <w:p w14:paraId="0517BD73"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Investigation &amp; Eradication</w:t>
            </w:r>
          </w:p>
        </w:tc>
        <w:tc>
          <w:tcPr>
            <w:tcW w:w="3005" w:type="dxa"/>
          </w:tcPr>
          <w:p w14:paraId="7ACB9447"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Identify the ransomware variant, determine the attack vector, remove malicious files, revoke compromised credentials and patch exploited vulnerabilities </w:t>
            </w:r>
          </w:p>
        </w:tc>
        <w:tc>
          <w:tcPr>
            <w:tcW w:w="3006" w:type="dxa"/>
          </w:tcPr>
          <w:p w14:paraId="6F046E23"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Incident Response Team</w:t>
            </w:r>
          </w:p>
        </w:tc>
      </w:tr>
      <w:tr w:rsidR="00692EC5" w:rsidRPr="00692EC5" w14:paraId="09D015FB" w14:textId="77777777" w:rsidTr="00843EF9">
        <w:tc>
          <w:tcPr>
            <w:tcW w:w="3005" w:type="dxa"/>
          </w:tcPr>
          <w:p w14:paraId="25E34212"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Recovery</w:t>
            </w:r>
          </w:p>
        </w:tc>
        <w:tc>
          <w:tcPr>
            <w:tcW w:w="3005" w:type="dxa"/>
          </w:tcPr>
          <w:p w14:paraId="1A6A75F9"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Restore affected systems from verified immutable backups, validate system integrity and gradually reconnect services following security testing. </w:t>
            </w:r>
          </w:p>
        </w:tc>
        <w:tc>
          <w:tcPr>
            <w:tcW w:w="3006" w:type="dxa"/>
          </w:tcPr>
          <w:p w14:paraId="013C853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Cloud Security Architect</w:t>
            </w:r>
          </w:p>
        </w:tc>
      </w:tr>
      <w:tr w:rsidR="00692EC5" w:rsidRPr="00692EC5" w14:paraId="62D9A605" w14:textId="77777777" w:rsidTr="00843EF9">
        <w:tc>
          <w:tcPr>
            <w:tcW w:w="3005" w:type="dxa"/>
          </w:tcPr>
          <w:p w14:paraId="0EE80718"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Lessons Learned </w:t>
            </w:r>
          </w:p>
          <w:p w14:paraId="7664D894" w14:textId="77777777" w:rsidR="00692EC5" w:rsidRPr="00692EC5" w:rsidRDefault="00692EC5" w:rsidP="00692EC5">
            <w:pPr>
              <w:rPr>
                <w:rFonts w:ascii="Calibri" w:eastAsia="Calibri" w:hAnsi="Calibri" w:cs="Times New Roman"/>
                <w:sz w:val="22"/>
                <w:szCs w:val="22"/>
              </w:rPr>
            </w:pPr>
          </w:p>
          <w:p w14:paraId="15D59872" w14:textId="77777777" w:rsidR="00692EC5" w:rsidRPr="00692EC5" w:rsidRDefault="00692EC5" w:rsidP="00692EC5">
            <w:pPr>
              <w:rPr>
                <w:rFonts w:ascii="Calibri" w:eastAsia="Calibri" w:hAnsi="Calibri" w:cs="Times New Roman"/>
                <w:sz w:val="22"/>
                <w:szCs w:val="22"/>
              </w:rPr>
            </w:pPr>
          </w:p>
          <w:p w14:paraId="3E461439" w14:textId="77777777" w:rsidR="00692EC5" w:rsidRPr="00692EC5" w:rsidRDefault="00692EC5" w:rsidP="00692EC5">
            <w:pPr>
              <w:rPr>
                <w:rFonts w:ascii="Calibri" w:eastAsia="Calibri" w:hAnsi="Calibri" w:cs="Times New Roman"/>
                <w:iCs/>
                <w:sz w:val="22"/>
                <w:szCs w:val="22"/>
              </w:rPr>
            </w:pPr>
          </w:p>
          <w:p w14:paraId="21829B23" w14:textId="77777777" w:rsidR="00692EC5" w:rsidRPr="00692EC5" w:rsidRDefault="00692EC5" w:rsidP="00692EC5">
            <w:pPr>
              <w:rPr>
                <w:rFonts w:ascii="Calibri" w:eastAsia="Calibri" w:hAnsi="Calibri" w:cs="Times New Roman"/>
                <w:iCs/>
                <w:sz w:val="22"/>
                <w:szCs w:val="22"/>
              </w:rPr>
            </w:pPr>
          </w:p>
          <w:p w14:paraId="2A864BAF" w14:textId="77777777" w:rsidR="00692EC5" w:rsidRPr="00692EC5" w:rsidRDefault="00692EC5" w:rsidP="00692EC5">
            <w:pPr>
              <w:rPr>
                <w:rFonts w:ascii="Calibri" w:eastAsia="Calibri" w:hAnsi="Calibri" w:cs="Times New Roman"/>
                <w:sz w:val="22"/>
                <w:szCs w:val="22"/>
              </w:rPr>
            </w:pPr>
          </w:p>
        </w:tc>
        <w:tc>
          <w:tcPr>
            <w:tcW w:w="3005" w:type="dxa"/>
          </w:tcPr>
          <w:p w14:paraId="7D12345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Conduct a post-incident review, update policies, strengthen security controls and provide additional staff awareness training where required</w:t>
            </w:r>
          </w:p>
        </w:tc>
        <w:tc>
          <w:tcPr>
            <w:tcW w:w="3006" w:type="dxa"/>
          </w:tcPr>
          <w:p w14:paraId="3E6FD20A"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CISO &amp; Governance, Risk and Compliance Manager </w:t>
            </w:r>
          </w:p>
        </w:tc>
      </w:tr>
    </w:tbl>
    <w:p w14:paraId="0B6388B7" w14:textId="40C7715C" w:rsidR="00801F6D" w:rsidRDefault="00801F6D" w:rsidP="00801F6D">
      <w:pPr>
        <w:pStyle w:val="Caption"/>
        <w:rPr>
          <w:rFonts w:ascii="Times New Roman" w:hAnsi="Times New Roman" w:cs="Times New Roman"/>
          <w:sz w:val="22"/>
          <w:szCs w:val="22"/>
        </w:rPr>
      </w:pPr>
      <w:bookmarkStart w:id="43" w:name="_Toc235536890"/>
      <w:r>
        <w:t xml:space="preserve">Table </w:t>
      </w:r>
      <w:fldSimple w:instr=" SEQ Table \* ARABIC ">
        <w:r w:rsidR="009B6933">
          <w:rPr>
            <w:noProof/>
          </w:rPr>
          <w:t>4</w:t>
        </w:r>
      </w:fldSimple>
      <w:r>
        <w:t xml:space="preserve"> -</w:t>
      </w:r>
      <w:r w:rsidRPr="00D66BF0">
        <w:t xml:space="preserve"> Proposed Ransomware Response Playbook</w:t>
      </w:r>
      <w:bookmarkEnd w:id="43"/>
    </w:p>
    <w:p w14:paraId="08194632" w14:textId="56D3835E" w:rsidR="00BF3E67" w:rsidRPr="0033616C" w:rsidRDefault="00BF3E67" w:rsidP="00BF3E67">
      <w:pPr>
        <w:rPr>
          <w:rFonts w:ascii="Times New Roman" w:hAnsi="Times New Roman" w:cs="Times New Roman"/>
          <w:sz w:val="22"/>
          <w:szCs w:val="22"/>
        </w:rPr>
      </w:pPr>
      <w:r w:rsidRPr="0033616C">
        <w:rPr>
          <w:rFonts w:ascii="Times New Roman" w:hAnsi="Times New Roman" w:cs="Times New Roman"/>
          <w:sz w:val="22"/>
          <w:szCs w:val="22"/>
        </w:rPr>
        <w:t>Business continuity will be supported through geographically separated immutable backups, regularly tested restoration procedures and security validation before systems are returned to production. These measures support DORA's operational resilience requirements while enabling the timely recovery of critical services.</w:t>
      </w:r>
    </w:p>
    <w:p w14:paraId="46ABEE43" w14:textId="4BDE90A6" w:rsidR="00BB7441" w:rsidRPr="00D73697" w:rsidRDefault="00BF3E67" w:rsidP="00B54021">
      <w:pPr>
        <w:rPr>
          <w:rFonts w:ascii="Times New Roman" w:hAnsi="Times New Roman" w:cs="Times New Roman"/>
          <w:sz w:val="22"/>
          <w:szCs w:val="22"/>
        </w:rPr>
      </w:pPr>
      <w:r w:rsidRPr="0033616C">
        <w:rPr>
          <w:rFonts w:ascii="Times New Roman" w:hAnsi="Times New Roman" w:cs="Times New Roman"/>
          <w:sz w:val="22"/>
          <w:szCs w:val="22"/>
        </w:rPr>
        <w:t>Consistent with the findings of Task 1, the proposed playbook reflects Zero Trust principles through early threat detection, rapid containment, least-privilege access, continuous monitoring and secure recovery, reducing the impact of ransomware attacks.</w:t>
      </w:r>
    </w:p>
    <w:tbl>
      <w:tblPr>
        <w:tblStyle w:val="TableGrid"/>
        <w:tblpPr w:leftFromText="180" w:rightFromText="180" w:vertAnchor="text" w:horzAnchor="margin" w:tblpY="352"/>
        <w:tblW w:w="0" w:type="auto"/>
        <w:tblLook w:val="04A0" w:firstRow="1" w:lastRow="0" w:firstColumn="1" w:lastColumn="0" w:noHBand="0" w:noVBand="1"/>
      </w:tblPr>
      <w:tblGrid>
        <w:gridCol w:w="4508"/>
        <w:gridCol w:w="4508"/>
      </w:tblGrid>
      <w:tr w:rsidR="00BB7441" w:rsidRPr="00BB7441" w14:paraId="7DD33E4C" w14:textId="77777777" w:rsidTr="00BB7441">
        <w:tc>
          <w:tcPr>
            <w:tcW w:w="4508" w:type="dxa"/>
          </w:tcPr>
          <w:p w14:paraId="1E3D06DA"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Stakeholder</w:t>
            </w:r>
          </w:p>
        </w:tc>
        <w:tc>
          <w:tcPr>
            <w:tcW w:w="4508" w:type="dxa"/>
          </w:tcPr>
          <w:p w14:paraId="263C9956"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Communication</w:t>
            </w:r>
          </w:p>
        </w:tc>
      </w:tr>
      <w:tr w:rsidR="00BB7441" w:rsidRPr="00BB7441" w14:paraId="20104839" w14:textId="77777777" w:rsidTr="00BB7441">
        <w:tc>
          <w:tcPr>
            <w:tcW w:w="4508" w:type="dxa"/>
          </w:tcPr>
          <w:p w14:paraId="2C09E372"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Board of Directors</w:t>
            </w:r>
          </w:p>
        </w:tc>
        <w:tc>
          <w:tcPr>
            <w:tcW w:w="4508" w:type="dxa"/>
          </w:tcPr>
          <w:p w14:paraId="12674D61"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Immediate incident notification, business impact assessment and recovery progress updates</w:t>
            </w:r>
          </w:p>
        </w:tc>
      </w:tr>
      <w:tr w:rsidR="00BB7441" w:rsidRPr="00BB7441" w14:paraId="28EBA242" w14:textId="77777777" w:rsidTr="00BB7441">
        <w:tc>
          <w:tcPr>
            <w:tcW w:w="4508" w:type="dxa"/>
          </w:tcPr>
          <w:p w14:paraId="2BAF7F36"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Employees</w:t>
            </w:r>
          </w:p>
        </w:tc>
        <w:tc>
          <w:tcPr>
            <w:tcW w:w="4508" w:type="dxa"/>
          </w:tcPr>
          <w:p w14:paraId="06AFFF8E"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Guidance on affected systems, password resets, phishing awareness and operational instructions</w:t>
            </w:r>
          </w:p>
        </w:tc>
      </w:tr>
      <w:tr w:rsidR="00BB7441" w:rsidRPr="00BB7441" w14:paraId="76255D57" w14:textId="77777777" w:rsidTr="00BB7441">
        <w:tc>
          <w:tcPr>
            <w:tcW w:w="4508" w:type="dxa"/>
          </w:tcPr>
          <w:p w14:paraId="72BC963D"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Customers</w:t>
            </w:r>
          </w:p>
        </w:tc>
        <w:tc>
          <w:tcPr>
            <w:tcW w:w="4508" w:type="dxa"/>
          </w:tcPr>
          <w:p w14:paraId="47DCA150"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Transparent updates regarding service availability, data protection and expected recovery times</w:t>
            </w:r>
          </w:p>
        </w:tc>
      </w:tr>
      <w:tr w:rsidR="00BB7441" w:rsidRPr="00BB7441" w14:paraId="6968D0A9" w14:textId="77777777" w:rsidTr="00BB7441">
        <w:tc>
          <w:tcPr>
            <w:tcW w:w="4508" w:type="dxa"/>
          </w:tcPr>
          <w:p w14:paraId="127AC64C"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lastRenderedPageBreak/>
              <w:t>Regulators</w:t>
            </w:r>
          </w:p>
        </w:tc>
        <w:tc>
          <w:tcPr>
            <w:tcW w:w="4508" w:type="dxa"/>
          </w:tcPr>
          <w:p w14:paraId="0B161679"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Report incidents in accordance with GDPR and DORA requirements where applicable</w:t>
            </w:r>
          </w:p>
        </w:tc>
      </w:tr>
      <w:tr w:rsidR="00BB7441" w:rsidRPr="00BB7441" w14:paraId="48DD7D44" w14:textId="77777777" w:rsidTr="00BB7441">
        <w:tc>
          <w:tcPr>
            <w:tcW w:w="4508" w:type="dxa"/>
          </w:tcPr>
          <w:p w14:paraId="7519BFC7"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Third-Party Vendors</w:t>
            </w:r>
          </w:p>
        </w:tc>
        <w:tc>
          <w:tcPr>
            <w:tcW w:w="4508" w:type="dxa"/>
          </w:tcPr>
          <w:p w14:paraId="77DF3412"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Coordinate technical response where cloud services or suppliers are affected</w:t>
            </w:r>
          </w:p>
        </w:tc>
      </w:tr>
    </w:tbl>
    <w:p w14:paraId="4BC813FF" w14:textId="4C366F11" w:rsidR="00801F6D" w:rsidRDefault="00BB7441" w:rsidP="00801F6D">
      <w:pPr>
        <w:pStyle w:val="Caption"/>
        <w:rPr>
          <w:rFonts w:ascii="Times New Roman" w:hAnsi="Times New Roman" w:cs="Times New Roman"/>
          <w:sz w:val="22"/>
          <w:szCs w:val="22"/>
        </w:rPr>
      </w:pPr>
      <w:r>
        <w:rPr>
          <w:b/>
          <w:bCs/>
          <w:u w:val="single"/>
        </w:rPr>
        <w:br/>
      </w:r>
      <w:r w:rsidR="00801F6D">
        <w:rPr>
          <w:rFonts w:ascii="Times New Roman" w:hAnsi="Times New Roman" w:cs="Times New Roman"/>
          <w:sz w:val="22"/>
          <w:szCs w:val="22"/>
        </w:rPr>
        <w:br/>
      </w:r>
      <w:r w:rsidR="00801F6D">
        <w:br/>
      </w:r>
      <w:bookmarkStart w:id="44" w:name="_Toc235536891"/>
      <w:r w:rsidR="00801F6D">
        <w:t xml:space="preserve">Table </w:t>
      </w:r>
      <w:fldSimple w:instr=" SEQ Table \* ARABIC ">
        <w:r w:rsidR="009B6933">
          <w:rPr>
            <w:noProof/>
          </w:rPr>
          <w:t>5</w:t>
        </w:r>
      </w:fldSimple>
      <w:r w:rsidR="00801F6D">
        <w:t xml:space="preserve"> - </w:t>
      </w:r>
      <w:r w:rsidR="00801F6D" w:rsidRPr="00D84084">
        <w:t>Incident Communication Plan</w:t>
      </w:r>
      <w:bookmarkEnd w:id="44"/>
    </w:p>
    <w:p w14:paraId="61542787" w14:textId="55B3F54D" w:rsidR="00D73697" w:rsidRDefault="00BF68C3" w:rsidP="00B54021">
      <w:pPr>
        <w:rPr>
          <w:b/>
          <w:bCs/>
          <w:u w:val="single"/>
        </w:rPr>
      </w:pPr>
      <w:r w:rsidRPr="00A53858">
        <w:rPr>
          <w:rFonts w:ascii="Times New Roman" w:hAnsi="Times New Roman" w:cs="Times New Roman"/>
          <w:sz w:val="22"/>
          <w:szCs w:val="22"/>
        </w:rPr>
        <w:t>By providing clear communication pathways for internal and external stakeholders, Aegis FinTech can support effective decision-making, maintain stakeholder confidence and meet its regulatory reporting obligations under GDPR and DORA. This structured approach helps minimise uncertainty, supports business continuity and reinforces the organisation's overall incident response capability</w:t>
      </w:r>
      <w:r w:rsidR="00F45962">
        <w:rPr>
          <w:rFonts w:ascii="Times New Roman" w:hAnsi="Times New Roman" w:cs="Times New Roman"/>
          <w:sz w:val="22"/>
          <w:szCs w:val="22"/>
        </w:rPr>
        <w:t>.</w:t>
      </w:r>
    </w:p>
    <w:p w14:paraId="3CAB0065" w14:textId="345FFC05" w:rsidR="00D313ED" w:rsidRDefault="008263F0" w:rsidP="00B54021">
      <w:pPr>
        <w:rPr>
          <w:rFonts w:ascii="Times New Roman" w:hAnsi="Times New Roman" w:cs="Times New Roman"/>
          <w:sz w:val="22"/>
          <w:szCs w:val="22"/>
        </w:rPr>
      </w:pPr>
      <w:bookmarkStart w:id="45" w:name="_Toc235536186"/>
      <w:bookmarkStart w:id="46" w:name="_Toc235611402"/>
      <w:r w:rsidRPr="00C618D8">
        <w:rPr>
          <w:rStyle w:val="Heading2Char"/>
          <w:b/>
          <w:bCs/>
          <w:color w:val="auto"/>
          <w:sz w:val="28"/>
          <w:szCs w:val="28"/>
          <w:u w:val="single"/>
        </w:rPr>
        <w:t>Steering Committee &amp; Roadmap</w:t>
      </w:r>
      <w:bookmarkEnd w:id="45"/>
      <w:bookmarkEnd w:id="46"/>
      <w:r w:rsidRPr="009B2BC1">
        <w:rPr>
          <w:b/>
          <w:bCs/>
          <w:u w:val="single"/>
        </w:rPr>
        <w:br/>
      </w:r>
      <w:r w:rsidR="004849B9" w:rsidRPr="0033616C">
        <w:rPr>
          <w:rFonts w:ascii="Times New Roman" w:hAnsi="Times New Roman" w:cs="Times New Roman"/>
          <w:sz w:val="22"/>
          <w:szCs w:val="22"/>
        </w:rPr>
        <w:t>Effective cybersecurity requires strong governance, executive accountability and continuous improvement to ensure security initiatives remain aligned with organisational objectives. As Aegis FinTech expands into the EU, cybersecurity must become a strategic business function. The following governance structure, roadmap and performance indicators establish leadership responsibilities, implementation priorities and measurable outcomes that support the organisation's Zero Trust strategy and compliance with GDPR and DORA</w:t>
      </w:r>
      <w:r w:rsidR="004849B9">
        <w:rPr>
          <w:rFonts w:ascii="Times New Roman" w:hAnsi="Times New Roman" w:cs="Times New Roman"/>
          <w:sz w:val="22"/>
          <w:szCs w:val="22"/>
        </w:rPr>
        <w:t>.</w:t>
      </w:r>
    </w:p>
    <w:p w14:paraId="768727DE" w14:textId="77777777" w:rsidR="00CE3A15" w:rsidRPr="0033616C" w:rsidRDefault="00CE3A15" w:rsidP="00CE3A15">
      <w:pPr>
        <w:rPr>
          <w:rFonts w:ascii="Times New Roman" w:hAnsi="Times New Roman" w:cs="Times New Roman"/>
          <w:sz w:val="22"/>
          <w:szCs w:val="22"/>
        </w:rPr>
      </w:pPr>
      <w:r w:rsidRPr="0033616C">
        <w:rPr>
          <w:rFonts w:ascii="Times New Roman" w:hAnsi="Times New Roman" w:cs="Times New Roman"/>
          <w:sz w:val="22"/>
          <w:szCs w:val="22"/>
        </w:rPr>
        <w:t>Table 6 presents the proposed Cyber Security Steering Committee, bringing together executive and technical stakeholders to oversee cybersecurity strategy, governance and regulatory compliance. The committee will meet quarterly to review cyber risks, implementation progress, security metrics, audit findings and business continuity performance.</w:t>
      </w:r>
    </w:p>
    <w:tbl>
      <w:tblPr>
        <w:tblStyle w:val="TableGrid"/>
        <w:tblW w:w="0" w:type="auto"/>
        <w:tblLook w:val="04A0" w:firstRow="1" w:lastRow="0" w:firstColumn="1" w:lastColumn="0" w:noHBand="0" w:noVBand="1"/>
      </w:tblPr>
      <w:tblGrid>
        <w:gridCol w:w="4508"/>
        <w:gridCol w:w="4508"/>
      </w:tblGrid>
      <w:tr w:rsidR="0035488A" w:rsidRPr="0035488A" w14:paraId="66FF6E0A" w14:textId="77777777" w:rsidTr="00843EF9">
        <w:tc>
          <w:tcPr>
            <w:tcW w:w="4508" w:type="dxa"/>
          </w:tcPr>
          <w:p w14:paraId="498C2F64"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Role</w:t>
            </w:r>
          </w:p>
        </w:tc>
        <w:tc>
          <w:tcPr>
            <w:tcW w:w="4508" w:type="dxa"/>
          </w:tcPr>
          <w:p w14:paraId="2202F861"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Responsibility</w:t>
            </w:r>
          </w:p>
        </w:tc>
      </w:tr>
      <w:tr w:rsidR="0035488A" w:rsidRPr="0035488A" w14:paraId="14EFBFCA" w14:textId="77777777" w:rsidTr="00843EF9">
        <w:tc>
          <w:tcPr>
            <w:tcW w:w="4508" w:type="dxa"/>
          </w:tcPr>
          <w:p w14:paraId="702D5670"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Executive Officer</w:t>
            </w:r>
          </w:p>
        </w:tc>
        <w:tc>
          <w:tcPr>
            <w:tcW w:w="4508" w:type="dxa"/>
          </w:tcPr>
          <w:p w14:paraId="1659FA9B"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Provides strategic direction and ensures cybersecurity aligns with business objectives</w:t>
            </w:r>
          </w:p>
        </w:tc>
      </w:tr>
      <w:tr w:rsidR="0035488A" w:rsidRPr="0035488A" w14:paraId="0B5C0288" w14:textId="77777777" w:rsidTr="00843EF9">
        <w:tc>
          <w:tcPr>
            <w:tcW w:w="4508" w:type="dxa"/>
          </w:tcPr>
          <w:p w14:paraId="4C9D53B1"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Information Security Officer</w:t>
            </w:r>
          </w:p>
        </w:tc>
        <w:tc>
          <w:tcPr>
            <w:tcW w:w="4508" w:type="dxa"/>
          </w:tcPr>
          <w:p w14:paraId="4AA086B1"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Leads cybersecurity strategy, governance and reporting to the board</w:t>
            </w:r>
          </w:p>
        </w:tc>
      </w:tr>
      <w:tr w:rsidR="0035488A" w:rsidRPr="0035488A" w14:paraId="527D12E0" w14:textId="77777777" w:rsidTr="00843EF9">
        <w:tc>
          <w:tcPr>
            <w:tcW w:w="4508" w:type="dxa"/>
          </w:tcPr>
          <w:p w14:paraId="63D9C0CB"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Financial Officer</w:t>
            </w:r>
          </w:p>
        </w:tc>
        <w:tc>
          <w:tcPr>
            <w:tcW w:w="4508" w:type="dxa"/>
          </w:tcPr>
          <w:p w14:paraId="33C61E16"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Approves budgets, investment and financial risk management</w:t>
            </w:r>
          </w:p>
        </w:tc>
      </w:tr>
      <w:tr w:rsidR="0035488A" w:rsidRPr="0035488A" w14:paraId="167151D3" w14:textId="77777777" w:rsidTr="00843EF9">
        <w:tc>
          <w:tcPr>
            <w:tcW w:w="4508" w:type="dxa"/>
          </w:tcPr>
          <w:p w14:paraId="2349EFE5"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Information Officer</w:t>
            </w:r>
          </w:p>
        </w:tc>
        <w:tc>
          <w:tcPr>
            <w:tcW w:w="4508" w:type="dxa"/>
          </w:tcPr>
          <w:p w14:paraId="6684F9D5"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Oversees IT infrastructure and technical implementation</w:t>
            </w:r>
          </w:p>
        </w:tc>
      </w:tr>
      <w:tr w:rsidR="0035488A" w:rsidRPr="0035488A" w14:paraId="66EDCE90" w14:textId="77777777" w:rsidTr="00843EF9">
        <w:tc>
          <w:tcPr>
            <w:tcW w:w="4508" w:type="dxa"/>
          </w:tcPr>
          <w:p w14:paraId="145CBF48"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Head of Legal</w:t>
            </w:r>
          </w:p>
        </w:tc>
        <w:tc>
          <w:tcPr>
            <w:tcW w:w="4508" w:type="dxa"/>
          </w:tcPr>
          <w:p w14:paraId="4522E667"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Ensures compliance with GDPR, DORA and contractual obligations</w:t>
            </w:r>
          </w:p>
        </w:tc>
      </w:tr>
      <w:tr w:rsidR="0035488A" w:rsidRPr="0035488A" w14:paraId="2DCFA85F" w14:textId="77777777" w:rsidTr="00843EF9">
        <w:tc>
          <w:tcPr>
            <w:tcW w:w="4508" w:type="dxa"/>
          </w:tcPr>
          <w:p w14:paraId="4C1A5FA6"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Governance, Risk &amp; Compliance Manager</w:t>
            </w:r>
          </w:p>
        </w:tc>
        <w:tc>
          <w:tcPr>
            <w:tcW w:w="4508" w:type="dxa"/>
          </w:tcPr>
          <w:p w14:paraId="2AD44E61"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Reports on organisational risk, audits and policy compliance</w:t>
            </w:r>
          </w:p>
        </w:tc>
      </w:tr>
      <w:tr w:rsidR="0035488A" w:rsidRPr="0035488A" w14:paraId="1FD59BC7" w14:textId="77777777" w:rsidTr="00843EF9">
        <w:tc>
          <w:tcPr>
            <w:tcW w:w="4508" w:type="dxa"/>
          </w:tcPr>
          <w:p w14:paraId="127B02C8"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Cloud Security Architect</w:t>
            </w:r>
          </w:p>
        </w:tc>
        <w:tc>
          <w:tcPr>
            <w:tcW w:w="4508" w:type="dxa"/>
          </w:tcPr>
          <w:p w14:paraId="142663F6"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Advises on cloud security, technical architecture and resilience</w:t>
            </w:r>
          </w:p>
        </w:tc>
      </w:tr>
      <w:tr w:rsidR="0035488A" w:rsidRPr="0035488A" w14:paraId="4BCCF8C1" w14:textId="77777777" w:rsidTr="00843EF9">
        <w:tc>
          <w:tcPr>
            <w:tcW w:w="4508" w:type="dxa"/>
          </w:tcPr>
          <w:p w14:paraId="60C5D8BD"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Security Operations Manager</w:t>
            </w:r>
          </w:p>
        </w:tc>
        <w:tc>
          <w:tcPr>
            <w:tcW w:w="4508" w:type="dxa"/>
          </w:tcPr>
          <w:p w14:paraId="2118B463"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Provides operational updates on incidents, vulnerabilities and SOC performance</w:t>
            </w:r>
          </w:p>
        </w:tc>
      </w:tr>
      <w:tr w:rsidR="0035488A" w:rsidRPr="0035488A" w14:paraId="5CD4756C" w14:textId="77777777" w:rsidTr="00843EF9">
        <w:tc>
          <w:tcPr>
            <w:tcW w:w="4508" w:type="dxa"/>
          </w:tcPr>
          <w:p w14:paraId="116FE633"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Human Resources Manager</w:t>
            </w:r>
          </w:p>
        </w:tc>
        <w:tc>
          <w:tcPr>
            <w:tcW w:w="4508" w:type="dxa"/>
          </w:tcPr>
          <w:p w14:paraId="0CDEDD17"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 xml:space="preserve">Supports security awareness, insider risk management and employee confidence </w:t>
            </w:r>
          </w:p>
        </w:tc>
      </w:tr>
    </w:tbl>
    <w:p w14:paraId="7A43D459" w14:textId="48AD72FB" w:rsidR="00801F6D" w:rsidRDefault="00801F6D" w:rsidP="00801F6D">
      <w:pPr>
        <w:pStyle w:val="Caption"/>
        <w:rPr>
          <w:rFonts w:ascii="Times New Roman" w:hAnsi="Times New Roman" w:cs="Times New Roman"/>
          <w:sz w:val="22"/>
          <w:szCs w:val="22"/>
        </w:rPr>
      </w:pPr>
      <w:bookmarkStart w:id="47" w:name="_Toc235536892"/>
      <w:r>
        <w:t xml:space="preserve">Table </w:t>
      </w:r>
      <w:fldSimple w:instr=" SEQ Table \* ARABIC ">
        <w:r w:rsidR="009B6933">
          <w:rPr>
            <w:noProof/>
          </w:rPr>
          <w:t>6</w:t>
        </w:r>
      </w:fldSimple>
      <w:r>
        <w:t xml:space="preserve"> - </w:t>
      </w:r>
      <w:r w:rsidRPr="00BF15E0">
        <w:t>Proposed Cyber Security Steering Committee</w:t>
      </w:r>
      <w:bookmarkEnd w:id="47"/>
    </w:p>
    <w:p w14:paraId="321E9517" w14:textId="72B3E422" w:rsidR="00E32003" w:rsidRPr="0033616C" w:rsidRDefault="00E32003" w:rsidP="00E32003">
      <w:pPr>
        <w:rPr>
          <w:rFonts w:ascii="Times New Roman" w:hAnsi="Times New Roman" w:cs="Times New Roman"/>
          <w:sz w:val="22"/>
          <w:szCs w:val="22"/>
        </w:rPr>
      </w:pPr>
      <w:r w:rsidRPr="0033616C">
        <w:rPr>
          <w:rFonts w:ascii="Times New Roman" w:hAnsi="Times New Roman" w:cs="Times New Roman"/>
          <w:sz w:val="22"/>
          <w:szCs w:val="22"/>
        </w:rPr>
        <w:t xml:space="preserve">Figure </w:t>
      </w:r>
      <w:r w:rsidR="00DC7A2E">
        <w:rPr>
          <w:rFonts w:ascii="Times New Roman" w:hAnsi="Times New Roman" w:cs="Times New Roman"/>
          <w:sz w:val="22"/>
          <w:szCs w:val="22"/>
        </w:rPr>
        <w:t>4</w:t>
      </w:r>
      <w:r w:rsidRPr="0033616C">
        <w:rPr>
          <w:rFonts w:ascii="Times New Roman" w:hAnsi="Times New Roman" w:cs="Times New Roman"/>
          <w:sz w:val="22"/>
          <w:szCs w:val="22"/>
        </w:rPr>
        <w:t xml:space="preserve"> presents the proposed 12-month implementation roadmap, prioritising governance and foundational Zero Trust controls before progressing to technical implementation, operational resilience and continuous improvement. As identified in Task 1, this phased approach addresses the highest priority risks while supporting EU expansion and regulatory compliance.</w:t>
      </w:r>
    </w:p>
    <w:p w14:paraId="173E7107" w14:textId="11669EDB" w:rsidR="004849B9" w:rsidRPr="004E077C" w:rsidRDefault="003C69B2" w:rsidP="00B54021">
      <w:pPr>
        <w:rPr>
          <w:b/>
          <w:bCs/>
          <w:u w:val="single"/>
        </w:rPr>
      </w:pPr>
      <w:r w:rsidRPr="003C69B2">
        <w:rPr>
          <w:rFonts w:ascii="Calibri" w:eastAsia="Calibri" w:hAnsi="Calibri" w:cs="Times New Roman"/>
          <w:iCs/>
          <w:noProof/>
          <w:sz w:val="22"/>
          <w:szCs w:val="22"/>
        </w:rPr>
        <w:lastRenderedPageBreak/>
        <w:drawing>
          <wp:anchor distT="0" distB="0" distL="114300" distR="114300" simplePos="0" relativeHeight="251660288" behindDoc="0" locked="0" layoutInCell="1" allowOverlap="1" wp14:anchorId="4C67AC5E" wp14:editId="3AD6ABA9">
            <wp:simplePos x="0" y="0"/>
            <wp:positionH relativeFrom="margin">
              <wp:align>left</wp:align>
            </wp:positionH>
            <wp:positionV relativeFrom="page">
              <wp:posOffset>1537335</wp:posOffset>
            </wp:positionV>
            <wp:extent cx="5353050" cy="2990850"/>
            <wp:effectExtent l="0" t="0" r="0" b="0"/>
            <wp:wrapSquare wrapText="bothSides"/>
            <wp:docPr id="360505184" name="Picture 1" descr="The image illustrates a 12-month strategic roadmap for enhancing cybersecurity, covering topics like Zero Trust, governance, technical controls, operational resilience, and various security measures and assess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05184" name="Picture 1" descr="The image illustrates a 12-month strategic roadmap for enhancing cybersecurity, covering topics like Zero Trust, governance, technical controls, operational resilience, and various security measures and assessment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53050" cy="2990850"/>
                    </a:xfrm>
                    <a:prstGeom prst="rect">
                      <a:avLst/>
                    </a:prstGeom>
                  </pic:spPr>
                </pic:pic>
              </a:graphicData>
            </a:graphic>
          </wp:anchor>
        </w:drawing>
      </w:r>
    </w:p>
    <w:p w14:paraId="7D9D7793" w14:textId="77777777" w:rsidR="00D313ED" w:rsidRDefault="00D313ED" w:rsidP="00B54021">
      <w:pPr>
        <w:rPr>
          <w:b/>
          <w:bCs/>
          <w:u w:val="single"/>
        </w:rPr>
      </w:pPr>
    </w:p>
    <w:p w14:paraId="53009617" w14:textId="77777777" w:rsidR="00D313ED" w:rsidRDefault="00D313ED" w:rsidP="00B54021">
      <w:pPr>
        <w:rPr>
          <w:b/>
          <w:bCs/>
          <w:u w:val="single"/>
        </w:rPr>
      </w:pPr>
    </w:p>
    <w:p w14:paraId="624D3160" w14:textId="77777777" w:rsidR="00D313ED" w:rsidRDefault="00D313ED" w:rsidP="00B54021">
      <w:pPr>
        <w:rPr>
          <w:b/>
          <w:bCs/>
          <w:u w:val="single"/>
        </w:rPr>
      </w:pPr>
    </w:p>
    <w:p w14:paraId="10A02FA4" w14:textId="77777777" w:rsidR="003C69B2" w:rsidRDefault="003C69B2" w:rsidP="00B54021">
      <w:pPr>
        <w:rPr>
          <w:b/>
          <w:bCs/>
          <w:u w:val="single"/>
        </w:rPr>
      </w:pPr>
    </w:p>
    <w:p w14:paraId="62847248" w14:textId="77777777" w:rsidR="003C69B2" w:rsidRDefault="003C69B2" w:rsidP="00B54021">
      <w:pPr>
        <w:rPr>
          <w:b/>
          <w:bCs/>
          <w:u w:val="single"/>
        </w:rPr>
      </w:pPr>
    </w:p>
    <w:p w14:paraId="26CC2E2C" w14:textId="77777777" w:rsidR="003C69B2" w:rsidRDefault="003C69B2" w:rsidP="00B54021">
      <w:pPr>
        <w:rPr>
          <w:b/>
          <w:bCs/>
          <w:u w:val="single"/>
        </w:rPr>
      </w:pPr>
    </w:p>
    <w:p w14:paraId="550D1797" w14:textId="77777777" w:rsidR="003C69B2" w:rsidRDefault="003C69B2" w:rsidP="00B54021">
      <w:pPr>
        <w:rPr>
          <w:b/>
          <w:bCs/>
          <w:u w:val="single"/>
        </w:rPr>
      </w:pPr>
    </w:p>
    <w:p w14:paraId="55ADF33C" w14:textId="77777777" w:rsidR="003C69B2" w:rsidRDefault="003C69B2" w:rsidP="00B54021">
      <w:pPr>
        <w:rPr>
          <w:b/>
          <w:bCs/>
          <w:u w:val="single"/>
        </w:rPr>
      </w:pPr>
    </w:p>
    <w:p w14:paraId="5D56DD17" w14:textId="1FCB1A88" w:rsidR="005F592D" w:rsidRPr="005F592D" w:rsidRDefault="003C69B2" w:rsidP="005F592D">
      <w:pPr>
        <w:rPr>
          <w:rFonts w:ascii="Calibri" w:eastAsia="Calibri" w:hAnsi="Calibri" w:cs="Times New Roman"/>
          <w:i/>
          <w:iCs/>
          <w:sz w:val="22"/>
          <w:szCs w:val="22"/>
        </w:rPr>
      </w:pPr>
      <w:r>
        <w:rPr>
          <w:b/>
          <w:bCs/>
          <w:u w:val="single"/>
        </w:rPr>
        <w:br/>
      </w:r>
    </w:p>
    <w:p w14:paraId="2FE825D9" w14:textId="77777777" w:rsidR="000740ED" w:rsidRDefault="000740ED" w:rsidP="002D6992">
      <w:pPr>
        <w:rPr>
          <w:rFonts w:ascii="Times New Roman" w:hAnsi="Times New Roman" w:cs="Times New Roman"/>
          <w:sz w:val="22"/>
          <w:szCs w:val="22"/>
        </w:rPr>
      </w:pPr>
    </w:p>
    <w:p w14:paraId="52D56386" w14:textId="28E90436" w:rsidR="000740ED" w:rsidRDefault="00DC7A2E" w:rsidP="002D6992">
      <w:pPr>
        <w:rPr>
          <w:rFonts w:ascii="Times New Roman" w:hAnsi="Times New Roman" w:cs="Times New Roman"/>
          <w:sz w:val="22"/>
          <w:szCs w:val="22"/>
        </w:rPr>
      </w:pPr>
      <w:r>
        <w:rPr>
          <w:noProof/>
        </w:rPr>
        <mc:AlternateContent>
          <mc:Choice Requires="wps">
            <w:drawing>
              <wp:anchor distT="0" distB="0" distL="114300" distR="114300" simplePos="0" relativeHeight="251664384" behindDoc="0" locked="0" layoutInCell="1" allowOverlap="1" wp14:anchorId="4C9745EF" wp14:editId="2CB8E109">
                <wp:simplePos x="0" y="0"/>
                <wp:positionH relativeFrom="margin">
                  <wp:align>left</wp:align>
                </wp:positionH>
                <wp:positionV relativeFrom="paragraph">
                  <wp:posOffset>216535</wp:posOffset>
                </wp:positionV>
                <wp:extent cx="1973580" cy="635"/>
                <wp:effectExtent l="0" t="0" r="7620" b="0"/>
                <wp:wrapSquare wrapText="bothSides"/>
                <wp:docPr id="1338328091" name="Text Box 1"/>
                <wp:cNvGraphicFramePr/>
                <a:graphic xmlns:a="http://schemas.openxmlformats.org/drawingml/2006/main">
                  <a:graphicData uri="http://schemas.microsoft.com/office/word/2010/wordprocessingShape">
                    <wps:wsp>
                      <wps:cNvSpPr txBox="1"/>
                      <wps:spPr>
                        <a:xfrm>
                          <a:off x="0" y="0"/>
                          <a:ext cx="1973580" cy="635"/>
                        </a:xfrm>
                        <a:prstGeom prst="rect">
                          <a:avLst/>
                        </a:prstGeom>
                        <a:solidFill>
                          <a:prstClr val="white"/>
                        </a:solidFill>
                        <a:ln>
                          <a:noFill/>
                        </a:ln>
                      </wps:spPr>
                      <wps:txbx>
                        <w:txbxContent>
                          <w:p w14:paraId="76FF4347" w14:textId="61D4D6D9" w:rsidR="00DC7A2E" w:rsidRPr="00B1295E" w:rsidRDefault="00DC7A2E" w:rsidP="00DC7A2E">
                            <w:pPr>
                              <w:pStyle w:val="Caption"/>
                              <w:jc w:val="right"/>
                              <w:rPr>
                                <w:rFonts w:ascii="Calibri" w:eastAsia="Calibri" w:hAnsi="Calibri" w:cs="Times New Roman"/>
                                <w:sz w:val="22"/>
                                <w:szCs w:val="22"/>
                              </w:rPr>
                            </w:pPr>
                            <w:bookmarkStart w:id="48" w:name="_Toc235536863"/>
                            <w:r>
                              <w:t xml:space="preserve">Figure </w:t>
                            </w:r>
                            <w:fldSimple w:instr=" SEQ Figure \* ARABIC ">
                              <w:r>
                                <w:rPr>
                                  <w:noProof/>
                                </w:rPr>
                                <w:t>4</w:t>
                              </w:r>
                            </w:fldSimple>
                            <w:r>
                              <w:t xml:space="preserve"> - 12-Month Strategic Roadmap</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9745EF" id="_x0000_s1027" type="#_x0000_t202" style="position:absolute;margin-left:0;margin-top:17.05pt;width:155.4pt;height:.0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" stroked="f">
                <v:textbox style="mso-fit-shape-to-text:t" inset="0,0,0,0">
                  <w:txbxContent>
                    <w:p w14:paraId="76FF4347" w14:textId="61D4D6D9" w:rsidR="00DC7A2E" w:rsidRPr="00B1295E" w:rsidRDefault="00DC7A2E" w:rsidP="00DC7A2E">
                      <w:pPr>
                        <w:pStyle w:val="Caption"/>
                        <w:jc w:val="right"/>
                        <w:rPr>
                          <w:rFonts w:ascii="Calibri" w:eastAsia="Calibri" w:hAnsi="Calibri" w:cs="Times New Roman"/>
                          <w:sz w:val="22"/>
                          <w:szCs w:val="22"/>
                        </w:rPr>
                      </w:pPr>
                      <w:bookmarkStart w:id="49" w:name="_Toc235536863"/>
                      <w:r>
                        <w:t xml:space="preserve">Figure </w:t>
                      </w:r>
                      <w:fldSimple w:instr=" SEQ Figure \* ARABIC ">
                        <w:r>
                          <w:rPr>
                            <w:noProof/>
                          </w:rPr>
                          <w:t>4</w:t>
                        </w:r>
                      </w:fldSimple>
                      <w:r>
                        <w:t xml:space="preserve"> - 12-Month Strategic Roadmap</w:t>
                      </w:r>
                      <w:bookmarkEnd w:id="49"/>
                    </w:p>
                  </w:txbxContent>
                </v:textbox>
                <w10:wrap type="square" anchorx="margin"/>
              </v:shape>
            </w:pict>
          </mc:Fallback>
        </mc:AlternateContent>
      </w:r>
    </w:p>
    <w:p w14:paraId="146442ED" w14:textId="77777777" w:rsidR="000740ED" w:rsidRDefault="000740ED" w:rsidP="002D6992">
      <w:pPr>
        <w:rPr>
          <w:rFonts w:ascii="Times New Roman" w:hAnsi="Times New Roman" w:cs="Times New Roman"/>
          <w:sz w:val="22"/>
          <w:szCs w:val="22"/>
        </w:rPr>
      </w:pPr>
    </w:p>
    <w:p w14:paraId="05223F1C" w14:textId="4D641AC8" w:rsidR="002D6992" w:rsidRPr="0033616C" w:rsidRDefault="002D6992" w:rsidP="002D6992">
      <w:pPr>
        <w:rPr>
          <w:rFonts w:ascii="Times New Roman" w:hAnsi="Times New Roman" w:cs="Times New Roman"/>
          <w:sz w:val="22"/>
          <w:szCs w:val="22"/>
        </w:rPr>
      </w:pPr>
      <w:r w:rsidRPr="0033616C">
        <w:rPr>
          <w:rFonts w:ascii="Times New Roman" w:hAnsi="Times New Roman" w:cs="Times New Roman"/>
          <w:sz w:val="22"/>
          <w:szCs w:val="22"/>
        </w:rPr>
        <w:t>Table 7 outlines the key performance indicators (KPIs) used to measure the effectiveness of the cybersecurity programme.</w:t>
      </w:r>
    </w:p>
    <w:tbl>
      <w:tblPr>
        <w:tblStyle w:val="TableGrid"/>
        <w:tblW w:w="0" w:type="auto"/>
        <w:tblLook w:val="04A0" w:firstRow="1" w:lastRow="0" w:firstColumn="1" w:lastColumn="0" w:noHBand="0" w:noVBand="1"/>
      </w:tblPr>
      <w:tblGrid>
        <w:gridCol w:w="4508"/>
        <w:gridCol w:w="4508"/>
      </w:tblGrid>
      <w:tr w:rsidR="00D230F9" w:rsidRPr="00D230F9" w14:paraId="616B7DDC" w14:textId="77777777" w:rsidTr="00843EF9">
        <w:tc>
          <w:tcPr>
            <w:tcW w:w="4508" w:type="dxa"/>
          </w:tcPr>
          <w:p w14:paraId="20334CA5" w14:textId="77777777" w:rsidR="00D230F9" w:rsidRPr="00D230F9" w:rsidRDefault="00D230F9" w:rsidP="00D230F9">
            <w:pPr>
              <w:jc w:val="center"/>
              <w:rPr>
                <w:rFonts w:ascii="Calibri" w:eastAsia="Calibri" w:hAnsi="Calibri" w:cs="Times New Roman"/>
                <w:b/>
                <w:bCs/>
                <w:sz w:val="22"/>
                <w:szCs w:val="22"/>
              </w:rPr>
            </w:pPr>
            <w:r w:rsidRPr="00D230F9">
              <w:rPr>
                <w:rFonts w:ascii="Calibri" w:eastAsia="Calibri" w:hAnsi="Calibri" w:cs="Times New Roman"/>
                <w:b/>
                <w:bCs/>
                <w:sz w:val="22"/>
                <w:szCs w:val="22"/>
              </w:rPr>
              <w:t>KPI</w:t>
            </w:r>
          </w:p>
        </w:tc>
        <w:tc>
          <w:tcPr>
            <w:tcW w:w="4508" w:type="dxa"/>
          </w:tcPr>
          <w:p w14:paraId="6B100A64" w14:textId="77777777" w:rsidR="00D230F9" w:rsidRPr="00D230F9" w:rsidRDefault="00D230F9" w:rsidP="00D230F9">
            <w:pPr>
              <w:jc w:val="center"/>
              <w:rPr>
                <w:rFonts w:ascii="Calibri" w:eastAsia="Calibri" w:hAnsi="Calibri" w:cs="Times New Roman"/>
                <w:b/>
                <w:bCs/>
                <w:sz w:val="22"/>
                <w:szCs w:val="22"/>
              </w:rPr>
            </w:pPr>
            <w:r w:rsidRPr="00D230F9">
              <w:rPr>
                <w:rFonts w:ascii="Calibri" w:eastAsia="Calibri" w:hAnsi="Calibri" w:cs="Times New Roman"/>
                <w:b/>
                <w:bCs/>
                <w:sz w:val="22"/>
                <w:szCs w:val="22"/>
              </w:rPr>
              <w:t>Target</w:t>
            </w:r>
          </w:p>
        </w:tc>
      </w:tr>
      <w:tr w:rsidR="00D230F9" w:rsidRPr="00D230F9" w14:paraId="2B8765E4" w14:textId="77777777" w:rsidTr="00843EF9">
        <w:tc>
          <w:tcPr>
            <w:tcW w:w="4508" w:type="dxa"/>
          </w:tcPr>
          <w:p w14:paraId="73C85189"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Multi-Factor Authentication Coverage</w:t>
            </w:r>
          </w:p>
        </w:tc>
        <w:tc>
          <w:tcPr>
            <w:tcW w:w="4508" w:type="dxa"/>
          </w:tcPr>
          <w:p w14:paraId="66ECF532"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100% privilege accounts</w:t>
            </w:r>
          </w:p>
        </w:tc>
      </w:tr>
      <w:tr w:rsidR="00D230F9" w:rsidRPr="00D230F9" w14:paraId="0C73A380" w14:textId="77777777" w:rsidTr="00843EF9">
        <w:tc>
          <w:tcPr>
            <w:tcW w:w="4508" w:type="dxa"/>
          </w:tcPr>
          <w:p w14:paraId="045CB6CC"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Critical Vulnerabilities Remediated</w:t>
            </w:r>
          </w:p>
        </w:tc>
        <w:tc>
          <w:tcPr>
            <w:tcW w:w="4508" w:type="dxa"/>
          </w:tcPr>
          <w:p w14:paraId="73DD50DA"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Within 14 days</w:t>
            </w:r>
          </w:p>
        </w:tc>
      </w:tr>
      <w:tr w:rsidR="00D230F9" w:rsidRPr="00D230F9" w14:paraId="1FD1A3EA" w14:textId="77777777" w:rsidTr="00843EF9">
        <w:tc>
          <w:tcPr>
            <w:tcW w:w="4508" w:type="dxa"/>
          </w:tcPr>
          <w:p w14:paraId="4B5412FB"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Mean Time to Detect (MTTD)</w:t>
            </w:r>
          </w:p>
        </w:tc>
        <w:tc>
          <w:tcPr>
            <w:tcW w:w="4508" w:type="dxa"/>
          </w:tcPr>
          <w:p w14:paraId="73690AD6"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Less than 30 minutes</w:t>
            </w:r>
          </w:p>
        </w:tc>
      </w:tr>
      <w:tr w:rsidR="00D230F9" w:rsidRPr="00D230F9" w14:paraId="1ECC2DD4" w14:textId="77777777" w:rsidTr="00843EF9">
        <w:tc>
          <w:tcPr>
            <w:tcW w:w="4508" w:type="dxa"/>
          </w:tcPr>
          <w:p w14:paraId="4889F856"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Mean Time to Respond (MTTR)</w:t>
            </w:r>
          </w:p>
        </w:tc>
        <w:tc>
          <w:tcPr>
            <w:tcW w:w="4508" w:type="dxa"/>
          </w:tcPr>
          <w:p w14:paraId="7008DB26"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Less than 4 hours</w:t>
            </w:r>
          </w:p>
        </w:tc>
      </w:tr>
      <w:tr w:rsidR="00D230F9" w:rsidRPr="00D230F9" w14:paraId="5190469F" w14:textId="77777777" w:rsidTr="00843EF9">
        <w:tc>
          <w:tcPr>
            <w:tcW w:w="4508" w:type="dxa"/>
          </w:tcPr>
          <w:p w14:paraId="1A06DC95"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Phishing Simulation Success Rate</w:t>
            </w:r>
          </w:p>
        </w:tc>
        <w:tc>
          <w:tcPr>
            <w:tcW w:w="4508" w:type="dxa"/>
          </w:tcPr>
          <w:p w14:paraId="14490D4F"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Less than 5% click rate</w:t>
            </w:r>
          </w:p>
        </w:tc>
      </w:tr>
      <w:tr w:rsidR="00D230F9" w:rsidRPr="00D230F9" w14:paraId="34471CCF" w14:textId="77777777" w:rsidTr="00843EF9">
        <w:tc>
          <w:tcPr>
            <w:tcW w:w="4508" w:type="dxa"/>
          </w:tcPr>
          <w:p w14:paraId="26F22113"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Third-Party Security Assessments</w:t>
            </w:r>
          </w:p>
        </w:tc>
        <w:tc>
          <w:tcPr>
            <w:tcW w:w="4508" w:type="dxa"/>
          </w:tcPr>
          <w:p w14:paraId="31EB8B2D"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100% completed before onboarding</w:t>
            </w:r>
          </w:p>
        </w:tc>
      </w:tr>
      <w:tr w:rsidR="00D230F9" w:rsidRPr="00D230F9" w14:paraId="3999AEBF" w14:textId="77777777" w:rsidTr="00843EF9">
        <w:tc>
          <w:tcPr>
            <w:tcW w:w="4508" w:type="dxa"/>
          </w:tcPr>
          <w:p w14:paraId="2728F469"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Backup Recovery Success</w:t>
            </w:r>
          </w:p>
        </w:tc>
        <w:tc>
          <w:tcPr>
            <w:tcW w:w="4508" w:type="dxa"/>
          </w:tcPr>
          <w:p w14:paraId="6935375C"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100% successful quarterly tests</w:t>
            </w:r>
          </w:p>
        </w:tc>
      </w:tr>
      <w:tr w:rsidR="00D230F9" w:rsidRPr="00D230F9" w14:paraId="649F9784" w14:textId="77777777" w:rsidTr="00843EF9">
        <w:tc>
          <w:tcPr>
            <w:tcW w:w="4508" w:type="dxa"/>
          </w:tcPr>
          <w:p w14:paraId="57D1A58F"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Staff Security Awareness Training</w:t>
            </w:r>
          </w:p>
        </w:tc>
        <w:tc>
          <w:tcPr>
            <w:tcW w:w="4508" w:type="dxa"/>
          </w:tcPr>
          <w:p w14:paraId="20C9466D" w14:textId="77777777"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100% annual completion</w:t>
            </w:r>
          </w:p>
        </w:tc>
      </w:tr>
      <w:tr w:rsidR="00D230F9" w:rsidRPr="00D230F9" w14:paraId="7F0E0EC4" w14:textId="77777777" w:rsidTr="00843EF9">
        <w:tc>
          <w:tcPr>
            <w:tcW w:w="4508" w:type="dxa"/>
          </w:tcPr>
          <w:p w14:paraId="59848D93"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GDPR / DORA Compliance Audits</w:t>
            </w:r>
          </w:p>
        </w:tc>
        <w:tc>
          <w:tcPr>
            <w:tcW w:w="4508" w:type="dxa"/>
          </w:tcPr>
          <w:p w14:paraId="4D382C73" w14:textId="1E755E50" w:rsidR="00D230F9" w:rsidRPr="00D230F9" w:rsidRDefault="00D230F9" w:rsidP="00F64A14">
            <w:pPr>
              <w:jc w:val="center"/>
              <w:rPr>
                <w:rFonts w:ascii="Calibri" w:eastAsia="Calibri" w:hAnsi="Calibri" w:cs="Times New Roman"/>
                <w:sz w:val="22"/>
                <w:szCs w:val="22"/>
              </w:rPr>
            </w:pPr>
            <w:r w:rsidRPr="00D230F9">
              <w:rPr>
                <w:rFonts w:ascii="Calibri" w:eastAsia="Calibri" w:hAnsi="Calibri" w:cs="Times New Roman"/>
                <w:sz w:val="22"/>
                <w:szCs w:val="22"/>
              </w:rPr>
              <w:t>No major non-conformities</w:t>
            </w:r>
          </w:p>
        </w:tc>
      </w:tr>
    </w:tbl>
    <w:p w14:paraId="5E3FF15F" w14:textId="0C054FF7" w:rsidR="00D05F07" w:rsidRPr="00D05F07" w:rsidRDefault="009B6933" w:rsidP="009B6933">
      <w:pPr>
        <w:pStyle w:val="Caption"/>
        <w:rPr>
          <w:rFonts w:ascii="Calibri" w:eastAsia="Calibri" w:hAnsi="Calibri" w:cs="Times New Roman"/>
          <w:sz w:val="22"/>
          <w:szCs w:val="22"/>
        </w:rPr>
      </w:pPr>
      <w:bookmarkStart w:id="50" w:name="_Toc235536893"/>
      <w:r>
        <w:t xml:space="preserve">Table </w:t>
      </w:r>
      <w:fldSimple w:instr=" SEQ Table \* ARABIC ">
        <w:r>
          <w:rPr>
            <w:noProof/>
          </w:rPr>
          <w:t>7</w:t>
        </w:r>
      </w:fldSimple>
      <w:r>
        <w:t xml:space="preserve"> - </w:t>
      </w:r>
      <w:r w:rsidRPr="004A2502">
        <w:t>Cybersecurity Key Performance Indicators</w:t>
      </w:r>
      <w:bookmarkEnd w:id="50"/>
    </w:p>
    <w:p w14:paraId="73E0A26A" w14:textId="50E0418F" w:rsidR="004A2BD0" w:rsidRDefault="004A2BD0" w:rsidP="004A2BD0">
      <w:pPr>
        <w:rPr>
          <w:rFonts w:ascii="Times New Roman" w:hAnsi="Times New Roman" w:cs="Times New Roman"/>
          <w:sz w:val="22"/>
          <w:szCs w:val="22"/>
        </w:rPr>
      </w:pPr>
      <w:r w:rsidRPr="0033616C">
        <w:rPr>
          <w:rFonts w:ascii="Times New Roman" w:hAnsi="Times New Roman" w:cs="Times New Roman"/>
          <w:sz w:val="22"/>
          <w:szCs w:val="22"/>
        </w:rPr>
        <w:t>Together, the governance structure, roadmap and KPIs provide a framework for implementing and sustaining an effective cybersecurity programme. By combining executive oversight with continuous performance monitoring, Aegis FinTech will strengthen cyber resilience while maintaining compliance with GDPR and DORA. Consistent with the findings of Task 1, the strategy embeds Zero Trust principles into the organisation's long-term cybersecurity governance</w:t>
      </w:r>
      <w:r w:rsidR="00D05F07">
        <w:rPr>
          <w:rFonts w:ascii="Times New Roman" w:hAnsi="Times New Roman" w:cs="Times New Roman"/>
          <w:sz w:val="22"/>
          <w:szCs w:val="22"/>
        </w:rPr>
        <w:t>.</w:t>
      </w:r>
    </w:p>
    <w:p w14:paraId="7D61CABA" w14:textId="77777777" w:rsidR="000F4FBC" w:rsidRPr="0033616C" w:rsidRDefault="008263F0" w:rsidP="000F4FBC">
      <w:pPr>
        <w:rPr>
          <w:rFonts w:ascii="Times New Roman" w:hAnsi="Times New Roman" w:cs="Times New Roman"/>
          <w:sz w:val="22"/>
          <w:szCs w:val="22"/>
        </w:rPr>
      </w:pPr>
      <w:bookmarkStart w:id="51" w:name="_Toc235536187"/>
      <w:bookmarkStart w:id="52" w:name="_Toc235611403"/>
      <w:r w:rsidRPr="00C618D8">
        <w:rPr>
          <w:rStyle w:val="Heading2Char"/>
          <w:b/>
          <w:bCs/>
          <w:color w:val="auto"/>
          <w:sz w:val="28"/>
          <w:szCs w:val="28"/>
          <w:u w:val="single"/>
        </w:rPr>
        <w:t>Conclusion</w:t>
      </w:r>
      <w:bookmarkEnd w:id="51"/>
      <w:bookmarkEnd w:id="52"/>
      <w:r w:rsidR="000F4FBC">
        <w:rPr>
          <w:b/>
          <w:bCs/>
          <w:u w:val="single"/>
        </w:rPr>
        <w:br/>
      </w:r>
      <w:r w:rsidR="000F4FBC" w:rsidRPr="0033616C">
        <w:rPr>
          <w:rFonts w:ascii="Times New Roman" w:hAnsi="Times New Roman" w:cs="Times New Roman"/>
          <w:sz w:val="22"/>
          <w:szCs w:val="22"/>
        </w:rPr>
        <w:t>This proposal has presented a comprehensive cybersecurity strategy for Aegis FinTech Innovations Ltd to support its planned expansion into the European Union and its continued growth as an AI-powered financial technology organisation. By establishing a dedicated Information Security Unit, implementing robust governance arrangements and adopting a structured policy framework, the organisation will be better positioned to manage evolving cyber threats while meeting the regulatory requirements of GDPR and the Digital Operational Resilience Act (DORA).</w:t>
      </w:r>
    </w:p>
    <w:p w14:paraId="2BAB3FAD" w14:textId="77777777" w:rsidR="000F4FBC" w:rsidRPr="0033616C" w:rsidRDefault="000F4FBC" w:rsidP="000F4FBC">
      <w:pPr>
        <w:rPr>
          <w:rFonts w:ascii="Times New Roman" w:hAnsi="Times New Roman" w:cs="Times New Roman"/>
          <w:sz w:val="22"/>
          <w:szCs w:val="22"/>
        </w:rPr>
      </w:pPr>
      <w:r w:rsidRPr="0033616C">
        <w:rPr>
          <w:rFonts w:ascii="Times New Roman" w:hAnsi="Times New Roman" w:cs="Times New Roman"/>
          <w:sz w:val="22"/>
          <w:szCs w:val="22"/>
        </w:rPr>
        <w:lastRenderedPageBreak/>
        <w:t>Building on the findings of Task 1, this proposal demonstrates how the principles of Zero Trust Architecture can be translated into a practical organisational strategy. Rather than relying on traditional perimeter-based security, the proposed approach embeds continuous verification, identity-centric access control, least-privilege principles and continuous monitoring throughout the organisation. The adoption of the NIST Cybersecurity Framework (CSF) 2.0 further strengthens this strategy by providing a recognised governance framework that supports risk management, regulatory compliance and continuous improvement.</w:t>
      </w:r>
    </w:p>
    <w:p w14:paraId="63B69E4C" w14:textId="77777777" w:rsidR="000F4FBC" w:rsidRPr="0033616C" w:rsidRDefault="000F4FBC" w:rsidP="000F4FBC">
      <w:pPr>
        <w:rPr>
          <w:rFonts w:ascii="Times New Roman" w:hAnsi="Times New Roman" w:cs="Times New Roman"/>
          <w:sz w:val="22"/>
          <w:szCs w:val="22"/>
        </w:rPr>
      </w:pPr>
      <w:r w:rsidRPr="0033616C">
        <w:rPr>
          <w:rFonts w:ascii="Times New Roman" w:hAnsi="Times New Roman" w:cs="Times New Roman"/>
          <w:sz w:val="22"/>
          <w:szCs w:val="22"/>
        </w:rPr>
        <w:t>The proposed organisational structure, technical architecture, risk management approach and ransomware response capability collectively provide a layered defence against contemporary threats such as cloud misconfiguration, supply chain compromise, AI-related attacks and ransomware. Furthermore, the governance model, implementation roadmap and performance indicators establish clear accountability while enabling cybersecurity maturity to be measured and improved over time.</w:t>
      </w:r>
    </w:p>
    <w:p w14:paraId="3495F615" w14:textId="5A53439B" w:rsidR="007043CB" w:rsidRPr="002B2547" w:rsidRDefault="000F4FBC" w:rsidP="000F4FBC">
      <w:pPr>
        <w:rPr>
          <w:b/>
          <w:bCs/>
          <w:u w:val="single"/>
        </w:rPr>
      </w:pPr>
      <w:r w:rsidRPr="0033616C">
        <w:rPr>
          <w:rFonts w:ascii="Times New Roman" w:hAnsi="Times New Roman" w:cs="Times New Roman"/>
          <w:sz w:val="22"/>
          <w:szCs w:val="22"/>
        </w:rPr>
        <w:t>Ultimately, cybersecurity should be viewed as a strategic business enabler rather than solely a technical function. By investing in proactive governance, resilient technical controls and a strong security culture, Aegis FinTech will be well positioned to protect sensitive financial information, maintain stakeholder confidence and support sustainable business growth. The recommendations presented within this proposal provide a practical and scalable roadmap for implementing a resilient Zero Trust security programme that not only addresses the risks identified in Task 1 but also supports the organisation's long-term operational, regulatory and commercial objectives</w:t>
      </w:r>
      <w:r w:rsidR="00AB546E">
        <w:rPr>
          <w:rFonts w:ascii="Times New Roman" w:hAnsi="Times New Roman" w:cs="Times New Roman"/>
          <w:sz w:val="22"/>
          <w:szCs w:val="22"/>
        </w:rPr>
        <w:t>.</w:t>
      </w:r>
    </w:p>
    <w:p w14:paraId="3A8DC6B3" w14:textId="1E544D88" w:rsidR="00AC7842" w:rsidRDefault="00AC7842" w:rsidP="00027A1A">
      <w:pPr>
        <w:tabs>
          <w:tab w:val="left" w:pos="3780"/>
        </w:tabs>
        <w:rPr>
          <w:rFonts w:ascii="Times New Roman" w:eastAsia="Calibri" w:hAnsi="Times New Roman" w:cs="Times New Roman"/>
          <w:iCs/>
          <w:color w:val="000000"/>
          <w:sz w:val="20"/>
          <w:szCs w:val="20"/>
        </w:rPr>
      </w:pPr>
    </w:p>
    <w:p w14:paraId="62172789" w14:textId="77777777" w:rsidR="001E2C29" w:rsidRDefault="001E2C29" w:rsidP="00027A1A">
      <w:pPr>
        <w:tabs>
          <w:tab w:val="left" w:pos="3780"/>
        </w:tabs>
        <w:rPr>
          <w:rFonts w:ascii="Times New Roman" w:eastAsia="Calibri" w:hAnsi="Times New Roman" w:cs="Times New Roman"/>
          <w:iCs/>
          <w:color w:val="000000"/>
          <w:sz w:val="20"/>
          <w:szCs w:val="20"/>
        </w:rPr>
      </w:pPr>
    </w:p>
    <w:p w14:paraId="21D39521" w14:textId="77777777" w:rsidR="001E2C29" w:rsidRDefault="001E2C29" w:rsidP="00027A1A">
      <w:pPr>
        <w:tabs>
          <w:tab w:val="left" w:pos="3780"/>
        </w:tabs>
        <w:rPr>
          <w:rFonts w:ascii="Times New Roman" w:eastAsia="Calibri" w:hAnsi="Times New Roman" w:cs="Times New Roman"/>
          <w:iCs/>
          <w:color w:val="000000"/>
          <w:sz w:val="20"/>
          <w:szCs w:val="20"/>
        </w:rPr>
      </w:pPr>
    </w:p>
    <w:p w14:paraId="7E62F22F" w14:textId="77777777" w:rsidR="001E2C29" w:rsidRDefault="001E2C29" w:rsidP="00027A1A">
      <w:pPr>
        <w:tabs>
          <w:tab w:val="left" w:pos="3780"/>
        </w:tabs>
        <w:rPr>
          <w:rFonts w:ascii="Times New Roman" w:eastAsia="Calibri" w:hAnsi="Times New Roman" w:cs="Times New Roman"/>
          <w:iCs/>
          <w:color w:val="000000"/>
          <w:sz w:val="20"/>
          <w:szCs w:val="20"/>
        </w:rPr>
      </w:pPr>
    </w:p>
    <w:p w14:paraId="3FD1A855" w14:textId="77777777" w:rsidR="001E2C29" w:rsidRDefault="001E2C29" w:rsidP="00027A1A">
      <w:pPr>
        <w:tabs>
          <w:tab w:val="left" w:pos="3780"/>
        </w:tabs>
        <w:rPr>
          <w:rFonts w:ascii="Times New Roman" w:eastAsia="Calibri" w:hAnsi="Times New Roman" w:cs="Times New Roman"/>
          <w:iCs/>
          <w:color w:val="000000"/>
          <w:sz w:val="20"/>
          <w:szCs w:val="20"/>
        </w:rPr>
      </w:pPr>
    </w:p>
    <w:p w14:paraId="7CC165FC" w14:textId="77777777" w:rsidR="001E2C29" w:rsidRDefault="001E2C29" w:rsidP="00027A1A">
      <w:pPr>
        <w:tabs>
          <w:tab w:val="left" w:pos="3780"/>
        </w:tabs>
        <w:rPr>
          <w:rFonts w:ascii="Times New Roman" w:eastAsia="Calibri" w:hAnsi="Times New Roman" w:cs="Times New Roman"/>
          <w:iCs/>
          <w:color w:val="000000"/>
          <w:sz w:val="20"/>
          <w:szCs w:val="20"/>
        </w:rPr>
      </w:pPr>
    </w:p>
    <w:p w14:paraId="1D460C4B" w14:textId="77777777" w:rsidR="001E2C29" w:rsidRDefault="001E2C29" w:rsidP="00027A1A">
      <w:pPr>
        <w:tabs>
          <w:tab w:val="left" w:pos="3780"/>
        </w:tabs>
        <w:rPr>
          <w:rFonts w:ascii="Times New Roman" w:eastAsia="Calibri" w:hAnsi="Times New Roman" w:cs="Times New Roman"/>
          <w:iCs/>
          <w:color w:val="000000"/>
          <w:sz w:val="20"/>
          <w:szCs w:val="20"/>
        </w:rPr>
      </w:pPr>
    </w:p>
    <w:p w14:paraId="29C02B13" w14:textId="77777777" w:rsidR="001E2C29" w:rsidRDefault="001E2C29" w:rsidP="00027A1A">
      <w:pPr>
        <w:tabs>
          <w:tab w:val="left" w:pos="3780"/>
        </w:tabs>
        <w:rPr>
          <w:rFonts w:ascii="Times New Roman" w:eastAsia="Calibri" w:hAnsi="Times New Roman" w:cs="Times New Roman"/>
          <w:iCs/>
          <w:color w:val="000000"/>
          <w:sz w:val="20"/>
          <w:szCs w:val="20"/>
        </w:rPr>
      </w:pPr>
    </w:p>
    <w:p w14:paraId="004B9ED0" w14:textId="77777777" w:rsidR="001E2C29" w:rsidRDefault="001E2C29" w:rsidP="00027A1A">
      <w:pPr>
        <w:tabs>
          <w:tab w:val="left" w:pos="3780"/>
        </w:tabs>
        <w:rPr>
          <w:rFonts w:ascii="Times New Roman" w:eastAsia="Calibri" w:hAnsi="Times New Roman" w:cs="Times New Roman"/>
          <w:iCs/>
          <w:color w:val="000000"/>
          <w:sz w:val="20"/>
          <w:szCs w:val="20"/>
        </w:rPr>
      </w:pPr>
    </w:p>
    <w:p w14:paraId="6D850928" w14:textId="77777777" w:rsidR="001E2C29" w:rsidRDefault="001E2C29" w:rsidP="00027A1A">
      <w:pPr>
        <w:tabs>
          <w:tab w:val="left" w:pos="3780"/>
        </w:tabs>
        <w:rPr>
          <w:rFonts w:ascii="Times New Roman" w:eastAsia="Calibri" w:hAnsi="Times New Roman" w:cs="Times New Roman"/>
          <w:iCs/>
          <w:color w:val="000000"/>
          <w:sz w:val="20"/>
          <w:szCs w:val="20"/>
        </w:rPr>
      </w:pPr>
    </w:p>
    <w:p w14:paraId="2F32912A" w14:textId="77777777" w:rsidR="001E2C29" w:rsidRDefault="001E2C29" w:rsidP="00027A1A">
      <w:pPr>
        <w:tabs>
          <w:tab w:val="left" w:pos="3780"/>
        </w:tabs>
        <w:rPr>
          <w:rFonts w:ascii="Times New Roman" w:eastAsia="Calibri" w:hAnsi="Times New Roman" w:cs="Times New Roman"/>
          <w:iCs/>
          <w:color w:val="000000"/>
          <w:sz w:val="20"/>
          <w:szCs w:val="20"/>
        </w:rPr>
      </w:pPr>
    </w:p>
    <w:p w14:paraId="5AF63E3F" w14:textId="77777777" w:rsidR="001E2C29" w:rsidRDefault="001E2C29" w:rsidP="00027A1A">
      <w:pPr>
        <w:tabs>
          <w:tab w:val="left" w:pos="3780"/>
        </w:tabs>
        <w:rPr>
          <w:rFonts w:ascii="Times New Roman" w:eastAsia="Calibri" w:hAnsi="Times New Roman" w:cs="Times New Roman"/>
          <w:iCs/>
          <w:color w:val="000000"/>
          <w:sz w:val="20"/>
          <w:szCs w:val="20"/>
        </w:rPr>
      </w:pPr>
    </w:p>
    <w:p w14:paraId="39B6689D" w14:textId="77777777" w:rsidR="001E2C29" w:rsidRDefault="001E2C29" w:rsidP="00027A1A">
      <w:pPr>
        <w:tabs>
          <w:tab w:val="left" w:pos="3780"/>
        </w:tabs>
        <w:rPr>
          <w:rFonts w:ascii="Times New Roman" w:eastAsia="Calibri" w:hAnsi="Times New Roman" w:cs="Times New Roman"/>
          <w:iCs/>
          <w:color w:val="000000"/>
          <w:sz w:val="20"/>
          <w:szCs w:val="20"/>
        </w:rPr>
      </w:pPr>
    </w:p>
    <w:p w14:paraId="7148C3AC" w14:textId="77777777" w:rsidR="001E2C29" w:rsidRDefault="001E2C29" w:rsidP="00027A1A">
      <w:pPr>
        <w:tabs>
          <w:tab w:val="left" w:pos="3780"/>
        </w:tabs>
        <w:rPr>
          <w:rFonts w:ascii="Times New Roman" w:eastAsia="Calibri" w:hAnsi="Times New Roman" w:cs="Times New Roman"/>
          <w:iCs/>
          <w:color w:val="000000"/>
          <w:sz w:val="20"/>
          <w:szCs w:val="20"/>
        </w:rPr>
      </w:pPr>
    </w:p>
    <w:p w14:paraId="5FF2E3AE" w14:textId="77777777" w:rsidR="001E2C29" w:rsidRDefault="001E2C29" w:rsidP="00027A1A">
      <w:pPr>
        <w:tabs>
          <w:tab w:val="left" w:pos="3780"/>
        </w:tabs>
        <w:rPr>
          <w:rFonts w:ascii="Times New Roman" w:eastAsia="Calibri" w:hAnsi="Times New Roman" w:cs="Times New Roman"/>
          <w:iCs/>
          <w:color w:val="000000"/>
          <w:sz w:val="20"/>
          <w:szCs w:val="20"/>
        </w:rPr>
      </w:pPr>
    </w:p>
    <w:p w14:paraId="481005D4" w14:textId="77777777" w:rsidR="001E2C29" w:rsidRDefault="001E2C29" w:rsidP="00027A1A">
      <w:pPr>
        <w:tabs>
          <w:tab w:val="left" w:pos="3780"/>
        </w:tabs>
        <w:rPr>
          <w:rFonts w:ascii="Times New Roman" w:eastAsia="Calibri" w:hAnsi="Times New Roman" w:cs="Times New Roman"/>
          <w:iCs/>
          <w:color w:val="000000"/>
          <w:sz w:val="20"/>
          <w:szCs w:val="20"/>
        </w:rPr>
      </w:pPr>
    </w:p>
    <w:p w14:paraId="3D07D723" w14:textId="77777777" w:rsidR="001E2C29" w:rsidRDefault="001E2C29" w:rsidP="00027A1A">
      <w:pPr>
        <w:tabs>
          <w:tab w:val="left" w:pos="3780"/>
        </w:tabs>
        <w:rPr>
          <w:rFonts w:ascii="Times New Roman" w:eastAsia="Calibri" w:hAnsi="Times New Roman" w:cs="Times New Roman"/>
          <w:iCs/>
          <w:color w:val="000000"/>
          <w:sz w:val="20"/>
          <w:szCs w:val="20"/>
        </w:rPr>
      </w:pPr>
    </w:p>
    <w:p w14:paraId="3CA95175" w14:textId="77777777" w:rsidR="001E2C29" w:rsidRDefault="001E2C29" w:rsidP="00027A1A">
      <w:pPr>
        <w:tabs>
          <w:tab w:val="left" w:pos="3780"/>
        </w:tabs>
        <w:rPr>
          <w:rFonts w:ascii="Times New Roman" w:eastAsia="Calibri" w:hAnsi="Times New Roman" w:cs="Times New Roman"/>
          <w:iCs/>
          <w:color w:val="000000"/>
          <w:sz w:val="20"/>
          <w:szCs w:val="20"/>
        </w:rPr>
      </w:pPr>
    </w:p>
    <w:p w14:paraId="0A056248" w14:textId="77777777" w:rsidR="001E2C29" w:rsidRDefault="001E2C29" w:rsidP="00027A1A">
      <w:pPr>
        <w:tabs>
          <w:tab w:val="left" w:pos="3780"/>
        </w:tabs>
        <w:rPr>
          <w:rFonts w:ascii="Times New Roman" w:eastAsia="Calibri" w:hAnsi="Times New Roman" w:cs="Times New Roman"/>
          <w:iCs/>
          <w:color w:val="000000"/>
          <w:sz w:val="20"/>
          <w:szCs w:val="20"/>
        </w:rPr>
      </w:pPr>
    </w:p>
    <w:p w14:paraId="6348851C" w14:textId="77777777" w:rsidR="001E2C29" w:rsidRDefault="001E2C29" w:rsidP="00027A1A">
      <w:pPr>
        <w:tabs>
          <w:tab w:val="left" w:pos="3780"/>
        </w:tabs>
        <w:rPr>
          <w:rFonts w:ascii="Times New Roman" w:eastAsia="Calibri" w:hAnsi="Times New Roman" w:cs="Times New Roman"/>
          <w:iCs/>
          <w:color w:val="000000"/>
          <w:sz w:val="20"/>
          <w:szCs w:val="20"/>
        </w:rPr>
      </w:pPr>
    </w:p>
    <w:p w14:paraId="3497A630" w14:textId="77777777" w:rsidR="001E2C29" w:rsidRDefault="001E2C29" w:rsidP="00027A1A">
      <w:pPr>
        <w:tabs>
          <w:tab w:val="left" w:pos="3780"/>
        </w:tabs>
        <w:rPr>
          <w:rFonts w:ascii="Times New Roman" w:eastAsia="Calibri" w:hAnsi="Times New Roman" w:cs="Times New Roman"/>
          <w:iCs/>
          <w:color w:val="000000"/>
          <w:sz w:val="20"/>
          <w:szCs w:val="20"/>
        </w:rPr>
      </w:pPr>
    </w:p>
    <w:p w14:paraId="064D42B6" w14:textId="5C01ED6B" w:rsidR="001E2C29" w:rsidRPr="00027A1A" w:rsidRDefault="001E2C29" w:rsidP="00027A1A">
      <w:pPr>
        <w:tabs>
          <w:tab w:val="left" w:pos="3780"/>
        </w:tabs>
        <w:rPr>
          <w:rFonts w:ascii="Times New Roman" w:eastAsia="Calibri" w:hAnsi="Times New Roman" w:cs="Times New Roman"/>
          <w:iCs/>
          <w:color w:val="000000"/>
          <w:sz w:val="20"/>
          <w:szCs w:val="20"/>
        </w:rPr>
      </w:pPr>
    </w:p>
    <w:p w14:paraId="436F3B8D" w14:textId="77DF50D5" w:rsidR="00A47023" w:rsidRPr="00BB5C06" w:rsidRDefault="005141CC" w:rsidP="00BB5C06">
      <w:pPr>
        <w:pStyle w:val="Heading2"/>
        <w:rPr>
          <w:b/>
          <w:bCs/>
          <w:u w:val="single"/>
        </w:rPr>
      </w:pPr>
      <w:bookmarkStart w:id="53" w:name="_Toc235536188"/>
      <w:bookmarkStart w:id="54" w:name="_Toc235611404"/>
      <w:r w:rsidRPr="00BB5C06">
        <w:rPr>
          <w:b/>
          <w:bCs/>
          <w:color w:val="auto"/>
          <w:sz w:val="28"/>
          <w:szCs w:val="28"/>
          <w:u w:val="single"/>
        </w:rPr>
        <w:t>List of Figures</w:t>
      </w:r>
      <w:bookmarkEnd w:id="54"/>
      <w:r w:rsidR="00A47023">
        <w:rPr>
          <w:b/>
          <w:bCs/>
          <w:u w:val="single"/>
        </w:rPr>
        <w:fldChar w:fldCharType="begin"/>
      </w:r>
      <w:r w:rsidR="00A47023" w:rsidRPr="00BB5C06">
        <w:rPr>
          <w:b/>
          <w:bCs/>
          <w:u w:val="single"/>
        </w:rPr>
        <w:instrText xml:space="preserve"> TOC \h \z \c "Figure" </w:instrText>
      </w:r>
      <w:r w:rsidR="00A47023">
        <w:rPr>
          <w:b/>
          <w:bCs/>
          <w:u w:val="single"/>
        </w:rPr>
        <w:fldChar w:fldCharType="separate"/>
      </w:r>
    </w:p>
    <w:p w14:paraId="1D4C6C50" w14:textId="3DD9BD03"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0" w:history="1">
        <w:r w:rsidRPr="001C197F">
          <w:rPr>
            <w:rStyle w:val="Hyperlink"/>
            <w:rFonts w:ascii="Times New Roman" w:hAnsi="Times New Roman" w:cs="Times New Roman"/>
            <w:noProof/>
          </w:rPr>
          <w:t>Figure 1 - Image of SASE Architecture</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_Toc235536860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4</w:t>
        </w:r>
        <w:r w:rsidRPr="001C197F">
          <w:rPr>
            <w:rFonts w:ascii="Times New Roman" w:hAnsi="Times New Roman" w:cs="Times New Roman"/>
            <w:noProof/>
            <w:webHidden/>
          </w:rPr>
          <w:fldChar w:fldCharType="end"/>
        </w:r>
      </w:hyperlink>
    </w:p>
    <w:p w14:paraId="17E3F59B" w14:textId="39C6146A"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1" w:history="1">
        <w:r w:rsidRPr="001C197F">
          <w:rPr>
            <w:rStyle w:val="Hyperlink"/>
            <w:rFonts w:ascii="Times New Roman" w:hAnsi="Times New Roman" w:cs="Times New Roman"/>
            <w:noProof/>
          </w:rPr>
          <w:t>Figure 2 - Aegis FinTech Organisation Chart</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_Toc235536861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7</w:t>
        </w:r>
        <w:r w:rsidRPr="001C197F">
          <w:rPr>
            <w:rFonts w:ascii="Times New Roman" w:hAnsi="Times New Roman" w:cs="Times New Roman"/>
            <w:noProof/>
            <w:webHidden/>
          </w:rPr>
          <w:fldChar w:fldCharType="end"/>
        </w:r>
      </w:hyperlink>
    </w:p>
    <w:p w14:paraId="1F520C29" w14:textId="39D994C0"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2" w:history="1">
        <w:r w:rsidRPr="001C197F">
          <w:rPr>
            <w:rStyle w:val="Hyperlink"/>
            <w:rFonts w:ascii="Times New Roman" w:hAnsi="Times New Roman" w:cs="Times New Roman"/>
            <w:noProof/>
          </w:rPr>
          <w:t>Figure 3 - High-Level Zero Trust Architecture Diagram</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_Toc235536862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11</w:t>
        </w:r>
        <w:r w:rsidRPr="001C197F">
          <w:rPr>
            <w:rFonts w:ascii="Times New Roman" w:hAnsi="Times New Roman" w:cs="Times New Roman"/>
            <w:noProof/>
            <w:webHidden/>
          </w:rPr>
          <w:fldChar w:fldCharType="end"/>
        </w:r>
      </w:hyperlink>
    </w:p>
    <w:p w14:paraId="29A933FF" w14:textId="21DB5F2F"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3" w:history="1">
        <w:r w:rsidRPr="001C197F">
          <w:rPr>
            <w:rStyle w:val="Hyperlink"/>
            <w:rFonts w:ascii="Times New Roman" w:hAnsi="Times New Roman" w:cs="Times New Roman"/>
            <w:noProof/>
          </w:rPr>
          <w:t>Figure 4 - 12-Month Strategic Roadmap</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_Toc235536863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15</w:t>
        </w:r>
        <w:r w:rsidRPr="001C197F">
          <w:rPr>
            <w:rFonts w:ascii="Times New Roman" w:hAnsi="Times New Roman" w:cs="Times New Roman"/>
            <w:noProof/>
            <w:webHidden/>
          </w:rPr>
          <w:fldChar w:fldCharType="end"/>
        </w:r>
      </w:hyperlink>
    </w:p>
    <w:p w14:paraId="4C5E8A41" w14:textId="4A93DE1A" w:rsidR="00EA5E51" w:rsidRPr="00BB5C06" w:rsidRDefault="00A47023" w:rsidP="00BB5C06">
      <w:pPr>
        <w:pStyle w:val="Heading2"/>
        <w:rPr>
          <w:b/>
          <w:bCs/>
          <w:u w:val="single"/>
        </w:rPr>
      </w:pPr>
      <w:r>
        <w:fldChar w:fldCharType="end"/>
      </w:r>
      <w:bookmarkStart w:id="55" w:name="_Toc235611405"/>
      <w:r w:rsidR="009B6933" w:rsidRPr="00BB5C06">
        <w:rPr>
          <w:b/>
          <w:bCs/>
          <w:color w:val="auto"/>
          <w:sz w:val="28"/>
          <w:szCs w:val="28"/>
          <w:u w:val="single"/>
        </w:rPr>
        <w:t xml:space="preserve">List of </w:t>
      </w:r>
      <w:r w:rsidR="00C618D8" w:rsidRPr="00BB5C06">
        <w:rPr>
          <w:b/>
          <w:bCs/>
          <w:color w:val="auto"/>
          <w:sz w:val="28"/>
          <w:szCs w:val="28"/>
          <w:u w:val="single"/>
        </w:rPr>
        <w:t>Tables</w:t>
      </w:r>
      <w:bookmarkEnd w:id="55"/>
      <w:r w:rsidR="00EA5E51">
        <w:rPr>
          <w:b/>
          <w:bCs/>
          <w:u w:val="single"/>
        </w:rPr>
        <w:fldChar w:fldCharType="begin"/>
      </w:r>
      <w:r w:rsidR="00EA5E51" w:rsidRPr="00BB5C06">
        <w:rPr>
          <w:b/>
          <w:bCs/>
          <w:u w:val="single"/>
        </w:rPr>
        <w:instrText xml:space="preserve"> TOC \h \z \c "Table" </w:instrText>
      </w:r>
      <w:r w:rsidR="00EA5E51">
        <w:rPr>
          <w:b/>
          <w:bCs/>
          <w:u w:val="single"/>
        </w:rPr>
        <w:fldChar w:fldCharType="separate"/>
      </w:r>
    </w:p>
    <w:p w14:paraId="61EAB39B" w14:textId="28294226"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7" w:history="1">
        <w:r w:rsidRPr="001C197F">
          <w:rPr>
            <w:rStyle w:val="Hyperlink"/>
            <w:rFonts w:ascii="Times New Roman" w:hAnsi="Times New Roman" w:cs="Times New Roman"/>
            <w:noProof/>
          </w:rPr>
          <w:t>Table 1 - Proposed GDPR and DORA Compliance Roadmap</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_Toc235536887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10</w:t>
        </w:r>
        <w:r w:rsidRPr="001C197F">
          <w:rPr>
            <w:rFonts w:ascii="Times New Roman" w:hAnsi="Times New Roman" w:cs="Times New Roman"/>
            <w:noProof/>
            <w:webHidden/>
          </w:rPr>
          <w:fldChar w:fldCharType="end"/>
        </w:r>
      </w:hyperlink>
    </w:p>
    <w:p w14:paraId="03F932E7" w14:textId="6B2D58EF"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8" w:history="1">
        <w:r w:rsidRPr="001C197F">
          <w:rPr>
            <w:rStyle w:val="Hyperlink"/>
            <w:rFonts w:ascii="Times New Roman" w:hAnsi="Times New Roman" w:cs="Times New Roman"/>
            <w:noProof/>
          </w:rPr>
          <w:t>Table 2 - Justification for Selecting NIST CSF 2.0</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_Toc235536888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11</w:t>
        </w:r>
        <w:r w:rsidRPr="001C197F">
          <w:rPr>
            <w:rFonts w:ascii="Times New Roman" w:hAnsi="Times New Roman" w:cs="Times New Roman"/>
            <w:noProof/>
            <w:webHidden/>
          </w:rPr>
          <w:fldChar w:fldCharType="end"/>
        </w:r>
      </w:hyperlink>
    </w:p>
    <w:p w14:paraId="0A22897C" w14:textId="00962392"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9" w:history="1">
        <w:r w:rsidRPr="001C197F">
          <w:rPr>
            <w:rStyle w:val="Hyperlink"/>
            <w:rFonts w:ascii="Times New Roman" w:hAnsi="Times New Roman" w:cs="Times New Roman"/>
            <w:noProof/>
          </w:rPr>
          <w:t>Table 3 – Proposed Risk Register for Aegis FinTech</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_Toc235536889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12</w:t>
        </w:r>
        <w:r w:rsidRPr="001C197F">
          <w:rPr>
            <w:rFonts w:ascii="Times New Roman" w:hAnsi="Times New Roman" w:cs="Times New Roman"/>
            <w:noProof/>
            <w:webHidden/>
          </w:rPr>
          <w:fldChar w:fldCharType="end"/>
        </w:r>
      </w:hyperlink>
    </w:p>
    <w:p w14:paraId="6A010B0C" w14:textId="03F37209"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0" w:history="1">
        <w:r w:rsidRPr="001C197F">
          <w:rPr>
            <w:rStyle w:val="Hyperlink"/>
            <w:rFonts w:ascii="Times New Roman" w:hAnsi="Times New Roman" w:cs="Times New Roman"/>
            <w:noProof/>
          </w:rPr>
          <w:t>Table 4 - Proposed Ransomware Response Playbook</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_Toc235536890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13</w:t>
        </w:r>
        <w:r w:rsidRPr="001C197F">
          <w:rPr>
            <w:rFonts w:ascii="Times New Roman" w:hAnsi="Times New Roman" w:cs="Times New Roman"/>
            <w:noProof/>
            <w:webHidden/>
          </w:rPr>
          <w:fldChar w:fldCharType="end"/>
        </w:r>
      </w:hyperlink>
    </w:p>
    <w:p w14:paraId="4511C39F" w14:textId="67420BAA"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1" w:history="1">
        <w:r w:rsidRPr="001C197F">
          <w:rPr>
            <w:rStyle w:val="Hyperlink"/>
            <w:rFonts w:ascii="Times New Roman" w:hAnsi="Times New Roman" w:cs="Times New Roman"/>
            <w:noProof/>
          </w:rPr>
          <w:t>Table 5 - Incident Communication Plan</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_Toc235536891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14</w:t>
        </w:r>
        <w:r w:rsidRPr="001C197F">
          <w:rPr>
            <w:rFonts w:ascii="Times New Roman" w:hAnsi="Times New Roman" w:cs="Times New Roman"/>
            <w:noProof/>
            <w:webHidden/>
          </w:rPr>
          <w:fldChar w:fldCharType="end"/>
        </w:r>
      </w:hyperlink>
    </w:p>
    <w:p w14:paraId="558A72B1" w14:textId="37E33986"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2" w:history="1">
        <w:r w:rsidRPr="001C197F">
          <w:rPr>
            <w:rStyle w:val="Hyperlink"/>
            <w:rFonts w:ascii="Times New Roman" w:hAnsi="Times New Roman" w:cs="Times New Roman"/>
            <w:noProof/>
          </w:rPr>
          <w:t>Table 6 - Proposed Cyber Security Steering Committee</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_Toc235536892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14</w:t>
        </w:r>
        <w:r w:rsidRPr="001C197F">
          <w:rPr>
            <w:rFonts w:ascii="Times New Roman" w:hAnsi="Times New Roman" w:cs="Times New Roman"/>
            <w:noProof/>
            <w:webHidden/>
          </w:rPr>
          <w:fldChar w:fldCharType="end"/>
        </w:r>
      </w:hyperlink>
    </w:p>
    <w:p w14:paraId="3B5ED887" w14:textId="02DC7782"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3" w:history="1">
        <w:r w:rsidRPr="001C197F">
          <w:rPr>
            <w:rStyle w:val="Hyperlink"/>
            <w:rFonts w:ascii="Times New Roman" w:hAnsi="Times New Roman" w:cs="Times New Roman"/>
            <w:noProof/>
          </w:rPr>
          <w:t>Table 7 - Cybersecurity Key Performance Indicators</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_Toc235536893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15</w:t>
        </w:r>
        <w:r w:rsidRPr="001C197F">
          <w:rPr>
            <w:rFonts w:ascii="Times New Roman" w:hAnsi="Times New Roman" w:cs="Times New Roman"/>
            <w:noProof/>
            <w:webHidden/>
          </w:rPr>
          <w:fldChar w:fldCharType="end"/>
        </w:r>
      </w:hyperlink>
    </w:p>
    <w:p w14:paraId="515758A8" w14:textId="77777777" w:rsidR="007D75D7" w:rsidRDefault="00EA5E51" w:rsidP="007D75D7">
      <w:pPr>
        <w:autoSpaceDE w:val="0"/>
        <w:autoSpaceDN w:val="0"/>
        <w:ind w:left="640"/>
        <w:divId w:val="1750734037"/>
        <w:rPr>
          <w:b/>
          <w:bCs/>
          <w:u w:val="single"/>
        </w:rPr>
      </w:pPr>
      <w:r>
        <w:fldChar w:fldCharType="end"/>
      </w:r>
      <w:bookmarkEnd w:id="53"/>
    </w:p>
    <w:p w14:paraId="699AB842" w14:textId="6F9BA57A" w:rsidR="00D90F2D" w:rsidRPr="00113BF5" w:rsidRDefault="009E434D" w:rsidP="00113BF5">
      <w:pPr>
        <w:pStyle w:val="Heading2"/>
        <w:divId w:val="1750734037"/>
        <w:rPr>
          <w:rFonts w:ascii="Calibri" w:eastAsia="Calibri" w:hAnsi="Calibri" w:cs="Calibri"/>
          <w:b/>
          <w:bCs/>
          <w:color w:val="000000"/>
          <w:sz w:val="22"/>
          <w:szCs w:val="22"/>
          <w:u w:val="single"/>
        </w:rPr>
      </w:pPr>
      <w:bookmarkStart w:id="56" w:name="_Toc235611406"/>
      <w:r w:rsidRPr="00113BF5">
        <w:rPr>
          <w:b/>
          <w:bCs/>
          <w:color w:val="auto"/>
          <w:sz w:val="28"/>
          <w:szCs w:val="28"/>
          <w:u w:val="single"/>
        </w:rPr>
        <w:t>Bibliography</w:t>
      </w:r>
      <w:bookmarkEnd w:id="56"/>
      <w:r w:rsidRPr="00113BF5">
        <w:rPr>
          <w:b/>
          <w:bCs/>
          <w:u w:val="single"/>
        </w:rPr>
        <w:t xml:space="preserve"> </w:t>
      </w:r>
    </w:p>
    <w:sdt>
      <w:sdtPr>
        <w:rPr>
          <w:rFonts w:ascii="Calibri" w:eastAsia="Calibri" w:hAnsi="Calibri" w:cs="Calibri"/>
          <w:color w:val="000000"/>
          <w:sz w:val="22"/>
          <w:szCs w:val="22"/>
        </w:rPr>
        <w:tag w:val="MENDELEY_BIBLIOGRAPHY"/>
        <w:id w:val="1654486370"/>
        <w:placeholder>
          <w:docPart w:val="834E259A759843B09601BB4618373E51"/>
        </w:placeholder>
      </w:sdtPr>
      <w:sdtEndPr>
        <w:rPr>
          <w:rFonts w:ascii="Times New Roman" w:hAnsi="Times New Roman" w:cs="Times New Roman"/>
        </w:rPr>
      </w:sdtEndPr>
      <w:sdtContent>
        <w:p w14:paraId="74DAE1D3" w14:textId="01EC8443" w:rsidR="00D90F2D" w:rsidRPr="00AC0F53" w:rsidRDefault="00D90F2D" w:rsidP="00D90F2D">
          <w:pPr>
            <w:autoSpaceDE w:val="0"/>
            <w:autoSpaceDN w:val="0"/>
            <w:ind w:hanging="640"/>
            <w:divId w:val="1750734037"/>
            <w:rPr>
              <w:rFonts w:ascii="Times New Roman" w:eastAsia="Times New Roman" w:hAnsi="Times New Roman" w:cs="Times New Roman"/>
              <w:color w:val="000000"/>
              <w:kern w:val="0"/>
              <w:sz w:val="22"/>
              <w14:ligatures w14:val="none"/>
            </w:rPr>
          </w:pPr>
          <w:r w:rsidRPr="00AC0F53">
            <w:rPr>
              <w:rFonts w:ascii="Times New Roman" w:eastAsia="Times New Roman" w:hAnsi="Times New Roman" w:cs="Times New Roman"/>
              <w:color w:val="000000"/>
              <w:sz w:val="22"/>
            </w:rPr>
            <w:t>[1]</w:t>
          </w:r>
          <w:r w:rsidRPr="00AC0F53">
            <w:rPr>
              <w:rFonts w:ascii="Times New Roman" w:eastAsia="Times New Roman" w:hAnsi="Times New Roman" w:cs="Times New Roman"/>
              <w:color w:val="000000"/>
              <w:sz w:val="22"/>
            </w:rPr>
            <w:tab/>
            <w:t xml:space="preserve">A. Poirrier, L. </w:t>
          </w:r>
          <w:proofErr w:type="spellStart"/>
          <w:r w:rsidRPr="00AC0F53">
            <w:rPr>
              <w:rFonts w:ascii="Times New Roman" w:eastAsia="Times New Roman" w:hAnsi="Times New Roman" w:cs="Times New Roman"/>
              <w:color w:val="000000"/>
              <w:sz w:val="22"/>
            </w:rPr>
            <w:t>Callieeux</w:t>
          </w:r>
          <w:proofErr w:type="spellEnd"/>
          <w:r w:rsidRPr="00AC0F53">
            <w:rPr>
              <w:rFonts w:ascii="Times New Roman" w:eastAsia="Times New Roman" w:hAnsi="Times New Roman" w:cs="Times New Roman"/>
              <w:color w:val="000000"/>
              <w:sz w:val="22"/>
            </w:rPr>
            <w:t xml:space="preserve">, and T. Clausen, “Is Trust Misplaced? A Zero-Trust Survey,” </w:t>
          </w:r>
          <w:r w:rsidRPr="00AC0F53">
            <w:rPr>
              <w:rFonts w:ascii="Times New Roman" w:eastAsia="Times New Roman" w:hAnsi="Times New Roman" w:cs="Times New Roman"/>
              <w:i/>
              <w:iCs/>
              <w:color w:val="000000"/>
              <w:sz w:val="22"/>
            </w:rPr>
            <w:t>IEEE Transactions on Computing</w:t>
          </w:r>
          <w:r w:rsidRPr="00AC0F53">
            <w:rPr>
              <w:rFonts w:ascii="Times New Roman" w:eastAsia="Times New Roman" w:hAnsi="Times New Roman" w:cs="Times New Roman"/>
              <w:color w:val="000000"/>
              <w:sz w:val="22"/>
            </w:rPr>
            <w:t>, vol. 113, no. 1, 2025.</w:t>
          </w:r>
        </w:p>
        <w:p w14:paraId="0C1651A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[2]</w:t>
          </w:r>
          <w:r w:rsidRPr="00AC0F53">
            <w:rPr>
              <w:rFonts w:ascii="Times New Roman" w:eastAsia="Times New Roman" w:hAnsi="Times New Roman" w:cs="Times New Roman"/>
              <w:color w:val="000000"/>
              <w:sz w:val="22"/>
            </w:rPr>
            <w:tab/>
            <w:t xml:space="preserve">J. Uralov, S. Abdullaeva, I. </w:t>
          </w:r>
          <w:proofErr w:type="spellStart"/>
          <w:r w:rsidRPr="00AC0F53">
            <w:rPr>
              <w:rFonts w:ascii="Times New Roman" w:eastAsia="Times New Roman" w:hAnsi="Times New Roman" w:cs="Times New Roman"/>
              <w:color w:val="000000"/>
              <w:sz w:val="22"/>
            </w:rPr>
            <w:t>Risolat</w:t>
          </w:r>
          <w:proofErr w:type="spellEnd"/>
          <w:r w:rsidRPr="00AC0F53">
            <w:rPr>
              <w:rFonts w:ascii="Times New Roman" w:eastAsia="Times New Roman" w:hAnsi="Times New Roman" w:cs="Times New Roman"/>
              <w:color w:val="000000"/>
              <w:sz w:val="22"/>
            </w:rPr>
            <w:t xml:space="preserve">, M. Yusupova, S. </w:t>
          </w:r>
          <w:proofErr w:type="spellStart"/>
          <w:r w:rsidRPr="00AC0F53">
            <w:rPr>
              <w:rFonts w:ascii="Times New Roman" w:eastAsia="Times New Roman" w:hAnsi="Times New Roman" w:cs="Times New Roman"/>
              <w:color w:val="000000"/>
              <w:sz w:val="22"/>
            </w:rPr>
            <w:t>Kutliev</w:t>
          </w:r>
          <w:proofErr w:type="spellEnd"/>
          <w:r w:rsidRPr="00AC0F53">
            <w:rPr>
              <w:rFonts w:ascii="Times New Roman" w:eastAsia="Times New Roman" w:hAnsi="Times New Roman" w:cs="Times New Roman"/>
              <w:color w:val="000000"/>
              <w:sz w:val="22"/>
            </w:rPr>
            <w:t xml:space="preserve">, and M. </w:t>
          </w:r>
          <w:proofErr w:type="spellStart"/>
          <w:r w:rsidRPr="00AC0F53">
            <w:rPr>
              <w:rFonts w:ascii="Times New Roman" w:eastAsia="Times New Roman" w:hAnsi="Times New Roman" w:cs="Times New Roman"/>
              <w:color w:val="000000"/>
              <w:sz w:val="22"/>
            </w:rPr>
            <w:t>Qazaqov</w:t>
          </w:r>
          <w:proofErr w:type="spellEnd"/>
          <w:r w:rsidRPr="00AC0F53">
            <w:rPr>
              <w:rFonts w:ascii="Times New Roman" w:eastAsia="Times New Roman" w:hAnsi="Times New Roman" w:cs="Times New Roman"/>
              <w:color w:val="000000"/>
              <w:sz w:val="22"/>
            </w:rPr>
            <w:t xml:space="preserve">, “Using the MITRE ATT&amp;CK Framework in SOC Activities and Analysing Cyber Attacks,” in </w:t>
          </w:r>
          <w:r w:rsidRPr="00AC0F53">
            <w:rPr>
              <w:rFonts w:ascii="Times New Roman" w:eastAsia="Times New Roman" w:hAnsi="Times New Roman" w:cs="Times New Roman"/>
              <w:i/>
              <w:iCs/>
              <w:color w:val="000000"/>
              <w:sz w:val="22"/>
            </w:rPr>
            <w:t>2025 IEEE 26th International Conference of Young Professionals in Electron Devices and Materials (EDM)</w:t>
          </w:r>
          <w:r w:rsidRPr="00AC0F53">
            <w:rPr>
              <w:rFonts w:ascii="Times New Roman" w:eastAsia="Times New Roman" w:hAnsi="Times New Roman" w:cs="Times New Roman"/>
              <w:color w:val="000000"/>
              <w:sz w:val="22"/>
            </w:rPr>
            <w:t>, IEEE, 2025.</w:t>
          </w:r>
        </w:p>
        <w:p w14:paraId="4F47C3E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[3]</w:t>
          </w:r>
          <w:r w:rsidRPr="00AC0F53">
            <w:rPr>
              <w:rFonts w:ascii="Times New Roman" w:eastAsia="Times New Roman" w:hAnsi="Times New Roman" w:cs="Times New Roman"/>
              <w:color w:val="000000"/>
              <w:sz w:val="22"/>
            </w:rPr>
            <w:tab/>
            <w:t xml:space="preserve">S. Rose, O. Borchert, S. Mitchell, and S. Connelly, “Zero Trust Architecture,” </w:t>
          </w:r>
          <w:r w:rsidRPr="00AC0F53">
            <w:rPr>
              <w:rFonts w:ascii="Times New Roman" w:eastAsia="Times New Roman" w:hAnsi="Times New Roman" w:cs="Times New Roman"/>
              <w:i/>
              <w:iCs/>
              <w:color w:val="000000"/>
              <w:sz w:val="22"/>
            </w:rPr>
            <w:t>National Institute of Standard Technology</w:t>
          </w:r>
          <w:r w:rsidRPr="00AC0F53">
            <w:rPr>
              <w:rFonts w:ascii="Times New Roman" w:eastAsia="Times New Roman" w:hAnsi="Times New Roman" w:cs="Times New Roman"/>
              <w:color w:val="000000"/>
              <w:sz w:val="22"/>
            </w:rPr>
            <w:t>, Aug. 2020.</w:t>
          </w:r>
        </w:p>
        <w:p w14:paraId="0F32F99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[4]</w:t>
          </w:r>
          <w:r w:rsidRPr="00AC0F53">
            <w:rPr>
              <w:rFonts w:ascii="Times New Roman" w:eastAsia="Times New Roman" w:hAnsi="Times New Roman" w:cs="Times New Roman"/>
              <w:color w:val="000000"/>
              <w:sz w:val="22"/>
            </w:rPr>
            <w:tab/>
            <w:t xml:space="preserve">K. </w:t>
          </w:r>
          <w:proofErr w:type="spellStart"/>
          <w:r w:rsidRPr="00AC0F53">
            <w:rPr>
              <w:rFonts w:ascii="Times New Roman" w:eastAsia="Times New Roman" w:hAnsi="Times New Roman" w:cs="Times New Roman"/>
              <w:color w:val="000000"/>
              <w:sz w:val="22"/>
            </w:rPr>
            <w:t>Hongzhaoning</w:t>
          </w:r>
          <w:proofErr w:type="spellEnd"/>
          <w:r w:rsidRPr="00AC0F53">
            <w:rPr>
              <w:rFonts w:ascii="Times New Roman" w:eastAsia="Times New Roman" w:hAnsi="Times New Roman" w:cs="Times New Roman"/>
              <w:color w:val="000000"/>
              <w:sz w:val="22"/>
            </w:rPr>
            <w:t xml:space="preserve">, L. Gang, W. Quan, M. Lei, and L. Jing, “Theory and Application of Zero Trust Security: A Brief Survey,” </w:t>
          </w:r>
          <w:r w:rsidRPr="00AC0F53">
            <w:rPr>
              <w:rFonts w:ascii="Times New Roman" w:eastAsia="Times New Roman" w:hAnsi="Times New Roman" w:cs="Times New Roman"/>
              <w:i/>
              <w:iCs/>
              <w:color w:val="000000"/>
              <w:sz w:val="22"/>
            </w:rPr>
            <w:t>Information Security and Data Privacy</w:t>
          </w:r>
          <w:r w:rsidRPr="00AC0F53">
            <w:rPr>
              <w:rFonts w:ascii="Times New Roman" w:eastAsia="Times New Roman" w:hAnsi="Times New Roman" w:cs="Times New Roman"/>
              <w:color w:val="000000"/>
              <w:sz w:val="22"/>
            </w:rPr>
            <w:t>, vol. 25, no. 12, Nov. 2023.</w:t>
          </w:r>
        </w:p>
        <w:p w14:paraId="319CED3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[5]</w:t>
          </w:r>
          <w:r w:rsidRPr="00AC0F53">
            <w:rPr>
              <w:rFonts w:ascii="Times New Roman" w:eastAsia="Times New Roman" w:hAnsi="Times New Roman" w:cs="Times New Roman"/>
              <w:color w:val="000000"/>
              <w:sz w:val="22"/>
            </w:rPr>
            <w:tab/>
            <w:t xml:space="preserve">G. Muhammad and A. Ahmad, “Zero Trust Architecture: A Systematic Literature Review,” </w:t>
          </w:r>
          <w:r w:rsidRPr="00AC0F53">
            <w:rPr>
              <w:rFonts w:ascii="Times New Roman" w:eastAsia="Times New Roman" w:hAnsi="Times New Roman" w:cs="Times New Roman"/>
              <w:i/>
              <w:iCs/>
              <w:color w:val="000000"/>
              <w:sz w:val="22"/>
            </w:rPr>
            <w:t>Journal of Network and Systems Management</w:t>
          </w:r>
          <w:r w:rsidRPr="00AC0F53">
            <w:rPr>
              <w:rFonts w:ascii="Times New Roman" w:eastAsia="Times New Roman" w:hAnsi="Times New Roman" w:cs="Times New Roman"/>
              <w:color w:val="000000"/>
              <w:sz w:val="22"/>
            </w:rPr>
            <w:t>, vol. 34, no. 25, Nov. 2025.</w:t>
          </w:r>
        </w:p>
        <w:p w14:paraId="6C444F82"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[6]</w:t>
          </w:r>
          <w:r w:rsidRPr="00AC0F53">
            <w:rPr>
              <w:rFonts w:ascii="Times New Roman" w:eastAsia="Times New Roman" w:hAnsi="Times New Roman" w:cs="Times New Roman"/>
              <w:color w:val="000000"/>
              <w:sz w:val="22"/>
            </w:rPr>
            <w:tab/>
            <w:t xml:space="preserve">J. Lee and J. Park, “A Case Study: Leveraging SASE Technology for Zero Trust Implementation in Cloud Environments,” in </w:t>
          </w:r>
          <w:r w:rsidRPr="00AC0F53">
            <w:rPr>
              <w:rFonts w:ascii="Times New Roman" w:eastAsia="Times New Roman" w:hAnsi="Times New Roman" w:cs="Times New Roman"/>
              <w:i/>
              <w:iCs/>
              <w:color w:val="000000"/>
              <w:sz w:val="22"/>
            </w:rPr>
            <w:t>2025 International Conference on Information Networking (ICOIN)</w:t>
          </w:r>
          <w:r w:rsidRPr="00AC0F53">
            <w:rPr>
              <w:rFonts w:ascii="Times New Roman" w:eastAsia="Times New Roman" w:hAnsi="Times New Roman" w:cs="Times New Roman"/>
              <w:color w:val="000000"/>
              <w:sz w:val="22"/>
            </w:rPr>
            <w:t xml:space="preserve">, </w:t>
          </w:r>
          <w:proofErr w:type="gramStart"/>
          <w:r w:rsidRPr="00AC0F53">
            <w:rPr>
              <w:rFonts w:ascii="Times New Roman" w:eastAsia="Times New Roman" w:hAnsi="Times New Roman" w:cs="Times New Roman"/>
              <w:color w:val="000000"/>
              <w:sz w:val="22"/>
            </w:rPr>
            <w:t>Thailand ,</w:t>
          </w:r>
          <w:proofErr w:type="gramEnd"/>
          <w:r w:rsidRPr="00AC0F53">
            <w:rPr>
              <w:rFonts w:ascii="Times New Roman" w:eastAsia="Times New Roman" w:hAnsi="Times New Roman" w:cs="Times New Roman"/>
              <w:color w:val="000000"/>
              <w:sz w:val="22"/>
            </w:rPr>
            <w:t xml:space="preserve"> 2025.</w:t>
          </w:r>
        </w:p>
        <w:p w14:paraId="13AB1ED9"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[7]</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Coursa</w:t>
          </w:r>
          <w:proofErr w:type="spellEnd"/>
          <w:r w:rsidRPr="00AC0F53">
            <w:rPr>
              <w:rFonts w:ascii="Times New Roman" w:eastAsia="Times New Roman" w:hAnsi="Times New Roman" w:cs="Times New Roman"/>
              <w:color w:val="000000"/>
              <w:sz w:val="22"/>
            </w:rPr>
            <w:t xml:space="preserve">, “What Is Identity </w:t>
          </w:r>
          <w:proofErr w:type="gramStart"/>
          <w:r w:rsidRPr="00AC0F53">
            <w:rPr>
              <w:rFonts w:ascii="Times New Roman" w:eastAsia="Times New Roman" w:hAnsi="Times New Roman" w:cs="Times New Roman"/>
              <w:color w:val="000000"/>
              <w:sz w:val="22"/>
            </w:rPr>
            <w:t>Governance?,</w:t>
          </w:r>
          <w:proofErr w:type="gramEnd"/>
          <w:r w:rsidRPr="00AC0F53">
            <w:rPr>
              <w:rFonts w:ascii="Times New Roman" w:eastAsia="Times New Roman" w:hAnsi="Times New Roman" w:cs="Times New Roman"/>
              <w:color w:val="000000"/>
              <w:sz w:val="22"/>
            </w:rPr>
            <w:t>” https://www.coursera.org/articles/identity-governance?</w:t>
          </w:r>
        </w:p>
        <w:p w14:paraId="26CB1E9C"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[8]</w:t>
          </w:r>
          <w:r w:rsidRPr="00AC0F53">
            <w:rPr>
              <w:rFonts w:ascii="Times New Roman" w:eastAsia="Times New Roman" w:hAnsi="Times New Roman" w:cs="Times New Roman"/>
              <w:color w:val="000000"/>
              <w:sz w:val="22"/>
            </w:rPr>
            <w:tab/>
            <w:t xml:space="preserve">S. Parveen, S. Ahmad, and M. Khan, “Integration of Identity Governance and Management Framework within Universities for Privileged Users,” </w:t>
          </w:r>
          <w:r w:rsidRPr="00AC0F53">
            <w:rPr>
              <w:rFonts w:ascii="Times New Roman" w:eastAsia="Times New Roman" w:hAnsi="Times New Roman" w:cs="Times New Roman"/>
              <w:i/>
              <w:iCs/>
              <w:color w:val="000000"/>
              <w:sz w:val="22"/>
            </w:rPr>
            <w:t>International Journal of Advanced Computer Science and Applications</w:t>
          </w:r>
          <w:r w:rsidRPr="00AC0F53">
            <w:rPr>
              <w:rFonts w:ascii="Times New Roman" w:eastAsia="Times New Roman" w:hAnsi="Times New Roman" w:cs="Times New Roman"/>
              <w:color w:val="000000"/>
              <w:sz w:val="22"/>
            </w:rPr>
            <w:t>, vol. 12, no. 6, 2021.</w:t>
          </w:r>
        </w:p>
        <w:p w14:paraId="59620DDA"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[9]</w:t>
          </w:r>
          <w:r w:rsidRPr="00AC0F53">
            <w:rPr>
              <w:rFonts w:ascii="Times New Roman" w:eastAsia="Times New Roman" w:hAnsi="Times New Roman" w:cs="Times New Roman"/>
              <w:color w:val="000000"/>
              <w:sz w:val="22"/>
            </w:rPr>
            <w:tab/>
            <w:t xml:space="preserve">A. Saporito and B. Georgis, “Healthcare Services Management,” in </w:t>
          </w:r>
          <w:r w:rsidRPr="00AC0F53">
            <w:rPr>
              <w:rFonts w:ascii="Times New Roman" w:eastAsia="Times New Roman" w:hAnsi="Times New Roman" w:cs="Times New Roman"/>
              <w:i/>
              <w:iCs/>
              <w:color w:val="000000"/>
              <w:sz w:val="22"/>
            </w:rPr>
            <w:t xml:space="preserve">Healthcare Services Management: A Practical </w:t>
          </w:r>
          <w:proofErr w:type="gramStart"/>
          <w:r w:rsidRPr="00AC0F53">
            <w:rPr>
              <w:rFonts w:ascii="Times New Roman" w:eastAsia="Times New Roman" w:hAnsi="Times New Roman" w:cs="Times New Roman"/>
              <w:i/>
              <w:iCs/>
              <w:color w:val="000000"/>
              <w:sz w:val="22"/>
            </w:rPr>
            <w:t xml:space="preserve">Guide </w:t>
          </w:r>
          <w:r w:rsidRPr="00AC0F53">
            <w:rPr>
              <w:rFonts w:ascii="Times New Roman" w:eastAsia="Times New Roman" w:hAnsi="Times New Roman" w:cs="Times New Roman"/>
              <w:color w:val="000000"/>
              <w:sz w:val="22"/>
            </w:rPr>
            <w:t>,</w:t>
          </w:r>
          <w:proofErr w:type="gramEnd"/>
          <w:r w:rsidRPr="00AC0F53">
            <w:rPr>
              <w:rFonts w:ascii="Times New Roman" w:eastAsia="Times New Roman" w:hAnsi="Times New Roman" w:cs="Times New Roman"/>
              <w:color w:val="000000"/>
              <w:sz w:val="22"/>
            </w:rPr>
            <w:t xml:space="preserve"> 2025, pp. 197–197.</w:t>
          </w:r>
        </w:p>
        <w:p w14:paraId="21BA5377"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[10]</w:t>
          </w:r>
          <w:r w:rsidRPr="00AC0F53">
            <w:rPr>
              <w:rFonts w:ascii="Times New Roman" w:eastAsia="Times New Roman" w:hAnsi="Times New Roman" w:cs="Times New Roman"/>
              <w:color w:val="000000"/>
              <w:sz w:val="22"/>
            </w:rPr>
            <w:tab/>
            <w:t xml:space="preserve">CISCO, “What is a </w:t>
          </w:r>
          <w:proofErr w:type="gramStart"/>
          <w:r w:rsidRPr="00AC0F53">
            <w:rPr>
              <w:rFonts w:ascii="Times New Roman" w:eastAsia="Times New Roman" w:hAnsi="Times New Roman" w:cs="Times New Roman"/>
              <w:color w:val="000000"/>
              <w:sz w:val="22"/>
            </w:rPr>
            <w:t>CISO?,</w:t>
          </w:r>
          <w:proofErr w:type="gramEnd"/>
          <w:r w:rsidRPr="00AC0F53">
            <w:rPr>
              <w:rFonts w:ascii="Times New Roman" w:eastAsia="Times New Roman" w:hAnsi="Times New Roman" w:cs="Times New Roman"/>
              <w:color w:val="000000"/>
              <w:sz w:val="22"/>
            </w:rPr>
            <w:t>” https://www.cisco.com/site/us/en/learn/topics/security/what-is-a-ciso.html.</w:t>
          </w:r>
        </w:p>
        <w:p w14:paraId="0420CBF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lastRenderedPageBreak/>
            <w:t>[11]</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Zippia</w:t>
          </w:r>
          <w:proofErr w:type="spellEnd"/>
          <w:r w:rsidRPr="00AC0F53">
            <w:rPr>
              <w:rFonts w:ascii="Times New Roman" w:eastAsia="Times New Roman" w:hAnsi="Times New Roman" w:cs="Times New Roman"/>
              <w:color w:val="000000"/>
              <w:sz w:val="22"/>
            </w:rPr>
            <w:t>, “What does a security operations manager do</w:t>
          </w:r>
          <w:proofErr w:type="gramStart"/>
          <w:r w:rsidRPr="00AC0F53">
            <w:rPr>
              <w:rFonts w:ascii="Times New Roman" w:eastAsia="Times New Roman" w:hAnsi="Times New Roman" w:cs="Times New Roman"/>
              <w:color w:val="000000"/>
              <w:sz w:val="22"/>
            </w:rPr>
            <w:t>? ,</w:t>
          </w:r>
          <w:proofErr w:type="gramEnd"/>
          <w:r w:rsidRPr="00AC0F53">
            <w:rPr>
              <w:rFonts w:ascii="Times New Roman" w:eastAsia="Times New Roman" w:hAnsi="Times New Roman" w:cs="Times New Roman"/>
              <w:color w:val="000000"/>
              <w:sz w:val="22"/>
            </w:rPr>
            <w:t>” https://www.zippia.com/security-operations-manager-jobs/what-does-a-security-operations-manager-do/.</w:t>
          </w:r>
        </w:p>
        <w:p w14:paraId="793D33A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[12]</w:t>
          </w:r>
          <w:r w:rsidRPr="00AC0F53">
            <w:rPr>
              <w:rFonts w:ascii="Times New Roman" w:eastAsia="Times New Roman" w:hAnsi="Times New Roman" w:cs="Times New Roman"/>
              <w:color w:val="000000"/>
              <w:sz w:val="22"/>
            </w:rPr>
            <w:tab/>
            <w:t>Coursera, “What Does a SOC Analyst Do? Your 2026 Guide,” https://www.coursera.org/articles/soc-analyst?msockid=167e840b479c6c4d1ebf928546d26d31.</w:t>
          </w:r>
        </w:p>
        <w:p w14:paraId="3BF413C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[13]</w:t>
          </w:r>
          <w:r w:rsidRPr="00AC0F53">
            <w:rPr>
              <w:rFonts w:ascii="Times New Roman" w:eastAsia="Times New Roman" w:hAnsi="Times New Roman" w:cs="Times New Roman"/>
              <w:color w:val="000000"/>
              <w:sz w:val="22"/>
            </w:rPr>
            <w:tab/>
            <w:t xml:space="preserve">A. </w:t>
          </w:r>
          <w:proofErr w:type="spellStart"/>
          <w:r w:rsidRPr="00AC0F53">
            <w:rPr>
              <w:rFonts w:ascii="Times New Roman" w:eastAsia="Times New Roman" w:hAnsi="Times New Roman" w:cs="Times New Roman"/>
              <w:color w:val="000000"/>
              <w:sz w:val="22"/>
            </w:rPr>
            <w:t>Hasnis</w:t>
          </w:r>
          <w:proofErr w:type="spellEnd"/>
          <w:r w:rsidRPr="00AC0F53">
            <w:rPr>
              <w:rFonts w:ascii="Times New Roman" w:eastAsia="Times New Roman" w:hAnsi="Times New Roman" w:cs="Times New Roman"/>
              <w:color w:val="000000"/>
              <w:sz w:val="22"/>
            </w:rPr>
            <w:t>, “Incident Response Analyst: Roles, Skills &amp; Certifications,” https://www.cynet.com/security-foundations/incident-response/incident-response-analyst-roles-skills-and-certifications/.</w:t>
          </w:r>
        </w:p>
        <w:p w14:paraId="1DA72EB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[14]</w:t>
          </w:r>
          <w:r w:rsidRPr="00AC0F53">
            <w:rPr>
              <w:rFonts w:ascii="Times New Roman" w:eastAsia="Times New Roman" w:hAnsi="Times New Roman" w:cs="Times New Roman"/>
              <w:color w:val="000000"/>
              <w:sz w:val="22"/>
            </w:rPr>
            <w:tab/>
            <w:t>Cloud Security, “How to Become a Cloud Security Architect: Career and Role Guide,” https://www.eccouncil.org/cybersecurity-exchange/cloud-security/how-to-become-a-cloud-security-architect-career-and-role-guide/.</w:t>
          </w:r>
        </w:p>
        <w:p w14:paraId="31B87E52"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[15]</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GeeksforGeeks</w:t>
          </w:r>
          <w:proofErr w:type="spellEnd"/>
          <w:r w:rsidRPr="00AC0F53">
            <w:rPr>
              <w:rFonts w:ascii="Times New Roman" w:eastAsia="Times New Roman" w:hAnsi="Times New Roman" w:cs="Times New Roman"/>
              <w:color w:val="000000"/>
              <w:sz w:val="22"/>
            </w:rPr>
            <w:t xml:space="preserve">, “Become a </w:t>
          </w:r>
          <w:proofErr w:type="spellStart"/>
          <w:r w:rsidRPr="00AC0F53">
            <w:rPr>
              <w:rFonts w:ascii="Times New Roman" w:eastAsia="Times New Roman" w:hAnsi="Times New Roman" w:cs="Times New Roman"/>
              <w:color w:val="000000"/>
              <w:sz w:val="22"/>
            </w:rPr>
            <w:t>DevSecOps</w:t>
          </w:r>
          <w:proofErr w:type="spellEnd"/>
          <w:r w:rsidRPr="00AC0F53">
            <w:rPr>
              <w:rFonts w:ascii="Times New Roman" w:eastAsia="Times New Roman" w:hAnsi="Times New Roman" w:cs="Times New Roman"/>
              <w:color w:val="000000"/>
              <w:sz w:val="22"/>
            </w:rPr>
            <w:t xml:space="preserve"> </w:t>
          </w:r>
          <w:proofErr w:type="gramStart"/>
          <w:r w:rsidRPr="00AC0F53">
            <w:rPr>
              <w:rFonts w:ascii="Times New Roman" w:eastAsia="Times New Roman" w:hAnsi="Times New Roman" w:cs="Times New Roman"/>
              <w:color w:val="000000"/>
              <w:sz w:val="22"/>
            </w:rPr>
            <w:t>Engineer ,</w:t>
          </w:r>
          <w:proofErr w:type="gramEnd"/>
          <w:r w:rsidRPr="00AC0F53">
            <w:rPr>
              <w:rFonts w:ascii="Times New Roman" w:eastAsia="Times New Roman" w:hAnsi="Times New Roman" w:cs="Times New Roman"/>
              <w:color w:val="000000"/>
              <w:sz w:val="22"/>
            </w:rPr>
            <w:t>” https://www.geeksforgeeks.org/gfg-academy/how-to-become-a-devsecops-engineer.</w:t>
          </w:r>
        </w:p>
        <w:p w14:paraId="0DD2E71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[16]</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TechNeeds</w:t>
          </w:r>
          <w:proofErr w:type="spellEnd"/>
          <w:r w:rsidRPr="00AC0F53">
            <w:rPr>
              <w:rFonts w:ascii="Times New Roman" w:eastAsia="Times New Roman" w:hAnsi="Times New Roman" w:cs="Times New Roman"/>
              <w:color w:val="000000"/>
              <w:sz w:val="22"/>
            </w:rPr>
            <w:t xml:space="preserve">, “What is an IAM Engineer? Role, Skills &amp; Importance </w:t>
          </w:r>
          <w:proofErr w:type="gramStart"/>
          <w:r w:rsidRPr="00AC0F53">
            <w:rPr>
              <w:rFonts w:ascii="Times New Roman" w:eastAsia="Times New Roman" w:hAnsi="Times New Roman" w:cs="Times New Roman"/>
              <w:color w:val="000000"/>
              <w:sz w:val="22"/>
            </w:rPr>
            <w:t>Explained ,</w:t>
          </w:r>
          <w:proofErr w:type="gramEnd"/>
          <w:r w:rsidRPr="00AC0F53">
            <w:rPr>
              <w:rFonts w:ascii="Times New Roman" w:eastAsia="Times New Roman" w:hAnsi="Times New Roman" w:cs="Times New Roman"/>
              <w:color w:val="000000"/>
              <w:sz w:val="22"/>
            </w:rPr>
            <w:t>” https://www.techneeds.com/2025/05/28/what-is-an-iam-engineer-role-skills-and-importance-explained/.</w:t>
          </w:r>
        </w:p>
        <w:p w14:paraId="6EF7DB8E"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[17]</w:t>
          </w:r>
          <w:r w:rsidRPr="00AC0F53">
            <w:rPr>
              <w:rFonts w:ascii="Times New Roman" w:eastAsia="Times New Roman" w:hAnsi="Times New Roman" w:cs="Times New Roman"/>
              <w:color w:val="000000"/>
              <w:sz w:val="22"/>
            </w:rPr>
            <w:tab/>
            <w:t xml:space="preserve">I. Horvath, “Risk &amp; Compliance Manager: Roles, Skills &amp; </w:t>
          </w:r>
          <w:proofErr w:type="gramStart"/>
          <w:r w:rsidRPr="00AC0F53">
            <w:rPr>
              <w:rFonts w:ascii="Times New Roman" w:eastAsia="Times New Roman" w:hAnsi="Times New Roman" w:cs="Times New Roman"/>
              <w:color w:val="000000"/>
              <w:sz w:val="22"/>
            </w:rPr>
            <w:t>Salary ,</w:t>
          </w:r>
          <w:proofErr w:type="gramEnd"/>
          <w:r w:rsidRPr="00AC0F53">
            <w:rPr>
              <w:rFonts w:ascii="Times New Roman" w:eastAsia="Times New Roman" w:hAnsi="Times New Roman" w:cs="Times New Roman"/>
              <w:color w:val="000000"/>
              <w:sz w:val="22"/>
            </w:rPr>
            <w:t>” https://www.invensislearning.com/blog/risk-compliance-manager-roles-responsibilities/.</w:t>
          </w:r>
        </w:p>
        <w:p w14:paraId="35AEC90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[18]</w:t>
          </w:r>
          <w:r w:rsidRPr="00AC0F53">
            <w:rPr>
              <w:rFonts w:ascii="Times New Roman" w:eastAsia="Times New Roman" w:hAnsi="Times New Roman" w:cs="Times New Roman"/>
              <w:color w:val="000000"/>
              <w:sz w:val="22"/>
            </w:rPr>
            <w:tab/>
            <w:t>M. Deer, “What is a Data Protection Officer</w:t>
          </w:r>
          <w:proofErr w:type="gramStart"/>
          <w:r w:rsidRPr="00AC0F53">
            <w:rPr>
              <w:rFonts w:ascii="Times New Roman" w:eastAsia="Times New Roman" w:hAnsi="Times New Roman" w:cs="Times New Roman"/>
              <w:color w:val="000000"/>
              <w:sz w:val="22"/>
            </w:rPr>
            <w:t>? ,</w:t>
          </w:r>
          <w:proofErr w:type="gramEnd"/>
          <w:r w:rsidRPr="00AC0F53">
            <w:rPr>
              <w:rFonts w:ascii="Times New Roman" w:eastAsia="Times New Roman" w:hAnsi="Times New Roman" w:cs="Times New Roman"/>
              <w:color w:val="000000"/>
              <w:sz w:val="22"/>
            </w:rPr>
            <w:t>” https://cpdonline.co.uk/knowledge-base/business/what-is-a-dpo/#what-does-a-data-protection-officer-do.</w:t>
          </w:r>
        </w:p>
        <w:p w14:paraId="0D61ECEE"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[19]</w:t>
          </w:r>
          <w:r w:rsidRPr="00AC0F53">
            <w:rPr>
              <w:rFonts w:ascii="Times New Roman" w:eastAsia="Times New Roman" w:hAnsi="Times New Roman" w:cs="Times New Roman"/>
              <w:color w:val="000000"/>
              <w:sz w:val="22"/>
            </w:rPr>
            <w:tab/>
            <w:t xml:space="preserve">IAISP, “Security Awareness Training </w:t>
          </w:r>
          <w:proofErr w:type="gramStart"/>
          <w:r w:rsidRPr="00AC0F53">
            <w:rPr>
              <w:rFonts w:ascii="Times New Roman" w:eastAsia="Times New Roman" w:hAnsi="Times New Roman" w:cs="Times New Roman"/>
              <w:color w:val="000000"/>
              <w:sz w:val="22"/>
            </w:rPr>
            <w:t>Manager ,</w:t>
          </w:r>
          <w:proofErr w:type="gramEnd"/>
          <w:r w:rsidRPr="00AC0F53">
            <w:rPr>
              <w:rFonts w:ascii="Times New Roman" w:eastAsia="Times New Roman" w:hAnsi="Times New Roman" w:cs="Times New Roman"/>
              <w:color w:val="000000"/>
              <w:sz w:val="22"/>
            </w:rPr>
            <w:t>” https://iaisp.org/career_job/security-awareness-training-manager/.</w:t>
          </w:r>
        </w:p>
        <w:p w14:paraId="6C70A9A0" w14:textId="77777777" w:rsidR="00D90F2D" w:rsidRPr="00AC0F53" w:rsidRDefault="00D90F2D" w:rsidP="00D90F2D">
          <w:pPr>
            <w:ind w:left="640"/>
            <w:divId w:val="1750734037"/>
            <w:rPr>
              <w:rFonts w:ascii="Times New Roman" w:eastAsia="Calibri" w:hAnsi="Times New Roman" w:cs="Times New Roman"/>
              <w:color w:val="000000"/>
              <w:sz w:val="22"/>
              <w:szCs w:val="22"/>
            </w:rPr>
          </w:pPr>
          <w:r w:rsidRPr="00AC0F53">
            <w:rPr>
              <w:rFonts w:ascii="Times New Roman" w:eastAsia="Times New Roman" w:hAnsi="Times New Roman" w:cs="Times New Roman"/>
              <w:color w:val="000000"/>
              <w:sz w:val="22"/>
            </w:rPr>
            <w:t> </w:t>
          </w:r>
        </w:p>
      </w:sdtContent>
    </w:sdt>
    <w:p w14:paraId="30D8286B" w14:textId="4CA18B7A" w:rsidR="00027A1A" w:rsidRPr="00D90F2D" w:rsidRDefault="001E2C29" w:rsidP="00D90F2D">
      <w:pPr>
        <w:divId w:val="1750734037"/>
        <w:rPr>
          <w:rFonts w:ascii="Calibri" w:eastAsia="Calibri" w:hAnsi="Calibri" w:cs="Times New Roman"/>
          <w:sz w:val="22"/>
          <w:szCs w:val="22"/>
        </w:rPr>
      </w:pPr>
      <w:r w:rsidRPr="00D90F2D">
        <w:rPr>
          <w:b/>
          <w:bCs/>
          <w:u w:val="single"/>
        </w:rPr>
        <w:br/>
      </w:r>
    </w:p>
    <w:p w14:paraId="1719E2EF" w14:textId="77777777" w:rsidR="00027A1A" w:rsidRPr="00027A1A" w:rsidRDefault="00027A1A" w:rsidP="00027A1A">
      <w:pPr>
        <w:tabs>
          <w:tab w:val="left" w:pos="3780"/>
        </w:tabs>
        <w:rPr>
          <w:rFonts w:ascii="Times New Roman" w:eastAsia="Calibri" w:hAnsi="Times New Roman" w:cs="Times New Roman"/>
          <w:iCs/>
          <w:color w:val="000000"/>
          <w:sz w:val="20"/>
          <w:szCs w:val="20"/>
        </w:rPr>
      </w:pPr>
    </w:p>
    <w:p w14:paraId="03923F81" w14:textId="6ECD5800" w:rsidR="00027A1A" w:rsidRPr="00027A1A" w:rsidRDefault="00027A1A" w:rsidP="00027A1A">
      <w:pPr>
        <w:tabs>
          <w:tab w:val="left" w:pos="3780"/>
        </w:tabs>
        <w:rPr>
          <w:rFonts w:ascii="Times New Roman" w:eastAsia="Calibri" w:hAnsi="Times New Roman" w:cs="Times New Roman"/>
          <w:iCs/>
          <w:color w:val="000000"/>
          <w:sz w:val="20"/>
          <w:szCs w:val="20"/>
        </w:rPr>
      </w:pPr>
    </w:p>
    <w:p w14:paraId="3E40617D" w14:textId="1DE7C886" w:rsidR="00027A1A" w:rsidRPr="00335E04" w:rsidRDefault="00027A1A" w:rsidP="00335E04">
      <w:pPr>
        <w:tabs>
          <w:tab w:val="left" w:pos="3780"/>
        </w:tabs>
        <w:rPr>
          <w:rFonts w:ascii="Calibri" w:eastAsia="Calibri" w:hAnsi="Calibri" w:cs="Calibri"/>
          <w:b/>
          <w:bCs/>
          <w:iCs/>
          <w:color w:val="000000"/>
          <w:sz w:val="22"/>
          <w:szCs w:val="22"/>
          <w:u w:val="single"/>
        </w:rPr>
      </w:pPr>
      <w:r>
        <w:rPr>
          <w:rFonts w:ascii="Times New Roman" w:eastAsia="Calibri" w:hAnsi="Times New Roman" w:cs="Times New Roman"/>
          <w:b/>
          <w:bCs/>
          <w:iCs/>
          <w:color w:val="000000"/>
          <w:sz w:val="22"/>
          <w:szCs w:val="22"/>
          <w:u w:val="single"/>
        </w:rPr>
        <w:br/>
      </w:r>
    </w:p>
    <w:p w14:paraId="1FB6E238" w14:textId="39DF0CEA" w:rsidR="00335E04" w:rsidRPr="00335E04" w:rsidRDefault="00335E04" w:rsidP="00335E04">
      <w:pPr>
        <w:tabs>
          <w:tab w:val="left" w:pos="3780"/>
        </w:tabs>
        <w:rPr>
          <w:rFonts w:ascii="Times New Roman" w:eastAsia="Calibri" w:hAnsi="Times New Roman" w:cs="Times New Roman"/>
          <w:iCs/>
          <w:color w:val="000000"/>
          <w:sz w:val="20"/>
          <w:szCs w:val="20"/>
        </w:rPr>
      </w:pPr>
    </w:p>
    <w:p w14:paraId="34059CEA" w14:textId="431B4B64" w:rsidR="00335E04" w:rsidRPr="005D1627" w:rsidRDefault="00335E04">
      <w:pPr>
        <w:rPr>
          <w:rFonts w:ascii="Times New Roman" w:hAnsi="Times New Roman" w:cs="Times New Roman"/>
          <w:b/>
          <w:bCs/>
          <w:iCs/>
          <w:sz w:val="22"/>
          <w:szCs w:val="22"/>
          <w:u w:val="single"/>
        </w:rPr>
      </w:pPr>
    </w:p>
    <w:sectPr w:rsidR="00335E04" w:rsidRPr="005D1627" w:rsidSect="00B82F8F">
      <w:type w:val="continuous"/>
      <w:pgSz w:w="11906" w:h="16838"/>
      <w:pgMar w:top="1077" w:right="1077" w:bottom="1077" w:left="107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AB"/>
    <w:rsid w:val="0000051F"/>
    <w:rsid w:val="00027A1A"/>
    <w:rsid w:val="00072EAA"/>
    <w:rsid w:val="000740ED"/>
    <w:rsid w:val="00093CF5"/>
    <w:rsid w:val="000D2B8F"/>
    <w:rsid w:val="000D4193"/>
    <w:rsid w:val="000D51A0"/>
    <w:rsid w:val="000F0A70"/>
    <w:rsid w:val="000F4FBC"/>
    <w:rsid w:val="00113BF5"/>
    <w:rsid w:val="00172D7F"/>
    <w:rsid w:val="0017652B"/>
    <w:rsid w:val="001C197F"/>
    <w:rsid w:val="001E2065"/>
    <w:rsid w:val="001E2C29"/>
    <w:rsid w:val="001E7B2E"/>
    <w:rsid w:val="00203A21"/>
    <w:rsid w:val="00227450"/>
    <w:rsid w:val="002951E2"/>
    <w:rsid w:val="002B2547"/>
    <w:rsid w:val="002C7963"/>
    <w:rsid w:val="002D6992"/>
    <w:rsid w:val="00335E04"/>
    <w:rsid w:val="003416FC"/>
    <w:rsid w:val="0035488A"/>
    <w:rsid w:val="0036428D"/>
    <w:rsid w:val="00367774"/>
    <w:rsid w:val="00375197"/>
    <w:rsid w:val="003C69B2"/>
    <w:rsid w:val="004005A6"/>
    <w:rsid w:val="004135EC"/>
    <w:rsid w:val="00480536"/>
    <w:rsid w:val="004849B9"/>
    <w:rsid w:val="004959D9"/>
    <w:rsid w:val="004A2BD0"/>
    <w:rsid w:val="004B32E1"/>
    <w:rsid w:val="004E077C"/>
    <w:rsid w:val="005104AB"/>
    <w:rsid w:val="00513818"/>
    <w:rsid w:val="005141CC"/>
    <w:rsid w:val="00516FFE"/>
    <w:rsid w:val="00522E70"/>
    <w:rsid w:val="00524FCB"/>
    <w:rsid w:val="005411D4"/>
    <w:rsid w:val="00595EA6"/>
    <w:rsid w:val="005B04D2"/>
    <w:rsid w:val="005B7627"/>
    <w:rsid w:val="005D1627"/>
    <w:rsid w:val="005F174B"/>
    <w:rsid w:val="005F592D"/>
    <w:rsid w:val="005F5CF3"/>
    <w:rsid w:val="006202FF"/>
    <w:rsid w:val="00637CCC"/>
    <w:rsid w:val="00682CE0"/>
    <w:rsid w:val="00692EC5"/>
    <w:rsid w:val="0069321A"/>
    <w:rsid w:val="006A16C7"/>
    <w:rsid w:val="006C4D18"/>
    <w:rsid w:val="007043CB"/>
    <w:rsid w:val="00712DE9"/>
    <w:rsid w:val="00724A99"/>
    <w:rsid w:val="0074050C"/>
    <w:rsid w:val="00777D0D"/>
    <w:rsid w:val="00783C65"/>
    <w:rsid w:val="007D75D7"/>
    <w:rsid w:val="007F5BEC"/>
    <w:rsid w:val="00801F6D"/>
    <w:rsid w:val="00807149"/>
    <w:rsid w:val="00817B86"/>
    <w:rsid w:val="008263F0"/>
    <w:rsid w:val="00834E7F"/>
    <w:rsid w:val="00865EE8"/>
    <w:rsid w:val="00874104"/>
    <w:rsid w:val="008B2811"/>
    <w:rsid w:val="008C08C1"/>
    <w:rsid w:val="008C2949"/>
    <w:rsid w:val="008D787E"/>
    <w:rsid w:val="008E01B5"/>
    <w:rsid w:val="008E597B"/>
    <w:rsid w:val="00923444"/>
    <w:rsid w:val="00937A2B"/>
    <w:rsid w:val="009543F4"/>
    <w:rsid w:val="009812C6"/>
    <w:rsid w:val="009B2BC1"/>
    <w:rsid w:val="009B6933"/>
    <w:rsid w:val="009C57AF"/>
    <w:rsid w:val="009E434D"/>
    <w:rsid w:val="00A02D43"/>
    <w:rsid w:val="00A13E23"/>
    <w:rsid w:val="00A47023"/>
    <w:rsid w:val="00A47753"/>
    <w:rsid w:val="00AB546E"/>
    <w:rsid w:val="00AC0F53"/>
    <w:rsid w:val="00AC7842"/>
    <w:rsid w:val="00AD11F9"/>
    <w:rsid w:val="00AE0387"/>
    <w:rsid w:val="00AE69DD"/>
    <w:rsid w:val="00AF7A12"/>
    <w:rsid w:val="00B134F2"/>
    <w:rsid w:val="00B54021"/>
    <w:rsid w:val="00B82F8F"/>
    <w:rsid w:val="00B864FC"/>
    <w:rsid w:val="00BB5C06"/>
    <w:rsid w:val="00BB695D"/>
    <w:rsid w:val="00BB7441"/>
    <w:rsid w:val="00BE6F49"/>
    <w:rsid w:val="00BF3E67"/>
    <w:rsid w:val="00BF68C3"/>
    <w:rsid w:val="00C054C7"/>
    <w:rsid w:val="00C25312"/>
    <w:rsid w:val="00C33F65"/>
    <w:rsid w:val="00C43A38"/>
    <w:rsid w:val="00C565E8"/>
    <w:rsid w:val="00C618D8"/>
    <w:rsid w:val="00CB358B"/>
    <w:rsid w:val="00CE3A15"/>
    <w:rsid w:val="00D05F07"/>
    <w:rsid w:val="00D230F9"/>
    <w:rsid w:val="00D313ED"/>
    <w:rsid w:val="00D44739"/>
    <w:rsid w:val="00D47157"/>
    <w:rsid w:val="00D73697"/>
    <w:rsid w:val="00D90F2D"/>
    <w:rsid w:val="00DA555A"/>
    <w:rsid w:val="00DC7A2E"/>
    <w:rsid w:val="00DF4D13"/>
    <w:rsid w:val="00E32003"/>
    <w:rsid w:val="00EA5E51"/>
    <w:rsid w:val="00EB69F2"/>
    <w:rsid w:val="00EE3B94"/>
    <w:rsid w:val="00F17DB2"/>
    <w:rsid w:val="00F44A7D"/>
    <w:rsid w:val="00F45962"/>
    <w:rsid w:val="00F64A14"/>
    <w:rsid w:val="00F67198"/>
    <w:rsid w:val="00F72F59"/>
    <w:rsid w:val="00F86E58"/>
    <w:rsid w:val="00FD3A0F"/>
    <w:rsid w:val="00FF0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E63B"/>
  <w15:chartTrackingRefBased/>
  <w15:docId w15:val="{0F47E145-A759-41F2-8093-066898385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4AB"/>
  </w:style>
  <w:style w:type="paragraph" w:styleId="Heading1">
    <w:name w:val="heading 1"/>
    <w:basedOn w:val="Normal"/>
    <w:next w:val="Normal"/>
    <w:link w:val="Heading1Char"/>
    <w:uiPriority w:val="9"/>
    <w:qFormat/>
    <w:rsid w:val="00510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0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4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4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4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4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4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4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4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4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04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4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4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4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4AB"/>
    <w:rPr>
      <w:rFonts w:eastAsiaTheme="majorEastAsia" w:cstheme="majorBidi"/>
      <w:color w:val="272727" w:themeColor="text1" w:themeTint="D8"/>
    </w:rPr>
  </w:style>
  <w:style w:type="paragraph" w:styleId="Title">
    <w:name w:val="Title"/>
    <w:basedOn w:val="Normal"/>
    <w:next w:val="Normal"/>
    <w:link w:val="TitleChar"/>
    <w:uiPriority w:val="10"/>
    <w:qFormat/>
    <w:rsid w:val="005104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4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4AB"/>
    <w:pPr>
      <w:spacing w:before="160"/>
      <w:jc w:val="center"/>
    </w:pPr>
    <w:rPr>
      <w:i/>
      <w:iCs/>
      <w:color w:val="404040" w:themeColor="text1" w:themeTint="BF"/>
    </w:rPr>
  </w:style>
  <w:style w:type="character" w:customStyle="1" w:styleId="QuoteChar">
    <w:name w:val="Quote Char"/>
    <w:basedOn w:val="DefaultParagraphFont"/>
    <w:link w:val="Quote"/>
    <w:uiPriority w:val="29"/>
    <w:rsid w:val="005104AB"/>
    <w:rPr>
      <w:i/>
      <w:iCs/>
      <w:color w:val="404040" w:themeColor="text1" w:themeTint="BF"/>
    </w:rPr>
  </w:style>
  <w:style w:type="paragraph" w:styleId="ListParagraph">
    <w:name w:val="List Paragraph"/>
    <w:basedOn w:val="Normal"/>
    <w:uiPriority w:val="34"/>
    <w:qFormat/>
    <w:rsid w:val="005104AB"/>
    <w:pPr>
      <w:ind w:left="720"/>
      <w:contextualSpacing/>
    </w:pPr>
  </w:style>
  <w:style w:type="character" w:styleId="IntenseEmphasis">
    <w:name w:val="Intense Emphasis"/>
    <w:basedOn w:val="DefaultParagraphFont"/>
    <w:uiPriority w:val="21"/>
    <w:qFormat/>
    <w:rsid w:val="005104AB"/>
    <w:rPr>
      <w:i/>
      <w:iCs/>
      <w:color w:val="0F4761" w:themeColor="accent1" w:themeShade="BF"/>
    </w:rPr>
  </w:style>
  <w:style w:type="paragraph" w:styleId="IntenseQuote">
    <w:name w:val="Intense Quote"/>
    <w:basedOn w:val="Normal"/>
    <w:next w:val="Normal"/>
    <w:link w:val="IntenseQuoteChar"/>
    <w:uiPriority w:val="30"/>
    <w:qFormat/>
    <w:rsid w:val="00510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4AB"/>
    <w:rPr>
      <w:i/>
      <w:iCs/>
      <w:color w:val="0F4761" w:themeColor="accent1" w:themeShade="BF"/>
    </w:rPr>
  </w:style>
  <w:style w:type="character" w:styleId="IntenseReference">
    <w:name w:val="Intense Reference"/>
    <w:basedOn w:val="DefaultParagraphFont"/>
    <w:uiPriority w:val="32"/>
    <w:qFormat/>
    <w:rsid w:val="005104AB"/>
    <w:rPr>
      <w:b/>
      <w:bCs/>
      <w:smallCaps/>
      <w:color w:val="0F4761" w:themeColor="accent1" w:themeShade="BF"/>
      <w:spacing w:val="5"/>
    </w:rPr>
  </w:style>
  <w:style w:type="character" w:styleId="Hyperlink">
    <w:name w:val="Hyperlink"/>
    <w:basedOn w:val="DefaultParagraphFont"/>
    <w:uiPriority w:val="99"/>
    <w:unhideWhenUsed/>
    <w:rsid w:val="00AC7842"/>
    <w:rPr>
      <w:color w:val="467886" w:themeColor="hyperlink"/>
      <w:u w:val="single"/>
    </w:rPr>
  </w:style>
  <w:style w:type="character" w:styleId="UnresolvedMention">
    <w:name w:val="Unresolved Mention"/>
    <w:basedOn w:val="DefaultParagraphFont"/>
    <w:uiPriority w:val="99"/>
    <w:semiHidden/>
    <w:unhideWhenUsed/>
    <w:rsid w:val="00AC7842"/>
    <w:rPr>
      <w:color w:val="605E5C"/>
      <w:shd w:val="clear" w:color="auto" w:fill="E1DFDD"/>
    </w:rPr>
  </w:style>
  <w:style w:type="table" w:styleId="TableGrid">
    <w:name w:val="Table Grid"/>
    <w:basedOn w:val="TableNormal"/>
    <w:uiPriority w:val="39"/>
    <w:rsid w:val="00295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740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E3B9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E3B94"/>
    <w:pPr>
      <w:spacing w:after="100"/>
      <w:ind w:left="240"/>
    </w:pPr>
  </w:style>
  <w:style w:type="paragraph" w:styleId="TableofFigures">
    <w:name w:val="table of figures"/>
    <w:basedOn w:val="Normal"/>
    <w:next w:val="Normal"/>
    <w:uiPriority w:val="99"/>
    <w:unhideWhenUsed/>
    <w:rsid w:val="00A47023"/>
    <w:pPr>
      <w:spacing w:after="0"/>
    </w:pPr>
  </w:style>
  <w:style w:type="character" w:styleId="PlaceholderText">
    <w:name w:val="Placeholder Text"/>
    <w:basedOn w:val="DefaultParagraphFont"/>
    <w:uiPriority w:val="99"/>
    <w:semiHidden/>
    <w:rsid w:val="00777D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641744">
      <w:marLeft w:val="640"/>
      <w:marRight w:val="0"/>
      <w:marTop w:val="0"/>
      <w:marBottom w:val="0"/>
      <w:divBdr>
        <w:top w:val="none" w:sz="0" w:space="0" w:color="auto"/>
        <w:left w:val="none" w:sz="0" w:space="0" w:color="auto"/>
        <w:bottom w:val="none" w:sz="0" w:space="0" w:color="auto"/>
        <w:right w:val="none" w:sz="0" w:space="0" w:color="auto"/>
      </w:divBdr>
    </w:div>
    <w:div w:id="749621330">
      <w:marLeft w:val="640"/>
      <w:marRight w:val="0"/>
      <w:marTop w:val="0"/>
      <w:marBottom w:val="0"/>
      <w:divBdr>
        <w:top w:val="none" w:sz="0" w:space="0" w:color="auto"/>
        <w:left w:val="none" w:sz="0" w:space="0" w:color="auto"/>
        <w:bottom w:val="none" w:sz="0" w:space="0" w:color="auto"/>
        <w:right w:val="none" w:sz="0" w:space="0" w:color="auto"/>
      </w:divBdr>
    </w:div>
    <w:div w:id="926307762">
      <w:marLeft w:val="640"/>
      <w:marRight w:val="0"/>
      <w:marTop w:val="0"/>
      <w:marBottom w:val="0"/>
      <w:divBdr>
        <w:top w:val="none" w:sz="0" w:space="0" w:color="auto"/>
        <w:left w:val="none" w:sz="0" w:space="0" w:color="auto"/>
        <w:bottom w:val="none" w:sz="0" w:space="0" w:color="auto"/>
        <w:right w:val="none" w:sz="0" w:space="0" w:color="auto"/>
      </w:divBdr>
    </w:div>
    <w:div w:id="1418207880">
      <w:marLeft w:val="640"/>
      <w:marRight w:val="0"/>
      <w:marTop w:val="0"/>
      <w:marBottom w:val="0"/>
      <w:divBdr>
        <w:top w:val="none" w:sz="0" w:space="0" w:color="auto"/>
        <w:left w:val="none" w:sz="0" w:space="0" w:color="auto"/>
        <w:bottom w:val="none" w:sz="0" w:space="0" w:color="auto"/>
        <w:right w:val="none" w:sz="0" w:space="0" w:color="auto"/>
      </w:divBdr>
    </w:div>
    <w:div w:id="1494300882">
      <w:marLeft w:val="640"/>
      <w:marRight w:val="0"/>
      <w:marTop w:val="0"/>
      <w:marBottom w:val="0"/>
      <w:divBdr>
        <w:top w:val="none" w:sz="0" w:space="0" w:color="auto"/>
        <w:left w:val="none" w:sz="0" w:space="0" w:color="auto"/>
        <w:bottom w:val="none" w:sz="0" w:space="0" w:color="auto"/>
        <w:right w:val="none" w:sz="0" w:space="0" w:color="auto"/>
      </w:divBdr>
    </w:div>
    <w:div w:id="1514226730">
      <w:marLeft w:val="640"/>
      <w:marRight w:val="0"/>
      <w:marTop w:val="0"/>
      <w:marBottom w:val="0"/>
      <w:divBdr>
        <w:top w:val="none" w:sz="0" w:space="0" w:color="auto"/>
        <w:left w:val="none" w:sz="0" w:space="0" w:color="auto"/>
        <w:bottom w:val="none" w:sz="0" w:space="0" w:color="auto"/>
        <w:right w:val="none" w:sz="0" w:space="0" w:color="auto"/>
      </w:divBdr>
    </w:div>
    <w:div w:id="1750734037">
      <w:marLeft w:val="640"/>
      <w:marRight w:val="0"/>
      <w:marTop w:val="0"/>
      <w:marBottom w:val="0"/>
      <w:divBdr>
        <w:top w:val="none" w:sz="0" w:space="0" w:color="auto"/>
        <w:left w:val="none" w:sz="0" w:space="0" w:color="auto"/>
        <w:bottom w:val="none" w:sz="0" w:space="0" w:color="auto"/>
        <w:right w:val="none" w:sz="0" w:space="0" w:color="auto"/>
      </w:divBdr>
      <w:divsChild>
        <w:div w:id="475610909">
          <w:marLeft w:val="640"/>
          <w:marRight w:val="0"/>
          <w:marTop w:val="0"/>
          <w:marBottom w:val="0"/>
          <w:divBdr>
            <w:top w:val="none" w:sz="0" w:space="0" w:color="auto"/>
            <w:left w:val="none" w:sz="0" w:space="0" w:color="auto"/>
            <w:bottom w:val="none" w:sz="0" w:space="0" w:color="auto"/>
            <w:right w:val="none" w:sz="0" w:space="0" w:color="auto"/>
          </w:divBdr>
        </w:div>
        <w:div w:id="1254708846">
          <w:marLeft w:val="640"/>
          <w:marRight w:val="0"/>
          <w:marTop w:val="0"/>
          <w:marBottom w:val="0"/>
          <w:divBdr>
            <w:top w:val="none" w:sz="0" w:space="0" w:color="auto"/>
            <w:left w:val="none" w:sz="0" w:space="0" w:color="auto"/>
            <w:bottom w:val="none" w:sz="0" w:space="0" w:color="auto"/>
            <w:right w:val="none" w:sz="0" w:space="0" w:color="auto"/>
          </w:divBdr>
        </w:div>
        <w:div w:id="118233115">
          <w:marLeft w:val="640"/>
          <w:marRight w:val="0"/>
          <w:marTop w:val="0"/>
          <w:marBottom w:val="0"/>
          <w:divBdr>
            <w:top w:val="none" w:sz="0" w:space="0" w:color="auto"/>
            <w:left w:val="none" w:sz="0" w:space="0" w:color="auto"/>
            <w:bottom w:val="none" w:sz="0" w:space="0" w:color="auto"/>
            <w:right w:val="none" w:sz="0" w:space="0" w:color="auto"/>
          </w:divBdr>
        </w:div>
        <w:div w:id="2128306450">
          <w:marLeft w:val="640"/>
          <w:marRight w:val="0"/>
          <w:marTop w:val="0"/>
          <w:marBottom w:val="0"/>
          <w:divBdr>
            <w:top w:val="none" w:sz="0" w:space="0" w:color="auto"/>
            <w:left w:val="none" w:sz="0" w:space="0" w:color="auto"/>
            <w:bottom w:val="none" w:sz="0" w:space="0" w:color="auto"/>
            <w:right w:val="none" w:sz="0" w:space="0" w:color="auto"/>
          </w:divBdr>
        </w:div>
        <w:div w:id="1160462093">
          <w:marLeft w:val="640"/>
          <w:marRight w:val="0"/>
          <w:marTop w:val="0"/>
          <w:marBottom w:val="0"/>
          <w:divBdr>
            <w:top w:val="none" w:sz="0" w:space="0" w:color="auto"/>
            <w:left w:val="none" w:sz="0" w:space="0" w:color="auto"/>
            <w:bottom w:val="none" w:sz="0" w:space="0" w:color="auto"/>
            <w:right w:val="none" w:sz="0" w:space="0" w:color="auto"/>
          </w:divBdr>
        </w:div>
        <w:div w:id="1226839023">
          <w:marLeft w:val="640"/>
          <w:marRight w:val="0"/>
          <w:marTop w:val="0"/>
          <w:marBottom w:val="0"/>
          <w:divBdr>
            <w:top w:val="none" w:sz="0" w:space="0" w:color="auto"/>
            <w:left w:val="none" w:sz="0" w:space="0" w:color="auto"/>
            <w:bottom w:val="none" w:sz="0" w:space="0" w:color="auto"/>
            <w:right w:val="none" w:sz="0" w:space="0" w:color="auto"/>
          </w:divBdr>
        </w:div>
        <w:div w:id="1102604551">
          <w:marLeft w:val="640"/>
          <w:marRight w:val="0"/>
          <w:marTop w:val="0"/>
          <w:marBottom w:val="0"/>
          <w:divBdr>
            <w:top w:val="none" w:sz="0" w:space="0" w:color="auto"/>
            <w:left w:val="none" w:sz="0" w:space="0" w:color="auto"/>
            <w:bottom w:val="none" w:sz="0" w:space="0" w:color="auto"/>
            <w:right w:val="none" w:sz="0" w:space="0" w:color="auto"/>
          </w:divBdr>
        </w:div>
        <w:div w:id="1039284320">
          <w:marLeft w:val="640"/>
          <w:marRight w:val="0"/>
          <w:marTop w:val="0"/>
          <w:marBottom w:val="0"/>
          <w:divBdr>
            <w:top w:val="none" w:sz="0" w:space="0" w:color="auto"/>
            <w:left w:val="none" w:sz="0" w:space="0" w:color="auto"/>
            <w:bottom w:val="none" w:sz="0" w:space="0" w:color="auto"/>
            <w:right w:val="none" w:sz="0" w:space="0" w:color="auto"/>
          </w:divBdr>
        </w:div>
      </w:divsChild>
    </w:div>
    <w:div w:id="1851064973">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2417049@student.uwtsd.ac.uk"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BDEAFC090F458B848C06BA0EE08C06"/>
        <w:category>
          <w:name w:val="General"/>
          <w:gallery w:val="placeholder"/>
        </w:category>
        <w:types>
          <w:type w:val="bbPlcHdr"/>
        </w:types>
        <w:behaviors>
          <w:behavior w:val="content"/>
        </w:behaviors>
        <w:guid w:val="{7F8C1D2A-71E0-43F3-BA91-097CA9A4B70B}"/>
      </w:docPartPr>
      <w:docPartBody>
        <w:p w:rsidR="0067566F" w:rsidRDefault="003200B2" w:rsidP="003200B2">
          <w:pPr>
            <w:pStyle w:val="9BBDEAFC090F458B848C06BA0EE08C06"/>
          </w:pPr>
          <w:r w:rsidRPr="00FF06C3">
            <w:rPr>
              <w:rStyle w:val="PlaceholderText"/>
            </w:rPr>
            <w:t>Click or tap here to enter text.</w:t>
          </w:r>
        </w:p>
      </w:docPartBody>
    </w:docPart>
    <w:docPart>
      <w:docPartPr>
        <w:name w:val="F7E8BB008EDE4EDBA648C70A5CFEDB22"/>
        <w:category>
          <w:name w:val="General"/>
          <w:gallery w:val="placeholder"/>
        </w:category>
        <w:types>
          <w:type w:val="bbPlcHdr"/>
        </w:types>
        <w:behaviors>
          <w:behavior w:val="content"/>
        </w:behaviors>
        <w:guid w:val="{89AC7C65-52B0-4853-8637-FA63E1E4A29C}"/>
      </w:docPartPr>
      <w:docPartBody>
        <w:p w:rsidR="0067566F" w:rsidRDefault="003200B2" w:rsidP="003200B2">
          <w:pPr>
            <w:pStyle w:val="F7E8BB008EDE4EDBA648C70A5CFEDB22"/>
          </w:pPr>
          <w:r w:rsidRPr="00FF06C3">
            <w:rPr>
              <w:rStyle w:val="PlaceholderText"/>
            </w:rPr>
            <w:t>Click or tap here to enter text.</w:t>
          </w:r>
        </w:p>
      </w:docPartBody>
    </w:docPart>
    <w:docPart>
      <w:docPartPr>
        <w:name w:val="C12D631E92054CC2AE33370FE21EC5B0"/>
        <w:category>
          <w:name w:val="General"/>
          <w:gallery w:val="placeholder"/>
        </w:category>
        <w:types>
          <w:type w:val="bbPlcHdr"/>
        </w:types>
        <w:behaviors>
          <w:behavior w:val="content"/>
        </w:behaviors>
        <w:guid w:val="{4BA4E0F8-BF53-42F4-8704-D82DA845FD07}"/>
      </w:docPartPr>
      <w:docPartBody>
        <w:p w:rsidR="0067566F" w:rsidRDefault="003200B2" w:rsidP="003200B2">
          <w:pPr>
            <w:pStyle w:val="C12D631E92054CC2AE33370FE21EC5B0"/>
          </w:pPr>
          <w:r w:rsidRPr="00FF06C3">
            <w:rPr>
              <w:rStyle w:val="PlaceholderText"/>
            </w:rPr>
            <w:t>Click or tap here to enter text.</w:t>
          </w:r>
        </w:p>
      </w:docPartBody>
    </w:docPart>
    <w:docPart>
      <w:docPartPr>
        <w:name w:val="E3280AE906ED4DF290BFFC377BDFEE46"/>
        <w:category>
          <w:name w:val="General"/>
          <w:gallery w:val="placeholder"/>
        </w:category>
        <w:types>
          <w:type w:val="bbPlcHdr"/>
        </w:types>
        <w:behaviors>
          <w:behavior w:val="content"/>
        </w:behaviors>
        <w:guid w:val="{167DA189-531E-409B-B2A0-C772378D2D9B}"/>
      </w:docPartPr>
      <w:docPartBody>
        <w:p w:rsidR="0067566F" w:rsidRDefault="003200B2" w:rsidP="003200B2">
          <w:pPr>
            <w:pStyle w:val="E3280AE906ED4DF290BFFC377BDFEE46"/>
          </w:pPr>
          <w:r w:rsidRPr="00FF06C3">
            <w:rPr>
              <w:rStyle w:val="PlaceholderText"/>
            </w:rPr>
            <w:t>Click or tap here to enter text.</w:t>
          </w:r>
        </w:p>
      </w:docPartBody>
    </w:docPart>
    <w:docPart>
      <w:docPartPr>
        <w:name w:val="999B1E6C616441DFA471F724C510FBA4"/>
        <w:category>
          <w:name w:val="General"/>
          <w:gallery w:val="placeholder"/>
        </w:category>
        <w:types>
          <w:type w:val="bbPlcHdr"/>
        </w:types>
        <w:behaviors>
          <w:behavior w:val="content"/>
        </w:behaviors>
        <w:guid w:val="{5E17F6A3-9AB7-4A34-B76B-857A26A85A52}"/>
      </w:docPartPr>
      <w:docPartBody>
        <w:p w:rsidR="0067566F" w:rsidRDefault="003200B2" w:rsidP="003200B2">
          <w:pPr>
            <w:pStyle w:val="999B1E6C616441DFA471F724C510FBA4"/>
          </w:pPr>
          <w:r w:rsidRPr="00FF06C3">
            <w:rPr>
              <w:rStyle w:val="PlaceholderText"/>
            </w:rPr>
            <w:t>Click or tap here to enter text.</w:t>
          </w:r>
        </w:p>
      </w:docPartBody>
    </w:docPart>
    <w:docPart>
      <w:docPartPr>
        <w:name w:val="83F4723BD60948A4A533C44085869960"/>
        <w:category>
          <w:name w:val="General"/>
          <w:gallery w:val="placeholder"/>
        </w:category>
        <w:types>
          <w:type w:val="bbPlcHdr"/>
        </w:types>
        <w:behaviors>
          <w:behavior w:val="content"/>
        </w:behaviors>
        <w:guid w:val="{EEB6261D-1A69-4EED-BBCD-B32EC22A5A9A}"/>
      </w:docPartPr>
      <w:docPartBody>
        <w:p w:rsidR="0067566F" w:rsidRDefault="003200B2" w:rsidP="003200B2">
          <w:pPr>
            <w:pStyle w:val="83F4723BD60948A4A533C44085869960"/>
          </w:pPr>
          <w:r w:rsidRPr="00FF06C3">
            <w:rPr>
              <w:rStyle w:val="PlaceholderText"/>
            </w:rPr>
            <w:t>Click or tap here to enter text.</w:t>
          </w:r>
        </w:p>
      </w:docPartBody>
    </w:docPart>
    <w:docPart>
      <w:docPartPr>
        <w:name w:val="6BEB7F23B31F4BF296D4BB7286BB4069"/>
        <w:category>
          <w:name w:val="General"/>
          <w:gallery w:val="placeholder"/>
        </w:category>
        <w:types>
          <w:type w:val="bbPlcHdr"/>
        </w:types>
        <w:behaviors>
          <w:behavior w:val="content"/>
        </w:behaviors>
        <w:guid w:val="{8E861137-19CF-4043-8697-D217EEC8BAF9}"/>
      </w:docPartPr>
      <w:docPartBody>
        <w:p w:rsidR="0067566F" w:rsidRDefault="003200B2" w:rsidP="003200B2">
          <w:pPr>
            <w:pStyle w:val="6BEB7F23B31F4BF296D4BB7286BB4069"/>
          </w:pPr>
          <w:r w:rsidRPr="00FF06C3">
            <w:rPr>
              <w:rStyle w:val="PlaceholderText"/>
            </w:rPr>
            <w:t>Click or tap here to enter text.</w:t>
          </w:r>
        </w:p>
      </w:docPartBody>
    </w:docPart>
    <w:docPart>
      <w:docPartPr>
        <w:name w:val="AC57045F7CC6465CA2DBDF4F62EFB682"/>
        <w:category>
          <w:name w:val="General"/>
          <w:gallery w:val="placeholder"/>
        </w:category>
        <w:types>
          <w:type w:val="bbPlcHdr"/>
        </w:types>
        <w:behaviors>
          <w:behavior w:val="content"/>
        </w:behaviors>
        <w:guid w:val="{8A793CE1-AA84-47D9-943C-1622C6BE4E54}"/>
      </w:docPartPr>
      <w:docPartBody>
        <w:p w:rsidR="0067566F" w:rsidRDefault="003200B2" w:rsidP="003200B2">
          <w:pPr>
            <w:pStyle w:val="AC57045F7CC6465CA2DBDF4F62EFB682"/>
          </w:pPr>
          <w:r w:rsidRPr="00FF06C3">
            <w:rPr>
              <w:rStyle w:val="PlaceholderText"/>
            </w:rPr>
            <w:t>Click or tap here to enter text.</w:t>
          </w:r>
        </w:p>
      </w:docPartBody>
    </w:docPart>
    <w:docPart>
      <w:docPartPr>
        <w:name w:val="4163ACCEA91D43FDB08C2B1660C76972"/>
        <w:category>
          <w:name w:val="General"/>
          <w:gallery w:val="placeholder"/>
        </w:category>
        <w:types>
          <w:type w:val="bbPlcHdr"/>
        </w:types>
        <w:behaviors>
          <w:behavior w:val="content"/>
        </w:behaviors>
        <w:guid w:val="{CAA139C5-C1C7-47EF-8B5E-F0C8A37CC19B}"/>
      </w:docPartPr>
      <w:docPartBody>
        <w:p w:rsidR="0067566F" w:rsidRDefault="003200B2" w:rsidP="003200B2">
          <w:pPr>
            <w:pStyle w:val="4163ACCEA91D43FDB08C2B1660C76972"/>
          </w:pPr>
          <w:r w:rsidRPr="00FF06C3">
            <w:rPr>
              <w:rStyle w:val="PlaceholderText"/>
            </w:rPr>
            <w:t>Click or tap here to enter text.</w:t>
          </w:r>
        </w:p>
      </w:docPartBody>
    </w:docPart>
    <w:docPart>
      <w:docPartPr>
        <w:name w:val="464ADEA5AED945B080190D24906DE461"/>
        <w:category>
          <w:name w:val="General"/>
          <w:gallery w:val="placeholder"/>
        </w:category>
        <w:types>
          <w:type w:val="bbPlcHdr"/>
        </w:types>
        <w:behaviors>
          <w:behavior w:val="content"/>
        </w:behaviors>
        <w:guid w:val="{A14492F6-620F-4BF9-88CE-C8AF987CDD2E}"/>
      </w:docPartPr>
      <w:docPartBody>
        <w:p w:rsidR="0067566F" w:rsidRDefault="003200B2" w:rsidP="003200B2">
          <w:pPr>
            <w:pStyle w:val="464ADEA5AED945B080190D24906DE461"/>
          </w:pPr>
          <w:r w:rsidRPr="00FF06C3">
            <w:rPr>
              <w:rStyle w:val="PlaceholderText"/>
            </w:rPr>
            <w:t>Click or tap here to enter text.</w:t>
          </w:r>
        </w:p>
      </w:docPartBody>
    </w:docPart>
    <w:docPart>
      <w:docPartPr>
        <w:name w:val="506111B856944E7FBD42B9E8BD3FDCEA"/>
        <w:category>
          <w:name w:val="General"/>
          <w:gallery w:val="placeholder"/>
        </w:category>
        <w:types>
          <w:type w:val="bbPlcHdr"/>
        </w:types>
        <w:behaviors>
          <w:behavior w:val="content"/>
        </w:behaviors>
        <w:guid w:val="{AEC984A7-EB99-4EB2-AD0B-11842CA9CCC6}"/>
      </w:docPartPr>
      <w:docPartBody>
        <w:p w:rsidR="0067566F" w:rsidRDefault="003200B2" w:rsidP="003200B2">
          <w:pPr>
            <w:pStyle w:val="506111B856944E7FBD42B9E8BD3FDCEA"/>
          </w:pPr>
          <w:r w:rsidRPr="00FF06C3">
            <w:rPr>
              <w:rStyle w:val="PlaceholderText"/>
            </w:rPr>
            <w:t>Click or tap here to enter text.</w:t>
          </w:r>
        </w:p>
      </w:docPartBody>
    </w:docPart>
    <w:docPart>
      <w:docPartPr>
        <w:name w:val="A908AE411C08465A9F3575A68C41D016"/>
        <w:category>
          <w:name w:val="General"/>
          <w:gallery w:val="placeholder"/>
        </w:category>
        <w:types>
          <w:type w:val="bbPlcHdr"/>
        </w:types>
        <w:behaviors>
          <w:behavior w:val="content"/>
        </w:behaviors>
        <w:guid w:val="{F4AF4142-1E16-4442-87B4-C92E60C32D54}"/>
      </w:docPartPr>
      <w:docPartBody>
        <w:p w:rsidR="0067566F" w:rsidRDefault="003200B2" w:rsidP="003200B2">
          <w:pPr>
            <w:pStyle w:val="A908AE411C08465A9F3575A68C41D016"/>
          </w:pPr>
          <w:r w:rsidRPr="00FF06C3">
            <w:rPr>
              <w:rStyle w:val="PlaceholderText"/>
            </w:rPr>
            <w:t>Click or tap here to enter text.</w:t>
          </w:r>
        </w:p>
      </w:docPartBody>
    </w:docPart>
    <w:docPart>
      <w:docPartPr>
        <w:name w:val="E17C72B2745546A2A5110C4FAFB4EACC"/>
        <w:category>
          <w:name w:val="General"/>
          <w:gallery w:val="placeholder"/>
        </w:category>
        <w:types>
          <w:type w:val="bbPlcHdr"/>
        </w:types>
        <w:behaviors>
          <w:behavior w:val="content"/>
        </w:behaviors>
        <w:guid w:val="{4CDD4132-80F9-4229-976E-88236CD8B56C}"/>
      </w:docPartPr>
      <w:docPartBody>
        <w:p w:rsidR="0067566F" w:rsidRDefault="003200B2" w:rsidP="003200B2">
          <w:pPr>
            <w:pStyle w:val="E17C72B2745546A2A5110C4FAFB4EACC"/>
          </w:pPr>
          <w:r w:rsidRPr="00FF06C3">
            <w:rPr>
              <w:rStyle w:val="PlaceholderText"/>
            </w:rPr>
            <w:t>Click or tap here to enter text.</w:t>
          </w:r>
        </w:p>
      </w:docPartBody>
    </w:docPart>
    <w:docPart>
      <w:docPartPr>
        <w:name w:val="834E259A759843B09601BB4618373E51"/>
        <w:category>
          <w:name w:val="General"/>
          <w:gallery w:val="placeholder"/>
        </w:category>
        <w:types>
          <w:type w:val="bbPlcHdr"/>
        </w:types>
        <w:behaviors>
          <w:behavior w:val="content"/>
        </w:behaviors>
        <w:guid w:val="{7D1486FB-4110-46EC-BC19-174908918C4E}"/>
      </w:docPartPr>
      <w:docPartBody>
        <w:p w:rsidR="0067566F" w:rsidRDefault="003200B2" w:rsidP="003200B2">
          <w:pPr>
            <w:pStyle w:val="834E259A759843B09601BB4618373E51"/>
          </w:pPr>
          <w:r w:rsidRPr="00FF06C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B2"/>
    <w:rsid w:val="003200B2"/>
    <w:rsid w:val="0067566F"/>
    <w:rsid w:val="00745234"/>
    <w:rsid w:val="00822353"/>
    <w:rsid w:val="00834E7F"/>
    <w:rsid w:val="00C56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00B2"/>
    <w:rPr>
      <w:color w:val="666666"/>
    </w:rPr>
  </w:style>
  <w:style w:type="paragraph" w:customStyle="1" w:styleId="9BBDEAFC090F458B848C06BA0EE08C06">
    <w:name w:val="9BBDEAFC090F458B848C06BA0EE08C06"/>
    <w:rsid w:val="003200B2"/>
  </w:style>
  <w:style w:type="paragraph" w:customStyle="1" w:styleId="F7E8BB008EDE4EDBA648C70A5CFEDB22">
    <w:name w:val="F7E8BB008EDE4EDBA648C70A5CFEDB22"/>
    <w:rsid w:val="003200B2"/>
  </w:style>
  <w:style w:type="paragraph" w:customStyle="1" w:styleId="C12D631E92054CC2AE33370FE21EC5B0">
    <w:name w:val="C12D631E92054CC2AE33370FE21EC5B0"/>
    <w:rsid w:val="003200B2"/>
  </w:style>
  <w:style w:type="paragraph" w:customStyle="1" w:styleId="E3280AE906ED4DF290BFFC377BDFEE46">
    <w:name w:val="E3280AE906ED4DF290BFFC377BDFEE46"/>
    <w:rsid w:val="003200B2"/>
  </w:style>
  <w:style w:type="paragraph" w:customStyle="1" w:styleId="999B1E6C616441DFA471F724C510FBA4">
    <w:name w:val="999B1E6C616441DFA471F724C510FBA4"/>
    <w:rsid w:val="003200B2"/>
  </w:style>
  <w:style w:type="paragraph" w:customStyle="1" w:styleId="83F4723BD60948A4A533C44085869960">
    <w:name w:val="83F4723BD60948A4A533C44085869960"/>
    <w:rsid w:val="003200B2"/>
  </w:style>
  <w:style w:type="paragraph" w:customStyle="1" w:styleId="6BEB7F23B31F4BF296D4BB7286BB4069">
    <w:name w:val="6BEB7F23B31F4BF296D4BB7286BB4069"/>
    <w:rsid w:val="003200B2"/>
  </w:style>
  <w:style w:type="paragraph" w:customStyle="1" w:styleId="AC57045F7CC6465CA2DBDF4F62EFB682">
    <w:name w:val="AC57045F7CC6465CA2DBDF4F62EFB682"/>
    <w:rsid w:val="003200B2"/>
  </w:style>
  <w:style w:type="paragraph" w:customStyle="1" w:styleId="4163ACCEA91D43FDB08C2B1660C76972">
    <w:name w:val="4163ACCEA91D43FDB08C2B1660C76972"/>
    <w:rsid w:val="003200B2"/>
  </w:style>
  <w:style w:type="paragraph" w:customStyle="1" w:styleId="464ADEA5AED945B080190D24906DE461">
    <w:name w:val="464ADEA5AED945B080190D24906DE461"/>
    <w:rsid w:val="003200B2"/>
  </w:style>
  <w:style w:type="paragraph" w:customStyle="1" w:styleId="506111B856944E7FBD42B9E8BD3FDCEA">
    <w:name w:val="506111B856944E7FBD42B9E8BD3FDCEA"/>
    <w:rsid w:val="003200B2"/>
  </w:style>
  <w:style w:type="paragraph" w:customStyle="1" w:styleId="A908AE411C08465A9F3575A68C41D016">
    <w:name w:val="A908AE411C08465A9F3575A68C41D016"/>
    <w:rsid w:val="003200B2"/>
  </w:style>
  <w:style w:type="paragraph" w:customStyle="1" w:styleId="E17C72B2745546A2A5110C4FAFB4EACC">
    <w:name w:val="E17C72B2745546A2A5110C4FAFB4EACC"/>
    <w:rsid w:val="003200B2"/>
  </w:style>
  <w:style w:type="paragraph" w:customStyle="1" w:styleId="834E259A759843B09601BB4618373E51">
    <w:name w:val="834E259A759843B09601BB4618373E51"/>
    <w:rsid w:val="003200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9A720D-8436-4502-BA98-A39B9E309233}">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84641877604"/>
    <we:property name="MENDELEY_CITATIONS" value="[{&quot;citationID&quot;:&quot;MENDELEY_CITATION_540242bb-dac8-48f5-9ecd-25a19e9a86dd&quot;,&quot;properties&quot;:{&quot;noteIndex&quot;:0},&quot;isEdited&quot;:false,&quot;manualOverride&quot;:{&quot;isManuallyOverridden&quot;:false,&quot;citeprocText&quot;:&quot;[1]&quot;,&quot;manualOverrideText&quot;:&quot;&quot;},&quot;citationTag&quot;:&quot;MENDELEY_CITATION_v3_eyJjaXRhdGlvbklEIjoiTUVOREVMRVlfQ0lUQVRJT05fNTQwMjQyYmItZGFjOC00OGY1LTllY2QtMjVhMTllOWE4NmRk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8b892808-7ad4-4507-96bf-17cce8e7a77a&quot;,&quot;properties&quot;:{&quot;noteIndex&quot;:0},&quot;isEdited&quot;:false,&quot;manualOverride&quot;:{&quot;isManuallyOverridden&quot;:false,&quot;citeprocText&quot;:&quot;[1]&quot;,&quot;manualOverrideText&quot;:&quot;&quot;},&quot;citationTag&quot;:&quot;MENDELEY_CITATION_v3_eyJjaXRhdGlvbklEIjoiTUVOREVMRVlfQ0lUQVRJT05fOGI4OTI4MDgtN2FkNC00NTA3LTk2YmYtMTdjY2U4ZTdhNzdh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4303580a-45b4-4fc0-8759-f484ced9418b&quot;,&quot;properties&quot;:{&quot;noteIndex&quot;:0},&quot;isEdited&quot;:false,&quot;manualOverride&quot;:{&quot;isManuallyOverridden&quot;:false,&quot;citeprocText&quot;:&quot;[1]&quot;,&quot;manualOverrideText&quot;:&quot;&quot;},&quot;citationTag&quot;:&quot;MENDELEY_CITATION_v3_eyJjaXRhdGlvbklEIjoiTUVOREVMRVlfQ0lUQVRJT05fNDMwMzU4MGEtNDViNC00ZmMwLTg3NTktZjQ4NGNlZDk0MThi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e7d387f4-09c9-4cfc-b5a4-88ded77bce00&quot;,&quot;properties&quot;:{&quot;noteIndex&quot;:0},&quot;isEdited&quot;:false,&quot;manualOverride&quot;:{&quot;isManuallyOverridden&quot;:false,&quot;citeprocText&quot;:&quot;[2]&quot;,&quot;manualOverrideText&quot;:&quot;&quot;},&quot;citationTag&quot;:&quot;MENDELEY_CITATION_v3_eyJjaXRhdGlvbklEIjoiTUVOREVMRVlfQ0lUQVRJT05fZTdkMzg3ZjQtMDljOS00Y2ZjLWI1YTQtODhkZWQ3N2JjZTAw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quot;,&quot;citationItems&quot;:[{&quot;id&quot;:&quot;dc3db00c-339b-3359-90b6-481cc1b0764d&quot;,&quot;itemData&quot;:{&quot;type&quot;:&quot;paper-conference&quot;,&quot;id&quot;:&quot;dc3db00c-339b-3359-90b6-481cc1b0764d&quot;,&quot;title&quot;:&quot;Using the MITRE ATT&amp;CK Framework in SOC Activities and Analysing Cyber Attacks&quot;,&quot;author&quot;:[{&quot;family&quot;:&quot;Uralov&quot;,&quot;given&quot;:&quot;Javlonbek&quot;,&quot;parse-names&quot;:false,&quot;dropping-particle&quot;:&quot;&quot;,&quot;non-dropping-particle&quot;:&quot;&quot;},{&quot;family&quot;:&quot;Abdullaeva&quot;,&quot;given&quot;:&quot;Shokhidakhon&quot;,&quot;parse-names&quot;:false,&quot;dropping-particle&quot;:&quot;&quot;,&quot;non-dropping-particle&quot;:&quot;&quot;},{&quot;family&quot;:&quot;Risolat&quot;,&quot;given&quot;:&quot;Iskandarova&quot;,&quot;parse-names&quot;:false,&quot;dropping-particle&quot;:&quot;&quot;,&quot;non-dropping-particle&quot;:&quot;&quot;},{&quot;family&quot;:&quot;Yusupova&quot;,&quot;given&quot;:&quot;Mexribon&quot;,&quot;parse-names&quot;:false,&quot;dropping-particle&quot;:&quot;&quot;,&quot;non-dropping-particle&quot;:&quot;&quot;},{&quot;family&quot;:&quot;Kutliev&quot;,&quot;given&quot;:&quot;Sardor&quot;,&quot;parse-names&quot;:false,&quot;dropping-particle&quot;:&quot;&quot;,&quot;non-dropping-particle&quot;:&quot;&quot;},{&quot;family&quot;:&quot;Qazaqov&quot;,&quot;given&quot;:&quot;Mansurbek&quot;,&quot;parse-names&quot;:false,&quot;dropping-particle&quot;:&quot;&quot;,&quot;non-dropping-particle&quot;:&quot;&quot;}],&quot;container-title&quot;:&quot;2025 IEEE 26th International Conference of Young Professionals in Electron Devices and Materials (EDM)&quot;,&quot;issued&quot;:{&quot;date-parts&quot;:[[2025]]},&quot;publisher&quot;:&quot;IEEE&quot;,&quot;container-title-short&quot;:&quot;&quot;},&quot;isTemporary&quot;:false}]},{&quot;citationID&quot;:&quot;MENDELEY_CITATION_cae5abe0-5911-4957-b4e5-479e4bf856f3&quot;,&quot;properties&quot;:{&quot;noteIndex&quot;:0},&quot;isEdited&quot;:false,&quot;manualOverride&quot;:{&quot;isManuallyOverridden&quot;:false,&quot;citeprocText&quot;:&quot;[2]&quot;,&quot;manualOverrideText&quot;:&quot;&quot;},&quot;citationTag&quot;:&quot;MENDELEY_CITATION_v3_eyJjaXRhdGlvbklEIjoiTUVOREVMRVlfQ0lUQVRJT05fY2FlNWFiZTAtNTkxMS00OTU3LWI0ZTUtNDc5ZTRiZjg1NmYz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quot;,&quot;citationItems&quot;:[{&quot;id&quot;:&quot;dc3db00c-339b-3359-90b6-481cc1b0764d&quot;,&quot;itemData&quot;:{&quot;type&quot;:&quot;paper-conference&quot;,&quot;id&quot;:&quot;dc3db00c-339b-3359-90b6-481cc1b0764d&quot;,&quot;title&quot;:&quot;Using the MITRE ATT&amp;CK Framework in SOC Activities and Analysing Cyber Attacks&quot;,&quot;author&quot;:[{&quot;family&quot;:&quot;Uralov&quot;,&quot;given&quot;:&quot;Javlonbek&quot;,&quot;parse-names&quot;:false,&quot;dropping-particle&quot;:&quot;&quot;,&quot;non-dropping-particle&quot;:&quot;&quot;},{&quot;family&quot;:&quot;Abdullaeva&quot;,&quot;given&quot;:&quot;Shokhidakhon&quot;,&quot;parse-names&quot;:false,&quot;dropping-particle&quot;:&quot;&quot;,&quot;non-dropping-particle&quot;:&quot;&quot;},{&quot;family&quot;:&quot;Risolat&quot;,&quot;given&quot;:&quot;Iskandarova&quot;,&quot;parse-names&quot;:false,&quot;dropping-particle&quot;:&quot;&quot;,&quot;non-dropping-particle&quot;:&quot;&quot;},{&quot;family&quot;:&quot;Yusupova&quot;,&quot;given&quot;:&quot;Mexribon&quot;,&quot;parse-names&quot;:false,&quot;dropping-particle&quot;:&quot;&quot;,&quot;non-dropping-particle&quot;:&quot;&quot;},{&quot;family&quot;:&quot;Kutliev&quot;,&quot;given&quot;:&quot;Sardor&quot;,&quot;parse-names&quot;:false,&quot;dropping-particle&quot;:&quot;&quot;,&quot;non-dropping-particle&quot;:&quot;&quot;},{&quot;family&quot;:&quot;Qazaqov&quot;,&quot;given&quot;:&quot;Mansurbek&quot;,&quot;parse-names&quot;:false,&quot;dropping-particle&quot;:&quot;&quot;,&quot;non-dropping-particle&quot;:&quot;&quot;}],&quot;container-title&quot;:&quot;2025 IEEE 26th International Conference of Young Professionals in Electron Devices and Materials (EDM)&quot;,&quot;issued&quot;:{&quot;date-parts&quot;:[[2025]]},&quot;publisher&quot;:&quot;IEEE&quot;,&quot;container-title-short&quot;:&quot;&quot;},&quot;isTemporary&quot;:false}]},{&quot;citationID&quot;:&quot;MENDELEY_CITATION_bc42f7e4-0103-467c-965d-39a627effafd&quot;,&quot;properties&quot;:{&quot;noteIndex&quot;:0},&quot;isEdited&quot;:false,&quot;manualOverride&quot;:{&quot;isManuallyOverridden&quot;:false,&quot;citeprocText&quot;:&quot;[3]&quot;,&quot;manualOverrideText&quot;:&quot;&quot;},&quot;citationTag&quot;:&quot;MENDELEY_CITATION_v3_eyJjaXRhdGlvbklEIjoiTUVOREVMRVlfQ0lUQVRJT05fYmM0MmY3ZTQtMDEwMy00NjdjLTk2NWQtMzlhNjI3ZWZmYWZ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quot;,&quot;citationItems&quot;:[{&quot;id&quot;:&quot;956ce5c7-5feb-37b1-843b-64dccbed11b3&quot;,&quot;itemData&quot;:{&quot;type&quot;:&quot;article-journal&quot;,&quot;id&quot;:&quot;956ce5c7-5feb-37b1-843b-64dccbed11b3&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container-title&quot;:&quot;National Institute of Standard Technology&quot;,&quot;issued&quot;:{&quot;date-parts&quot;:[[2020,8]]},&quot;container-title-short&quot;:&quot;&quot;},&quot;isTemporary&quot;:false}]},{&quot;citationID&quot;:&quot;MENDELEY_CITATION_c5d30090-bd50-43a8-abfd-25b14549562d&quot;,&quot;properties&quot;:{&quot;noteIndex&quot;:0},&quot;isEdited&quot;:false,&quot;manualOverride&quot;:{&quot;isManuallyOverridden&quot;:false,&quot;citeprocText&quot;:&quot;[3]&quot;,&quot;manualOverrideText&quot;:&quot;&quot;},&quot;citationTag&quot;:&quot;MENDELEY_CITATION_v3_eyJjaXRhdGlvbklEIjoiTUVOREVMRVlfQ0lUQVRJT05fYzVkMzAwOTAtYmQ1MC00M2E4LWFiZmQtMjViMTQ1NDk1NjJ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quot;,&quot;citationItems&quot;:[{&quot;id&quot;:&quot;956ce5c7-5feb-37b1-843b-64dccbed11b3&quot;,&quot;itemData&quot;:{&quot;type&quot;:&quot;article-journal&quot;,&quot;id&quot;:&quot;956ce5c7-5feb-37b1-843b-64dccbed11b3&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container-title&quot;:&quot;National Institute of Standard Technology&quot;,&quot;issued&quot;:{&quot;date-parts&quot;:[[2020,8]]},&quot;container-title-short&quot;:&quot;&quot;},&quot;isTemporary&quot;:false}]},{&quot;citationID&quot;:&quot;MENDELEY_CITATION_dd0c2be6-1208-4e99-9c1f-525d919f89fa&quot;,&quot;properties&quot;:{&quot;noteIndex&quot;:0},&quot;isEdited&quot;:false,&quot;manualOverride&quot;:{&quot;isManuallyOverridden&quot;:false,&quot;citeprocText&quot;:&quot;[4]&quot;,&quot;manualOverrideText&quot;:&quot;&quot;},&quot;citationTag&quot;:&quot;MENDELEY_CITATION_v3_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&quot;,&quot;citationItems&quot;:[{&quot;id&quot;:&quot;50671656-c492-39a4-b943-d54279f06f48&quot;,&quot;itemData&quot;:{&quot;type&quot;:&quot;article-journal&quot;,&quot;id&quot;:&quot;50671656-c492-39a4-b943-d54279f06f48&quot;,&quot;title&quot;:&quot;Theory and Application of Zero Trust Security: A Brief Survey&quot;,&quot;author&quot;:[{&quot;family&quot;:&quot;Hongzhaoning&quot;,&quot;given&quot;:&quot;Kang&quot;,&quot;parse-names&quot;:false,&quot;dropping-particle&quot;:&quot;&quot;,&quot;non-dropping-particle&quot;:&quot;&quot;},{&quot;family&quot;:&quot;Gang&quot;,&quot;given&quot;:&quot;Liu&quot;,&quot;parse-names&quot;:false,&quot;dropping-particle&quot;:&quot;&quot;,&quot;non-dropping-particle&quot;:&quot;&quot;},{&quot;family&quot;:&quot;Quan&quot;,&quot;given&quot;:&quot;Wang&quot;,&quot;parse-names&quot;:false,&quot;dropping-particle&quot;:&quot;&quot;,&quot;non-dropping-particle&quot;:&quot;&quot;},{&quot;family&quot;:&quot;Lei&quot;,&quot;given&quot;:&quot;Meng&quot;,&quot;parse-names&quot;:false,&quot;dropping-particle&quot;:&quot;&quot;,&quot;non-dropping-particle&quot;:&quot;&quot;},{&quot;family&quot;:&quot;Jing&quot;,&quot;given&quot;:&quot;Liu&quot;,&quot;parse-names&quot;:false,&quot;dropping-particle&quot;:&quot;&quot;,&quot;non-dropping-particle&quot;:&quot;&quot;}],&quot;container-title&quot;:&quot; Information Security and Data Privacy&quot;,&quot;issued&quot;:{&quot;date-parts&quot;:[[2023,11,28]]},&quot;issue&quot;:&quot;12&quot;,&quot;volume&quot;:&quot;25&quot;,&quot;container-title-short&quot;:&quot;&quot;},&quot;isTemporary&quot;:false}]},{&quot;citationID&quot;:&quot;MENDELEY_CITATION_62c3970e-36b0-45c3-8519-ea6e69998934&quot;,&quot;properties&quot;:{&quot;noteIndex&quot;:0},&quot;isEdited&quot;:false,&quot;manualOverride&quot;:{&quot;isManuallyOverridden&quot;:false,&quot;citeprocText&quot;:&quot;[5]&quot;,&quot;manualOverrideText&quot;:&quot;&quot;},&quot;citationTag&quot;:&quot;MENDELEY_CITATION_v3_eyJjaXRhdGlvbklEIjoiTUVOREVMRVlfQ0lUQVRJT05fNjJjMzk3MGUtMzZiMC00NWMzLTg1MTktZWE2ZTY5OTk4OTM0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quot;,&quot;citationItems&quot;:[{&quot;id&quot;:&quot;4f021ae4-9c40-3f50-a089-60701e8cfb55&quot;,&quot;itemData&quot;:{&quot;type&quot;:&quot;article-journal&quot;,&quot;id&quot;:&quot;4f021ae4-9c40-3f50-a089-60701e8cfb55&quot;,&quot;title&quot;:&quot;Zero Trust Architecture: A Systematic Literature Review&quot;,&quot;author&quot;:[{&quot;family&quot;:&quot;Muhammad&quot;,&quot;given&quot;:&quot;Gambo&quot;,&quot;parse-names&quot;:false,&quot;dropping-particle&quot;:&quot;&quot;,&quot;non-dropping-particle&quot;:&quot;&quot;},{&quot;family&quot;:&quot;Ahmad&quot;,&quot;given&quot;:&quot;Almulhem&quot;,&quot;parse-names&quot;:false,&quot;dropping-particle&quot;:&quot;&quot;,&quot;non-dropping-particle&quot;:&quot;&quot;}],&quot;container-title&quot;:&quot;Journal of Network and Systems Management&quot;,&quot;issued&quot;:{&quot;date-parts&quot;:[[2025,11,13]]},&quot;issue&quot;:&quot;25&quot;,&quot;volume&quot;:&quot;34&quot;,&quot;container-title-short&quot;:&quot;&quot;},&quot;isTemporary&quot;:false}]},{&quot;citationID&quot;:&quot;MENDELEY_CITATION_5e1a7626-9f5a-4f5e-94a0-dc797fcf6601&quot;,&quot;properties&quot;:{&quot;noteIndex&quot;:0},&quot;isEdited&quot;:false,&quot;manualOverride&quot;:{&quot;isManuallyOverridden&quot;:false,&quot;citeprocText&quot;:&quot;[5]&quot;,&quot;manualOverrideText&quot;:&quot;&quot;},&quot;citationTag&quot;:&quot;MENDELEY_CITATION_v3_eyJjaXRhdGlvbklEIjoiTUVOREVMRVlfQ0lUQVRJT05fNWUxYTc2MjYtOWY1YS00ZjVlLTk0YTAtZGM3OTdmY2Y2NjAx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quot;,&quot;citationItems&quot;:[{&quot;id&quot;:&quot;4f021ae4-9c40-3f50-a089-60701e8cfb55&quot;,&quot;itemData&quot;:{&quot;type&quot;:&quot;article-journal&quot;,&quot;id&quot;:&quot;4f021ae4-9c40-3f50-a089-60701e8cfb55&quot;,&quot;title&quot;:&quot;Zero Trust Architecture: A Systematic Literature Review&quot;,&quot;author&quot;:[{&quot;family&quot;:&quot;Muhammad&quot;,&quot;given&quot;:&quot;Gambo&quot;,&quot;parse-names&quot;:false,&quot;dropping-particle&quot;:&quot;&quot;,&quot;non-dropping-particle&quot;:&quot;&quot;},{&quot;family&quot;:&quot;Ahmad&quot;,&quot;given&quot;:&quot;Almulhem&quot;,&quot;parse-names&quot;:false,&quot;dropping-particle&quot;:&quot;&quot;,&quot;non-dropping-particle&quot;:&quot;&quot;}],&quot;container-title&quot;:&quot;Journal of Network and Systems Management&quot;,&quot;issued&quot;:{&quot;date-parts&quot;:[[2025,11,13]]},&quot;issue&quot;:&quot;25&quot;,&quot;volume&quot;:&quot;34&quot;,&quot;container-title-short&quot;:&quot;&quot;},&quot;isTemporary&quot;:false}]},{&quot;citationID&quot;:&quot;MENDELEY_CITATION_9fdf3183-56fa-4aae-a1a8-334a862b4c0f&quot;,&quot;properties&quot;:{&quot;noteIndex&quot;:0},&quot;isEdited&quot;:false,&quot;manualOverride&quot;:{&quot;isManuallyOverridden&quot;:false,&quot;citeprocText&quot;:&quot;[6]&quot;,&quot;manualOverrideText&quot;:&quot;&quot;},&quot;citationTag&quot;:&quot;MENDELEY_CITATION_v3_eyJjaXRhdGlvbklEIjoiTUVOREVMRVlfQ0lUQVRJT05fOWZkZjMxODMtNTZmYS00YWFlLWExYTgtMzM0YTg2MmI0YzBm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70098d22-7bf0-4cbb-8a60-3f8aa275ea3c&quot;,&quot;properties&quot;:{&quot;noteIndex&quot;:0},&quot;isEdited&quot;:false,&quot;manualOverride&quot;:{&quot;isManuallyOverridden&quot;:false,&quot;citeprocText&quot;:&quot;[6]&quot;,&quot;manualOverrideText&quot;:&quot;&quot;},&quot;citationTag&quot;:&quot;MENDELEY_CITATION_v3_eyJjaXRhdGlvbklEIjoiTUVOREVMRVlfQ0lUQVRJT05fNzAwOThkMjItN2JmMC00Y2JiLThhNjAtM2Y4YWEyNzVlYTNj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d83ffedd-9c29-4f6b-bd31-973506cc3a63&quot;,&quot;properties&quot;:{&quot;noteIndex&quot;:0},&quot;isEdited&quot;:false,&quot;manualOverride&quot;:{&quot;isManuallyOverridden&quot;:false,&quot;citeprocText&quot;:&quot;[6]&quot;,&quot;manualOverrideText&quot;:&quot;&quot;},&quot;citationTag&quot;:&quot;MENDELEY_CITATION_v3_eyJjaXRhdGlvbklEIjoiTUVOREVMRVlfQ0lUQVRJT05fZDgzZmZlZGQtOWMyOS00ZjZiLWJkMzEtOTczNTA2Y2MzYTYz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6b14bc7c-ac7e-4e9f-83ca-ec05b2a6b088&quot;,&quot;properties&quot;:{&quot;noteIndex&quot;:0},&quot;isEdited&quot;:false,&quot;manualOverride&quot;:{&quot;isManuallyOverridden&quot;:false,&quot;citeprocText&quot;:&quot;[6]&quot;,&quot;manualOverrideText&quot;:&quot;&quot;},&quot;citationTag&quot;:&quot;MENDELEY_CITATION_v3_eyJjaXRhdGlvbklEIjoiTUVOREVMRVlfQ0lUQVRJT05fNmIxNGJjN2MtYWM3ZS00ZTlmLTgzY2EtZWMwNWIyYTZiMDg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2d0d4e1c-1d36-4d13-b818-18351940e5a8&quot;,&quot;properties&quot;:{&quot;noteIndex&quot;:0},&quot;isEdited&quot;:false,&quot;manualOverride&quot;:{&quot;isManuallyOverridden&quot;:false,&quot;citeprocText&quot;:&quot;[6]&quot;,&quot;manualOverrideText&quot;:&quot;&quot;},&quot;citationTag&quot;:&quot;MENDELEY_CITATION_v3_eyJjaXRhdGlvbklEIjoiTUVOREVMRVlfQ0lUQVRJT05fMmQwZDRlMWMtMWQzNi00ZDEzLWI4MTgtMTgzNTE5NDBlNWE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adb6c5c9-a81c-4fc7-956a-74aa85fe032d&quot;,&quot;properties&quot;:{&quot;noteIndex&quot;:0},&quot;isEdited&quot;:false,&quot;manualOverride&quot;:{&quot;isManuallyOverridden&quot;:false,&quot;citeprocText&quot;:&quot;[6]&quot;,&quot;manualOverrideText&quot;:&quot;&quot;},&quot;citationTag&quot;:&quot;MENDELEY_CITATION_v3_eyJjaXRhdGlvbklEIjoiTUVOREVMRVlfQ0lUQVRJT05fYWRiNmM1YzktYTgxYy00ZmM3LTk1NmEtNzRhYTg1ZmUwMzJk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35e15cee-9491-44f4-88e2-86d835c9dc70&quot;,&quot;properties&quot;:{&quot;noteIndex&quot;:0},&quot;isEdited&quot;:false,&quot;manualOverride&quot;:{&quot;isManuallyOverridden&quot;:false,&quot;citeprocText&quot;:&quot;[7]&quot;,&quot;manualOverrideText&quot;:&quot;&quot;},&quot;citationTag&quot;:&quot;MENDELEY_CITATION_v3_eyJjaXRhdGlvbklEIjoiTUVOREVMRVlfQ0lUQVRJT05fMzVlMTVjZWUtOTQ5MS00NGY0LTg4ZTItODZkODM1YzlkYzc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quot;,&quot;citationItems&quot;:[{&quot;id&quot;:&quot;f443b1b0-302b-38e2-ad97-95a65162f377&quot;,&quot;itemData&quot;:{&quot;type&quot;:&quot;webpage&quot;,&quot;id&quot;:&quot;f443b1b0-302b-38e2-ad97-95a65162f377&quot;,&quot;title&quot;:&quot;What Is Identity Governance?&quot;,&quot;author&quot;:[{&quot;family&quot;:&quot;Coursa&quot;,&quot;given&quot;:&quot;&quot;,&quot;parse-names&quot;:false,&quot;dropping-particle&quot;:&quot;&quot;,&quot;non-dropping-particle&quot;:&quot;&quot;}],&quot;container-title&quot;:&quot;https://www.coursera.org/articles/identity-governance?&quot;,&quot;issued&quot;:{&quot;date-parts&quot;:[[2026,8,21]]},&quot;container-title-short&quot;:&quot;&quot;},&quot;isTemporary&quot;:false}]},{&quot;citationID&quot;:&quot;MENDELEY_CITATION_5e299f06-fa7a-421f-97ae-ad8061f5fa60&quot;,&quot;properties&quot;:{&quot;noteIndex&quot;:0},&quot;isEdited&quot;:false,&quot;manualOverride&quot;:{&quot;isManuallyOverridden&quot;:false,&quot;citeprocText&quot;:&quot;[7]&quot;,&quot;manualOverrideText&quot;:&quot;&quot;},&quot;citationTag&quot;:&quot;MENDELEY_CITATION_v3_eyJjaXRhdGlvbklEIjoiTUVOREVMRVlfQ0lUQVRJT05fNWUyOTlmMDYtZmE3YS00MjFmLTk3YWUtYWQ4MDYxZjVmYTY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quot;,&quot;citationItems&quot;:[{&quot;id&quot;:&quot;f443b1b0-302b-38e2-ad97-95a65162f377&quot;,&quot;itemData&quot;:{&quot;type&quot;:&quot;webpage&quot;,&quot;id&quot;:&quot;f443b1b0-302b-38e2-ad97-95a65162f377&quot;,&quot;title&quot;:&quot;What Is Identity Governance?&quot;,&quot;author&quot;:[{&quot;family&quot;:&quot;Coursa&quot;,&quot;given&quot;:&quot;&quot;,&quot;parse-names&quot;:false,&quot;dropping-particle&quot;:&quot;&quot;,&quot;non-dropping-particle&quot;:&quot;&quot;}],&quot;container-title&quot;:&quot;https://www.coursera.org/articles/identity-governance?&quot;,&quot;issued&quot;:{&quot;date-parts&quot;:[[2026,8,21]]},&quot;container-title-short&quot;:&quot;&quot;},&quot;isTemporary&quot;:false}]},{&quot;citationID&quot;:&quot;MENDELEY_CITATION_0f0d5b7b-2d8b-4752-bd2b-6db09c38732b&quot;,&quot;properties&quot;:{&quot;noteIndex&quot;:0},&quot;isEdited&quot;:false,&quot;manualOverride&quot;:{&quot;isManuallyOverridden&quot;:false,&quot;citeprocText&quot;:&quot;[8]&quot;,&quot;manualOverrideText&quot;:&quot;&quot;},&quot;citationTag&quot;:&quot;MENDELEY_CITATION_v3_eyJjaXRhdGlvbklEIjoiTUVOREVMRVlfQ0lUQVRJT05fMGYwZDViN2ItMmQ4Yi00NzUyLWJkMmItNmRiMDljMzg3MzJi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quot;,&quot;citationItems&quot;:[{&quot;id&quot;:&quot;0f69d73c-ef14-3dc9-8195-1631cffc03cd&quot;,&quot;itemData&quot;:{&quot;type&quot;:&quot;article-journal&quot;,&quot;id&quot;:&quot;0f69d73c-ef14-3dc9-8195-1631cffc03cd&quot;,&quot;title&quot;:&quot;Integration of Identity Governance and Management Framework within Universities for Privileged Users&quot;,&quot;author&quot;:[{&quot;family&quot;:&quot;Parveen&quot;,&quot;given&quot;:&quot;Shadma&quot;,&quot;parse-names&quot;:false,&quot;dropping-particle&quot;:&quot;&quot;,&quot;non-dropping-particle&quot;:&quot;&quot;},{&quot;family&quot;:&quot;Ahmad&quot;,&quot;given&quot;:&quot;Sultan&quot;,&quot;parse-names&quot;:false,&quot;dropping-particle&quot;:&quot;&quot;,&quot;non-dropping-particle&quot;:&quot;&quot;},{&quot;family&quot;:&quot;Khan&quot;,&quot;given&quot;:&quot;Mohammad&quot;,&quot;parse-names&quot;:false,&quot;dropping-particle&quot;:&quot;&quot;,&quot;non-dropping-particle&quot;:&quot;&quot;}],&quot;container-title&quot;:&quot;International Journal of Advanced Computer Science and Applications&quot;,&quot;issued&quot;:{&quot;date-parts&quot;:[[2021]]},&quot;issue&quot;:&quot;6&quot;,&quot;volume&quot;:&quot;12&quot;,&quot;container-title-short&quot;:&quot;&quot;},&quot;isTemporary&quot;:false}]},{&quot;citationID&quot;:&quot;MENDELEY_CITATION_772e4c7e-12bd-4d8c-86a7-aeccc8f73355&quot;,&quot;properties&quot;:{&quot;noteIndex&quot;:0},&quot;isEdited&quot;:false,&quot;manualOverride&quot;:{&quot;isManuallyOverridden&quot;:false,&quot;citeprocText&quot;:&quot;[8]&quot;,&quot;manualOverrideText&quot;:&quot;&quot;},&quot;citationTag&quot;:&quot;MENDELEY_CITATION_v3_eyJjaXRhdGlvbklEIjoiTUVOREVMRVlfQ0lUQVRJT05fNzcyZTRjN2UtMTJiZC00ZDhjLTg2YTctYWVjY2M4ZjczMzU1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quot;,&quot;citationItems&quot;:[{&quot;id&quot;:&quot;0f69d73c-ef14-3dc9-8195-1631cffc03cd&quot;,&quot;itemData&quot;:{&quot;type&quot;:&quot;article-journal&quot;,&quot;id&quot;:&quot;0f69d73c-ef14-3dc9-8195-1631cffc03cd&quot;,&quot;title&quot;:&quot;Integration of Identity Governance and Management Framework within Universities for Privileged Users&quot;,&quot;author&quot;:[{&quot;family&quot;:&quot;Parveen&quot;,&quot;given&quot;:&quot;Shadma&quot;,&quot;parse-names&quot;:false,&quot;dropping-particle&quot;:&quot;&quot;,&quot;non-dropping-particle&quot;:&quot;&quot;},{&quot;family&quot;:&quot;Ahmad&quot;,&quot;given&quot;:&quot;Sultan&quot;,&quot;parse-names&quot;:false,&quot;dropping-particle&quot;:&quot;&quot;,&quot;non-dropping-particle&quot;:&quot;&quot;},{&quot;family&quot;:&quot;Khan&quot;,&quot;given&quot;:&quot;Mohammad&quot;,&quot;parse-names&quot;:false,&quot;dropping-particle&quot;:&quot;&quot;,&quot;non-dropping-particle&quot;:&quot;&quot;}],&quot;container-title&quot;:&quot;International Journal of Advanced Computer Science and Applications&quot;,&quot;issued&quot;:{&quot;date-parts&quot;:[[2021]]},&quot;issue&quot;:&quot;6&quot;,&quot;volume&quot;:&quot;12&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0BDCB-9B2A-40EC-B510-DDBD363C0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7924</Words>
  <Characters>45170</Characters>
  <Application>Microsoft Office Word</Application>
  <DocSecurity>4</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Natasha Halley</cp:lastModifiedBy>
  <cp:revision>2</cp:revision>
  <dcterms:created xsi:type="dcterms:W3CDTF">2026-07-22T10:27:00Z</dcterms:created>
  <dcterms:modified xsi:type="dcterms:W3CDTF">2026-07-22T10:27:00Z</dcterms:modified>
</cp:coreProperties>
</file>