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204810" w14:textId="77777777" w:rsidR="00462286" w:rsidRDefault="00D36B5A" w:rsidP="00BA6C23">
      <w:pPr>
        <w:jc w:val="center"/>
        <w:rPr>
          <w:rFonts w:ascii="KaiTi" w:eastAsia="KaiTi" w:hAnsi="KaiTi"/>
          <w:b/>
          <w:bCs/>
          <w:sz w:val="32"/>
          <w:szCs w:val="32"/>
        </w:rPr>
      </w:pPr>
      <w:bookmarkStart w:id="0" w:name="OLE_LINK1"/>
      <w:bookmarkStart w:id="1" w:name="OLE_LINK2"/>
      <w:r w:rsidRPr="00462286">
        <w:rPr>
          <w:rFonts w:ascii="KaiTi" w:eastAsia="KaiTi" w:hAnsi="KaiTi" w:hint="eastAsia"/>
          <w:b/>
          <w:bCs/>
          <w:sz w:val="32"/>
          <w:szCs w:val="32"/>
        </w:rPr>
        <w:t>皮錫瑞《經學歷史》「極盛」與「中衰」時期</w:t>
      </w:r>
    </w:p>
    <w:p w14:paraId="7B9D2564" w14:textId="0E795719" w:rsidR="00CC1EF9" w:rsidRDefault="00D36B5A" w:rsidP="00BA6C23">
      <w:pPr>
        <w:jc w:val="center"/>
        <w:rPr>
          <w:rFonts w:ascii="KaiTi" w:eastAsia="KaiTi" w:hAnsi="KaiTi"/>
          <w:b/>
          <w:bCs/>
          <w:sz w:val="32"/>
          <w:szCs w:val="32"/>
        </w:rPr>
      </w:pPr>
      <w:r w:rsidRPr="00462286">
        <w:rPr>
          <w:rFonts w:ascii="KaiTi" w:eastAsia="KaiTi" w:hAnsi="KaiTi" w:hint="eastAsia"/>
          <w:b/>
          <w:bCs/>
          <w:sz w:val="32"/>
          <w:szCs w:val="32"/>
        </w:rPr>
        <w:t>經學現象</w:t>
      </w:r>
      <w:r w:rsidR="00C87CC2" w:rsidRPr="00462286">
        <w:rPr>
          <w:rFonts w:ascii="KaiTi" w:eastAsia="KaiTi" w:hAnsi="KaiTi" w:hint="eastAsia"/>
          <w:b/>
          <w:bCs/>
          <w:sz w:val="32"/>
          <w:szCs w:val="32"/>
        </w:rPr>
        <w:t>的分析</w:t>
      </w:r>
    </w:p>
    <w:p w14:paraId="69B65F09" w14:textId="32DEA3A5" w:rsidR="006E107F" w:rsidRDefault="00462286" w:rsidP="006E107F">
      <w:pPr>
        <w:jc w:val="center"/>
        <w:rPr>
          <w:rFonts w:ascii="KaiTi" w:eastAsia="KaiTi" w:hAnsi="KaiTi"/>
          <w:b/>
          <w:bCs/>
        </w:rPr>
      </w:pPr>
      <w:r w:rsidRPr="00462286">
        <w:rPr>
          <w:rFonts w:ascii="KaiTi" w:eastAsia="KaiTi" w:hAnsi="KaiTi" w:hint="eastAsia"/>
          <w:b/>
          <w:bCs/>
        </w:rPr>
        <w:t>朱元珍</w:t>
      </w:r>
    </w:p>
    <w:p w14:paraId="2238CFBA" w14:textId="77777777" w:rsidR="006E107F" w:rsidRDefault="006E107F" w:rsidP="006E107F">
      <w:pPr>
        <w:jc w:val="center"/>
        <w:rPr>
          <w:rFonts w:ascii="KaiTi" w:eastAsia="KaiTi" w:hAnsi="KaiTi"/>
          <w:b/>
          <w:bCs/>
        </w:rPr>
      </w:pPr>
    </w:p>
    <w:p w14:paraId="4C618009" w14:textId="1468CA6B" w:rsidR="006E107F" w:rsidRPr="006E107F" w:rsidRDefault="006E107F" w:rsidP="006E107F">
      <w:pPr>
        <w:rPr>
          <w:rFonts w:ascii="KaiTi" w:eastAsia="KaiTi" w:hAnsi="KaiTi"/>
          <w:b/>
          <w:bCs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6749132" wp14:editId="754F8262">
            <wp:simplePos x="0" y="0"/>
            <wp:positionH relativeFrom="column">
              <wp:posOffset>-941705</wp:posOffset>
            </wp:positionH>
            <wp:positionV relativeFrom="paragraph">
              <wp:posOffset>433705</wp:posOffset>
            </wp:positionV>
            <wp:extent cx="7096760" cy="5385435"/>
            <wp:effectExtent l="0" t="0" r="2540" b="0"/>
            <wp:wrapTopAndBottom/>
            <wp:docPr id="1" name="圖片 1" descr="一張含有 桌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圖片 1" descr="一張含有 桌 的圖片&#10;&#10;自動產生的描述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6760" cy="538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06D8B" w:rsidRPr="00462286">
        <w:rPr>
          <w:rFonts w:ascii="KaiTi" w:eastAsia="KaiTi" w:hAnsi="KaiTi" w:hint="eastAsia"/>
          <w:b/>
          <w:bCs/>
          <w:sz w:val="28"/>
          <w:szCs w:val="28"/>
        </w:rPr>
        <w:t>一、</w:t>
      </w:r>
      <w:r w:rsidR="00BA6C23" w:rsidRPr="00462286">
        <w:rPr>
          <w:rFonts w:ascii="KaiTi" w:eastAsia="KaiTi" w:hAnsi="KaiTi" w:hint="eastAsia"/>
          <w:b/>
          <w:bCs/>
          <w:sz w:val="28"/>
          <w:szCs w:val="28"/>
        </w:rPr>
        <w:t>觀</w:t>
      </w:r>
      <w:r w:rsidR="00CC1EF9" w:rsidRPr="00462286">
        <w:rPr>
          <w:rFonts w:ascii="KaiTi" w:eastAsia="KaiTi" w:hAnsi="KaiTi" w:hint="eastAsia"/>
          <w:b/>
          <w:bCs/>
          <w:sz w:val="28"/>
          <w:szCs w:val="28"/>
        </w:rPr>
        <w:t>察維度</w:t>
      </w:r>
      <w:r w:rsidR="00D36B5A" w:rsidRPr="00462286">
        <w:rPr>
          <w:rFonts w:ascii="KaiTi" w:eastAsia="KaiTi" w:hAnsi="KaiTi" w:hint="eastAsia"/>
          <w:b/>
          <w:bCs/>
          <w:sz w:val="28"/>
          <w:szCs w:val="28"/>
        </w:rPr>
        <w:t>的</w:t>
      </w:r>
      <w:r w:rsidR="00CC1EF9" w:rsidRPr="00462286">
        <w:rPr>
          <w:rFonts w:ascii="KaiTi" w:eastAsia="KaiTi" w:hAnsi="KaiTi" w:hint="eastAsia"/>
          <w:b/>
          <w:bCs/>
          <w:sz w:val="28"/>
          <w:szCs w:val="28"/>
        </w:rPr>
        <w:t>比較</w:t>
      </w:r>
      <w:r>
        <w:rPr>
          <w:rFonts w:ascii="KaiTi" w:eastAsia="KaiTi" w:hAnsi="KaiTi" w:hint="eastAsia"/>
          <w:b/>
          <w:bCs/>
          <w:sz w:val="28"/>
          <w:szCs w:val="28"/>
        </w:rPr>
        <w:t xml:space="preserve"> </w:t>
      </w:r>
    </w:p>
    <w:p w14:paraId="056038DB" w14:textId="487D5556" w:rsidR="00D36B5A" w:rsidRDefault="00462286">
      <w:r>
        <w:rPr>
          <w:rFonts w:hint="eastAsia"/>
        </w:rPr>
        <w:t>補充</w:t>
      </w:r>
      <w:r w:rsidR="00297C20">
        <w:rPr>
          <w:rFonts w:hint="eastAsia"/>
        </w:rPr>
        <w:t>說明：</w:t>
      </w:r>
    </w:p>
    <w:p w14:paraId="18192CDF" w14:textId="596810DA" w:rsidR="00297C20" w:rsidRPr="00CC1EF9" w:rsidRDefault="00462286">
      <w:r>
        <w:rPr>
          <w:rFonts w:hint="eastAsia"/>
        </w:rPr>
        <w:t>1</w:t>
      </w:r>
      <w:r>
        <w:rPr>
          <w:rFonts w:hint="eastAsia"/>
        </w:rPr>
        <w:t>、</w:t>
      </w:r>
      <w:r w:rsidR="00C87CC2">
        <w:rPr>
          <w:rFonts w:hint="eastAsia"/>
        </w:rPr>
        <w:t>從皮錫瑞的論述中，我們可知：「經學的極盛時代」大概是從漢元帝、漢成帝到東漢末；「中衰時代」大概是從桓帝、靈帝之後到晉代。那表格中，筆者</w:t>
      </w:r>
      <w:r w:rsidR="00297C20">
        <w:rPr>
          <w:rFonts w:hint="eastAsia"/>
        </w:rPr>
        <w:t>之所以分為「經學盛象」和「經學衰象」，是因為皮錫瑞在「極盛時代」對於盛、衰都有提及</w:t>
      </w:r>
      <w:r w:rsidR="00C87CC2">
        <w:rPr>
          <w:rFonts w:hint="eastAsia"/>
        </w:rPr>
        <w:t>和對比</w:t>
      </w:r>
      <w:r w:rsidR="00297C20">
        <w:rPr>
          <w:rFonts w:hint="eastAsia"/>
        </w:rPr>
        <w:t>，</w:t>
      </w:r>
      <w:r w:rsidR="00C87CC2">
        <w:rPr>
          <w:rFonts w:hint="eastAsia"/>
        </w:rPr>
        <w:t>因為到東漢中後期，經學已經呈衰勢</w:t>
      </w:r>
      <w:r w:rsidR="00297C20">
        <w:rPr>
          <w:rFonts w:hint="eastAsia"/>
        </w:rPr>
        <w:t>，不</w:t>
      </w:r>
      <w:r w:rsidR="00C87CC2">
        <w:rPr>
          <w:rFonts w:hint="eastAsia"/>
        </w:rPr>
        <w:t>一定能夠</w:t>
      </w:r>
      <w:r w:rsidR="00297C20">
        <w:rPr>
          <w:rFonts w:hint="eastAsia"/>
        </w:rPr>
        <w:t>按照一個確切的時間</w:t>
      </w:r>
      <w:r w:rsidR="00C87CC2">
        <w:rPr>
          <w:rFonts w:hint="eastAsia"/>
        </w:rPr>
        <w:t>截點來分割，故用「經學盛象」和「經學衰象」來羅列材料並分類。</w:t>
      </w:r>
    </w:p>
    <w:p w14:paraId="7ED55BDF" w14:textId="1A5BE2CF" w:rsidR="00CC1EF9" w:rsidRDefault="00CC1EF9"/>
    <w:p w14:paraId="267745E7" w14:textId="251CF73D" w:rsidR="006E107F" w:rsidRDefault="00462286">
      <w:r>
        <w:rPr>
          <w:rFonts w:hint="eastAsia"/>
        </w:rPr>
        <w:t>2</w:t>
      </w:r>
      <w:r>
        <w:rPr>
          <w:rFonts w:hint="eastAsia"/>
        </w:rPr>
        <w:t>、</w:t>
      </w:r>
      <w:r w:rsidR="006E107F">
        <w:rPr>
          <w:rFonts w:hint="eastAsia"/>
        </w:rPr>
        <w:t>統觀表格，我們也可以體會到「今文學」和「古文學」的特點與弊端。</w:t>
      </w:r>
    </w:p>
    <w:p w14:paraId="290CA886" w14:textId="6E2898B5" w:rsidR="00ED5564" w:rsidRDefault="00ED5564">
      <w:r>
        <w:rPr>
          <w:rFonts w:hint="eastAsia"/>
        </w:rPr>
        <w:t>〈序言〉</w:t>
      </w:r>
      <w:r w:rsidR="00462286">
        <w:t>P.3</w:t>
      </w:r>
      <w:r>
        <w:rPr>
          <w:rFonts w:hint="eastAsia"/>
        </w:rPr>
        <w:t>:</w:t>
      </w:r>
      <w:r>
        <w:rPr>
          <w:rFonts w:hint="eastAsia"/>
        </w:rPr>
        <w:t>今文學偏重於於「微言大義」，其特色為功利的，而其流弊為狂妄。古文學偏重於「名物訓詁」，其特色為考證的，而其流弊為煩瑣。</w:t>
      </w:r>
    </w:p>
    <w:p w14:paraId="5A20261E" w14:textId="23C5B60D" w:rsidR="00ED5564" w:rsidRDefault="00ED5564">
      <w:pPr>
        <w:rPr>
          <w:lang w:eastAsia="zh-CN"/>
        </w:rPr>
      </w:pPr>
    </w:p>
    <w:p w14:paraId="72E5E7DD" w14:textId="4A00A000" w:rsidR="006E107F" w:rsidRDefault="006E107F">
      <w:r>
        <w:t>3</w:t>
      </w:r>
      <w:r>
        <w:rPr>
          <w:rFonts w:hint="eastAsia"/>
        </w:rPr>
        <w:t>、表格中的內容只是選錄，可能引證不夠全面或者分類有待改進，僅供參考。</w:t>
      </w:r>
    </w:p>
    <w:p w14:paraId="1506FF50" w14:textId="77777777" w:rsidR="006E107F" w:rsidRPr="006E107F" w:rsidRDefault="006E107F"/>
    <w:p w14:paraId="083555A2" w14:textId="7558DAFA" w:rsidR="00BA6C23" w:rsidRPr="006E107F" w:rsidRDefault="00306D8B">
      <w:pPr>
        <w:rPr>
          <w:rFonts w:ascii="KaiTi" w:eastAsia="KaiTi" w:hAnsi="KaiTi"/>
          <w:b/>
          <w:bCs/>
          <w:sz w:val="28"/>
          <w:szCs w:val="28"/>
        </w:rPr>
      </w:pPr>
      <w:r w:rsidRPr="00462286">
        <w:rPr>
          <w:rFonts w:ascii="KaiTi" w:eastAsia="KaiTi" w:hAnsi="KaiTi" w:hint="eastAsia"/>
          <w:b/>
          <w:bCs/>
          <w:sz w:val="28"/>
          <w:szCs w:val="28"/>
        </w:rPr>
        <w:t>二、</w:t>
      </w:r>
      <w:r w:rsidR="00B27B07" w:rsidRPr="00462286">
        <w:rPr>
          <w:rFonts w:ascii="KaiTi" w:eastAsia="KaiTi" w:hAnsi="KaiTi" w:hint="eastAsia"/>
          <w:b/>
          <w:bCs/>
          <w:sz w:val="28"/>
          <w:szCs w:val="28"/>
        </w:rPr>
        <w:t>皮錫瑞的立場</w:t>
      </w:r>
    </w:p>
    <w:p w14:paraId="32FCE08B" w14:textId="77777777" w:rsidR="00BA6C23" w:rsidRPr="006E107F" w:rsidRDefault="00B27B07">
      <w:pPr>
        <w:rPr>
          <w:b/>
          <w:bCs/>
        </w:rPr>
      </w:pPr>
      <w:r w:rsidRPr="006E107F">
        <w:rPr>
          <w:rFonts w:hint="eastAsia"/>
          <w:b/>
          <w:bCs/>
        </w:rPr>
        <w:t>周予同</w:t>
      </w:r>
      <w:r w:rsidR="00BA6C23" w:rsidRPr="006E107F">
        <w:rPr>
          <w:rFonts w:hint="eastAsia"/>
          <w:b/>
          <w:bCs/>
        </w:rPr>
        <w:t>〈經學歷史·序言〉：</w:t>
      </w:r>
    </w:p>
    <w:p w14:paraId="359072B3" w14:textId="2B65A35F" w:rsidR="00BA6C23" w:rsidRDefault="00297C20" w:rsidP="00BA6C23">
      <w:pPr>
        <w:pStyle w:val="a3"/>
        <w:numPr>
          <w:ilvl w:val="0"/>
          <w:numId w:val="7"/>
        </w:numPr>
        <w:ind w:leftChars="0"/>
      </w:pPr>
      <w:r>
        <w:t>P.8</w:t>
      </w:r>
      <w:r w:rsidR="00BA6C23">
        <w:rPr>
          <w:rFonts w:hint="eastAsia"/>
        </w:rPr>
        <w:t>皮錫瑞敬仰西漢尚書今文學大師伏生</w:t>
      </w:r>
    </w:p>
    <w:p w14:paraId="25ECC89E" w14:textId="42675DD9" w:rsidR="00BA6C23" w:rsidRDefault="00297C20" w:rsidP="00BA6C23">
      <w:pPr>
        <w:pStyle w:val="a3"/>
        <w:numPr>
          <w:ilvl w:val="0"/>
          <w:numId w:val="7"/>
        </w:numPr>
        <w:ind w:leftChars="0"/>
      </w:pPr>
      <w:r>
        <w:t xml:space="preserve">P.10 </w:t>
      </w:r>
      <w:r>
        <w:rPr>
          <w:rFonts w:hint="eastAsia"/>
        </w:rPr>
        <w:t>讀這本書時，不要忘記皮錫瑞是今文學者……所以他對於經古文學不表示絕對的崇信……我們明瞭了這一點，則他譏貶鄭玄的話，都可以有一貫的解釋了。</w:t>
      </w:r>
    </w:p>
    <w:p w14:paraId="1AF411F9" w14:textId="05E33CB3" w:rsidR="00BA6C23" w:rsidRDefault="00BA6C23" w:rsidP="00BA6C23"/>
    <w:p w14:paraId="73C78EFC" w14:textId="4EDBD930" w:rsidR="00B27B07" w:rsidRPr="006E107F" w:rsidRDefault="00B27B07">
      <w:pPr>
        <w:rPr>
          <w:b/>
          <w:bCs/>
        </w:rPr>
      </w:pPr>
      <w:r w:rsidRPr="006E107F">
        <w:rPr>
          <w:rFonts w:hint="eastAsia"/>
          <w:b/>
          <w:bCs/>
        </w:rPr>
        <w:t>吳仰湘</w:t>
      </w:r>
      <w:r w:rsidR="00462286" w:rsidRPr="006E107F">
        <w:rPr>
          <w:rFonts w:hint="eastAsia"/>
          <w:b/>
          <w:bCs/>
        </w:rPr>
        <w:t>《皮錫瑞的經學成就與經學思想》</w:t>
      </w:r>
      <w:r w:rsidR="00462286" w:rsidRPr="006E107F">
        <w:rPr>
          <w:rFonts w:hint="eastAsia"/>
          <w:b/>
          <w:bCs/>
        </w:rPr>
        <w:t>P</w:t>
      </w:r>
      <w:r w:rsidR="00462286" w:rsidRPr="006E107F">
        <w:rPr>
          <w:b/>
          <w:bCs/>
        </w:rPr>
        <w:t>.429-459</w:t>
      </w:r>
      <w:r w:rsidR="00BA6C23" w:rsidRPr="006E107F">
        <w:rPr>
          <w:rFonts w:hint="eastAsia"/>
          <w:b/>
          <w:bCs/>
        </w:rPr>
        <w:t>：</w:t>
      </w:r>
    </w:p>
    <w:p w14:paraId="0B48A22D" w14:textId="1489F5FB" w:rsidR="00B27B07" w:rsidRDefault="00462286">
      <w:pPr>
        <w:rPr>
          <w:lang w:eastAsia="zh-CN"/>
        </w:rPr>
      </w:pPr>
      <w:r>
        <w:rPr>
          <w:rFonts w:hint="eastAsia"/>
          <w:lang w:eastAsia="zh-CN"/>
        </w:rPr>
        <w:t>第十章</w:t>
      </w:r>
      <w:r>
        <w:rPr>
          <w:rFonts w:hint="eastAsia"/>
          <w:lang w:eastAsia="zh-CN"/>
        </w:rPr>
        <w:t xml:space="preserve"> </w:t>
      </w:r>
      <w:r>
        <w:rPr>
          <w:rFonts w:hint="eastAsia"/>
          <w:lang w:eastAsia="zh-CN"/>
        </w:rPr>
        <w:t>皮錫瑞經學思想宗論</w:t>
      </w:r>
    </w:p>
    <w:p w14:paraId="7871934C" w14:textId="77777777" w:rsidR="00462286" w:rsidRDefault="00462286" w:rsidP="00462286">
      <w:pPr>
        <w:pStyle w:val="a3"/>
        <w:numPr>
          <w:ilvl w:val="0"/>
          <w:numId w:val="10"/>
        </w:numPr>
        <w:ind w:leftChars="0"/>
      </w:pPr>
      <w:r>
        <w:rPr>
          <w:rFonts w:hint="eastAsia"/>
        </w:rPr>
        <w:t>通經所以致用</w:t>
      </w:r>
    </w:p>
    <w:p w14:paraId="79F4EC97" w14:textId="77777777" w:rsidR="00462286" w:rsidRDefault="00462286" w:rsidP="00462286">
      <w:pPr>
        <w:pStyle w:val="a3"/>
        <w:numPr>
          <w:ilvl w:val="0"/>
          <w:numId w:val="10"/>
        </w:numPr>
        <w:ind w:leftChars="0"/>
      </w:pPr>
      <w:r>
        <w:rPr>
          <w:rFonts w:hint="eastAsia"/>
        </w:rPr>
        <w:t>尊孔必先明經</w:t>
      </w:r>
    </w:p>
    <w:p w14:paraId="06E9A0DD" w14:textId="77777777" w:rsidR="00462286" w:rsidRDefault="00462286" w:rsidP="00462286">
      <w:pPr>
        <w:pStyle w:val="a3"/>
        <w:numPr>
          <w:ilvl w:val="0"/>
          <w:numId w:val="10"/>
        </w:numPr>
        <w:ind w:leftChars="0"/>
      </w:pPr>
      <w:r>
        <w:rPr>
          <w:rFonts w:hint="eastAsia"/>
        </w:rPr>
        <w:t>治經必宗漢學</w:t>
      </w:r>
    </w:p>
    <w:p w14:paraId="5FD05AA9" w14:textId="77777777" w:rsidR="00462286" w:rsidRDefault="00462286" w:rsidP="00462286">
      <w:pPr>
        <w:pStyle w:val="a3"/>
        <w:numPr>
          <w:ilvl w:val="0"/>
          <w:numId w:val="10"/>
        </w:numPr>
        <w:ind w:leftChars="0"/>
      </w:pPr>
      <w:r>
        <w:rPr>
          <w:rFonts w:hint="eastAsia"/>
        </w:rPr>
        <w:t>義理必兼考證</w:t>
      </w:r>
    </w:p>
    <w:p w14:paraId="0BAE4E5E" w14:textId="0F162684" w:rsidR="00462286" w:rsidRPr="00462286" w:rsidRDefault="00462286" w:rsidP="00462286">
      <w:pPr>
        <w:pStyle w:val="a3"/>
        <w:numPr>
          <w:ilvl w:val="0"/>
          <w:numId w:val="10"/>
        </w:numPr>
        <w:ind w:leftChars="0"/>
      </w:pPr>
      <w:r>
        <w:rPr>
          <w:rFonts w:hint="eastAsia"/>
        </w:rPr>
        <w:t>學求心得，無爭門戶</w:t>
      </w:r>
    </w:p>
    <w:p w14:paraId="73448622" w14:textId="77777777" w:rsidR="00BA6C23" w:rsidRDefault="00BA6C23"/>
    <w:p w14:paraId="5AA1C318" w14:textId="747906CD" w:rsidR="00CC1EF9" w:rsidRPr="00462286" w:rsidRDefault="00306D8B">
      <w:pPr>
        <w:rPr>
          <w:rFonts w:ascii="KaiTi" w:eastAsia="KaiTi" w:hAnsi="KaiTi"/>
          <w:b/>
          <w:bCs/>
          <w:sz w:val="28"/>
          <w:szCs w:val="28"/>
        </w:rPr>
      </w:pPr>
      <w:r w:rsidRPr="00462286">
        <w:rPr>
          <w:rFonts w:ascii="KaiTi" w:eastAsia="KaiTi" w:hAnsi="KaiTi" w:hint="eastAsia"/>
          <w:b/>
          <w:bCs/>
          <w:sz w:val="28"/>
          <w:szCs w:val="28"/>
        </w:rPr>
        <w:t>三、</w:t>
      </w:r>
      <w:r w:rsidR="00CC1EF9" w:rsidRPr="00462286">
        <w:rPr>
          <w:rFonts w:ascii="KaiTi" w:eastAsia="KaiTi" w:hAnsi="KaiTi" w:hint="eastAsia"/>
          <w:b/>
          <w:bCs/>
          <w:sz w:val="28"/>
          <w:szCs w:val="28"/>
        </w:rPr>
        <w:t>皮錫瑞的論證方式</w:t>
      </w:r>
    </w:p>
    <w:p w14:paraId="73572C40" w14:textId="4ED7EA0F" w:rsidR="00CC1EF9" w:rsidRDefault="00CC1EF9" w:rsidP="00306D8B">
      <w:pPr>
        <w:pStyle w:val="a3"/>
        <w:numPr>
          <w:ilvl w:val="0"/>
          <w:numId w:val="8"/>
        </w:numPr>
        <w:ind w:leftChars="0"/>
      </w:pPr>
      <w:r>
        <w:rPr>
          <w:rFonts w:hint="eastAsia"/>
        </w:rPr>
        <w:t>沒有按照朝代的先後順序，而是在某個時代下，</w:t>
      </w:r>
      <w:r w:rsidRPr="006E107F">
        <w:rPr>
          <w:rFonts w:hint="eastAsia"/>
          <w:b/>
          <w:bCs/>
        </w:rPr>
        <w:t>以主題式的脈絡來</w:t>
      </w:r>
      <w:r w:rsidR="006E107F" w:rsidRPr="006E107F">
        <w:rPr>
          <w:rFonts w:hint="eastAsia"/>
          <w:b/>
          <w:bCs/>
          <w:lang w:eastAsia="zh-CN"/>
        </w:rPr>
        <w:t>呈現</w:t>
      </w:r>
      <w:r>
        <w:rPr>
          <w:rFonts w:hint="eastAsia"/>
        </w:rPr>
        <w:t>。每個主題下，大多以朝代先後順序來舉例論證，如「前漢」、「後漢」；「安帝」、「順帝」等。</w:t>
      </w:r>
      <w:r w:rsidR="00707D59">
        <w:rPr>
          <w:rFonts w:hint="eastAsia"/>
        </w:rPr>
        <w:t>P</w:t>
      </w:r>
      <w:r w:rsidR="00707D59">
        <w:t>11.</w:t>
      </w:r>
      <w:r w:rsidR="00707D59">
        <w:rPr>
          <w:rFonts w:hint="eastAsia"/>
        </w:rPr>
        <w:t>〈序言〉周予同：「不要忘記皮錫瑞究竟只是一個經學家而不是史學家……所以史料的搜集不完備，史料的排比不妥善。」</w:t>
      </w:r>
    </w:p>
    <w:p w14:paraId="55AF9D51" w14:textId="77777777" w:rsidR="00FA54E6" w:rsidRDefault="00FA54E6" w:rsidP="00306D8B">
      <w:pPr>
        <w:pStyle w:val="a3"/>
        <w:numPr>
          <w:ilvl w:val="0"/>
          <w:numId w:val="8"/>
        </w:numPr>
        <w:ind w:leftChars="0"/>
      </w:pPr>
      <w:r>
        <w:rPr>
          <w:rFonts w:hint="eastAsia"/>
        </w:rPr>
        <w:t>大多數情況下，</w:t>
      </w:r>
      <w:r w:rsidR="00306D8B" w:rsidRPr="006E107F">
        <w:rPr>
          <w:rFonts w:hint="eastAsia"/>
          <w:b/>
          <w:bCs/>
        </w:rPr>
        <w:t>每段第一句話為主題句</w:t>
      </w:r>
      <w:r w:rsidR="00306D8B">
        <w:rPr>
          <w:rFonts w:hint="eastAsia"/>
        </w:rPr>
        <w:t>，且將</w:t>
      </w:r>
      <w:r w:rsidR="00CC1EF9">
        <w:rPr>
          <w:rFonts w:hint="eastAsia"/>
        </w:rPr>
        <w:t>有</w:t>
      </w:r>
      <w:r w:rsidR="00CC1EF9" w:rsidRPr="006E107F">
        <w:rPr>
          <w:rFonts w:hint="eastAsia"/>
          <w:b/>
          <w:bCs/>
        </w:rPr>
        <w:t>關聯性的主題</w:t>
      </w:r>
      <w:r w:rsidR="00CC1EF9">
        <w:rPr>
          <w:rFonts w:hint="eastAsia"/>
        </w:rPr>
        <w:t>放在一起討論。</w:t>
      </w:r>
    </w:p>
    <w:p w14:paraId="59956F49" w14:textId="6A08263B" w:rsidR="00CC1EF9" w:rsidRDefault="00306D8B" w:rsidP="00FA54E6">
      <w:pPr>
        <w:pStyle w:val="a3"/>
        <w:ind w:leftChars="0"/>
      </w:pPr>
      <w:r>
        <w:rPr>
          <w:rFonts w:hint="eastAsia"/>
        </w:rPr>
        <w:t>如「極盛時代」</w:t>
      </w:r>
      <w:r w:rsidR="00FA54E6">
        <w:rPr>
          <w:rFonts w:hint="eastAsia"/>
        </w:rPr>
        <w:t>中「天人之學」和「災異徵驗」是接續討論的；「中衰時代」中對於鄭玄的論述與評價也是接續的。</w:t>
      </w:r>
    </w:p>
    <w:p w14:paraId="22216D61" w14:textId="6D81B7D9" w:rsidR="00CC1EF9" w:rsidRPr="006E107F" w:rsidRDefault="00CC1EF9" w:rsidP="00306D8B">
      <w:pPr>
        <w:pStyle w:val="a3"/>
        <w:numPr>
          <w:ilvl w:val="0"/>
          <w:numId w:val="8"/>
        </w:numPr>
        <w:ind w:leftChars="0"/>
        <w:rPr>
          <w:b/>
          <w:bCs/>
        </w:rPr>
      </w:pPr>
      <w:r w:rsidRPr="006E107F">
        <w:rPr>
          <w:rFonts w:hint="eastAsia"/>
          <w:b/>
          <w:bCs/>
        </w:rPr>
        <w:t>優劣得所，不一概而論</w:t>
      </w:r>
    </w:p>
    <w:p w14:paraId="2476EE5A" w14:textId="66389CCE" w:rsidR="00FA54E6" w:rsidRDefault="00FA54E6" w:rsidP="00FA54E6">
      <w:pPr>
        <w:pStyle w:val="a3"/>
      </w:pPr>
      <w:r>
        <w:rPr>
          <w:rFonts w:hint="eastAsia"/>
        </w:rPr>
        <w:t>P</w:t>
      </w:r>
      <w:r>
        <w:t xml:space="preserve">151. </w:t>
      </w:r>
      <w:r>
        <w:rPr>
          <w:rFonts w:hint="eastAsia"/>
        </w:rPr>
        <w:t>「事有不可一概論者，非通觀古今，不能定也。」兼融古今，顓門之學遂亡；但若無鄭注，無從見顓門之學。故「此功過得失互見而不可概論者也。</w:t>
      </w:r>
      <w:r>
        <w:rPr>
          <w:rFonts w:hint="eastAsia"/>
          <w:lang w:eastAsia="zh-CN"/>
        </w:rPr>
        <w:t>」</w:t>
      </w:r>
    </w:p>
    <w:p w14:paraId="0DB9E797" w14:textId="77777777" w:rsidR="006E107F" w:rsidRPr="006E107F" w:rsidRDefault="00CC1EF9" w:rsidP="00306D8B">
      <w:pPr>
        <w:pStyle w:val="a3"/>
        <w:numPr>
          <w:ilvl w:val="0"/>
          <w:numId w:val="8"/>
        </w:numPr>
        <w:ind w:leftChars="0"/>
      </w:pPr>
      <w:r w:rsidRPr="006E107F">
        <w:rPr>
          <w:rFonts w:hint="eastAsia"/>
          <w:b/>
          <w:bCs/>
        </w:rPr>
        <w:t>論述有過渡性</w:t>
      </w:r>
    </w:p>
    <w:p w14:paraId="315B47A1" w14:textId="13A3CB46" w:rsidR="00CC1EF9" w:rsidRDefault="00601596" w:rsidP="006E107F">
      <w:pPr>
        <w:pStyle w:val="a3"/>
        <w:ind w:leftChars="0"/>
      </w:pPr>
      <w:r>
        <w:rPr>
          <w:rFonts w:hint="eastAsia"/>
        </w:rPr>
        <w:lastRenderedPageBreak/>
        <w:t>在「極盛時代」有闡述衰象，並將西漢和東漢作對比，以過度至「中衰現象」。</w:t>
      </w:r>
    </w:p>
    <w:p w14:paraId="3941C005" w14:textId="32B2E021" w:rsidR="00B27B07" w:rsidRDefault="00B27B07"/>
    <w:p w14:paraId="134D2A42" w14:textId="5D61A0DC" w:rsidR="00B27B07" w:rsidRPr="00462286" w:rsidRDefault="00306D8B">
      <w:pPr>
        <w:rPr>
          <w:rFonts w:ascii="KaiTi" w:eastAsia="KaiTi" w:hAnsi="KaiTi"/>
          <w:b/>
          <w:bCs/>
          <w:sz w:val="28"/>
          <w:szCs w:val="28"/>
        </w:rPr>
      </w:pPr>
      <w:r w:rsidRPr="00462286">
        <w:rPr>
          <w:rFonts w:ascii="KaiTi" w:eastAsia="KaiTi" w:hAnsi="KaiTi" w:hint="eastAsia"/>
          <w:b/>
          <w:bCs/>
          <w:sz w:val="28"/>
          <w:szCs w:val="28"/>
        </w:rPr>
        <w:t>四、</w:t>
      </w:r>
      <w:r w:rsidR="00B27B07" w:rsidRPr="00462286">
        <w:rPr>
          <w:rFonts w:ascii="KaiTi" w:eastAsia="KaiTi" w:hAnsi="KaiTi" w:hint="eastAsia"/>
          <w:b/>
          <w:bCs/>
          <w:sz w:val="28"/>
          <w:szCs w:val="28"/>
        </w:rPr>
        <w:t>筆者對皮錫瑞論述的看法</w:t>
      </w:r>
    </w:p>
    <w:p w14:paraId="70235A90" w14:textId="298D91F2" w:rsidR="00CC1EF9" w:rsidRDefault="00306D8B">
      <w:r>
        <w:rPr>
          <w:rFonts w:hint="eastAsia"/>
        </w:rPr>
        <w:t>【</w:t>
      </w:r>
      <w:r w:rsidR="00B27B07">
        <w:rPr>
          <w:rFonts w:hint="eastAsia"/>
        </w:rPr>
        <w:t>值得深思、有意義之處</w:t>
      </w:r>
      <w:r>
        <w:rPr>
          <w:rFonts w:hint="eastAsia"/>
        </w:rPr>
        <w:t>】</w:t>
      </w:r>
    </w:p>
    <w:p w14:paraId="16095A14" w14:textId="00087870" w:rsidR="00601596" w:rsidRPr="00601596" w:rsidRDefault="00601596" w:rsidP="00601596">
      <w:pPr>
        <w:pStyle w:val="a3"/>
        <w:numPr>
          <w:ilvl w:val="0"/>
          <w:numId w:val="9"/>
        </w:numPr>
        <w:ind w:leftChars="0"/>
        <w:rPr>
          <w:lang w:val="en-US"/>
        </w:rPr>
      </w:pPr>
      <w:r w:rsidRPr="00601596">
        <w:rPr>
          <w:rFonts w:hint="eastAsia"/>
          <w:lang w:val="en-US"/>
        </w:rPr>
        <w:t>「言非一端，義各有當，不得以今人之所見輕議古人也。</w:t>
      </w:r>
      <w:r w:rsidRPr="00601596">
        <w:rPr>
          <w:rFonts w:hint="eastAsia"/>
          <w:lang w:val="en-US" w:eastAsia="zh-CN"/>
        </w:rPr>
        <w:t>」</w:t>
      </w:r>
    </w:p>
    <w:p w14:paraId="1DD38D0E" w14:textId="77777777" w:rsidR="00601596" w:rsidRDefault="00601596" w:rsidP="00601596">
      <w:pPr>
        <w:rPr>
          <w:lang w:val="en-US"/>
        </w:rPr>
      </w:pPr>
    </w:p>
    <w:p w14:paraId="11474AEF" w14:textId="5C046296" w:rsidR="00462286" w:rsidRPr="00462286" w:rsidRDefault="00462286" w:rsidP="00462286">
      <w:pPr>
        <w:pStyle w:val="a3"/>
        <w:numPr>
          <w:ilvl w:val="0"/>
          <w:numId w:val="9"/>
        </w:numPr>
        <w:ind w:leftChars="0"/>
      </w:pPr>
      <w:r>
        <w:rPr>
          <w:rFonts w:hint="eastAsia"/>
        </w:rPr>
        <w:t>「</w:t>
      </w:r>
      <w:r w:rsidRPr="00C34049">
        <w:rPr>
          <w:rFonts w:hint="eastAsia"/>
        </w:rPr>
        <w:t>古來太學人才之多，未有多於此者。</w:t>
      </w:r>
      <w:r>
        <w:rPr>
          <w:rFonts w:hint="eastAsia"/>
        </w:rPr>
        <w:t>……</w:t>
      </w:r>
      <w:r w:rsidRPr="00C34049">
        <w:rPr>
          <w:rFonts w:hint="eastAsia"/>
        </w:rPr>
        <w:t>是漢儒風之衰，由於經術不重。經術不重，而人才徒侈其眾多；實學已衰，而外貌反似乎極盛。</w:t>
      </w:r>
      <w:r>
        <w:rPr>
          <w:rFonts w:hint="eastAsia"/>
        </w:rPr>
        <w:t>」</w:t>
      </w:r>
    </w:p>
    <w:p w14:paraId="77125E48" w14:textId="77777777" w:rsidR="00462286" w:rsidRDefault="00462286" w:rsidP="00462286">
      <w:pPr>
        <w:pStyle w:val="a3"/>
      </w:pPr>
    </w:p>
    <w:p w14:paraId="21952FC6" w14:textId="3A19F7E1" w:rsidR="00601596" w:rsidRPr="00601596" w:rsidRDefault="00601596" w:rsidP="00601596">
      <w:pPr>
        <w:pStyle w:val="a3"/>
        <w:numPr>
          <w:ilvl w:val="0"/>
          <w:numId w:val="9"/>
        </w:numPr>
        <w:ind w:leftChars="0"/>
        <w:rPr>
          <w:lang w:val="en-US"/>
        </w:rPr>
      </w:pPr>
      <w:r>
        <w:rPr>
          <w:rFonts w:hint="eastAsia"/>
        </w:rPr>
        <w:t>「</w:t>
      </w:r>
      <w:r w:rsidRPr="00C34049">
        <w:rPr>
          <w:rFonts w:hint="eastAsia"/>
        </w:rPr>
        <w:t>觀漢之所以盛與所以衰，皆由經學之盛衰為之樞紐。然則，立學必先尊經；不尊經者，必多流弊。後世之立學者可以鑑矣。</w:t>
      </w:r>
      <w:r>
        <w:rPr>
          <w:rFonts w:hint="eastAsia"/>
        </w:rPr>
        <w:t>」（經學與時代的興亡息息相關）</w:t>
      </w:r>
    </w:p>
    <w:p w14:paraId="069B0F7D" w14:textId="77777777" w:rsidR="00601596" w:rsidRPr="00601596" w:rsidRDefault="00601596" w:rsidP="00601596">
      <w:pPr>
        <w:pStyle w:val="a3"/>
        <w:rPr>
          <w:lang w:val="en-US"/>
        </w:rPr>
      </w:pPr>
    </w:p>
    <w:p w14:paraId="245C5E51" w14:textId="59178FA2" w:rsidR="00601596" w:rsidRPr="00601596" w:rsidRDefault="00601596" w:rsidP="00601596">
      <w:pPr>
        <w:pStyle w:val="a3"/>
        <w:numPr>
          <w:ilvl w:val="0"/>
          <w:numId w:val="9"/>
        </w:numPr>
        <w:ind w:leftChars="0"/>
        <w:rPr>
          <w:lang w:val="en-US"/>
        </w:rPr>
      </w:pPr>
      <w:r>
        <w:rPr>
          <w:rFonts w:hint="eastAsia"/>
          <w:lang w:val="en-US"/>
        </w:rPr>
        <w:t>「尊經必尊其能實行經義之人。</w:t>
      </w:r>
      <w:r>
        <w:rPr>
          <w:rFonts w:hint="eastAsia"/>
          <w:lang w:val="en-US" w:eastAsia="zh-CN"/>
        </w:rPr>
        <w:t>」</w:t>
      </w:r>
    </w:p>
    <w:p w14:paraId="323050EF" w14:textId="029DB38D" w:rsidR="00B27B07" w:rsidRDefault="00B27B07"/>
    <w:p w14:paraId="76FDC9B6" w14:textId="5182B75B" w:rsidR="00B27B07" w:rsidRDefault="00306D8B">
      <w:r>
        <w:rPr>
          <w:rFonts w:hint="eastAsia"/>
          <w:lang w:eastAsia="zh-CN"/>
        </w:rPr>
        <w:t>【</w:t>
      </w:r>
      <w:r w:rsidR="00707D59">
        <w:rPr>
          <w:rFonts w:hint="eastAsia"/>
        </w:rPr>
        <w:t>不足之處</w:t>
      </w:r>
      <w:r>
        <w:rPr>
          <w:rFonts w:hint="eastAsia"/>
          <w:lang w:eastAsia="zh-CN"/>
        </w:rPr>
        <w:t>】</w:t>
      </w:r>
    </w:p>
    <w:p w14:paraId="741AEBA5" w14:textId="07BCB826" w:rsidR="00707D59" w:rsidRDefault="00707D59">
      <w:r>
        <w:t>1</w:t>
      </w:r>
      <w:r>
        <w:rPr>
          <w:rFonts w:hint="eastAsia"/>
        </w:rPr>
        <w:t>、周予同在〈序言〉中說：「（皮錫瑞）每每不能客觀地記述事實，而好加以主觀的議論……假使粗忽的翻閱，似乎不能將今古文學、宋學的發生、變遷、異同、利弊一一顯示給我們。他不能超出一切經學的派別來記述經學，而只是立在今文派的旗幟之下來批評反對派。」</w:t>
      </w:r>
      <w:r>
        <w:rPr>
          <w:rFonts w:hint="eastAsia"/>
        </w:rPr>
        <w:t>P</w:t>
      </w:r>
      <w:r>
        <w:t xml:space="preserve">11. </w:t>
      </w:r>
    </w:p>
    <w:p w14:paraId="0FA24128" w14:textId="77777777" w:rsidR="00707D59" w:rsidRDefault="00707D59"/>
    <w:p w14:paraId="6EC558AA" w14:textId="4B561CF5" w:rsidR="00022596" w:rsidRDefault="00707D59">
      <w:r>
        <w:rPr>
          <w:rFonts w:hint="eastAsia"/>
        </w:rPr>
        <w:t>2</w:t>
      </w:r>
      <w:r>
        <w:rPr>
          <w:rFonts w:hint="eastAsia"/>
        </w:rPr>
        <w:t>、對於鄭玄的看法。</w:t>
      </w:r>
      <w:r w:rsidR="00022596">
        <w:rPr>
          <w:rFonts w:hint="eastAsia"/>
        </w:rPr>
        <w:t>清代對於兩漢時期經學派別的分類，可能造成了皮錫瑞對於經學觀點的偏執，認為他混淆了家法，也混淆了今古文</w:t>
      </w:r>
      <w:r w:rsidR="00741A8A">
        <w:rPr>
          <w:rFonts w:hint="eastAsia"/>
        </w:rPr>
        <w:t>，讓多種家法失傳</w:t>
      </w:r>
      <w:r w:rsidR="00022596">
        <w:rPr>
          <w:rFonts w:hint="eastAsia"/>
        </w:rPr>
        <w:t>。但是或許他的做法，也正是在那個背景下的轉變趨勢和公眾需求。</w:t>
      </w:r>
      <w:r w:rsidR="00741A8A">
        <w:rPr>
          <w:rFonts w:hint="eastAsia"/>
        </w:rPr>
        <w:t>因為「漢時經有數家，家有數說，學者莫知所從」，而鄭玄兼通今古文、</w:t>
      </w:r>
      <w:r w:rsidR="00741A8A" w:rsidRPr="00741A8A">
        <w:rPr>
          <w:rFonts w:hint="eastAsia"/>
        </w:rPr>
        <w:t>刪裁繁蕪、刊改漏失</w:t>
      </w:r>
      <w:r w:rsidR="00741A8A">
        <w:rPr>
          <w:rFonts w:hint="eastAsia"/>
        </w:rPr>
        <w:t>、溝合為一，經生不必更求數家。也就是說，用歷史的眼光來看待問題，基本上都是有利有弊的，只要不偏於一方的立場，就不會只看到單獨的利與弊。</w:t>
      </w:r>
    </w:p>
    <w:p w14:paraId="7D76C54A" w14:textId="77777777" w:rsidR="00022596" w:rsidRDefault="00022596"/>
    <w:p w14:paraId="5F587BB0" w14:textId="4BBD502C" w:rsidR="00CC1EF9" w:rsidRDefault="00601596">
      <w:pPr>
        <w:rPr>
          <w:lang w:eastAsia="zh-CN"/>
        </w:rPr>
      </w:pPr>
      <w:r>
        <w:rPr>
          <w:rFonts w:hint="eastAsia"/>
        </w:rPr>
        <w:t>3</w:t>
      </w:r>
      <w:r>
        <w:rPr>
          <w:rFonts w:hint="eastAsia"/>
        </w:rPr>
        <w:t>、「</w:t>
      </w:r>
      <w:r>
        <w:rPr>
          <w:rFonts w:ascii="新細明體" w:hAnsi="新細明體" w:hint="eastAsia"/>
        </w:rPr>
        <w:t>學貴求新，經學守舊，師師相承，毋得改易</w:t>
      </w:r>
      <w:r>
        <w:rPr>
          <w:rFonts w:hint="eastAsia"/>
        </w:rPr>
        <w:t>」如果學生在考察證據之後，發現老師有誤，或許也可以將其改正、往前推進，而不拘泥於師說。</w:t>
      </w:r>
      <w:r>
        <w:rPr>
          <w:rFonts w:hint="eastAsia"/>
          <w:lang w:eastAsia="zh-CN"/>
        </w:rPr>
        <w:t>如孔穎達疏不破注，或許也有其弊。</w:t>
      </w:r>
    </w:p>
    <w:p w14:paraId="4130348F" w14:textId="715D1A54" w:rsidR="00CC1EF9" w:rsidRDefault="00CC1EF9"/>
    <w:p w14:paraId="1BC7F431" w14:textId="60EFB006" w:rsidR="00CC1EF9" w:rsidRDefault="00CC1EF9"/>
    <w:p w14:paraId="1D39FACD" w14:textId="545757B9" w:rsidR="00CC1EF9" w:rsidRDefault="00CC1EF9"/>
    <w:p w14:paraId="35CD3876" w14:textId="1CFBE20F" w:rsidR="00CC1EF9" w:rsidRDefault="00CC1EF9"/>
    <w:bookmarkEnd w:id="0"/>
    <w:bookmarkEnd w:id="1"/>
    <w:p w14:paraId="558C5E16" w14:textId="77777777" w:rsidR="0056155C" w:rsidRPr="005779D6" w:rsidRDefault="0056155C" w:rsidP="0056155C"/>
    <w:sectPr w:rsidR="0056155C" w:rsidRPr="005779D6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0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730315"/>
    <w:multiLevelType w:val="hybridMultilevel"/>
    <w:tmpl w:val="37EA6548"/>
    <w:lvl w:ilvl="0" w:tplc="9D3CAF00">
      <w:start w:val="1"/>
      <w:numFmt w:val="decimal"/>
      <w:lvlText w:val="%1、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 w15:restartNumberingAfterBreak="0">
    <w:nsid w:val="1C4C57C3"/>
    <w:multiLevelType w:val="hybridMultilevel"/>
    <w:tmpl w:val="22EC24BA"/>
    <w:lvl w:ilvl="0" w:tplc="4CCCB778">
      <w:start w:val="1"/>
      <w:numFmt w:val="bullet"/>
      <w:lvlText w:val="•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2" w15:restartNumberingAfterBreak="0">
    <w:nsid w:val="24A92EB9"/>
    <w:multiLevelType w:val="hybridMultilevel"/>
    <w:tmpl w:val="3CE20A3C"/>
    <w:lvl w:ilvl="0" w:tplc="4CCCB778">
      <w:start w:val="1"/>
      <w:numFmt w:val="bullet"/>
      <w:lvlText w:val="•"/>
      <w:lvlJc w:val="left"/>
      <w:pPr>
        <w:ind w:left="480" w:hanging="480"/>
      </w:pPr>
      <w:rPr>
        <w:rFonts w:ascii="Wingdings" w:hAnsi="Wingdings"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" w15:restartNumberingAfterBreak="0">
    <w:nsid w:val="3E93405B"/>
    <w:multiLevelType w:val="hybridMultilevel"/>
    <w:tmpl w:val="04D8357A"/>
    <w:lvl w:ilvl="0" w:tplc="1E74A4A6">
      <w:start w:val="1"/>
      <w:numFmt w:val="decimal"/>
      <w:lvlText w:val="%1、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4" w15:restartNumberingAfterBreak="0">
    <w:nsid w:val="52C22573"/>
    <w:multiLevelType w:val="hybridMultilevel"/>
    <w:tmpl w:val="E47052EA"/>
    <w:lvl w:ilvl="0" w:tplc="4CCCB778">
      <w:start w:val="1"/>
      <w:numFmt w:val="bullet"/>
      <w:lvlText w:val="•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5" w15:restartNumberingAfterBreak="0">
    <w:nsid w:val="573258E8"/>
    <w:multiLevelType w:val="hybridMultilevel"/>
    <w:tmpl w:val="25ACA058"/>
    <w:lvl w:ilvl="0" w:tplc="4CCCB778">
      <w:start w:val="1"/>
      <w:numFmt w:val="bullet"/>
      <w:lvlText w:val="•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6" w15:restartNumberingAfterBreak="0">
    <w:nsid w:val="6A8428FB"/>
    <w:multiLevelType w:val="hybridMultilevel"/>
    <w:tmpl w:val="9A866D34"/>
    <w:lvl w:ilvl="0" w:tplc="4CCCB778">
      <w:start w:val="1"/>
      <w:numFmt w:val="bullet"/>
      <w:lvlText w:val="•"/>
      <w:lvlJc w:val="left"/>
      <w:pPr>
        <w:ind w:left="480" w:hanging="480"/>
      </w:pPr>
      <w:rPr>
        <w:rFonts w:ascii="Wingdings" w:hAnsi="Wingdings"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7" w15:restartNumberingAfterBreak="0">
    <w:nsid w:val="6CCC2613"/>
    <w:multiLevelType w:val="hybridMultilevel"/>
    <w:tmpl w:val="C0D89D24"/>
    <w:lvl w:ilvl="0" w:tplc="4CCCB778">
      <w:start w:val="1"/>
      <w:numFmt w:val="bullet"/>
      <w:lvlText w:val="•"/>
      <w:lvlJc w:val="left"/>
      <w:pPr>
        <w:ind w:left="480" w:hanging="480"/>
      </w:pPr>
      <w:rPr>
        <w:rFonts w:ascii="Wingdings" w:hAnsi="Wingdings"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8" w15:restartNumberingAfterBreak="0">
    <w:nsid w:val="748736CD"/>
    <w:multiLevelType w:val="hybridMultilevel"/>
    <w:tmpl w:val="390043A4"/>
    <w:lvl w:ilvl="0" w:tplc="30A2417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9" w15:restartNumberingAfterBreak="0">
    <w:nsid w:val="76265E3C"/>
    <w:multiLevelType w:val="hybridMultilevel"/>
    <w:tmpl w:val="9122447A"/>
    <w:lvl w:ilvl="0" w:tplc="DAA236E0">
      <w:start w:val="1"/>
      <w:numFmt w:val="decimal"/>
      <w:lvlText w:val="%1、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  <w:num w:numId="2">
    <w:abstractNumId w:val="3"/>
  </w:num>
  <w:num w:numId="3">
    <w:abstractNumId w:val="6"/>
  </w:num>
  <w:num w:numId="4">
    <w:abstractNumId w:val="7"/>
  </w:num>
  <w:num w:numId="5">
    <w:abstractNumId w:val="9"/>
  </w:num>
  <w:num w:numId="6">
    <w:abstractNumId w:val="8"/>
  </w:num>
  <w:num w:numId="7">
    <w:abstractNumId w:val="4"/>
  </w:num>
  <w:num w:numId="8">
    <w:abstractNumId w:val="2"/>
  </w:num>
  <w:num w:numId="9">
    <w:abstractNumId w:val="1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9"/>
  <w:doNotDisplayPageBoundaries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6B5A"/>
    <w:rsid w:val="00022596"/>
    <w:rsid w:val="000649FA"/>
    <w:rsid w:val="000765A1"/>
    <w:rsid w:val="00265901"/>
    <w:rsid w:val="00297C20"/>
    <w:rsid w:val="002A012B"/>
    <w:rsid w:val="00306D8B"/>
    <w:rsid w:val="00462286"/>
    <w:rsid w:val="0056155C"/>
    <w:rsid w:val="005779D6"/>
    <w:rsid w:val="00601596"/>
    <w:rsid w:val="006B6668"/>
    <w:rsid w:val="006E107F"/>
    <w:rsid w:val="00707D59"/>
    <w:rsid w:val="00741A8A"/>
    <w:rsid w:val="007474C2"/>
    <w:rsid w:val="00B27B07"/>
    <w:rsid w:val="00B50DC7"/>
    <w:rsid w:val="00BA6C23"/>
    <w:rsid w:val="00BC50E9"/>
    <w:rsid w:val="00C23355"/>
    <w:rsid w:val="00C34049"/>
    <w:rsid w:val="00C87CC2"/>
    <w:rsid w:val="00CB102C"/>
    <w:rsid w:val="00CC1EF9"/>
    <w:rsid w:val="00D36B5A"/>
    <w:rsid w:val="00ED5564"/>
    <w:rsid w:val="00F82227"/>
    <w:rsid w:val="00FA54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62DC4"/>
  <w15:chartTrackingRefBased/>
  <w15:docId w15:val="{E60DDD03-7B2B-FD4F-B547-DB3EDCA357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  <w:rPr>
      <w:lang w:val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D36B5A"/>
    <w:pPr>
      <w:ind w:leftChars="200"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25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06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8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86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233</Words>
  <Characters>1334</Characters>
  <Application>Microsoft Office Word</Application>
  <DocSecurity>0</DocSecurity>
  <Lines>11</Lines>
  <Paragraphs>3</Paragraphs>
  <ScaleCrop>false</ScaleCrop>
  <Company/>
  <LinksUpToDate>false</LinksUpToDate>
  <CharactersWithSpaces>1564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Yuanzhen Zhu (1800069)</dc:creator>
  <cp:keywords/>
  <dc:description/>
  <cp:lastModifiedBy>Yuanzhen Zhu (1800069)</cp:lastModifiedBy>
  <cp:revision>2</cp:revision>
  <dcterms:created xsi:type="dcterms:W3CDTF">2022-08-11T21:50:00Z</dcterms:created>
  <dcterms:modified xsi:type="dcterms:W3CDTF">2022-08-11T21:50:00Z</dcterms:modified>
</cp:coreProperties>
</file>