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rPr>
          <w:rStyle w:val="Ninguno"/>
          <w:rFonts w:ascii="Arial" w:hAnsi="Arial"/>
          <w:lang w:val="en-US"/>
        </w:rPr>
      </w:pPr>
      <w:bookmarkStart w:name="_fjgmntp3k3t" w:id="0"/>
      <w:bookmarkEnd w:id="0"/>
    </w:p>
    <w:p>
      <w:pPr>
        <w:pStyle w:val="Title"/>
        <w:rPr>
          <w:rStyle w:val="Ninguno"/>
          <w:rFonts w:ascii="Arial" w:hAnsi="Arial"/>
          <w:lang w:val="en-US"/>
        </w:rPr>
      </w:pPr>
      <w:bookmarkStart w:name="_gb0x538evwcq" w:id="1"/>
      <w:bookmarkEnd w:id="1"/>
    </w:p>
    <w:p>
      <w:pPr>
        <w:pStyle w:val="Title"/>
        <w:rPr>
          <w:rStyle w:val="Ninguno"/>
          <w:rFonts w:ascii="Arial" w:hAnsi="Arial"/>
          <w:lang w:val="en-US"/>
        </w:rPr>
      </w:pPr>
      <w:bookmarkStart w:name="_bi0e3kbmddbf" w:id="2"/>
      <w:bookmarkEnd w:id="2"/>
    </w:p>
    <w:p>
      <w:pPr>
        <w:pStyle w:val="Title"/>
        <w:rPr>
          <w:rStyle w:val="Ninguno"/>
          <w:rFonts w:ascii="Arial" w:hAnsi="Arial"/>
          <w:lang w:val="en-US"/>
        </w:rPr>
      </w:pPr>
      <w:bookmarkStart w:name="_ptgiioj4xftb" w:id="3"/>
      <w:bookmarkEnd w:id="3"/>
    </w:p>
    <w:p>
      <w:pPr>
        <w:pStyle w:val="Title"/>
        <w:rPr>
          <w:rStyle w:val="Ninguno"/>
          <w:rFonts w:ascii="Arial" w:hAnsi="Arial"/>
          <w:lang w:val="en-US"/>
        </w:rPr>
      </w:pPr>
      <w:bookmarkStart w:name="_tx7pot594tlc" w:id="4"/>
      <w:bookmarkEnd w:id="4"/>
    </w:p>
    <w:p>
      <w:pPr>
        <w:pStyle w:val="Title"/>
        <w:rPr>
          <w:rStyle w:val="Ninguno"/>
          <w:rFonts w:ascii="Arial" w:hAnsi="Arial"/>
          <w:lang w:val="en-US"/>
        </w:rPr>
      </w:pPr>
      <w:bookmarkStart w:name="_u881i1tacae" w:id="5"/>
      <w:bookmarkEnd w:id="5"/>
    </w:p>
    <w:p>
      <w:pPr>
        <w:pStyle w:val="Title"/>
        <w:rPr>
          <w:rStyle w:val="Ninguno"/>
          <w:rFonts w:ascii="Arial" w:cs="Arial" w:hAnsi="Arial" w:eastAsia="Arial"/>
          <w:lang w:val="en-US"/>
        </w:rPr>
      </w:pPr>
      <w:bookmarkStart w:name="_iuhz5sjvopyr" w:id="6"/>
      <w:bookmarkEnd w:id="6"/>
      <w:r>
        <w:rPr>
          <w:rStyle w:val="Ninguno"/>
          <w:rFonts w:ascii="Arial" w:hAnsi="Arial"/>
          <w:rtl w:val="0"/>
          <w:lang w:val="en-US"/>
        </w:rPr>
        <w:t>D</w:t>
      </w:r>
      <w:r>
        <w:rPr>
          <w:rStyle w:val="Ninguno"/>
          <w:rFonts w:ascii="Arial" w:hAnsi="Arial"/>
          <w:rtl w:val="0"/>
          <w:lang w:val="en-US"/>
        </w:rPr>
        <w:t>ata Handling &amp; Business Intelligence</w:t>
      </w:r>
    </w:p>
    <w:p>
      <w:pPr>
        <w:pStyle w:val="Subtitle"/>
        <w:rPr>
          <w:rStyle w:val="Ninguno"/>
          <w:rFonts w:ascii="Arial" w:cs="Arial" w:hAnsi="Arial" w:eastAsia="Arial"/>
          <w:outline w:val="0"/>
          <w:color w:val="000000"/>
          <w:u w:color="000000"/>
          <w:lang w:val="en-US"/>
          <w14:textFill>
            <w14:solidFill>
              <w14:srgbClr w14:val="000000"/>
            </w14:solidFill>
          </w14:textFill>
        </w:rPr>
      </w:pPr>
      <w:bookmarkStart w:name="_r6hqht1knmy0" w:id="7"/>
      <w:bookmarkEnd w:id="7"/>
      <w:r>
        <w:rPr>
          <w:rStyle w:val="Ninguno"/>
          <w:rFonts w:ascii="Arial" w:hAnsi="Arial"/>
          <w:outline w:val="0"/>
          <w:color w:val="000000"/>
          <w:u w:color="000000"/>
          <w:rtl w:val="0"/>
          <w:lang w:val="en-US"/>
          <w14:textFill>
            <w14:solidFill>
              <w14:srgbClr w14:val="000000"/>
            </w14:solidFill>
          </w14:textFill>
        </w:rPr>
        <w:t>C</w:t>
      </w:r>
      <w:r>
        <w:rPr>
          <w:rStyle w:val="Ninguno"/>
          <w:rFonts w:ascii="Arial" w:hAnsi="Arial"/>
          <w:outline w:val="0"/>
          <w:color w:val="000000"/>
          <w:u w:color="000000"/>
          <w:rtl w:val="0"/>
          <w:lang w:val="en-US"/>
          <w14:textFill>
            <w14:solidFill>
              <w14:srgbClr w14:val="000000"/>
            </w14:solidFill>
          </w14:textFill>
        </w:rPr>
        <w:t>omponent 1: Coursework: Individual Report</w:t>
      </w:r>
    </w:p>
    <w:p>
      <w:pPr>
        <w:pStyle w:val="Subtitle"/>
      </w:pPr>
      <w:r>
        <w:rPr>
          <w:rStyle w:val="Ninguno"/>
          <w:rFonts w:ascii="Arial" w:hAnsi="Arial"/>
          <w:outline w:val="0"/>
          <w:color w:val="000000"/>
          <w:u w:color="000000"/>
          <w:rtl w:val="0"/>
          <w:lang w:val="en-US"/>
          <w14:textFill>
            <w14:solidFill>
              <w14:srgbClr w14:val="000000"/>
            </w14:solidFill>
          </w14:textFill>
        </w:rPr>
        <w:t>Selena Stanciu 2132773</w:t>
      </w:r>
      <w:r>
        <w:rPr>
          <w:rStyle w:val="Ninguno"/>
          <w:rFonts w:ascii="Arial" w:hAnsi="Arial"/>
          <w:outline w:val="0"/>
          <w:color w:val="000000"/>
          <w:u w:color="000000"/>
          <w:rtl w:val="0"/>
          <w:lang w:val="en-US"/>
          <w14:textFill>
            <w14:solidFill>
              <w14:srgbClr w14:val="000000"/>
            </w14:solidFill>
          </w14:textFill>
        </w:rPr>
        <w:t xml:space="preserve"> </w:t>
      </w:r>
      <w:r>
        <w:rPr>
          <w:rStyle w:val="Ninguno"/>
          <w:rFonts w:ascii="Arial Unicode MS" w:cs="Arial Unicode MS" w:hAnsi="Arial Unicode MS" w:eastAsia="Arial Unicode MS"/>
          <w:b w:val="0"/>
          <w:bCs w:val="0"/>
          <w:i w:val="0"/>
          <w:iCs w:val="0"/>
          <w:outline w:val="0"/>
          <w:color w:val="000000"/>
          <w:u w:color="000000"/>
          <w:lang w:val="en-US"/>
          <w14:textFill>
            <w14:solidFill>
              <w14:srgbClr w14:val="000000"/>
            </w14:solidFill>
          </w14:textFill>
        </w:rPr>
        <w:br w:type="page"/>
      </w:r>
    </w:p>
    <w:p>
      <w:pPr>
        <w:pStyle w:val="Encabezamiento"/>
        <w:jc w:val="center"/>
        <w:rPr>
          <w:rStyle w:val="Ninguno"/>
          <w:rFonts w:ascii="Arial" w:cs="Arial" w:hAnsi="Arial" w:eastAsia="Arial"/>
        </w:rPr>
      </w:pPr>
      <w:bookmarkStart w:name="_Toc" w:id="8"/>
      <w:r>
        <w:rPr>
          <w:rStyle w:val="Ninguno"/>
          <w:rFonts w:ascii="Arial" w:hAnsi="Arial"/>
          <w:rtl w:val="0"/>
          <w:lang w:val="en-US"/>
        </w:rPr>
        <w:t>Executive Summary</w:t>
      </w:r>
      <w:bookmarkEnd w:id="8"/>
    </w:p>
    <w:p>
      <w:pPr>
        <w:pStyle w:val="Cuerpo"/>
      </w:pPr>
      <w:r>
        <w:rPr>
          <w:rStyle w:val="Ninguno"/>
          <w:rFonts w:ascii="Arial" w:hAnsi="Arial"/>
          <w:rtl w:val="0"/>
          <w:lang w:val="en-US"/>
        </w:rPr>
        <w:t>This report explains how business intelligence, data warehousing, and data mining can enhance Apple</w:t>
      </w:r>
      <w:r>
        <w:rPr>
          <w:rStyle w:val="Ninguno"/>
          <w:rFonts w:ascii="Arial" w:hAnsi="Arial" w:hint="default"/>
          <w:rtl w:val="0"/>
          <w:lang w:val="en-US"/>
        </w:rPr>
        <w:t>’</w:t>
      </w:r>
      <w:r>
        <w:rPr>
          <w:rStyle w:val="Ninguno"/>
          <w:rFonts w:ascii="Arial" w:hAnsi="Arial"/>
          <w:rtl w:val="0"/>
          <w:lang w:val="en-US"/>
        </w:rPr>
        <w:t>s strategic decisions by consolidating data and enabling predictive insight. It recommends a lake-house-based warehouse with medallion layers to unify sales, supply chain, device telemetry, and services data, and applies association rules and churn prediction to drive cross-sell and retention. A pragmatic toolset Power BI, SPSS, Excel, and Rapid Miner supports forecasting and automation integrated with governed BI (Microsoft, 2025; IBM, 2024; Altair, 2024). Ethical and security controls align with GDPR and NIST AI RMF to ensure privacy, fairness, and robust governance at scale (NIST, 2023; GDPR, 2021).</w:t>
      </w:r>
      <w:r>
        <w:rPr>
          <w:rStyle w:val="Ninguno"/>
          <w:rFonts w:ascii="Arial Unicode MS" w:cs="Arial Unicode MS" w:hAnsi="Arial Unicode MS" w:eastAsia="Arial Unicode MS"/>
          <w:b w:val="0"/>
          <w:bCs w:val="0"/>
          <w:i w:val="0"/>
          <w:iCs w:val="0"/>
          <w:lang w:val="en-US"/>
        </w:rPr>
        <w:br w:type="page"/>
      </w:r>
    </w:p>
    <w:p>
      <w:pPr>
        <w:pStyle w:val="TOC Heading"/>
        <w:jc w:val="center"/>
        <w:rPr>
          <w:rStyle w:val="Ninguno"/>
          <w:rFonts w:ascii="Arial" w:cs="Arial" w:hAnsi="Arial" w:eastAsia="Arial"/>
          <w:b w:val="1"/>
          <w:bCs w:val="1"/>
          <w:outline w:val="0"/>
          <w:color w:val="000000"/>
          <w:u w:color="000000"/>
          <w:lang w:val="en-US"/>
          <w14:textFill>
            <w14:solidFill>
              <w14:srgbClr w14:val="000000"/>
            </w14:solidFill>
          </w14:textFill>
        </w:rPr>
      </w:pPr>
      <w:bookmarkStart w:name="_bjmush6a4v3" w:id="9"/>
      <w:r>
        <w:rPr>
          <w:rStyle w:val="Ninguno"/>
          <w:rFonts w:ascii="Arial" w:hAnsi="Arial"/>
          <w:b w:val="1"/>
          <w:bCs w:val="1"/>
          <w:outline w:val="0"/>
          <w:color w:val="000000"/>
          <w:u w:color="000000"/>
          <w:rtl w:val="0"/>
          <w:lang w:val="en-US"/>
          <w14:textFill>
            <w14:solidFill>
              <w14:srgbClr w14:val="000000"/>
            </w14:solidFill>
          </w14:textFill>
        </w:rPr>
        <w:t>Table of Contents</w:t>
      </w:r>
    </w:p>
    <w:p>
      <w:pPr>
        <w:pStyle w:val="Cuerpo"/>
      </w:pPr>
      <w:r>
        <w:rPr>
          <w:rStyle w:val="Ninguno"/>
          <w:rFonts w:ascii="Arial" w:cs="Arial" w:hAnsi="Arial" w:eastAsia="Arial"/>
          <w:b w:val="1"/>
          <w:bCs w:val="1"/>
          <w:outline w:val="0"/>
          <w:color w:val="000000"/>
          <w:u w:color="000000"/>
          <w:lang w:val="en-US"/>
          <w14:textFill>
            <w14:solidFill>
              <w14:srgbClr w14:val="000000"/>
            </w14:solidFill>
          </w14:textFill>
        </w:rPr>
        <w:fldChar w:fldCharType="begin" w:fldLock="0"/>
      </w:r>
      <w:r>
        <w:rPr>
          <w:rStyle w:val="Ninguno"/>
          <w:rFonts w:ascii="Arial" w:cs="Arial" w:hAnsi="Arial" w:eastAsia="Arial"/>
          <w:b w:val="1"/>
          <w:bCs w:val="1"/>
          <w:outline w:val="0"/>
          <w:color w:val="000000"/>
          <w:u w:color="000000"/>
          <w:lang w:val="en-US"/>
          <w14:textFill>
            <w14:solidFill>
              <w14:srgbClr w14:val="000000"/>
            </w14:solidFill>
          </w14:textFill>
        </w:rPr>
        <w:instrText xml:space="preserve"> TOC \t "Encabezam. 2, 1,Encabezamiento, 2"</w:instrText>
      </w:r>
      <w:r>
        <w:rPr>
          <w:rStyle w:val="Ninguno"/>
          <w:rFonts w:ascii="Arial" w:cs="Arial" w:hAnsi="Arial" w:eastAsia="Arial"/>
          <w:b w:val="1"/>
          <w:bCs w:val="1"/>
          <w:outline w:val="0"/>
          <w:color w:val="000000"/>
          <w:u w:color="000000"/>
          <w:lang w:val="en-US"/>
          <w14:textFill>
            <w14:solidFill>
              <w14:srgbClr w14:val="000000"/>
            </w14:solidFill>
          </w14:textFill>
        </w:rPr>
        <w:fldChar w:fldCharType="separate" w:fldLock="0"/>
      </w:r>
    </w:p>
    <w:p>
      <w:pPr>
        <w:pStyle w:val="TOC 2"/>
      </w:pPr>
      <w:r>
        <w:rPr>
          <w:rtl w:val="0"/>
        </w:rPr>
        <w:t>Executive Summary</w:t>
        <w:tab/>
      </w:r>
      <w:r>
        <w:rPr/>
        <w:fldChar w:fldCharType="begin" w:fldLock="0"/>
      </w:r>
      <w:r>
        <w:instrText xml:space="preserve"> PAGEREF _Toc \h </w:instrText>
      </w:r>
      <w:r>
        <w:rPr/>
        <w:fldChar w:fldCharType="separate" w:fldLock="0"/>
      </w:r>
      <w:r>
        <w:rPr>
          <w:rtl w:val="0"/>
        </w:rPr>
        <w:t>2</w:t>
      </w:r>
      <w:r>
        <w:rPr/>
        <w:fldChar w:fldCharType="end" w:fldLock="0"/>
      </w:r>
    </w:p>
    <w:p>
      <w:pPr>
        <w:pStyle w:val="TOC 2"/>
      </w:pPr>
      <w:r>
        <w:rPr>
          <w:rtl w:val="0"/>
        </w:rPr>
        <w:t>Introduction and Apple Context</w:t>
        <w:tab/>
      </w:r>
      <w:r>
        <w:rPr/>
        <w:fldChar w:fldCharType="begin" w:fldLock="0"/>
      </w:r>
      <w:r>
        <w:instrText xml:space="preserve"> PAGEREF _Toc1 \h </w:instrText>
      </w:r>
      <w:r>
        <w:rPr/>
        <w:fldChar w:fldCharType="separate" w:fldLock="0"/>
      </w:r>
      <w:r>
        <w:rPr>
          <w:rtl w:val="0"/>
        </w:rPr>
        <w:t>4</w:t>
      </w:r>
      <w:r>
        <w:rPr/>
        <w:fldChar w:fldCharType="end" w:fldLock="0"/>
      </w:r>
    </w:p>
    <w:p>
      <w:pPr>
        <w:pStyle w:val="TOC 2"/>
      </w:pPr>
      <w:r>
        <w:rPr>
          <w:rtl w:val="0"/>
        </w:rPr>
        <w:t>Current Trends in BI, Data Warehousing, and Data Mining</w:t>
        <w:tab/>
      </w:r>
      <w:r>
        <w:rPr/>
        <w:fldChar w:fldCharType="begin" w:fldLock="0"/>
      </w:r>
      <w:r>
        <w:instrText xml:space="preserve"> PAGEREF _Toc2 \h </w:instrText>
      </w:r>
      <w:r>
        <w:rPr/>
        <w:fldChar w:fldCharType="separate" w:fldLock="0"/>
      </w:r>
      <w:r>
        <w:rPr>
          <w:rtl w:val="0"/>
        </w:rPr>
        <w:t>5</w:t>
      </w:r>
      <w:r>
        <w:rPr/>
        <w:fldChar w:fldCharType="end" w:fldLock="0"/>
      </w:r>
    </w:p>
    <w:p>
      <w:pPr>
        <w:pStyle w:val="TOC 2"/>
      </w:pPr>
      <w:r>
        <w:rPr>
          <w:rtl w:val="0"/>
        </w:rPr>
        <w:t>Data warehouse proposal for Apple</w:t>
        <w:tab/>
      </w:r>
      <w:r>
        <w:rPr/>
        <w:fldChar w:fldCharType="begin" w:fldLock="0"/>
      </w:r>
      <w:r>
        <w:instrText xml:space="preserve"> PAGEREF _Toc3 \h </w:instrText>
      </w:r>
      <w:r>
        <w:rPr/>
        <w:fldChar w:fldCharType="separate" w:fldLock="0"/>
      </w:r>
      <w:r>
        <w:rPr>
          <w:rtl w:val="0"/>
        </w:rPr>
        <w:t>6</w:t>
      </w:r>
      <w:r>
        <w:rPr/>
        <w:fldChar w:fldCharType="end" w:fldLock="0"/>
      </w:r>
    </w:p>
    <w:p>
      <w:pPr>
        <w:pStyle w:val="TOC 2"/>
      </w:pPr>
      <w:r>
        <w:rPr>
          <w:rtl w:val="0"/>
        </w:rPr>
        <w:t>Data mining techniques for Apple</w:t>
        <w:tab/>
      </w:r>
      <w:r>
        <w:rPr/>
        <w:fldChar w:fldCharType="begin" w:fldLock="0"/>
      </w:r>
      <w:r>
        <w:instrText xml:space="preserve"> PAGEREF _Toc4 \h </w:instrText>
      </w:r>
      <w:r>
        <w:rPr/>
        <w:fldChar w:fldCharType="separate" w:fldLock="0"/>
      </w:r>
      <w:r>
        <w:rPr>
          <w:rtl w:val="0"/>
        </w:rPr>
        <w:t>8</w:t>
      </w:r>
      <w:r>
        <w:rPr/>
        <w:fldChar w:fldCharType="end" w:fldLock="0"/>
      </w:r>
    </w:p>
    <w:p>
      <w:pPr>
        <w:pStyle w:val="TOC 1"/>
      </w:pPr>
      <w:r>
        <w:rPr>
          <w:rtl w:val="0"/>
        </w:rPr>
        <w:t>Association Rule Mining</w:t>
        <w:tab/>
      </w:r>
      <w:r>
        <w:rPr/>
        <w:fldChar w:fldCharType="begin" w:fldLock="0"/>
      </w:r>
      <w:r>
        <w:instrText xml:space="preserve"> PAGEREF _Toc5 \h </w:instrText>
      </w:r>
      <w:r>
        <w:rPr/>
        <w:fldChar w:fldCharType="separate" w:fldLock="0"/>
      </w:r>
      <w:r>
        <w:rPr>
          <w:rtl w:val="0"/>
        </w:rPr>
        <w:t>8</w:t>
      </w:r>
      <w:r>
        <w:rPr/>
        <w:fldChar w:fldCharType="end" w:fldLock="0"/>
      </w:r>
    </w:p>
    <w:p>
      <w:pPr>
        <w:pStyle w:val="TOC 1"/>
      </w:pPr>
      <w:r>
        <w:rPr>
          <w:rtl w:val="0"/>
        </w:rPr>
        <w:t>Churn Prediction</w:t>
        <w:tab/>
      </w:r>
      <w:r>
        <w:rPr/>
        <w:fldChar w:fldCharType="begin" w:fldLock="0"/>
      </w:r>
      <w:r>
        <w:instrText xml:space="preserve"> PAGEREF _Toc6 \h </w:instrText>
      </w:r>
      <w:r>
        <w:rPr/>
        <w:fldChar w:fldCharType="separate" w:fldLock="0"/>
      </w:r>
      <w:r>
        <w:rPr>
          <w:rtl w:val="0"/>
        </w:rPr>
        <w:t>9</w:t>
      </w:r>
      <w:r>
        <w:rPr/>
        <w:fldChar w:fldCharType="end" w:fldLock="0"/>
      </w:r>
    </w:p>
    <w:p>
      <w:pPr>
        <w:pStyle w:val="TOC 2"/>
      </w:pPr>
      <w:r>
        <w:rPr>
          <w:rtl w:val="0"/>
        </w:rPr>
        <w:t>Predictive analytics tools recommendations</w:t>
        <w:tab/>
      </w:r>
      <w:r>
        <w:rPr/>
        <w:fldChar w:fldCharType="begin" w:fldLock="0"/>
      </w:r>
      <w:r>
        <w:instrText xml:space="preserve"> PAGEREF _Toc7 \h </w:instrText>
      </w:r>
      <w:r>
        <w:rPr/>
        <w:fldChar w:fldCharType="separate" w:fldLock="0"/>
      </w:r>
      <w:r>
        <w:rPr>
          <w:rtl w:val="0"/>
        </w:rPr>
        <w:t>10</w:t>
      </w:r>
      <w:r>
        <w:rPr/>
        <w:fldChar w:fldCharType="end" w:fldLock="0"/>
      </w:r>
    </w:p>
    <w:p>
      <w:pPr>
        <w:pStyle w:val="TOC 2"/>
      </w:pPr>
      <w:r>
        <w:rPr>
          <w:rtl w:val="0"/>
        </w:rPr>
        <w:t>Ethical and data security considerations</w:t>
        <w:tab/>
      </w:r>
      <w:r>
        <w:rPr/>
        <w:fldChar w:fldCharType="begin" w:fldLock="0"/>
      </w:r>
      <w:r>
        <w:instrText xml:space="preserve"> PAGEREF _Toc8 \h </w:instrText>
      </w:r>
      <w:r>
        <w:rPr/>
        <w:fldChar w:fldCharType="separate" w:fldLock="0"/>
      </w:r>
      <w:r>
        <w:rPr>
          <w:rtl w:val="0"/>
        </w:rPr>
        <w:t>11</w:t>
      </w:r>
      <w:r>
        <w:rPr/>
        <w:fldChar w:fldCharType="end" w:fldLock="0"/>
      </w:r>
    </w:p>
    <w:p>
      <w:pPr>
        <w:pStyle w:val="TOC 2"/>
      </w:pPr>
      <w:r>
        <w:rPr>
          <w:rtl w:val="0"/>
        </w:rPr>
        <w:t>Reporting and dashboard solutions</w:t>
        <w:tab/>
      </w:r>
      <w:r>
        <w:rPr/>
        <w:fldChar w:fldCharType="begin" w:fldLock="0"/>
      </w:r>
      <w:r>
        <w:instrText xml:space="preserve"> PAGEREF _Toc9 \h </w:instrText>
      </w:r>
      <w:r>
        <w:rPr/>
        <w:fldChar w:fldCharType="separate" w:fldLock="0"/>
      </w:r>
      <w:r>
        <w:rPr>
          <w:rtl w:val="0"/>
        </w:rPr>
        <w:t>12</w:t>
      </w:r>
      <w:r>
        <w:rPr/>
        <w:fldChar w:fldCharType="end" w:fldLock="0"/>
      </w:r>
    </w:p>
    <w:p>
      <w:pPr>
        <w:pStyle w:val="TOC 2"/>
      </w:pPr>
      <w:r>
        <w:rPr>
          <w:rtl w:val="0"/>
        </w:rPr>
        <w:t>Conclusion</w:t>
        <w:tab/>
      </w:r>
      <w:r>
        <w:rPr/>
        <w:fldChar w:fldCharType="begin" w:fldLock="0"/>
      </w:r>
      <w:r>
        <w:instrText xml:space="preserve"> PAGEREF _Toc10 \h </w:instrText>
      </w:r>
      <w:r>
        <w:rPr/>
        <w:fldChar w:fldCharType="separate" w:fldLock="0"/>
      </w:r>
      <w:r>
        <w:rPr>
          <w:rtl w:val="0"/>
        </w:rPr>
        <w:t>12</w:t>
      </w:r>
      <w:r>
        <w:rPr/>
        <w:fldChar w:fldCharType="end" w:fldLock="0"/>
      </w:r>
    </w:p>
    <w:p>
      <w:pPr>
        <w:pStyle w:val="TOC 2"/>
      </w:pPr>
      <w:r>
        <w:rPr>
          <w:rtl w:val="0"/>
        </w:rPr>
        <w:t>References</w:t>
        <w:tab/>
      </w:r>
      <w:r>
        <w:rPr/>
        <w:fldChar w:fldCharType="begin" w:fldLock="0"/>
      </w:r>
      <w:r>
        <w:instrText xml:space="preserve"> PAGEREF _Toc11 \h </w:instrText>
      </w:r>
      <w:r>
        <w:rPr/>
        <w:fldChar w:fldCharType="separate" w:fldLock="0"/>
      </w:r>
      <w:r>
        <w:rPr>
          <w:rtl w:val="0"/>
        </w:rPr>
        <w:t>14</w:t>
      </w:r>
      <w:r>
        <w:rPr/>
        <w:fldChar w:fldCharType="end" w:fldLock="0"/>
      </w:r>
    </w:p>
    <w:p>
      <w:pPr>
        <w:pStyle w:val="Cuerpo"/>
        <w:rPr>
          <w:rStyle w:val="Ninguno"/>
          <w:rFonts w:ascii="Arial" w:cs="Arial" w:hAnsi="Arial" w:eastAsia="Arial"/>
        </w:rPr>
      </w:pPr>
      <w:r>
        <w:rPr>
          <w:rStyle w:val="Ninguno"/>
          <w:rFonts w:ascii="Arial" w:cs="Arial" w:hAnsi="Arial" w:eastAsia="Arial"/>
          <w:b w:val="1"/>
          <w:bCs w:val="1"/>
          <w:outline w:val="0"/>
          <w:color w:val="000000"/>
          <w:u w:color="000000"/>
          <w:lang w:val="en-US"/>
          <w14:textFill>
            <w14:solidFill>
              <w14:srgbClr w14:val="000000"/>
            </w14:solidFill>
          </w14:textFill>
        </w:rPr>
        <w:fldChar w:fldCharType="end" w:fldLock="0"/>
      </w:r>
    </w:p>
    <w:p>
      <w:pPr>
        <w:pStyle w:val="Encabezamiento"/>
      </w:pPr>
      <w:r>
        <w:rPr>
          <w:rStyle w:val="Ninguno"/>
          <w:rFonts w:ascii="Arial Unicode MS" w:cs="Arial Unicode MS" w:hAnsi="Arial Unicode MS" w:eastAsia="Arial Unicode MS"/>
          <w:b w:val="0"/>
          <w:bCs w:val="0"/>
          <w:i w:val="0"/>
          <w:iCs w:val="0"/>
          <w:lang w:val="en-US"/>
        </w:rPr>
        <w:br w:type="page"/>
      </w:r>
    </w:p>
    <w:p>
      <w:pPr>
        <w:pStyle w:val="Encabezamiento"/>
        <w:rPr>
          <w:rStyle w:val="Ninguno"/>
          <w:rFonts w:ascii="Arial" w:cs="Arial" w:hAnsi="Arial" w:eastAsia="Arial"/>
        </w:rPr>
      </w:pPr>
      <w:bookmarkStart w:name="_Toc1" w:id="10"/>
      <w:r>
        <w:rPr>
          <w:rStyle w:val="Ninguno"/>
          <w:rFonts w:ascii="Arial" w:hAnsi="Arial"/>
          <w:rtl w:val="0"/>
          <w:lang w:val="en-US"/>
        </w:rPr>
        <w:t>Introduction and Apple Context</w:t>
      </w:r>
      <w:bookmarkEnd w:id="10"/>
    </w:p>
    <w:p>
      <w:pPr>
        <w:pStyle w:val="Cuerpo"/>
        <w:rPr>
          <w:rStyle w:val="Ninguno"/>
          <w:rFonts w:ascii="Arial" w:cs="Arial" w:hAnsi="Arial" w:eastAsia="Arial"/>
        </w:rPr>
      </w:pPr>
      <w:r>
        <w:rPr>
          <w:rStyle w:val="Ninguno"/>
          <w:rFonts w:ascii="Arial" w:hAnsi="Arial"/>
          <w:rtl w:val="0"/>
          <w:lang w:val="en-US"/>
        </w:rPr>
        <w:t>Apple is a global technology company operating across consumer electronics and digital services, with recent disclosures underscoring the scale and diversification of its iPhone-led hardware portfolio and record services revenues that make it an apt context for evaluating data-driven decision support for strategic decisions (Apple, 2024). This report examines how business intelligence (BI), data warehousing (DW), and data mining (DM) can be leveraged to strengthen Apple</w:t>
      </w:r>
      <w:r>
        <w:rPr>
          <w:rStyle w:val="Ninguno"/>
          <w:rFonts w:ascii="Arial" w:hAnsi="Arial" w:hint="default"/>
          <w:rtl w:val="0"/>
          <w:lang w:val="en-US"/>
        </w:rPr>
        <w:t>’</w:t>
      </w:r>
      <w:r>
        <w:rPr>
          <w:rStyle w:val="Ninguno"/>
          <w:rFonts w:ascii="Arial" w:hAnsi="Arial"/>
          <w:rtl w:val="0"/>
          <w:lang w:val="en-US"/>
        </w:rPr>
        <w:t>s strategic decision-making amid accelerated adoption of AI-enabled analytics, natural-language interfaces, and augmented decision systems in enterprise analytics (CX Today, 2025).</w:t>
      </w:r>
    </w:p>
    <w:p>
      <w:pPr>
        <w:pStyle w:val="Cuerpo"/>
        <w:rPr>
          <w:rStyle w:val="Ninguno"/>
          <w:rFonts w:ascii="Arial" w:cs="Arial" w:hAnsi="Arial" w:eastAsia="Arial"/>
        </w:rPr>
      </w:pPr>
      <w:r>
        <w:rPr>
          <w:rStyle w:val="Ninguno"/>
          <w:rFonts w:ascii="Arial" w:hAnsi="Arial"/>
          <w:rtl w:val="0"/>
          <w:lang w:val="en-US"/>
        </w:rPr>
        <w:t>It first evaluates current trends in BI, DW, and DM such as real-time and cloud-native analytics, semantic layers, and the lakehouse shift and explains their implications for Apple</w:t>
      </w:r>
      <w:r>
        <w:rPr>
          <w:rStyle w:val="Ninguno"/>
          <w:rFonts w:ascii="Arial" w:hAnsi="Arial" w:hint="default"/>
          <w:rtl w:val="0"/>
          <w:lang w:val="en-US"/>
        </w:rPr>
        <w:t>’</w:t>
      </w:r>
      <w:r>
        <w:rPr>
          <w:rStyle w:val="Ninguno"/>
          <w:rFonts w:ascii="Arial" w:hAnsi="Arial"/>
          <w:rtl w:val="0"/>
          <w:lang w:val="en-US"/>
        </w:rPr>
        <w:t>s operational and strategic choices. The report then proposes how a modern, cloud-based data warehouse can consolidate fragmented data, improve data quality and access, and enable faster, more reliable decision-making for functions such as supply chain, channel performance, and services monetisation (CX Today, 2025). Next, it identifies two suitable data mining techniques and recommends predictive analytics tools aligned with Apple</w:t>
      </w:r>
      <w:r>
        <w:rPr>
          <w:rStyle w:val="Ninguno"/>
          <w:rFonts w:ascii="Arial" w:hAnsi="Arial" w:hint="default"/>
          <w:rtl w:val="0"/>
          <w:lang w:val="en-US"/>
        </w:rPr>
        <w:t>’</w:t>
      </w:r>
      <w:r>
        <w:rPr>
          <w:rStyle w:val="Ninguno"/>
          <w:rFonts w:ascii="Arial" w:hAnsi="Arial"/>
          <w:rtl w:val="0"/>
          <w:lang w:val="en-US"/>
        </w:rPr>
        <w:t>s ecosystem to enhance forecasting, customer understanding, and operational optimisation (GhorbanTanhaei, 2024). It also evaluates ethical and data security considerations privacy, fairness, transparency, and governance using the NIST AI Risk Management Framework to guide responsible analytics design and deployment (NIST, 2023). Finally, the report suggests real-time reporting and dashboard solutions for executive communication and continuous performance monitoring, reflecting best practices in analytics-driven visualisation and insight dissemination (McKinsey Global Institute, 2024).</w:t>
      </w:r>
      <w:bookmarkEnd w:id="9"/>
    </w:p>
    <w:p>
      <w:pPr>
        <w:pStyle w:val="Encabezamiento"/>
      </w:pPr>
      <w:bookmarkStart w:name="_dabz9k75galr" w:id="11"/>
      <w:bookmarkEnd w:id="11"/>
      <w:r>
        <w:rPr>
          <w:rStyle w:val="Ninguno"/>
          <w:rFonts w:ascii="Arial Unicode MS" w:cs="Arial Unicode MS" w:hAnsi="Arial Unicode MS" w:eastAsia="Arial Unicode MS"/>
          <w:b w:val="0"/>
          <w:bCs w:val="0"/>
          <w:i w:val="0"/>
          <w:iCs w:val="0"/>
          <w:lang w:val="en-US"/>
        </w:rPr>
        <w:br w:type="page"/>
      </w:r>
    </w:p>
    <w:p>
      <w:pPr>
        <w:pStyle w:val="Encabezamiento"/>
        <w:rPr>
          <w:rStyle w:val="Ninguno"/>
          <w:rFonts w:ascii="Arial" w:cs="Arial" w:hAnsi="Arial" w:eastAsia="Arial"/>
        </w:rPr>
      </w:pPr>
      <w:bookmarkStart w:name="_Toc2" w:id="12"/>
      <w:r>
        <w:rPr>
          <w:rStyle w:val="Ninguno"/>
          <w:rFonts w:ascii="Arial" w:hAnsi="Arial"/>
          <w:rtl w:val="0"/>
          <w:lang w:val="en-US"/>
        </w:rPr>
        <w:t>Current Trends in BI, Data Warehousing, and Data Mining</w:t>
      </w:r>
      <w:bookmarkEnd w:id="12"/>
    </w:p>
    <w:p>
      <w:pPr>
        <w:pStyle w:val="Cuerpo"/>
        <w:rPr>
          <w:rStyle w:val="Ninguno"/>
          <w:rFonts w:ascii="Arial" w:cs="Arial" w:hAnsi="Arial" w:eastAsia="Arial"/>
        </w:rPr>
      </w:pPr>
      <w:r>
        <w:rPr>
          <w:rStyle w:val="Ninguno"/>
          <w:rFonts w:ascii="Arial" w:hAnsi="Arial"/>
          <w:b w:val="1"/>
          <w:bCs w:val="1"/>
          <w:i w:val="1"/>
          <w:iCs w:val="1"/>
          <w:rtl w:val="0"/>
          <w:lang w:val="en-US"/>
        </w:rPr>
        <w:t>BI</w:t>
      </w:r>
      <w:r>
        <w:rPr>
          <w:rStyle w:val="Ninguno"/>
          <w:rFonts w:ascii="Arial" w:hAnsi="Arial"/>
          <w:rtl w:val="0"/>
          <w:lang w:val="en-US"/>
        </w:rPr>
        <w:t xml:space="preserve"> is increasingly characterized by augmented analytics, natural language query, and governed self-service, enabling wider decision-maker access and faster insight cycles, as reflected in recent market assessments of leaders in analytics and BI platforms. These BI advancements are coupled with a composable, semantic-layer approach that emphasizes consistent metrics and explainability, aligning with enterprise needs for trustworthy, actionable insights at scale. </w:t>
      </w:r>
    </w:p>
    <w:p>
      <w:pPr>
        <w:pStyle w:val="Cuerpo"/>
        <w:rPr>
          <w:rStyle w:val="Ninguno"/>
          <w:rFonts w:ascii="Arial" w:cs="Arial" w:hAnsi="Arial" w:eastAsia="Arial"/>
        </w:rPr>
      </w:pPr>
      <w:r>
        <w:rPr>
          <w:rStyle w:val="Ninguno"/>
          <w:rFonts w:ascii="Arial" w:hAnsi="Arial"/>
          <w:b w:val="1"/>
          <w:bCs w:val="1"/>
          <w:i w:val="1"/>
          <w:iCs w:val="1"/>
          <w:rtl w:val="0"/>
          <w:lang w:val="en-US"/>
        </w:rPr>
        <w:t xml:space="preserve">Data warehousing </w:t>
      </w:r>
      <w:r>
        <w:rPr>
          <w:rStyle w:val="Ninguno"/>
          <w:rFonts w:ascii="Arial" w:hAnsi="Arial"/>
          <w:rtl w:val="0"/>
          <w:lang w:val="en-US"/>
        </w:rPr>
        <w:t>(DW) has shifted decisively to cloud-native architectures and the lakehouse pattern, which unifies warehousing and data lake capabilities to reduce duplication and latency while supporting both BI and ML workloads. Within the lakehouse, the medallion architecture (bronze-silver-gold layers) operationalised incremental data quality and performance optimisation, improving data reliability and time-to-insight for downstream analytics.</w:t>
      </w:r>
    </w:p>
    <w:p>
      <w:pPr>
        <w:pStyle w:val="Cuerpo"/>
        <w:rPr>
          <w:rStyle w:val="Ninguno"/>
          <w:rFonts w:ascii="Arial" w:cs="Arial" w:hAnsi="Arial" w:eastAsia="Arial"/>
        </w:rPr>
      </w:pPr>
      <w:r>
        <w:rPr>
          <w:rStyle w:val="Ninguno"/>
          <w:rFonts w:ascii="Arial" w:hAnsi="Arial"/>
          <w:b w:val="1"/>
          <w:bCs w:val="1"/>
          <w:i w:val="1"/>
          <w:iCs w:val="1"/>
          <w:rtl w:val="0"/>
          <w:lang w:val="en-US"/>
        </w:rPr>
        <w:t>Data mining (DM)</w:t>
      </w:r>
      <w:r>
        <w:rPr>
          <w:rStyle w:val="Ninguno"/>
          <w:rFonts w:ascii="Arial" w:hAnsi="Arial"/>
          <w:rtl w:val="0"/>
          <w:lang w:val="en-US"/>
        </w:rPr>
        <w:t xml:space="preserve"> is moving beyond traditional batch mining toward production-grade predictive and prescriptive analytics with emphasis on customer behaviour modelling, uplift modelling, and explainable methods to support high-stakes decisions. To make these models robust and maintainable, organizations are adopting CRISP-ML(Q), an updated lifecycle that extends CRISP-DM with explicit quality assurance, deployment, and monitoring stages suitable for modern MLOps (Studer </w:t>
      </w:r>
      <w:r>
        <w:rPr>
          <w:rStyle w:val="Ninguno"/>
          <w:rFonts w:ascii="Arial" w:hAnsi="Arial"/>
          <w:i w:val="1"/>
          <w:iCs w:val="1"/>
          <w:rtl w:val="0"/>
          <w:lang w:val="en-US"/>
        </w:rPr>
        <w:t xml:space="preserve">et al., </w:t>
      </w:r>
      <w:r>
        <w:rPr>
          <w:rStyle w:val="Ninguno"/>
          <w:rFonts w:ascii="Arial" w:hAnsi="Arial"/>
          <w:rtl w:val="0"/>
          <w:lang w:val="en-US"/>
        </w:rPr>
        <w:t>2020).</w:t>
      </w:r>
    </w:p>
    <w:p>
      <w:pPr>
        <w:pStyle w:val="Cuerpo"/>
        <w:rPr>
          <w:rStyle w:val="Ninguno"/>
          <w:rFonts w:ascii="Arial" w:cs="Arial" w:hAnsi="Arial" w:eastAsia="Arial"/>
        </w:rPr>
      </w:pPr>
      <w:r>
        <w:rPr>
          <w:rStyle w:val="Ninguno"/>
          <w:rFonts w:ascii="Arial" w:hAnsi="Arial"/>
          <w:rtl w:val="0"/>
          <w:lang w:val="en-US"/>
        </w:rPr>
        <w:t xml:space="preserve">Cross-cutting these trends, responsible analytics governance is maturing; the </w:t>
      </w:r>
      <w:r>
        <w:rPr>
          <w:rStyle w:val="Ninguno"/>
          <w:rFonts w:ascii="Arial" w:hAnsi="Arial"/>
          <w:b w:val="1"/>
          <w:bCs w:val="1"/>
          <w:i w:val="1"/>
          <w:iCs w:val="1"/>
          <w:rtl w:val="0"/>
          <w:lang w:val="en-US"/>
        </w:rPr>
        <w:t>NIST AI Risk Management Framework</w:t>
      </w:r>
      <w:r>
        <w:rPr>
          <w:rStyle w:val="Ninguno"/>
          <w:rFonts w:ascii="Arial" w:hAnsi="Arial"/>
          <w:rtl w:val="0"/>
          <w:lang w:val="en-US"/>
        </w:rPr>
        <w:t xml:space="preserve"> emphasizes transparency, fairness, robustness, and accountability, providing actionable controls for BI/AI program design and oversight (NIST, 2023). For Apple, these trends imply prioritizing a lakehouse-based DW with medallion layering to serve both enterprise BI and ML, augmented BI for broad business consumption, and a CRISP-ML(Q)-aligned MLOps stack governed under NIST AI RMF to support services monetization, supply chain optimization, and privacy-centric customer analytics at global scale (Apple, 2024; NIST, 2023).</w:t>
      </w:r>
    </w:p>
    <w:p>
      <w:pPr>
        <w:pStyle w:val="Encabezamiento"/>
        <w:rPr>
          <w:rStyle w:val="Ninguno"/>
          <w:rFonts w:ascii="Arial" w:cs="Arial" w:hAnsi="Arial" w:eastAsia="Arial"/>
        </w:rPr>
      </w:pPr>
      <w:bookmarkStart w:name="_Toc3" w:id="13"/>
      <w:r>
        <w:rPr>
          <w:rStyle w:val="Ninguno"/>
          <w:rFonts w:ascii="Arial" w:hAnsi="Arial"/>
          <w:rtl w:val="0"/>
          <w:lang w:val="en-US"/>
        </w:rPr>
        <w:t>Data warehouse proposal for Apple</w:t>
      </w:r>
      <w:bookmarkEnd w:id="13"/>
    </w:p>
    <w:p>
      <w:pPr>
        <w:pStyle w:val="Cuerpo"/>
        <w:rPr>
          <w:rStyle w:val="Ninguno"/>
          <w:rFonts w:ascii="Arial" w:cs="Arial" w:hAnsi="Arial" w:eastAsia="Arial"/>
        </w:rPr>
      </w:pPr>
      <w:r>
        <w:rPr>
          <w:rStyle w:val="Ninguno"/>
          <w:rFonts w:ascii="Arial" w:hAnsi="Arial"/>
          <w:rtl w:val="0"/>
          <w:lang w:val="en-US"/>
        </w:rPr>
        <w:t>Data warehousing is a data management system designed to centralize and consolidate large volumes of historical data from multiple sources for analytical querying and decision support, thereby serving as the foundational platform for business intelligence (Oracle, 2023). A modern enterprise data warehouse can materially improve Apple</w:t>
      </w:r>
      <w:r>
        <w:rPr>
          <w:rStyle w:val="Ninguno"/>
          <w:rFonts w:ascii="Arial" w:hAnsi="Arial" w:hint="default"/>
          <w:rtl w:val="0"/>
          <w:lang w:val="en-US"/>
        </w:rPr>
        <w:t>’</w:t>
      </w:r>
      <w:r>
        <w:rPr>
          <w:rStyle w:val="Ninguno"/>
          <w:rFonts w:ascii="Arial" w:hAnsi="Arial"/>
          <w:rtl w:val="0"/>
          <w:lang w:val="en-US"/>
        </w:rPr>
        <w:t>s operational efficiency and decision-making by unifying multi</w:t>
      </w:r>
      <w:r>
        <w:rPr>
          <w:rStyle w:val="Ninguno"/>
          <w:rFonts w:ascii="Cambria Math" w:cs="Cambria Math" w:hAnsi="Cambria Math" w:eastAsia="Cambria Math"/>
          <w:rtl w:val="0"/>
          <w:lang w:val="en-US"/>
        </w:rPr>
        <w:t>‑</w:t>
      </w:r>
      <w:r>
        <w:rPr>
          <w:rStyle w:val="Ninguno"/>
          <w:rFonts w:ascii="Arial" w:hAnsi="Arial"/>
          <w:rtl w:val="0"/>
          <w:lang w:val="en-US"/>
        </w:rPr>
        <w:t>domain data into governed, high</w:t>
      </w:r>
      <w:r>
        <w:rPr>
          <w:rStyle w:val="Ninguno"/>
          <w:rFonts w:ascii="Cambria Math" w:cs="Cambria Math" w:hAnsi="Cambria Math" w:eastAsia="Cambria Math"/>
          <w:rtl w:val="0"/>
          <w:lang w:val="en-US"/>
        </w:rPr>
        <w:t>‑</w:t>
      </w:r>
      <w:r>
        <w:rPr>
          <w:rStyle w:val="Ninguno"/>
          <w:rFonts w:ascii="Arial" w:hAnsi="Arial"/>
          <w:rtl w:val="0"/>
          <w:lang w:val="en-US"/>
        </w:rPr>
        <w:t>quality structures that serve both descriptive BI and advanced analytics at global scale (Apple, 2024). Adopting a cloud lakehouse with a medallion layering pattern-bronze for raw ingestion, silver for standardized/cleansed data, and gold for curated analytics-reduces duplication, shortens data latency, and improves trust in KPIs consumed by finance, operations, and services teams (LumenData, 2024). Lakehouse</w:t>
      </w:r>
      <w:r>
        <w:rPr>
          <w:rStyle w:val="Ninguno"/>
          <w:rFonts w:ascii="Cambria Math" w:cs="Cambria Math" w:hAnsi="Cambria Math" w:eastAsia="Cambria Math"/>
          <w:rtl w:val="0"/>
          <w:lang w:val="en-US"/>
        </w:rPr>
        <w:t>‑</w:t>
      </w:r>
      <w:r>
        <w:rPr>
          <w:rStyle w:val="Ninguno"/>
          <w:rFonts w:ascii="Arial" w:hAnsi="Arial"/>
          <w:rtl w:val="0"/>
          <w:lang w:val="en-US"/>
        </w:rPr>
        <w:t>native warehousing further separates storage and compute for elastic, workload</w:t>
      </w:r>
      <w:r>
        <w:rPr>
          <w:rStyle w:val="Ninguno"/>
          <w:rFonts w:ascii="Cambria Math" w:cs="Cambria Math" w:hAnsi="Cambria Math" w:eastAsia="Cambria Math"/>
          <w:rtl w:val="0"/>
          <w:lang w:val="en-US"/>
        </w:rPr>
        <w:t>‑</w:t>
      </w:r>
      <w:r>
        <w:rPr>
          <w:rStyle w:val="Ninguno"/>
          <w:rFonts w:ascii="Arial" w:hAnsi="Arial"/>
          <w:rtl w:val="0"/>
          <w:lang w:val="en-US"/>
        </w:rPr>
        <w:t>isolated concurrency, enabling simultaneous executive dashboards, ad</w:t>
      </w:r>
      <w:r>
        <w:rPr>
          <w:rStyle w:val="Ninguno"/>
          <w:rFonts w:ascii="Cambria Math" w:cs="Cambria Math" w:hAnsi="Cambria Math" w:eastAsia="Cambria Math"/>
          <w:rtl w:val="0"/>
          <w:lang w:val="en-US"/>
        </w:rPr>
        <w:t>‑</w:t>
      </w:r>
      <w:r>
        <w:rPr>
          <w:rStyle w:val="Ninguno"/>
          <w:rFonts w:ascii="Arial" w:hAnsi="Arial"/>
          <w:rtl w:val="0"/>
          <w:lang w:val="en-US"/>
        </w:rPr>
        <w:t>hoc analysis, and model training without resource contention (Snowflake, 2024).</w:t>
      </w:r>
    </w:p>
    <w:p>
      <w:pPr>
        <w:pStyle w:val="Cuerpo"/>
        <w:jc w:val="center"/>
        <w:rPr>
          <w:rStyle w:val="Ninguno"/>
          <w:rFonts w:ascii="Arial" w:cs="Arial" w:hAnsi="Arial" w:eastAsia="Arial"/>
        </w:rPr>
      </w:pPr>
      <w:r>
        <w:rPr>
          <w:rStyle w:val="Ninguno"/>
          <w:rFonts w:ascii="Arial" w:cs="Arial" w:hAnsi="Arial" w:eastAsia="Arial"/>
        </w:rPr>
        <w:drawing xmlns:a="http://schemas.openxmlformats.org/drawingml/2006/main">
          <wp:inline distT="0" distB="0" distL="0" distR="0">
            <wp:extent cx="5343525" cy="2276475"/>
            <wp:effectExtent l="0" t="0" r="0" b="0"/>
            <wp:docPr id="1073741826" name="officeArt object" descr="image1.png"/>
            <wp:cNvGraphicFramePr/>
            <a:graphic xmlns:a="http://schemas.openxmlformats.org/drawingml/2006/main">
              <a:graphicData uri="http://schemas.openxmlformats.org/drawingml/2006/picture">
                <pic:pic xmlns:pic="http://schemas.openxmlformats.org/drawingml/2006/picture">
                  <pic:nvPicPr>
                    <pic:cNvPr id="1073741826" name="image1.png" descr="image1.png"/>
                    <pic:cNvPicPr>
                      <a:picLocks noChangeAspect="1"/>
                    </pic:cNvPicPr>
                  </pic:nvPicPr>
                  <pic:blipFill>
                    <a:blip r:embed="rId4">
                      <a:extLst/>
                    </a:blip>
                    <a:srcRect l="5769" t="10688" r="4325" b="16204"/>
                    <a:stretch>
                      <a:fillRect/>
                    </a:stretch>
                  </pic:blipFill>
                  <pic:spPr>
                    <a:xfrm>
                      <a:off x="0" y="0"/>
                      <a:ext cx="5343525" cy="2276475"/>
                    </a:xfrm>
                    <a:prstGeom prst="rect">
                      <a:avLst/>
                    </a:prstGeom>
                    <a:ln w="25400" cap="flat">
                      <a:solidFill>
                        <a:srgbClr val="000000"/>
                      </a:solidFill>
                      <a:prstDash val="dot"/>
                      <a:round/>
                    </a:ln>
                    <a:effectLst/>
                  </pic:spPr>
                </pic:pic>
              </a:graphicData>
            </a:graphic>
          </wp:inline>
        </w:drawing>
      </w:r>
    </w:p>
    <w:p>
      <w:pPr>
        <w:pStyle w:val="Cuerpo"/>
        <w:jc w:val="center"/>
        <w:rPr>
          <w:rStyle w:val="Ninguno"/>
          <w:rFonts w:ascii="Arial" w:cs="Arial" w:hAnsi="Arial" w:eastAsia="Arial"/>
          <w:b w:val="1"/>
          <w:bCs w:val="1"/>
        </w:rPr>
      </w:pPr>
      <w:r>
        <w:rPr>
          <w:rStyle w:val="Ninguno"/>
          <w:rFonts w:ascii="Arial" w:hAnsi="Arial"/>
          <w:b w:val="1"/>
          <w:bCs w:val="1"/>
          <w:rtl w:val="0"/>
          <w:lang w:val="en-US"/>
        </w:rPr>
        <w:t>Figure 1. Medallion Architecture</w:t>
      </w:r>
    </w:p>
    <w:p>
      <w:pPr>
        <w:pStyle w:val="Cuerpo"/>
        <w:jc w:val="center"/>
        <w:rPr>
          <w:rStyle w:val="Ninguno"/>
          <w:rFonts w:ascii="Arial" w:cs="Arial" w:hAnsi="Arial" w:eastAsia="Arial"/>
          <w:b w:val="1"/>
          <w:bCs w:val="1"/>
        </w:rPr>
      </w:pPr>
      <w:r>
        <w:rPr>
          <w:rStyle w:val="Ninguno"/>
          <w:rFonts w:ascii="Arial" w:hAnsi="Arial"/>
          <w:b w:val="1"/>
          <w:bCs w:val="1"/>
          <w:rtl w:val="0"/>
          <w:lang w:val="en-US"/>
        </w:rPr>
        <w:t>Source: (LumenData, 2024)</w:t>
      </w:r>
    </w:p>
    <w:p>
      <w:pPr>
        <w:pStyle w:val="Cuerpo"/>
        <w:rPr>
          <w:rStyle w:val="Ninguno"/>
          <w:rFonts w:ascii="Arial" w:cs="Arial" w:hAnsi="Arial" w:eastAsia="Arial"/>
        </w:rPr>
      </w:pPr>
      <w:r>
        <w:rPr>
          <w:rStyle w:val="Ninguno"/>
          <w:rFonts w:ascii="Arial" w:hAnsi="Arial"/>
          <w:rtl w:val="0"/>
          <w:lang w:val="en-US"/>
        </w:rPr>
        <w:t>Integration with a governed semantic layer and tightly coupled BI endpoints (for example, Fabric Warehouse with Power BI) promotes consistent metrics, faster self-service, and streamlined insight-to-action loops across functions (Microsoft, 2025). From a data domain perspective, Apple</w:t>
      </w:r>
      <w:r>
        <w:rPr>
          <w:rStyle w:val="Ninguno"/>
          <w:rFonts w:ascii="Arial" w:hAnsi="Arial" w:hint="default"/>
          <w:rtl w:val="0"/>
          <w:lang w:val="en-US"/>
        </w:rPr>
        <w:t>’</w:t>
      </w:r>
      <w:r>
        <w:rPr>
          <w:rStyle w:val="Ninguno"/>
          <w:rFonts w:ascii="Arial" w:hAnsi="Arial"/>
          <w:rtl w:val="0"/>
          <w:lang w:val="en-US"/>
        </w:rPr>
        <w:t>s geographic reporting structure and extensive services portfolio mean the warehouse should integrate sales/channel transactions, supply</w:t>
      </w:r>
      <w:r>
        <w:rPr>
          <w:rStyle w:val="Ninguno"/>
          <w:rFonts w:ascii="Cambria Math" w:cs="Cambria Math" w:hAnsi="Cambria Math" w:eastAsia="Cambria Math"/>
          <w:rtl w:val="0"/>
          <w:lang w:val="en-US"/>
        </w:rPr>
        <w:t>‑</w:t>
      </w:r>
      <w:r>
        <w:rPr>
          <w:rStyle w:val="Ninguno"/>
          <w:rFonts w:ascii="Arial" w:hAnsi="Arial"/>
          <w:rtl w:val="0"/>
          <w:lang w:val="en-US"/>
        </w:rPr>
        <w:t>chain telemetry, device diagnostics, and services usage to provide a single, reconciled source of truth for performance and customer value (Apple, 2024). Operational data elements visible in Apple</w:t>
      </w:r>
      <w:r>
        <w:rPr>
          <w:rStyle w:val="Ninguno"/>
          <w:rFonts w:ascii="Arial" w:hAnsi="Arial" w:hint="default"/>
          <w:rtl w:val="0"/>
          <w:lang w:val="en-US"/>
        </w:rPr>
        <w:t>’</w:t>
      </w:r>
      <w:r>
        <w:rPr>
          <w:rStyle w:val="Ninguno"/>
          <w:rFonts w:ascii="Arial" w:hAnsi="Arial"/>
          <w:rtl w:val="0"/>
          <w:lang w:val="en-US"/>
        </w:rPr>
        <w:t>s filings such as vendor non</w:t>
      </w:r>
      <w:r>
        <w:rPr>
          <w:rStyle w:val="Ninguno"/>
          <w:rFonts w:ascii="Cambria Math" w:cs="Cambria Math" w:hAnsi="Cambria Math" w:eastAsia="Cambria Math"/>
          <w:rtl w:val="0"/>
          <w:lang w:val="en-US"/>
        </w:rPr>
        <w:t>‑</w:t>
      </w:r>
      <w:r>
        <w:rPr>
          <w:rStyle w:val="Ninguno"/>
          <w:rFonts w:ascii="Arial" w:hAnsi="Arial"/>
          <w:rtl w:val="0"/>
          <w:lang w:val="en-US"/>
        </w:rPr>
        <w:t>trade receivables, inventories, accounts receivable, and deferred revenue should be modelled into conformed dimensions and fact tables to strengthen cash</w:t>
      </w:r>
      <w:r>
        <w:rPr>
          <w:rStyle w:val="Ninguno"/>
          <w:rFonts w:ascii="Cambria Math" w:cs="Cambria Math" w:hAnsi="Cambria Math" w:eastAsia="Cambria Math"/>
          <w:rtl w:val="0"/>
          <w:lang w:val="en-US"/>
        </w:rPr>
        <w:t>‑</w:t>
      </w:r>
      <w:r>
        <w:rPr>
          <w:rStyle w:val="Ninguno"/>
          <w:rFonts w:ascii="Arial" w:hAnsi="Arial"/>
          <w:rtl w:val="0"/>
          <w:lang w:val="en-US"/>
        </w:rPr>
        <w:t>conversion, working capital, and revenue recognition analytics. Event</w:t>
      </w:r>
      <w:r>
        <w:rPr>
          <w:rStyle w:val="Ninguno"/>
          <w:rFonts w:ascii="Cambria Math" w:cs="Cambria Math" w:hAnsi="Cambria Math" w:eastAsia="Cambria Math"/>
          <w:rtl w:val="0"/>
          <w:lang w:val="en-US"/>
        </w:rPr>
        <w:t>‑</w:t>
      </w:r>
      <w:r>
        <w:rPr>
          <w:rStyle w:val="Ninguno"/>
          <w:rFonts w:ascii="Arial" w:hAnsi="Arial"/>
          <w:rtl w:val="0"/>
          <w:lang w:val="en-US"/>
        </w:rPr>
        <w:t>driven ingestion (e.g., streaming from commerce and telemetry systems) into the bronze layer, followed by standardized transformations into silver, ensures timely availability of cleansed data for near real</w:t>
      </w:r>
      <w:r>
        <w:rPr>
          <w:rStyle w:val="Ninguno"/>
          <w:rFonts w:ascii="Cambria Math" w:cs="Cambria Math" w:hAnsi="Cambria Math" w:eastAsia="Cambria Math"/>
          <w:rtl w:val="0"/>
          <w:lang w:val="en-US"/>
        </w:rPr>
        <w:t>‑</w:t>
      </w:r>
      <w:r>
        <w:rPr>
          <w:rStyle w:val="Ninguno"/>
          <w:rFonts w:ascii="Arial" w:hAnsi="Arial"/>
          <w:rtl w:val="0"/>
          <w:lang w:val="en-US"/>
        </w:rPr>
        <w:t>time operational reporting without compromising reliability (LumenData, 2024). Curated gold datasets can then serve executive dashboards and ML</w:t>
      </w:r>
      <w:r>
        <w:rPr>
          <w:rStyle w:val="Ninguno"/>
          <w:rFonts w:ascii="Cambria Math" w:cs="Cambria Math" w:hAnsi="Cambria Math" w:eastAsia="Cambria Math"/>
          <w:rtl w:val="0"/>
          <w:lang w:val="en-US"/>
        </w:rPr>
        <w:t>‑</w:t>
      </w:r>
      <w:r>
        <w:rPr>
          <w:rStyle w:val="Ninguno"/>
          <w:rFonts w:ascii="Arial" w:hAnsi="Arial"/>
          <w:rtl w:val="0"/>
          <w:lang w:val="en-US"/>
        </w:rPr>
        <w:t>ready feature stores, minimizing reconciliation effort and accelerating deployment of predictive and prescriptive decision support (Microsoft, 2025).</w:t>
      </w:r>
    </w:p>
    <w:p>
      <w:pPr>
        <w:pStyle w:val="Cuerpo"/>
        <w:numPr>
          <w:ilvl w:val="0"/>
          <w:numId w:val="2"/>
        </w:numPr>
        <w:bidi w:val="0"/>
        <w:spacing w:after="0"/>
        <w:ind w:right="0"/>
        <w:jc w:val="both"/>
        <w:rPr>
          <w:rFonts w:ascii="Arial" w:hAnsi="Arial"/>
          <w:rtl w:val="0"/>
          <w:lang w:val="en-US"/>
        </w:rPr>
      </w:pPr>
      <w:r>
        <w:rPr>
          <w:rStyle w:val="Ninguno"/>
          <w:rFonts w:ascii="Arial" w:hAnsi="Arial"/>
          <w:b w:val="1"/>
          <w:bCs w:val="1"/>
          <w:i w:val="1"/>
          <w:iCs w:val="1"/>
          <w:rtl w:val="0"/>
          <w:lang w:val="en-US"/>
        </w:rPr>
        <w:t>Demand planning and inventory optimization:</w:t>
      </w:r>
      <w:r>
        <w:rPr>
          <w:rStyle w:val="Ninguno"/>
          <w:rFonts w:ascii="Arial" w:hAnsi="Arial"/>
          <w:rtl w:val="0"/>
          <w:lang w:val="en-US"/>
        </w:rPr>
        <w:t xml:space="preserve"> Unify point</w:t>
      </w:r>
      <w:r>
        <w:rPr>
          <w:rStyle w:val="Ninguno"/>
          <w:rFonts w:ascii="Cambria Math" w:cs="Cambria Math" w:hAnsi="Cambria Math" w:eastAsia="Cambria Math" w:hint="default"/>
          <w:rtl w:val="0"/>
          <w:lang w:val="en-US"/>
        </w:rPr>
        <w:t>‑</w:t>
      </w:r>
      <w:r>
        <w:rPr>
          <w:rStyle w:val="Ninguno"/>
          <w:rFonts w:ascii="Arial" w:hAnsi="Arial"/>
          <w:rtl w:val="0"/>
          <w:lang w:val="en-US"/>
        </w:rPr>
        <w:t>of</w:t>
      </w:r>
      <w:r>
        <w:rPr>
          <w:rStyle w:val="Ninguno"/>
          <w:rFonts w:ascii="Cambria Math" w:cs="Cambria Math" w:hAnsi="Cambria Math" w:eastAsia="Cambria Math" w:hint="default"/>
          <w:rtl w:val="0"/>
          <w:lang w:val="en-US"/>
        </w:rPr>
        <w:t>‑</w:t>
      </w:r>
      <w:r>
        <w:rPr>
          <w:rStyle w:val="Ninguno"/>
          <w:rFonts w:ascii="Arial" w:hAnsi="Arial"/>
          <w:rtl w:val="0"/>
          <w:lang w:val="en-US"/>
        </w:rPr>
        <w:t>sale, online channel, supplier lead times, and regional sell</w:t>
      </w:r>
      <w:r>
        <w:rPr>
          <w:rStyle w:val="Ninguno"/>
          <w:rFonts w:ascii="Cambria Math" w:cs="Cambria Math" w:hAnsi="Cambria Math" w:eastAsia="Cambria Math" w:hint="default"/>
          <w:rtl w:val="0"/>
          <w:lang w:val="en-US"/>
        </w:rPr>
        <w:t>‑</w:t>
      </w:r>
      <w:r>
        <w:rPr>
          <w:rStyle w:val="Ninguno"/>
          <w:rFonts w:ascii="Arial" w:hAnsi="Arial"/>
          <w:rtl w:val="0"/>
          <w:lang w:val="en-US"/>
        </w:rPr>
        <w:t>through to forecast demand and optimize safety stocks, leveraging elastic compute for seasonal peaks and promotional spikes (Apple, 2024; Snowflake, 2024).</w:t>
      </w:r>
    </w:p>
    <w:p>
      <w:pPr>
        <w:pStyle w:val="Cuerpo"/>
        <w:numPr>
          <w:ilvl w:val="0"/>
          <w:numId w:val="2"/>
        </w:numPr>
        <w:bidi w:val="0"/>
        <w:spacing w:after="0"/>
        <w:ind w:right="0"/>
        <w:jc w:val="both"/>
        <w:rPr>
          <w:rFonts w:ascii="Arial" w:hAnsi="Arial"/>
          <w:rtl w:val="0"/>
          <w:lang w:val="en-US"/>
        </w:rPr>
      </w:pPr>
      <w:r>
        <w:rPr>
          <w:rStyle w:val="Ninguno"/>
          <w:rFonts w:ascii="Arial" w:hAnsi="Arial"/>
          <w:b w:val="1"/>
          <w:bCs w:val="1"/>
          <w:i w:val="1"/>
          <w:iCs w:val="1"/>
          <w:rtl w:val="0"/>
          <w:lang w:val="en-US"/>
        </w:rPr>
        <w:t xml:space="preserve">Services growth and retention: </w:t>
      </w:r>
      <w:r>
        <w:rPr>
          <w:rStyle w:val="Ninguno"/>
          <w:rFonts w:ascii="Arial" w:hAnsi="Arial"/>
          <w:rtl w:val="0"/>
          <w:lang w:val="en-US"/>
        </w:rPr>
        <w:t>Combine subscription events, engagement telemetry, and support interactions to monitor lifetime value, churn risk, and cross</w:t>
      </w:r>
      <w:r>
        <w:rPr>
          <w:rStyle w:val="Ninguno"/>
          <w:rFonts w:ascii="Cambria Math" w:cs="Cambria Math" w:hAnsi="Cambria Math" w:eastAsia="Cambria Math" w:hint="default"/>
          <w:rtl w:val="0"/>
          <w:lang w:val="en-US"/>
        </w:rPr>
        <w:t>‑</w:t>
      </w:r>
      <w:r>
        <w:rPr>
          <w:rStyle w:val="Ninguno"/>
          <w:rFonts w:ascii="Arial" w:hAnsi="Arial"/>
          <w:rtl w:val="0"/>
          <w:lang w:val="en-US"/>
        </w:rPr>
        <w:t>sell propensity across Apple Music, TV+, iCloud, and other services (Apple, 2024).</w:t>
      </w:r>
    </w:p>
    <w:p>
      <w:pPr>
        <w:pStyle w:val="Cuerpo"/>
        <w:numPr>
          <w:ilvl w:val="0"/>
          <w:numId w:val="2"/>
        </w:numPr>
        <w:bidi w:val="0"/>
        <w:spacing w:after="0"/>
        <w:ind w:right="0"/>
        <w:jc w:val="both"/>
        <w:rPr>
          <w:rFonts w:ascii="Arial" w:hAnsi="Arial"/>
          <w:rtl w:val="0"/>
          <w:lang w:val="en-US"/>
        </w:rPr>
      </w:pPr>
      <w:r>
        <w:rPr>
          <w:rStyle w:val="Ninguno"/>
          <w:rFonts w:ascii="Arial" w:hAnsi="Arial"/>
          <w:b w:val="1"/>
          <w:bCs w:val="1"/>
          <w:i w:val="1"/>
          <w:iCs w:val="1"/>
          <w:rtl w:val="0"/>
          <w:lang w:val="en-US"/>
        </w:rPr>
        <w:t>Channel and pricing performance:</w:t>
      </w:r>
      <w:r>
        <w:rPr>
          <w:rStyle w:val="Ninguno"/>
          <w:rFonts w:ascii="Arial" w:hAnsi="Arial"/>
          <w:rtl w:val="0"/>
          <w:lang w:val="en-US"/>
        </w:rPr>
        <w:t xml:space="preserve"> Harmonize wholesale, carrier, and direct channels to analyse net revenue, discounts, and elasticity by geography, informing price corridors and promotion effectiveness (Apple, 2024).</w:t>
      </w:r>
    </w:p>
    <w:p>
      <w:pPr>
        <w:pStyle w:val="Cuerpo"/>
        <w:numPr>
          <w:ilvl w:val="0"/>
          <w:numId w:val="2"/>
        </w:numPr>
        <w:bidi w:val="0"/>
        <w:spacing w:after="0"/>
        <w:ind w:right="0"/>
        <w:jc w:val="both"/>
        <w:rPr>
          <w:rFonts w:ascii="Arial" w:hAnsi="Arial"/>
          <w:rtl w:val="0"/>
          <w:lang w:val="en-US"/>
        </w:rPr>
      </w:pPr>
      <w:r>
        <w:rPr>
          <w:rStyle w:val="Ninguno"/>
          <w:rFonts w:ascii="Arial" w:hAnsi="Arial"/>
          <w:b w:val="1"/>
          <w:bCs w:val="1"/>
          <w:i w:val="1"/>
          <w:iCs w:val="1"/>
          <w:rtl w:val="0"/>
          <w:lang w:val="en-US"/>
        </w:rPr>
        <w:t xml:space="preserve">Device reliability and support: </w:t>
      </w:r>
      <w:r>
        <w:rPr>
          <w:rStyle w:val="Ninguno"/>
          <w:rFonts w:ascii="Arial" w:hAnsi="Arial"/>
          <w:rtl w:val="0"/>
          <w:lang w:val="en-US"/>
        </w:rPr>
        <w:t>Aggregate diagnostics and repair data to track failure patterns, inform quality improvements, and reduce warranty costs via early anomaly detection pipelines (Microsoft, 2025).</w:t>
      </w:r>
    </w:p>
    <w:p>
      <w:pPr>
        <w:pStyle w:val="Cuerpo"/>
        <w:numPr>
          <w:ilvl w:val="0"/>
          <w:numId w:val="2"/>
        </w:numPr>
        <w:bidi w:val="0"/>
        <w:ind w:right="0"/>
        <w:jc w:val="both"/>
        <w:rPr>
          <w:rFonts w:ascii="Arial" w:hAnsi="Arial"/>
          <w:rtl w:val="0"/>
          <w:lang w:val="en-US"/>
        </w:rPr>
      </w:pPr>
      <w:r>
        <w:rPr>
          <w:rStyle w:val="Ninguno"/>
          <w:rFonts w:ascii="Arial" w:hAnsi="Arial"/>
          <w:b w:val="1"/>
          <w:bCs w:val="1"/>
          <w:i w:val="1"/>
          <w:iCs w:val="1"/>
          <w:rtl w:val="0"/>
          <w:lang w:val="en-US"/>
        </w:rPr>
        <w:t>Finance and revenue analytics:</w:t>
      </w:r>
      <w:r>
        <w:rPr>
          <w:rStyle w:val="Ninguno"/>
          <w:rFonts w:ascii="Arial" w:hAnsi="Arial"/>
          <w:rtl w:val="0"/>
          <w:lang w:val="en-US"/>
        </w:rPr>
        <w:t xml:space="preserve"> Build conformed facts for bookings, billings, and revenue to improve forecasting of services and product lines, and monitor deferred revenue realization profiles (Apple, 2024).</w:t>
      </w:r>
    </w:p>
    <w:p>
      <w:pPr>
        <w:pStyle w:val="Cuerpo"/>
        <w:rPr>
          <w:rStyle w:val="Ninguno"/>
          <w:rFonts w:ascii="Arial" w:cs="Arial" w:hAnsi="Arial" w:eastAsia="Arial"/>
        </w:rPr>
      </w:pPr>
      <w:r>
        <w:rPr>
          <w:rStyle w:val="Ninguno"/>
          <w:rFonts w:ascii="Arial" w:hAnsi="Arial"/>
          <w:rtl w:val="0"/>
          <w:lang w:val="en-US"/>
        </w:rPr>
        <w:t>To support broad adoption, the warehouse should expose governed data marts by domain with a shared semantic model that enforces metric definitions (e.g., net sales, active installed base proxies, churn), reducing conflicting reports while preserving local agility (Microsoft, 2025)</w:t>
      </w:r>
    </w:p>
    <w:p>
      <w:pPr>
        <w:pStyle w:val="Encabezamiento"/>
        <w:rPr>
          <w:rStyle w:val="Ninguno"/>
          <w:rFonts w:ascii="Arial" w:cs="Arial" w:hAnsi="Arial" w:eastAsia="Arial"/>
        </w:rPr>
      </w:pPr>
      <w:bookmarkStart w:name="_Toc4" w:id="14"/>
      <w:r>
        <w:rPr>
          <w:rStyle w:val="Ninguno"/>
          <w:rFonts w:ascii="Arial" w:hAnsi="Arial"/>
          <w:rtl w:val="0"/>
          <w:lang w:val="en-US"/>
        </w:rPr>
        <w:t>Data mining techniques for Apple</w:t>
      </w:r>
      <w:bookmarkEnd w:id="14"/>
    </w:p>
    <w:p>
      <w:pPr>
        <w:pStyle w:val="Encabezam. 2"/>
        <w:rPr>
          <w:rStyle w:val="Ninguno"/>
          <w:rFonts w:ascii="Arial" w:cs="Arial" w:hAnsi="Arial" w:eastAsia="Arial"/>
        </w:rPr>
      </w:pPr>
      <w:bookmarkStart w:name="_Toc5" w:id="15"/>
      <w:r>
        <w:rPr>
          <w:rStyle w:val="Ninguno"/>
          <w:rFonts w:ascii="Arial" w:hAnsi="Arial"/>
          <w:rtl w:val="0"/>
          <w:lang w:val="en-US"/>
        </w:rPr>
        <w:t>Association Rule Mining</w:t>
      </w:r>
      <w:bookmarkEnd w:id="15"/>
    </w:p>
    <w:p>
      <w:pPr>
        <w:pStyle w:val="Cuerpo"/>
        <w:rPr>
          <w:rStyle w:val="Ninguno"/>
          <w:rFonts w:ascii="Arial" w:cs="Arial" w:hAnsi="Arial" w:eastAsia="Arial"/>
        </w:rPr>
      </w:pPr>
      <w:r>
        <w:rPr>
          <w:rStyle w:val="Ninguno"/>
          <w:rFonts w:ascii="Arial" w:hAnsi="Arial"/>
          <w:rtl w:val="0"/>
          <w:lang w:val="en-US"/>
        </w:rPr>
        <w:t>Association rule mining, including Apriori and FP-Growth, discovers frequently co-occurring items in transactional data to reveal product affinities that drive effective cross-sell, bundling, and merchandising strategies. Empirical retail studies show that calibrated support and confidence thresholds yield robust rules that translate into actionable category adjacency and promotion planning for revenue and basket-size uplift. For Apple, association rules can surface affinities between iPhone SKUs, AppleCare tiers, and accessories, as well as App Store purchases with Apple One services, enabling targeted offers and in-channel recommendations that align with regional preferences (Yoo, 2023). These insights can also inform inventory positioning and retail visual merchandising by identifying high-affinity item groups and seasonality interactions across channels and geographies (Wahidi and Ismailova, 2024).</w:t>
      </w:r>
    </w:p>
    <w:p>
      <w:pPr>
        <w:pStyle w:val="Cuerpo"/>
        <w:rPr>
          <w:rStyle w:val="Ninguno"/>
          <w:rFonts w:ascii="Arial" w:cs="Arial" w:hAnsi="Arial" w:eastAsia="Arial"/>
        </w:rPr>
      </w:pPr>
      <w:r>
        <w:rPr>
          <w:rStyle w:val="Ninguno"/>
          <w:rFonts w:ascii="Arial" w:hAnsi="Arial"/>
          <w:rtl w:val="0"/>
          <w:lang w:val="en-US"/>
        </w:rPr>
        <w:t>Operationalization requires high</w:t>
      </w:r>
      <w:r>
        <w:rPr>
          <w:rStyle w:val="Ninguno"/>
          <w:rFonts w:ascii="Cambria Math" w:cs="Cambria Math" w:hAnsi="Cambria Math" w:eastAsia="Cambria Math"/>
          <w:rtl w:val="0"/>
          <w:lang w:val="en-US"/>
        </w:rPr>
        <w:t>‑</w:t>
      </w:r>
      <w:r>
        <w:rPr>
          <w:rStyle w:val="Ninguno"/>
          <w:rFonts w:ascii="Arial" w:hAnsi="Arial"/>
          <w:rtl w:val="0"/>
          <w:lang w:val="en-US"/>
        </w:rPr>
        <w:t>quality transaction logs with SKU granularity, customer or device identifiers where permitted, and context (channel, region, time) to generate segment</w:t>
      </w:r>
      <w:r>
        <w:rPr>
          <w:rStyle w:val="Ninguno"/>
          <w:rFonts w:ascii="Cambria Math" w:cs="Cambria Math" w:hAnsi="Cambria Math" w:eastAsia="Cambria Math"/>
          <w:rtl w:val="0"/>
          <w:lang w:val="en-US"/>
        </w:rPr>
        <w:t>‑</w:t>
      </w:r>
      <w:r>
        <w:rPr>
          <w:rStyle w:val="Ninguno"/>
          <w:rFonts w:ascii="Arial" w:hAnsi="Arial"/>
          <w:rtl w:val="0"/>
          <w:lang w:val="en-US"/>
        </w:rPr>
        <w:t>specific rules rather than global averages that obscure local lift (Wahidi and Ismailova, 2024). Model selection between Apriori and FP</w:t>
      </w:r>
      <w:r>
        <w:rPr>
          <w:rStyle w:val="Ninguno"/>
          <w:rFonts w:ascii="Cambria Math" w:cs="Cambria Math" w:hAnsi="Cambria Math" w:eastAsia="Cambria Math"/>
          <w:rtl w:val="0"/>
          <w:lang w:val="en-US"/>
        </w:rPr>
        <w:t>‑</w:t>
      </w:r>
      <w:r>
        <w:rPr>
          <w:rStyle w:val="Ninguno"/>
          <w:rFonts w:ascii="Arial" w:hAnsi="Arial"/>
          <w:rtl w:val="0"/>
          <w:lang w:val="en-US"/>
        </w:rPr>
        <w:t>Growth should consider dataset sparsity and scale, with recent evaluations suggesting FP</w:t>
      </w:r>
      <w:r>
        <w:rPr>
          <w:rStyle w:val="Ninguno"/>
          <w:rFonts w:ascii="Cambria Math" w:cs="Cambria Math" w:hAnsi="Cambria Math" w:eastAsia="Cambria Math"/>
          <w:rtl w:val="0"/>
          <w:lang w:val="en-US"/>
        </w:rPr>
        <w:t>‑</w:t>
      </w:r>
      <w:r>
        <w:rPr>
          <w:rStyle w:val="Ninguno"/>
          <w:rFonts w:ascii="Arial" w:hAnsi="Arial"/>
          <w:rtl w:val="0"/>
          <w:lang w:val="en-US"/>
        </w:rPr>
        <w:t xml:space="preserve">Growth efficiency advantages on large transactional corpora while maintaining rule quality (Prasetiya, 2025; R. Industry </w:t>
      </w:r>
      <w:r>
        <w:rPr>
          <w:rStyle w:val="Ninguno"/>
          <w:rFonts w:ascii="Arial" w:hAnsi="Arial"/>
          <w:i w:val="1"/>
          <w:iCs w:val="1"/>
          <w:rtl w:val="0"/>
          <w:lang w:val="en-US"/>
        </w:rPr>
        <w:t>et al.,</w:t>
      </w:r>
      <w:r>
        <w:rPr>
          <w:rStyle w:val="Ninguno"/>
          <w:rFonts w:ascii="Arial" w:hAnsi="Arial"/>
          <w:rtl w:val="0"/>
          <w:lang w:val="en-US"/>
        </w:rPr>
        <w:t xml:space="preserve"> 2023). Effectiveness can be monitored via offline metrics such as support, confidence, and lift, and through online A/B tests that measure incremental attach rate, average order value, and promotion ROI in targeted cohorts (Wahidi and Ismailova, 2024). Limitations include rule explosion and spurious correlations, which necessitate post</w:t>
      </w:r>
      <w:r>
        <w:rPr>
          <w:rStyle w:val="Ninguno"/>
          <w:rFonts w:ascii="Cambria Math" w:cs="Cambria Math" w:hAnsi="Cambria Math" w:eastAsia="Cambria Math"/>
          <w:rtl w:val="0"/>
          <w:lang w:val="en-US"/>
        </w:rPr>
        <w:t>‑</w:t>
      </w:r>
      <w:r>
        <w:rPr>
          <w:rStyle w:val="Ninguno"/>
          <w:rFonts w:ascii="Arial" w:hAnsi="Arial"/>
          <w:rtl w:val="0"/>
          <w:lang w:val="en-US"/>
        </w:rPr>
        <w:t>processing with domain constraints and causal testing before broad deployment in customer</w:t>
      </w:r>
      <w:r>
        <w:rPr>
          <w:rStyle w:val="Ninguno"/>
          <w:rFonts w:ascii="Cambria Math" w:cs="Cambria Math" w:hAnsi="Cambria Math" w:eastAsia="Cambria Math"/>
          <w:rtl w:val="0"/>
          <w:lang w:val="en-US"/>
        </w:rPr>
        <w:t>‑</w:t>
      </w:r>
      <w:r>
        <w:rPr>
          <w:rStyle w:val="Ninguno"/>
          <w:rFonts w:ascii="Arial" w:hAnsi="Arial"/>
          <w:rtl w:val="0"/>
          <w:lang w:val="en-US"/>
        </w:rPr>
        <w:t xml:space="preserve">facing channels (R. Industry </w:t>
      </w:r>
      <w:r>
        <w:rPr>
          <w:rStyle w:val="Ninguno"/>
          <w:rFonts w:ascii="Arial" w:hAnsi="Arial"/>
          <w:i w:val="1"/>
          <w:iCs w:val="1"/>
          <w:rtl w:val="0"/>
          <w:lang w:val="en-US"/>
        </w:rPr>
        <w:t xml:space="preserve">et al., </w:t>
      </w:r>
      <w:r>
        <w:rPr>
          <w:rStyle w:val="Ninguno"/>
          <w:rFonts w:ascii="Arial" w:hAnsi="Arial"/>
          <w:rtl w:val="0"/>
          <w:lang w:val="en-US"/>
        </w:rPr>
        <w:t>2023).</w:t>
      </w:r>
    </w:p>
    <w:p>
      <w:pPr>
        <w:pStyle w:val="Encabezam. 2"/>
        <w:rPr>
          <w:rStyle w:val="Ninguno"/>
          <w:rFonts w:ascii="Arial" w:cs="Arial" w:hAnsi="Arial" w:eastAsia="Arial"/>
        </w:rPr>
      </w:pPr>
      <w:bookmarkStart w:name="_Toc6" w:id="16"/>
      <w:r>
        <w:rPr>
          <w:rStyle w:val="Ninguno"/>
          <w:rFonts w:ascii="Arial" w:hAnsi="Arial"/>
          <w:rtl w:val="0"/>
          <w:lang w:val="en-US"/>
        </w:rPr>
        <w:t>Churn Prediction</w:t>
      </w:r>
      <w:bookmarkEnd w:id="16"/>
    </w:p>
    <w:p>
      <w:pPr>
        <w:pStyle w:val="Cuerpo"/>
        <w:rPr>
          <w:rStyle w:val="Ninguno"/>
          <w:rFonts w:ascii="Arial" w:cs="Arial" w:hAnsi="Arial" w:eastAsia="Arial"/>
        </w:rPr>
      </w:pPr>
      <w:r>
        <w:rPr>
          <w:rStyle w:val="Ninguno"/>
          <w:rFonts w:ascii="Arial" w:hAnsi="Arial"/>
          <w:rtl w:val="0"/>
          <w:lang w:val="en-US"/>
        </w:rPr>
        <w:t>Churn prediction models estimate the probability that a subscriber will cancel or disengage, enabling proactive retention and personalized lifecycle interventions in services such as Apple Music, TV+, Arcade, iCloud, and News+ (Apple, 2024). Recent studies highlight the efficacy of tree</w:t>
      </w:r>
      <w:r>
        <w:rPr>
          <w:rStyle w:val="Ninguno"/>
          <w:rFonts w:ascii="Cambria Math" w:cs="Cambria Math" w:hAnsi="Cambria Math" w:eastAsia="Cambria Math"/>
          <w:rtl w:val="0"/>
          <w:lang w:val="en-US"/>
        </w:rPr>
        <w:t>‑</w:t>
      </w:r>
      <w:r>
        <w:rPr>
          <w:rStyle w:val="Ninguno"/>
          <w:rFonts w:ascii="Arial" w:hAnsi="Arial"/>
          <w:rtl w:val="0"/>
          <w:lang w:val="en-US"/>
        </w:rPr>
        <w:t>based ensembles and deep learners combined with usage, recency</w:t>
      </w:r>
      <w:r>
        <w:rPr>
          <w:rStyle w:val="Ninguno"/>
          <w:rFonts w:ascii="Cambria Math" w:cs="Cambria Math" w:hAnsi="Cambria Math" w:eastAsia="Cambria Math"/>
          <w:rtl w:val="0"/>
          <w:lang w:val="en-US"/>
        </w:rPr>
        <w:t>‑</w:t>
      </w:r>
      <w:r>
        <w:rPr>
          <w:rStyle w:val="Ninguno"/>
          <w:rFonts w:ascii="Arial" w:hAnsi="Arial"/>
          <w:rtl w:val="0"/>
          <w:lang w:val="en-US"/>
        </w:rPr>
        <w:t>frequency</w:t>
      </w:r>
      <w:r>
        <w:rPr>
          <w:rStyle w:val="Ninguno"/>
          <w:rFonts w:ascii="Cambria Math" w:cs="Cambria Math" w:hAnsi="Cambria Math" w:eastAsia="Cambria Math"/>
          <w:rtl w:val="0"/>
          <w:lang w:val="en-US"/>
        </w:rPr>
        <w:t>‑</w:t>
      </w:r>
      <w:r>
        <w:rPr>
          <w:rStyle w:val="Ninguno"/>
          <w:rFonts w:ascii="Arial" w:hAnsi="Arial"/>
          <w:rtl w:val="0"/>
          <w:lang w:val="en-US"/>
        </w:rPr>
        <w:t xml:space="preserve">monetary features, and service interaction logs, often enhanced with explainability techniques to support business adoption (Prabadevi </w:t>
      </w:r>
      <w:r>
        <w:rPr>
          <w:rStyle w:val="Ninguno"/>
          <w:rFonts w:ascii="Arial" w:hAnsi="Arial"/>
          <w:i w:val="1"/>
          <w:iCs w:val="1"/>
          <w:rtl w:val="0"/>
          <w:lang w:val="en-US"/>
        </w:rPr>
        <w:t>et al.,</w:t>
      </w:r>
      <w:r>
        <w:rPr>
          <w:rStyle w:val="Ninguno"/>
          <w:rFonts w:ascii="Arial" w:hAnsi="Arial"/>
          <w:rtl w:val="0"/>
          <w:lang w:val="en-US"/>
        </w:rPr>
        <w:t xml:space="preserve"> 2023). A 2025 survey synthesizes modelling approaches and emphasizes combining product</w:t>
      </w:r>
      <w:r>
        <w:rPr>
          <w:rStyle w:val="Ninguno"/>
          <w:rFonts w:ascii="Cambria Math" w:cs="Cambria Math" w:hAnsi="Cambria Math" w:eastAsia="Cambria Math"/>
          <w:rtl w:val="0"/>
          <w:lang w:val="en-US"/>
        </w:rPr>
        <w:t>‑</w:t>
      </w:r>
      <w:r>
        <w:rPr>
          <w:rStyle w:val="Ninguno"/>
          <w:rFonts w:ascii="Arial" w:hAnsi="Arial"/>
          <w:rtl w:val="0"/>
          <w:lang w:val="en-US"/>
        </w:rPr>
        <w:t>usage features with network</w:t>
      </w:r>
      <w:r>
        <w:rPr>
          <w:rStyle w:val="Ninguno"/>
          <w:rFonts w:ascii="Cambria Math" w:cs="Cambria Math" w:hAnsi="Cambria Math" w:eastAsia="Cambria Math"/>
          <w:rtl w:val="0"/>
          <w:lang w:val="en-US"/>
        </w:rPr>
        <w:t>‑</w:t>
      </w:r>
      <w:r>
        <w:rPr>
          <w:rStyle w:val="Ninguno"/>
          <w:rFonts w:ascii="Arial" w:hAnsi="Arial"/>
          <w:rtl w:val="0"/>
          <w:lang w:val="en-US"/>
        </w:rPr>
        <w:t xml:space="preserve"> or graph</w:t>
      </w:r>
      <w:r>
        <w:rPr>
          <w:rStyle w:val="Ninguno"/>
          <w:rFonts w:ascii="Cambria Math" w:cs="Cambria Math" w:hAnsi="Cambria Math" w:eastAsia="Cambria Math"/>
          <w:rtl w:val="0"/>
          <w:lang w:val="en-US"/>
        </w:rPr>
        <w:t>‑</w:t>
      </w:r>
      <w:r>
        <w:rPr>
          <w:rStyle w:val="Ninguno"/>
          <w:rFonts w:ascii="Arial" w:hAnsi="Arial"/>
          <w:rtl w:val="0"/>
          <w:lang w:val="en-US"/>
        </w:rPr>
        <w:t xml:space="preserve">based features to capture peer effects and social influence on churn, while noting the need for interpretable models for business actionability (Shahabikargar </w:t>
      </w:r>
      <w:r>
        <w:rPr>
          <w:rStyle w:val="Ninguno"/>
          <w:rFonts w:ascii="Arial" w:hAnsi="Arial"/>
          <w:i w:val="1"/>
          <w:iCs w:val="1"/>
          <w:rtl w:val="0"/>
          <w:lang w:val="en-US"/>
        </w:rPr>
        <w:t>et al.,</w:t>
      </w:r>
      <w:r>
        <w:rPr>
          <w:rStyle w:val="Ninguno"/>
          <w:rFonts w:ascii="Arial" w:hAnsi="Arial"/>
          <w:rtl w:val="0"/>
          <w:lang w:val="en-US"/>
        </w:rPr>
        <w:t xml:space="preserve"> 2025). In practice, explainable methods such as SHAP support root</w:t>
      </w:r>
      <w:r>
        <w:rPr>
          <w:rStyle w:val="Ninguno"/>
          <w:rFonts w:ascii="Cambria Math" w:cs="Cambria Math" w:hAnsi="Cambria Math" w:eastAsia="Cambria Math"/>
          <w:rtl w:val="0"/>
          <w:lang w:val="en-US"/>
        </w:rPr>
        <w:t>‑</w:t>
      </w:r>
      <w:r>
        <w:rPr>
          <w:rStyle w:val="Ninguno"/>
          <w:rFonts w:ascii="Arial" w:hAnsi="Arial"/>
          <w:rtl w:val="0"/>
          <w:lang w:val="en-US"/>
        </w:rPr>
        <w:t xml:space="preserve">cause analysis of churn drivers, enabling targeted offers and product fixes aligned to the most influential factors rather than generic discounts (Poudel </w:t>
      </w:r>
      <w:r>
        <w:rPr>
          <w:rStyle w:val="Ninguno"/>
          <w:rFonts w:ascii="Arial" w:hAnsi="Arial"/>
          <w:i w:val="1"/>
          <w:iCs w:val="1"/>
          <w:rtl w:val="0"/>
          <w:lang w:val="en-US"/>
        </w:rPr>
        <w:t>et al.,</w:t>
      </w:r>
      <w:r>
        <w:rPr>
          <w:rStyle w:val="Ninguno"/>
          <w:rFonts w:ascii="Arial" w:hAnsi="Arial"/>
          <w:rtl w:val="0"/>
          <w:lang w:val="en-US"/>
        </w:rPr>
        <w:t xml:space="preserve"> 2024).</w:t>
      </w:r>
    </w:p>
    <w:p>
      <w:pPr>
        <w:pStyle w:val="Cuerpo"/>
        <w:rPr>
          <w:rStyle w:val="Ninguno"/>
          <w:rFonts w:ascii="Arial" w:cs="Arial" w:hAnsi="Arial" w:eastAsia="Arial"/>
        </w:rPr>
      </w:pPr>
      <w:r>
        <w:rPr>
          <w:rStyle w:val="Ninguno"/>
          <w:rFonts w:ascii="Arial" w:hAnsi="Arial"/>
          <w:rtl w:val="0"/>
          <w:lang w:val="en-US"/>
        </w:rPr>
        <w:t>For Apple, key features include service engagement depth, subscription tenure, device compatibility and OS update cadence, payment failures, support interactions, and cross</w:t>
      </w:r>
      <w:r>
        <w:rPr>
          <w:rStyle w:val="Ninguno"/>
          <w:rFonts w:ascii="Cambria Math" w:cs="Cambria Math" w:hAnsi="Cambria Math" w:eastAsia="Cambria Math"/>
          <w:rtl w:val="0"/>
          <w:lang w:val="en-US"/>
        </w:rPr>
        <w:t>‑</w:t>
      </w:r>
      <w:r>
        <w:rPr>
          <w:rStyle w:val="Ninguno"/>
          <w:rFonts w:ascii="Arial" w:hAnsi="Arial"/>
          <w:rtl w:val="0"/>
          <w:lang w:val="en-US"/>
        </w:rPr>
        <w:t xml:space="preserve">product adoption (e.g., Music plus Fitness+), all engineered at weekly cadence to capture behavior shifts early enough for intervention (Shahabikargar </w:t>
      </w:r>
      <w:r>
        <w:rPr>
          <w:rStyle w:val="Ninguno"/>
          <w:rFonts w:ascii="Arial" w:hAnsi="Arial"/>
          <w:i w:val="1"/>
          <w:iCs w:val="1"/>
          <w:rtl w:val="0"/>
          <w:lang w:val="en-US"/>
        </w:rPr>
        <w:t>et al.,</w:t>
      </w:r>
      <w:r>
        <w:rPr>
          <w:rStyle w:val="Ninguno"/>
          <w:rFonts w:ascii="Arial" w:hAnsi="Arial"/>
          <w:rtl w:val="0"/>
          <w:lang w:val="en-US"/>
        </w:rPr>
        <w:t xml:space="preserve"> 2025). Model performance should be tracked using AUC</w:t>
      </w:r>
      <w:r>
        <w:rPr>
          <w:rStyle w:val="Ninguno"/>
          <w:rFonts w:ascii="Cambria Math" w:cs="Cambria Math" w:hAnsi="Cambria Math" w:eastAsia="Cambria Math"/>
          <w:rtl w:val="0"/>
          <w:lang w:val="en-US"/>
        </w:rPr>
        <w:t>‑</w:t>
      </w:r>
      <w:r>
        <w:rPr>
          <w:rStyle w:val="Ninguno"/>
          <w:rFonts w:ascii="Arial" w:hAnsi="Arial"/>
          <w:rtl w:val="0"/>
          <w:lang w:val="en-US"/>
        </w:rPr>
        <w:t>ROC, precision</w:t>
      </w:r>
      <w:r>
        <w:rPr>
          <w:rStyle w:val="Ninguno"/>
          <w:rFonts w:ascii="Cambria Math" w:cs="Cambria Math" w:hAnsi="Cambria Math" w:eastAsia="Cambria Math"/>
          <w:rtl w:val="0"/>
          <w:lang w:val="en-US"/>
        </w:rPr>
        <w:t>‑</w:t>
      </w:r>
      <w:r>
        <w:rPr>
          <w:rStyle w:val="Ninguno"/>
          <w:rFonts w:ascii="Arial" w:hAnsi="Arial"/>
          <w:rtl w:val="0"/>
          <w:lang w:val="en-US"/>
        </w:rPr>
        <w:t xml:space="preserve">recall at operational thresholds, and uplift in retention from treatment versus control, ensuring that gains are not driven by incentives to customers who would have stayed anyway (Prabadevi </w:t>
      </w:r>
      <w:r>
        <w:rPr>
          <w:rStyle w:val="Ninguno"/>
          <w:rFonts w:ascii="Arial" w:hAnsi="Arial"/>
          <w:i w:val="1"/>
          <w:iCs w:val="1"/>
          <w:rtl w:val="0"/>
          <w:lang w:val="en-US"/>
        </w:rPr>
        <w:t xml:space="preserve">et al., </w:t>
      </w:r>
      <w:r>
        <w:rPr>
          <w:rStyle w:val="Ninguno"/>
          <w:rFonts w:ascii="Arial" w:hAnsi="Arial"/>
          <w:rtl w:val="0"/>
          <w:lang w:val="en-US"/>
        </w:rPr>
        <w:t>2023). Productionizing churn models requires a robust MLOps process for data drift detection, periodic retraining, and fairness checks across regions and demographics to mitigate biased outreach or inconsistent experiences, with explainability artifacts made available to lifecycle managers. Common pitfalls include label leakage from renewal events and overfitting to promotional periods, which can be addressed through careful temporal validation and feature audits that reflect real</w:t>
      </w:r>
      <w:r>
        <w:rPr>
          <w:rStyle w:val="Ninguno"/>
          <w:rFonts w:ascii="Cambria Math" w:cs="Cambria Math" w:hAnsi="Cambria Math" w:eastAsia="Cambria Math"/>
          <w:rtl w:val="0"/>
          <w:lang w:val="en-US"/>
        </w:rPr>
        <w:t>‑</w:t>
      </w:r>
      <w:r>
        <w:rPr>
          <w:rStyle w:val="Ninguno"/>
          <w:rFonts w:ascii="Arial" w:hAnsi="Arial"/>
          <w:rtl w:val="0"/>
          <w:lang w:val="en-US"/>
        </w:rPr>
        <w:t>time availability at decision time.</w:t>
      </w:r>
    </w:p>
    <w:p>
      <w:pPr>
        <w:pStyle w:val="Encabezamiento"/>
        <w:rPr>
          <w:rStyle w:val="Ninguno"/>
          <w:rFonts w:ascii="Arial" w:cs="Arial" w:hAnsi="Arial" w:eastAsia="Arial"/>
        </w:rPr>
      </w:pPr>
      <w:bookmarkStart w:name="_Toc7" w:id="17"/>
      <w:r>
        <w:rPr>
          <w:rStyle w:val="Ninguno"/>
          <w:rFonts w:ascii="Arial" w:hAnsi="Arial"/>
          <w:rtl w:val="0"/>
          <w:lang w:val="en-US"/>
        </w:rPr>
        <w:t>Predictive analytics tools recommendations</w:t>
      </w:r>
      <w:bookmarkEnd w:id="17"/>
    </w:p>
    <w:p>
      <w:pPr>
        <w:pStyle w:val="Cuerpo"/>
        <w:rPr>
          <w:rStyle w:val="Ninguno"/>
          <w:rFonts w:ascii="Arial" w:cs="Arial" w:hAnsi="Arial" w:eastAsia="Arial"/>
        </w:rPr>
      </w:pPr>
      <w:r>
        <w:rPr>
          <w:rStyle w:val="Ninguno"/>
          <w:rFonts w:ascii="Arial" w:hAnsi="Arial"/>
          <w:rtl w:val="0"/>
          <w:lang w:val="en-US"/>
        </w:rPr>
        <w:t>A pragmatic predictive analytics toolset for Apple should combine Power Bi for business-facing forecasting and automation, IBM SPSS Statistics for rigorous time-series modelling, Excel for rapid ETS-based forecasting, and Altair RapidMiner for visual AutoML and operationalisation at scale. Together these tools balance usability, governance, and integration with enterprise data pipelines and reporting workflows. A comparison of the tools has been presented in the table below:</w:t>
      </w:r>
    </w:p>
    <w:tbl>
      <w:tblPr>
        <w:tblW w:w="1083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470"/>
        <w:gridCol w:w="2340"/>
        <w:gridCol w:w="2340"/>
        <w:gridCol w:w="2340"/>
        <w:gridCol w:w="2340"/>
      </w:tblGrid>
      <w:tr>
        <w:tblPrEx>
          <w:shd w:val="clear" w:color="auto" w:fill="ced7e7"/>
        </w:tblPrEx>
        <w:trPr>
          <w:trHeight w:val="572" w:hRule="atLeast"/>
        </w:trPr>
        <w:tc>
          <w:tcPr>
            <w:tcW w:type="dxa" w:w="14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Tool</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Features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Usability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Integration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Forecast/Automation</w:t>
            </w:r>
          </w:p>
        </w:tc>
      </w:tr>
      <w:tr>
        <w:tblPrEx>
          <w:shd w:val="clear" w:color="auto" w:fill="ced7e7"/>
        </w:tblPrEx>
        <w:trPr>
          <w:trHeight w:val="1972" w:hRule="atLeast"/>
        </w:trPr>
        <w:tc>
          <w:tcPr>
            <w:tcW w:type="dxa" w:w="14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Power BI</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Analytics pane with forecasting on line charts; automatic and scheduled page refresh for near real-time monitoring.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Business-friendly visuals and low-code analytics.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Works with Microsoft Fabric/Power Bi service; scheduled refresh and gateways (Microsoft, 2025).</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Forecast visuals plus automatic page refresh configurable per report.</w:t>
            </w:r>
          </w:p>
        </w:tc>
      </w:tr>
      <w:tr>
        <w:tblPrEx>
          <w:shd w:val="clear" w:color="auto" w:fill="ced7e7"/>
        </w:tblPrEx>
        <w:trPr>
          <w:trHeight w:val="2252" w:hRule="atLeast"/>
        </w:trPr>
        <w:tc>
          <w:tcPr>
            <w:tcW w:type="dxa" w:w="14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Excel</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FORECAST.ETS for additive triple exponential smoothing with optional seasonality, confidence intervals, and data completion.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Ubiquitous spreadsheet interface with built-in forecasting functions (Microsoft, 2025)</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Acts as a governed source for BI semantic models and scheduled refresh pipelines.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uerpo"/>
              <w:widowControl w:val="0"/>
              <w:spacing w:after="0" w:line="240" w:lineRule="auto"/>
            </w:pPr>
            <w:r>
              <w:rPr>
                <w:rStyle w:val="Ninguno"/>
                <w:rFonts w:ascii="Arial" w:hAnsi="Arial"/>
                <w:shd w:val="nil" w:color="auto" w:fill="auto"/>
                <w:rtl w:val="0"/>
                <w:lang w:val="en-US"/>
              </w:rPr>
              <w:t>Fast, parameterised forecasts via ETS functions for operational planning (Microsoft, 2025)</w:t>
            </w:r>
          </w:p>
        </w:tc>
      </w:tr>
      <w:tr>
        <w:tblPrEx>
          <w:shd w:val="clear" w:color="auto" w:fill="ced7e7"/>
        </w:tblPrEx>
        <w:trPr>
          <w:trHeight w:val="1972" w:hRule="atLeast"/>
        </w:trPr>
        <w:tc>
          <w:tcPr>
            <w:tcW w:type="dxa" w:w="14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IBM SPSS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ARIMA and smoothing; trees, neural networks, and RFM modelling for predictive analysis (IBM, 2024)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Point-and-click workflows for statisticians and analysts (IBM, 2024)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Interoperable through exports for BI reporting and model handoff (IBM, 2024)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Time-series forecasting (ARIMA/seasonal) for rigorous baseline models (IBM, 2024)</w:t>
            </w:r>
          </w:p>
        </w:tc>
      </w:tr>
      <w:tr>
        <w:tblPrEx>
          <w:shd w:val="clear" w:color="auto" w:fill="ced7e7"/>
        </w:tblPrEx>
        <w:trPr>
          <w:trHeight w:val="1692" w:hRule="atLeast"/>
        </w:trPr>
        <w:tc>
          <w:tcPr>
            <w:tcW w:type="dxa" w:w="147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ff2cc"/>
            <w:tcMar>
              <w:top w:type="dxa" w:w="80"/>
              <w:left w:type="dxa" w:w="80"/>
              <w:bottom w:type="dxa" w:w="80"/>
              <w:right w:type="dxa" w:w="80"/>
            </w:tcMar>
            <w:vAlign w:val="top"/>
          </w:tcPr>
          <w:p>
            <w:pPr>
              <w:pStyle w:val="Cuerpo"/>
              <w:widowControl w:val="0"/>
              <w:spacing w:after="0" w:line="240" w:lineRule="auto"/>
              <w:jc w:val="center"/>
            </w:pPr>
            <w:r>
              <w:rPr>
                <w:rStyle w:val="Ninguno"/>
                <w:rFonts w:ascii="Arial" w:hAnsi="Arial"/>
                <w:b w:val="1"/>
                <w:bCs w:val="1"/>
                <w:shd w:val="nil" w:color="auto" w:fill="auto"/>
                <w:rtl w:val="0"/>
                <w:lang w:val="en-US"/>
              </w:rPr>
              <w:t>Altair RapidMiner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Visual AutoML, end-to-end AI development, governance, and deployment (Altair, 2024)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Drag-and-drop workflow studio and Python-compatible development (Altair, 2024)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Connectors for SharePoint and JDBC integration to Snowflake (Altair, 2024; CData, 2024)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Cuerpo"/>
              <w:spacing w:after="0" w:line="240" w:lineRule="auto"/>
            </w:pPr>
            <w:r>
              <w:rPr>
                <w:rStyle w:val="Ninguno"/>
                <w:rFonts w:ascii="Arial" w:hAnsi="Arial"/>
                <w:shd w:val="nil" w:color="auto" w:fill="auto"/>
                <w:rtl w:val="0"/>
                <w:lang w:val="en-US"/>
              </w:rPr>
              <w:t xml:space="preserve">Automated pipelines and model ops for scheduled predictions (Altair, 2024) </w:t>
            </w:r>
          </w:p>
        </w:tc>
      </w:tr>
    </w:tbl>
    <w:p>
      <w:pPr>
        <w:pStyle w:val="Cuerpo"/>
        <w:widowControl w:val="0"/>
        <w:spacing w:line="240" w:lineRule="auto"/>
        <w:rPr>
          <w:rStyle w:val="Ninguno"/>
          <w:rFonts w:ascii="Arial" w:cs="Arial" w:hAnsi="Arial" w:eastAsia="Arial"/>
        </w:rPr>
      </w:pPr>
    </w:p>
    <w:p>
      <w:pPr>
        <w:pStyle w:val="Cuerpo"/>
        <w:jc w:val="center"/>
        <w:rPr>
          <w:rStyle w:val="Ninguno"/>
          <w:rFonts w:ascii="Arial" w:cs="Arial" w:hAnsi="Arial" w:eastAsia="Arial"/>
          <w:b w:val="1"/>
          <w:bCs w:val="1"/>
        </w:rPr>
      </w:pPr>
      <w:r>
        <w:rPr>
          <w:rStyle w:val="Ninguno"/>
          <w:rFonts w:ascii="Arial" w:hAnsi="Arial"/>
          <w:b w:val="1"/>
          <w:bCs w:val="1"/>
          <w:rtl w:val="0"/>
          <w:lang w:val="en-US"/>
        </w:rPr>
        <w:t>Table 1. Recommended specific predictive analytics tools or software that could be implemented</w:t>
      </w:r>
    </w:p>
    <w:p>
      <w:pPr>
        <w:pStyle w:val="Cuerpo"/>
        <w:jc w:val="center"/>
        <w:rPr>
          <w:rStyle w:val="Ninguno"/>
          <w:rFonts w:ascii="Arial" w:cs="Arial" w:hAnsi="Arial" w:eastAsia="Arial"/>
          <w:b w:val="1"/>
          <w:bCs w:val="1"/>
        </w:rPr>
      </w:pPr>
      <w:r>
        <w:rPr>
          <w:rStyle w:val="Ninguno"/>
          <w:rFonts w:ascii="Arial" w:hAnsi="Arial"/>
          <w:b w:val="1"/>
          <w:bCs w:val="1"/>
          <w:rtl w:val="0"/>
          <w:lang w:val="en-US"/>
        </w:rPr>
        <w:t>Source: (Created by Student)</w:t>
      </w:r>
    </w:p>
    <w:p>
      <w:pPr>
        <w:pStyle w:val="Encabezamiento"/>
        <w:rPr>
          <w:rStyle w:val="Ninguno"/>
          <w:rFonts w:ascii="Arial" w:cs="Arial" w:hAnsi="Arial" w:eastAsia="Arial"/>
        </w:rPr>
      </w:pPr>
      <w:bookmarkStart w:name="_Toc8" w:id="18"/>
      <w:r>
        <w:rPr>
          <w:rStyle w:val="Ninguno"/>
          <w:rFonts w:ascii="Arial" w:hAnsi="Arial"/>
          <w:rtl w:val="0"/>
          <w:lang w:val="en-US"/>
        </w:rPr>
        <w:t>Ethical and data security considerations</w:t>
      </w:r>
      <w:bookmarkEnd w:id="18"/>
    </w:p>
    <w:p>
      <w:pPr>
        <w:pStyle w:val="Cuerpo"/>
        <w:rPr>
          <w:rStyle w:val="Ninguno"/>
          <w:rFonts w:ascii="Arial" w:cs="Arial" w:hAnsi="Arial" w:eastAsia="Arial"/>
        </w:rPr>
      </w:pPr>
      <w:r>
        <w:rPr>
          <w:rStyle w:val="Ninguno"/>
          <w:rFonts w:ascii="Arial" w:hAnsi="Arial"/>
          <w:rtl w:val="0"/>
          <w:lang w:val="en-US"/>
        </w:rPr>
        <w:t>Apple</w:t>
      </w:r>
      <w:r>
        <w:rPr>
          <w:rStyle w:val="Ninguno"/>
          <w:rFonts w:ascii="Arial" w:hAnsi="Arial" w:hint="default"/>
          <w:rtl w:val="0"/>
          <w:lang w:val="en-US"/>
        </w:rPr>
        <w:t>’</w:t>
      </w:r>
      <w:r>
        <w:rPr>
          <w:rStyle w:val="Ninguno"/>
          <w:rFonts w:ascii="Arial" w:hAnsi="Arial"/>
          <w:rtl w:val="0"/>
          <w:lang w:val="en-US"/>
        </w:rPr>
        <w:t>s BI and analytics program should embed GDPR</w:t>
      </w:r>
      <w:r>
        <w:rPr>
          <w:rStyle w:val="Ninguno"/>
          <w:rFonts w:ascii="Arial" w:hAnsi="Arial" w:hint="default"/>
          <w:rtl w:val="0"/>
          <w:lang w:val="en-US"/>
        </w:rPr>
        <w:t>’</w:t>
      </w:r>
      <w:r>
        <w:rPr>
          <w:rStyle w:val="Ninguno"/>
          <w:rFonts w:ascii="Arial" w:hAnsi="Arial"/>
          <w:rtl w:val="0"/>
          <w:lang w:val="en-US"/>
        </w:rPr>
        <w:t>s core principles lawfulness, fairness, transparency, purpose limitation, data minimization, accuracy, storage limitation, integrity, confidentiality, and accountability into data lifecycle controls and model governance to ensure compliant processing across regions (GDPR Art. 5). Consent and transparency must be operationalized via clear notices, granular purpose declarations, and preference management, aligning with Apple</w:t>
      </w:r>
      <w:r>
        <w:rPr>
          <w:rStyle w:val="Ninguno"/>
          <w:rFonts w:ascii="Arial" w:hAnsi="Arial" w:hint="default"/>
          <w:rtl w:val="0"/>
          <w:lang w:val="en-US"/>
        </w:rPr>
        <w:t>’</w:t>
      </w:r>
      <w:r>
        <w:rPr>
          <w:rStyle w:val="Ninguno"/>
          <w:rFonts w:ascii="Arial" w:hAnsi="Arial"/>
          <w:rtl w:val="0"/>
          <w:lang w:val="en-US"/>
        </w:rPr>
        <w:t>s platform requirements such as App Store privacy disclosures and privacy manifests for SDKs (FPF, 2024). Data ownership and data subject rights require documented roles for controller/processor responsibilities, robust processes for access, rectification, erasure, and portability, and auditable decision logs for models affecting services or pricing (GDPR principles; NIST AI RMF). The NIST AI RMF</w:t>
      </w:r>
      <w:r>
        <w:rPr>
          <w:rStyle w:val="Ninguno"/>
          <w:rFonts w:ascii="Arial" w:hAnsi="Arial" w:hint="default"/>
          <w:rtl w:val="0"/>
          <w:lang w:val="en-US"/>
        </w:rPr>
        <w:t>’</w:t>
      </w:r>
      <w:r>
        <w:rPr>
          <w:rStyle w:val="Ninguno"/>
          <w:rFonts w:ascii="Arial" w:hAnsi="Arial"/>
          <w:rtl w:val="0"/>
          <w:lang w:val="en-US"/>
        </w:rPr>
        <w:t>s GOVERN</w:t>
      </w:r>
      <w:r>
        <w:rPr>
          <w:rStyle w:val="Ninguno"/>
          <w:rFonts w:ascii="Arial" w:hAnsi="Arial" w:hint="default"/>
          <w:rtl w:val="0"/>
          <w:lang w:val="en-US"/>
        </w:rPr>
        <w:t>–</w:t>
      </w:r>
      <w:r>
        <w:rPr>
          <w:rStyle w:val="Ninguno"/>
          <w:rFonts w:ascii="Arial" w:hAnsi="Arial"/>
          <w:rtl w:val="0"/>
          <w:lang w:val="en-US"/>
        </w:rPr>
        <w:t>MAP</w:t>
      </w:r>
      <w:r>
        <w:rPr>
          <w:rStyle w:val="Ninguno"/>
          <w:rFonts w:ascii="Arial" w:hAnsi="Arial" w:hint="default"/>
          <w:rtl w:val="0"/>
          <w:lang w:val="en-US"/>
        </w:rPr>
        <w:t>–</w:t>
      </w:r>
      <w:r>
        <w:rPr>
          <w:rStyle w:val="Ninguno"/>
          <w:rFonts w:ascii="Arial" w:hAnsi="Arial"/>
          <w:rtl w:val="0"/>
          <w:lang w:val="en-US"/>
        </w:rPr>
        <w:t>MEASURE</w:t>
      </w:r>
      <w:r>
        <w:rPr>
          <w:rStyle w:val="Ninguno"/>
          <w:rFonts w:ascii="Arial" w:hAnsi="Arial" w:hint="default"/>
          <w:rtl w:val="0"/>
          <w:lang w:val="en-US"/>
        </w:rPr>
        <w:t>–</w:t>
      </w:r>
      <w:r>
        <w:rPr>
          <w:rStyle w:val="Ninguno"/>
          <w:rFonts w:ascii="Arial" w:hAnsi="Arial"/>
          <w:rtl w:val="0"/>
          <w:lang w:val="en-US"/>
        </w:rPr>
        <w:t>MANAGE functions provide a blueprint to embed oversight, contextual risk assessment, continuous evaluation, and incident response for predictive systems at scale (NIST, 2023).</w:t>
      </w:r>
    </w:p>
    <w:p>
      <w:pPr>
        <w:pStyle w:val="Cuerpo"/>
        <w:rPr>
          <w:rStyle w:val="Ninguno"/>
          <w:rFonts w:ascii="Arial" w:cs="Arial" w:hAnsi="Arial" w:eastAsia="Arial"/>
        </w:rPr>
      </w:pPr>
      <w:r>
        <w:rPr>
          <w:rStyle w:val="Ninguno"/>
          <w:rFonts w:ascii="Arial" w:hAnsi="Arial"/>
          <w:rtl w:val="0"/>
          <w:lang w:val="en-US"/>
        </w:rPr>
        <w:t>Security safeguards should layer least</w:t>
      </w:r>
      <w:r>
        <w:rPr>
          <w:rStyle w:val="Ninguno"/>
          <w:rFonts w:ascii="Cambria Math" w:cs="Cambria Math" w:hAnsi="Cambria Math" w:eastAsia="Cambria Math"/>
          <w:rtl w:val="0"/>
          <w:lang w:val="en-US"/>
        </w:rPr>
        <w:t>‑</w:t>
      </w:r>
      <w:r>
        <w:rPr>
          <w:rStyle w:val="Ninguno"/>
          <w:rFonts w:ascii="Arial" w:hAnsi="Arial"/>
          <w:rtl w:val="0"/>
          <w:lang w:val="en-US"/>
        </w:rPr>
        <w:t>privilege access control, role</w:t>
      </w:r>
      <w:r>
        <w:rPr>
          <w:rStyle w:val="Ninguno"/>
          <w:rFonts w:ascii="Cambria Math" w:cs="Cambria Math" w:hAnsi="Cambria Math" w:eastAsia="Cambria Math"/>
          <w:rtl w:val="0"/>
          <w:lang w:val="en-US"/>
        </w:rPr>
        <w:t>‑</w:t>
      </w:r>
      <w:r>
        <w:rPr>
          <w:rStyle w:val="Ninguno"/>
          <w:rFonts w:ascii="Arial" w:hAnsi="Arial"/>
          <w:rtl w:val="0"/>
          <w:lang w:val="en-US"/>
        </w:rPr>
        <w:t>based and attribute</w:t>
      </w:r>
      <w:r>
        <w:rPr>
          <w:rStyle w:val="Ninguno"/>
          <w:rFonts w:ascii="Cambria Math" w:cs="Cambria Math" w:hAnsi="Cambria Math" w:eastAsia="Cambria Math"/>
          <w:rtl w:val="0"/>
          <w:lang w:val="en-US"/>
        </w:rPr>
        <w:t>‑</w:t>
      </w:r>
      <w:r>
        <w:rPr>
          <w:rStyle w:val="Ninguno"/>
          <w:rFonts w:ascii="Arial" w:hAnsi="Arial"/>
          <w:rtl w:val="0"/>
          <w:lang w:val="en-US"/>
        </w:rPr>
        <w:t>based policies, network segmentation, and encryption in transit and at rest, complemented by key management and signing for model/artifact integrity (GDPR integrity/confidentiality; NIST AI RMF). Monitoring should include security event logging, anomaly detection, and model drift/fairness dashboards, with red</w:t>
      </w:r>
      <w:r>
        <w:rPr>
          <w:rStyle w:val="Ninguno"/>
          <w:rFonts w:ascii="Cambria Math" w:cs="Cambria Math" w:hAnsi="Cambria Math" w:eastAsia="Cambria Math"/>
          <w:rtl w:val="0"/>
          <w:lang w:val="en-US"/>
        </w:rPr>
        <w:t>‑</w:t>
      </w:r>
      <w:r>
        <w:rPr>
          <w:rStyle w:val="Ninguno"/>
          <w:rFonts w:ascii="Arial" w:hAnsi="Arial"/>
          <w:rtl w:val="0"/>
          <w:lang w:val="en-US"/>
        </w:rPr>
        <w:t>team testing of adversarial and data</w:t>
      </w:r>
      <w:r>
        <w:rPr>
          <w:rStyle w:val="Ninguno"/>
          <w:rFonts w:ascii="Cambria Math" w:cs="Cambria Math" w:hAnsi="Cambria Math" w:eastAsia="Cambria Math"/>
          <w:rtl w:val="0"/>
          <w:lang w:val="en-US"/>
        </w:rPr>
        <w:t>‑</w:t>
      </w:r>
      <w:r>
        <w:rPr>
          <w:rStyle w:val="Ninguno"/>
          <w:rFonts w:ascii="Arial" w:hAnsi="Arial"/>
          <w:rtl w:val="0"/>
          <w:lang w:val="en-US"/>
        </w:rPr>
        <w:t>poisoning risks (NIST AI RMF). Threat mitigation must consider internal misuse (oversharing, shadow modelling, unauthorized reidentification) via training, approvals, and segregation of duties, and external threats (credential theft, supply</w:t>
      </w:r>
      <w:r>
        <w:rPr>
          <w:rStyle w:val="Ninguno"/>
          <w:rFonts w:ascii="Cambria Math" w:cs="Cambria Math" w:hAnsi="Cambria Math" w:eastAsia="Cambria Math"/>
          <w:rtl w:val="0"/>
          <w:lang w:val="en-US"/>
        </w:rPr>
        <w:t>‑</w:t>
      </w:r>
      <w:r>
        <w:rPr>
          <w:rStyle w:val="Ninguno"/>
          <w:rFonts w:ascii="Arial" w:hAnsi="Arial"/>
          <w:rtl w:val="0"/>
          <w:lang w:val="en-US"/>
        </w:rPr>
        <w:t>chain exploits) via MFA, SBOM for AI components, and zero</w:t>
      </w:r>
      <w:r>
        <w:rPr>
          <w:rStyle w:val="Ninguno"/>
          <w:rFonts w:ascii="Cambria Math" w:cs="Cambria Math" w:hAnsi="Cambria Math" w:eastAsia="Cambria Math"/>
          <w:rtl w:val="0"/>
          <w:lang w:val="en-US"/>
        </w:rPr>
        <w:t>‑</w:t>
      </w:r>
      <w:r>
        <w:rPr>
          <w:rStyle w:val="Ninguno"/>
          <w:rFonts w:ascii="Arial" w:hAnsi="Arial"/>
          <w:rtl w:val="0"/>
          <w:lang w:val="en-US"/>
        </w:rPr>
        <w:t>trust posture (NIST AI RMF; Apple transparency practices).</w:t>
      </w:r>
    </w:p>
    <w:p>
      <w:pPr>
        <w:pStyle w:val="Encabezamiento"/>
        <w:rPr>
          <w:rStyle w:val="Ninguno"/>
          <w:rFonts w:ascii="Arial" w:cs="Arial" w:hAnsi="Arial" w:eastAsia="Arial"/>
        </w:rPr>
      </w:pPr>
      <w:bookmarkStart w:name="_Toc9" w:id="19"/>
      <w:r>
        <w:rPr>
          <w:rStyle w:val="Ninguno"/>
          <w:rFonts w:ascii="Arial" w:hAnsi="Arial"/>
          <w:rtl w:val="0"/>
          <w:lang w:val="en-US"/>
        </w:rPr>
        <w:t>Reporting and dashboard solutions</w:t>
      </w:r>
      <w:bookmarkEnd w:id="19"/>
    </w:p>
    <w:p>
      <w:pPr>
        <w:pStyle w:val="Cuerpo"/>
        <w:rPr>
          <w:rStyle w:val="Ninguno"/>
          <w:rFonts w:ascii="Arial" w:cs="Arial" w:hAnsi="Arial" w:eastAsia="Arial"/>
        </w:rPr>
      </w:pPr>
      <w:r>
        <w:rPr>
          <w:rStyle w:val="Ninguno"/>
          <w:rFonts w:ascii="Arial" w:hAnsi="Arial"/>
          <w:rtl w:val="0"/>
          <w:lang w:val="en-US"/>
        </w:rPr>
        <w:t>Power BI should serve as the primary reporting layer, leveraging a governed semantic model and native forecasting visuals so decision-makers can consume predictive scores and trends alongside core KPIs in a single interface (Microsoft, 2025). Near real-time monitoring can be supported via Automatic Page Refresh for DirectQuery or real-time sources, while imported datasets can use Scheduled Refresh for reliable periodic updates aligned to operational cadences. Executive dashboards should track device sell-through and ASP, services ARPU and churn, accessory attach rate, channel inventory health, supplier lead times and OTIF, warranty failure rates, and revenue/deferred revenue trajectories, reflecting Apple</w:t>
      </w:r>
      <w:r>
        <w:rPr>
          <w:rStyle w:val="Ninguno"/>
          <w:rFonts w:ascii="Arial" w:hAnsi="Arial" w:hint="default"/>
          <w:rtl w:val="0"/>
          <w:lang w:val="en-US"/>
        </w:rPr>
        <w:t>’</w:t>
      </w:r>
      <w:r>
        <w:rPr>
          <w:rStyle w:val="Ninguno"/>
          <w:rFonts w:ascii="Arial" w:hAnsi="Arial"/>
          <w:rtl w:val="0"/>
          <w:lang w:val="en-US"/>
        </w:rPr>
        <w:t>s product-and-services portfolio priorities. Advanced forecasting and anomaly bands can be embedded directly in visuals to flag deviations from plan, while drill-through and row-level security align insight access with roles and geographies for actionable, governed consumption (Microsoft, 2025). Dashboards should adopt NIST AI RMF-aligned monitoring to surface model lineage, data quality, drift, and fairness indicators alongside business KPIs, improving accountability for predictive interventions and alerting.</w:t>
      </w:r>
    </w:p>
    <w:p>
      <w:pPr>
        <w:pStyle w:val="Encabezamiento"/>
        <w:rPr>
          <w:rStyle w:val="Ninguno"/>
          <w:rFonts w:ascii="Arial" w:cs="Arial" w:hAnsi="Arial" w:eastAsia="Arial"/>
        </w:rPr>
      </w:pPr>
      <w:bookmarkStart w:name="_Toc10" w:id="20"/>
      <w:r>
        <w:rPr>
          <w:rStyle w:val="Ninguno"/>
          <w:rFonts w:ascii="Arial" w:hAnsi="Arial"/>
          <w:rtl w:val="0"/>
          <w:lang w:val="en-US"/>
        </w:rPr>
        <w:t>Conclusion</w:t>
      </w:r>
      <w:bookmarkEnd w:id="20"/>
    </w:p>
    <w:p>
      <w:pPr>
        <w:pStyle w:val="Cuerpo"/>
        <w:rPr>
          <w:rStyle w:val="Ninguno"/>
          <w:rFonts w:ascii="Arial" w:cs="Arial" w:hAnsi="Arial" w:eastAsia="Arial"/>
        </w:rPr>
      </w:pPr>
      <w:r>
        <w:rPr>
          <w:rStyle w:val="Ninguno"/>
          <w:rFonts w:ascii="Arial" w:hAnsi="Arial"/>
          <w:rtl w:val="0"/>
          <w:lang w:val="en-US"/>
        </w:rPr>
        <w:t>By unifying a modern data warehouse with BI dashboards, targeted data mining, and governed predictive analytics, Apple can accelerate cycle times from signal to action in demand, services growth, pricing, and quality decisions. Positioning Power BI as the executive reporting surface, underpinned by a curated semantic layer and automated refresh, scales insight delivery while embedding forecasting and anomaly detection in day-to-day decision flows. Anchoring dashboard governance in the NIST AI RMF establishes transparent controls for data, models, and outcomes, sustaining trust as predictive use expands across Apple</w:t>
      </w:r>
      <w:r>
        <w:rPr>
          <w:rStyle w:val="Ninguno"/>
          <w:rFonts w:ascii="Arial" w:hAnsi="Arial" w:hint="default"/>
          <w:rtl w:val="0"/>
          <w:lang w:val="en-US"/>
        </w:rPr>
        <w:t>’</w:t>
      </w:r>
      <w:r>
        <w:rPr>
          <w:rStyle w:val="Ninguno"/>
          <w:rFonts w:ascii="Arial" w:hAnsi="Arial"/>
          <w:rtl w:val="0"/>
          <w:lang w:val="en-US"/>
        </w:rPr>
        <w:t>s global operations and services. This capability aligns with market-leading analytics practices and Apple</w:t>
      </w:r>
      <w:r>
        <w:rPr>
          <w:rStyle w:val="Ninguno"/>
          <w:rFonts w:ascii="Arial" w:hAnsi="Arial" w:hint="default"/>
          <w:rtl w:val="0"/>
          <w:lang w:val="en-US"/>
        </w:rPr>
        <w:t>’</w:t>
      </w:r>
      <w:r>
        <w:rPr>
          <w:rStyle w:val="Ninguno"/>
          <w:rFonts w:ascii="Arial" w:hAnsi="Arial"/>
          <w:rtl w:val="0"/>
          <w:lang w:val="en-US"/>
        </w:rPr>
        <w:t xml:space="preserve">s services-led growth trajectory, enabling measurable performance gains with responsible, enterprise-grade oversight. </w:t>
      </w:r>
    </w:p>
    <w:p>
      <w:pPr>
        <w:pStyle w:val="Encabezamiento"/>
      </w:pPr>
      <w:bookmarkStart w:name="_qpzy2wtqdsw3" w:id="21"/>
      <w:bookmarkEnd w:id="21"/>
      <w:r>
        <w:rPr>
          <w:rStyle w:val="Ninguno"/>
          <w:rFonts w:ascii="Arial Unicode MS" w:cs="Arial Unicode MS" w:hAnsi="Arial Unicode MS" w:eastAsia="Arial Unicode MS"/>
          <w:b w:val="0"/>
          <w:bCs w:val="0"/>
          <w:i w:val="0"/>
          <w:iCs w:val="0"/>
          <w:lang w:val="en-US"/>
        </w:rPr>
        <w:br w:type="page"/>
      </w:r>
    </w:p>
    <w:p>
      <w:pPr>
        <w:pStyle w:val="Encabezamiento"/>
        <w:rPr>
          <w:rStyle w:val="Ninguno"/>
          <w:rFonts w:ascii="Arial" w:cs="Arial" w:hAnsi="Arial" w:eastAsia="Arial"/>
        </w:rPr>
      </w:pPr>
      <w:bookmarkStart w:name="_Toc11" w:id="22"/>
      <w:r>
        <w:rPr>
          <w:rStyle w:val="Ninguno"/>
          <w:rFonts w:ascii="Arial" w:hAnsi="Arial"/>
          <w:rtl w:val="0"/>
          <w:lang w:val="en-US"/>
        </w:rPr>
        <w:t>References</w:t>
      </w:r>
      <w:bookmarkEnd w:id="22"/>
    </w:p>
    <w:p>
      <w:pPr>
        <w:pStyle w:val="Cuerpo"/>
        <w:spacing w:before="240" w:after="240"/>
        <w:rPr>
          <w:rStyle w:val="Ninguno"/>
          <w:rFonts w:ascii="Arial" w:cs="Arial" w:hAnsi="Arial" w:eastAsia="Arial"/>
          <w:shd w:val="clear" w:color="auto" w:fill="ffffff"/>
        </w:rPr>
      </w:pPr>
      <w:r>
        <w:rPr>
          <w:rStyle w:val="Ninguno"/>
          <w:rFonts w:ascii="Arial" w:hAnsi="Arial"/>
          <w:shd w:val="clear" w:color="auto" w:fill="ffffff"/>
          <w:rtl w:val="0"/>
          <w:lang w:val="en-US"/>
        </w:rPr>
        <w:t>Altair (2024) Data Analytics and AI Platform | Altair RapidMiner. Available at:</w:t>
      </w:r>
      <w:r>
        <w:rPr>
          <w:rStyle w:val="Hyperlink.0"/>
        </w:rPr>
        <w:fldChar w:fldCharType="begin" w:fldLock="0"/>
      </w:r>
      <w:r>
        <w:rPr>
          <w:rStyle w:val="Hyperlink.0"/>
        </w:rPr>
        <w:instrText xml:space="preserve"> HYPERLINK "https://altair.com/altair-rapidminer"</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"https://altair.com/altair-rapidminer"</w:instrText>
      </w:r>
      <w:r>
        <w:rPr>
          <w:rStyle w:val="Hyperlink.1"/>
        </w:rPr>
        <w:fldChar w:fldCharType="separate" w:fldLock="0"/>
      </w:r>
      <w:r>
        <w:rPr>
          <w:rStyle w:val="Hyperlink.1"/>
          <w:rtl w:val="0"/>
          <w:lang w:val="en-US"/>
        </w:rPr>
        <w:t>https://altair.com/altair-rapidminer</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Apple (2024) Apple reports fourth quarter results. Available at:</w:t>
      </w:r>
      <w:r>
        <w:rPr>
          <w:rStyle w:val="Hyperlink.0"/>
        </w:rPr>
        <w:fldChar w:fldCharType="begin" w:fldLock="0"/>
      </w:r>
      <w:r>
        <w:rPr>
          <w:rStyle w:val="Hyperlink.0"/>
        </w:rPr>
        <w:instrText xml:space="preserve"> HYPERLINK "https://www.apple.com/in/newsroom/2024/10/apple-reports-fourth-quarter-results/"</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"https://www.apple.com/in/newsroom/2024/10/apple-reports-fourth-quarter-results/"</w:instrText>
      </w:r>
      <w:r>
        <w:rPr>
          <w:rStyle w:val="Hyperlink.1"/>
        </w:rPr>
        <w:fldChar w:fldCharType="separate" w:fldLock="0"/>
      </w:r>
      <w:r>
        <w:rPr>
          <w:rStyle w:val="Hyperlink.1"/>
          <w:rtl w:val="0"/>
          <w:lang w:val="en-US"/>
        </w:rPr>
        <w:t>https://www.apple.com/in/newsroom/2024/10/apple-reports-fourth-quarter-results/</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Apple (2024) FY24 Q4 Consolidated Financial Statements. Available at:</w:t>
      </w:r>
      <w:r>
        <w:rPr>
          <w:rStyle w:val="Hyperlink.0"/>
        </w:rPr>
        <w:fldChar w:fldCharType="begin" w:fldLock="0"/>
      </w:r>
      <w:r>
        <w:rPr>
          <w:rStyle w:val="Hyperlink.0"/>
        </w:rPr>
        <w:instrText xml:space="preserve"> HYPERLINK "https://www.apple.com/newsroom/pdfs/fy2024-q4/FY24_Q4_Consolidated_Financial_Statements.pdf"</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"https://www.apple.com/newsroom/pdfs/fy2024-q4/FY24_Q4_Consolidated_Financial_Statements.pdf"</w:instrText>
      </w:r>
      <w:r>
        <w:rPr>
          <w:rStyle w:val="Hyperlink.1"/>
        </w:rPr>
        <w:fldChar w:fldCharType="separate" w:fldLock="0"/>
      </w:r>
      <w:r>
        <w:rPr>
          <w:rStyle w:val="Hyperlink.1"/>
          <w:rtl w:val="0"/>
          <w:lang w:val="en-US"/>
        </w:rPr>
        <w:t>https://www.apple.com/newsroom/pdfs/fy2024-q4/FY24_Q4_Consolidated_Financial_Statements.pdf</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 xml:space="preserve">Apple (2024) Privacy </w:t>
      </w:r>
      <w:r>
        <w:rPr>
          <w:rStyle w:val="Hyperlink.0"/>
          <w:rtl w:val="0"/>
          <w:lang w:val="en-US"/>
        </w:rPr>
        <w:t xml:space="preserve">– </w:t>
      </w:r>
      <w:r>
        <w:rPr>
          <w:rStyle w:val="Hyperlink.0"/>
          <w:rtl w:val="0"/>
          <w:lang w:val="en-US"/>
        </w:rPr>
        <w:t>Transparency Report. Available at:</w:t>
      </w:r>
      <w:r>
        <w:rPr>
          <w:rStyle w:val="Hyperlink.0"/>
        </w:rPr>
        <w:fldChar w:fldCharType="begin" w:fldLock="0"/>
      </w:r>
      <w:r>
        <w:rPr>
          <w:rStyle w:val="Hyperlink.0"/>
        </w:rPr>
        <w:instrText xml:space="preserve"> HYPERLINK "https://www.apple.com/legal/transparency/"</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"https://www.apple.com/legal/transparency/"</w:instrText>
      </w:r>
      <w:r>
        <w:rPr>
          <w:rStyle w:val="Hyperlink.1"/>
        </w:rPr>
        <w:fldChar w:fldCharType="separate" w:fldLock="0"/>
      </w:r>
      <w:r>
        <w:rPr>
          <w:rStyle w:val="Hyperlink.1"/>
          <w:rtl w:val="0"/>
          <w:lang w:val="en-US"/>
        </w:rPr>
        <w:t>https://www.apple.com/legal/transparency/</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 xml:space="preserve">Apple (2025) Apple Privacy Policy </w:t>
      </w:r>
      <w:r>
        <w:rPr>
          <w:rStyle w:val="Hyperlink.0"/>
          <w:rtl w:val="0"/>
          <w:lang w:val="en-US"/>
        </w:rPr>
        <w:t xml:space="preserve">– </w:t>
      </w:r>
      <w:r>
        <w:rPr>
          <w:rStyle w:val="Hyperlink.0"/>
          <w:rtl w:val="0"/>
          <w:lang w:val="en-US"/>
        </w:rPr>
        <w:t>Legal. Available at:</w:t>
      </w:r>
      <w:r>
        <w:rPr>
          <w:rStyle w:val="Hyperlink.0"/>
        </w:rPr>
        <w:fldChar w:fldCharType="begin" w:fldLock="0"/>
      </w:r>
      <w:r>
        <w:rPr>
          <w:rStyle w:val="Hyperlink.0"/>
        </w:rPr>
        <w:instrText xml:space="preserve"> HYPERLINK "https://www.apple.com/in/legal/privacy/en-ww/"</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"https://www.apple.com/in/legal/privacy/en-ww/"</w:instrText>
      </w:r>
      <w:r>
        <w:rPr>
          <w:rStyle w:val="Hyperlink.1"/>
        </w:rPr>
        <w:fldChar w:fldCharType="separate" w:fldLock="0"/>
      </w:r>
      <w:r>
        <w:rPr>
          <w:rStyle w:val="Hyperlink.1"/>
          <w:rtl w:val="0"/>
          <w:lang w:val="en-US"/>
        </w:rPr>
        <w:t>https://www.apple.com/in/legal/privacy/en-ww/</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Apple Inc. (2024) Form 10</w:t>
      </w:r>
      <w:r>
        <w:rPr>
          <w:rStyle w:val="Ninguno"/>
          <w:rFonts w:ascii="Cambria Math" w:cs="Cambria Math" w:hAnsi="Cambria Math" w:eastAsia="Cambria Math"/>
          <w:shd w:val="clear" w:color="auto" w:fill="ffffff"/>
          <w:rtl w:val="0"/>
          <w:lang w:val="en-US"/>
        </w:rPr>
        <w:t>‑</w:t>
      </w:r>
      <w:r>
        <w:rPr>
          <w:rStyle w:val="Hyperlink.0"/>
          <w:rtl w:val="0"/>
          <w:lang w:val="en-US"/>
        </w:rPr>
        <w:t>K for fiscal year ended September 28, 2024. Available at:</w:t>
      </w:r>
      <w:r>
        <w:rPr>
          <w:rStyle w:val="Hyperlink.0"/>
        </w:rPr>
        <w:fldChar w:fldCharType="begin" w:fldLock="0"/>
      </w:r>
      <w:r>
        <w:rPr>
          <w:rStyle w:val="Hyperlink.0"/>
        </w:rPr>
        <w:instrText xml:space="preserve"> HYPERLINK "https://www.sec.gov/Archives/edgar/data/320193/000032019324000123/aapl-20240928.htm"</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"https://www.sec.gov/Archives/edgar/data/320193/000032019324000123/aapl-20240928.htm"</w:instrText>
      </w:r>
      <w:r>
        <w:rPr>
          <w:rStyle w:val="Hyperlink.1"/>
        </w:rPr>
        <w:fldChar w:fldCharType="separate" w:fldLock="0"/>
      </w:r>
      <w:r>
        <w:rPr>
          <w:rStyle w:val="Hyperlink.1"/>
          <w:rtl w:val="0"/>
          <w:lang w:val="en-US"/>
        </w:rPr>
        <w:t>https://www.sec.gov/Archives/edgar/data/320193/000032019324000123/aapl-20240928.htm</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Apple Support (2024) About privacy information on the App Store and the choices you have. Available at:</w:t>
      </w:r>
      <w:r>
        <w:rPr>
          <w:rStyle w:val="Hyperlink.0"/>
        </w:rPr>
        <w:fldChar w:fldCharType="begin" w:fldLock="0"/>
      </w:r>
      <w:r>
        <w:rPr>
          <w:rStyle w:val="Hyperlink.0"/>
        </w:rPr>
        <w:instrText xml:space="preserve"> HYPERLINK "https://support.apple.com/en-in/102399"</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"https://support.apple.com/en-in/102399"</w:instrText>
      </w:r>
      <w:r>
        <w:rPr>
          <w:rStyle w:val="Hyperlink.1"/>
        </w:rPr>
        <w:fldChar w:fldCharType="separate" w:fldLock="0"/>
      </w:r>
      <w:r>
        <w:rPr>
          <w:rStyle w:val="Hyperlink.1"/>
          <w:rtl w:val="0"/>
          <w:lang w:val="en-US"/>
        </w:rPr>
        <w:t>https://support.apple.com/en-in/102399</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AWS (2024) Improve governance of models with Amazon SageMaker unified Model Cards and Model Registry. Available at:</w:t>
      </w:r>
      <w:r>
        <w:rPr>
          <w:rStyle w:val="Hyperlink.0"/>
        </w:rPr>
        <w:fldChar w:fldCharType="begin" w:fldLock="0"/>
      </w:r>
      <w:r>
        <w:rPr>
          <w:rStyle w:val="Hyperlink.0"/>
        </w:rPr>
        <w:instrText xml:space="preserve"> HYPERLINK "https://aws.amazon.com/blogs/machine-learning/improve-governance-of-models-with-amazon-sagemaker-unified-model-cards-and-model-registry/"</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"https://aws.amazon.com/blogs/machine-learning/improve-governance-of-models-with-amazon-sagemaker-unified-model-cards-and-model-registry/"</w:instrText>
      </w:r>
      <w:r>
        <w:rPr>
          <w:rStyle w:val="Hyperlink.1"/>
        </w:rPr>
        <w:fldChar w:fldCharType="separate" w:fldLock="0"/>
      </w:r>
      <w:r>
        <w:rPr>
          <w:rStyle w:val="Hyperlink.1"/>
          <w:rtl w:val="0"/>
          <w:lang w:val="en-US"/>
        </w:rPr>
        <w:t>https://aws.amazon.com/blogs/machine-learning/improve-governance-of-models-with-amazon-sagemaker-unified-model-cards-and-model-registry/</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CData (2024) Connect to Snowflake Data in RapidMiner. Available at:</w:t>
      </w:r>
      <w:r>
        <w:rPr>
          <w:rStyle w:val="Hyperlink.0"/>
        </w:rPr>
        <w:fldChar w:fldCharType="begin" w:fldLock="0"/>
      </w:r>
      <w:r>
        <w:rPr>
          <w:rStyle w:val="Hyperlink.0"/>
        </w:rPr>
        <w:instrText xml:space="preserve"> HYPERLINK "https://www.cdata.com/kb/tech/snowflake-jdbc-rapidminer.rst"</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"https://www.cdata.com/kb/tech/snowflake-jdbc-rapidminer.rst"</w:instrText>
      </w:r>
      <w:r>
        <w:rPr>
          <w:rStyle w:val="Hyperlink.1"/>
        </w:rPr>
        <w:fldChar w:fldCharType="separate" w:fldLock="0"/>
      </w:r>
      <w:r>
        <w:rPr>
          <w:rStyle w:val="Hyperlink.1"/>
          <w:rtl w:val="0"/>
          <w:lang w:val="en-US"/>
        </w:rPr>
        <w:t>https://www.cdata.com/kb/tech/snowflake-jdbc-rapidminer.rst</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CX Today (2025) Gartner Magic Quadrant for Analytics and Business Intelligence (ABI) Platforms 2025: The rundown. Available at:</w:t>
      </w:r>
      <w:r>
        <w:rPr>
          <w:rStyle w:val="Hyperlink.0"/>
        </w:rPr>
        <w:fldChar w:fldCharType="begin" w:fldLock="0"/>
      </w:r>
      <w:r>
        <w:rPr>
          <w:rStyle w:val="Hyperlink.0"/>
        </w:rPr>
        <w:instrText xml:space="preserve"> HYPERLINK "https://www.cxtoday.com/customer-data-platform/gartner-magic-quadrant-for-analytics-and-business-intelligence-abi-platforms-2025-the-rundown/"</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"https://www.cxtoday.com/customer-data-platform/gartner-magic-quadrant-for-analytics-and-business-intelligence-abi-platforms-2025-the-rundown/"</w:instrText>
      </w:r>
      <w:r>
        <w:rPr>
          <w:rStyle w:val="Hyperlink.1"/>
        </w:rPr>
        <w:fldChar w:fldCharType="separate" w:fldLock="0"/>
      </w:r>
      <w:r>
        <w:rPr>
          <w:rStyle w:val="Hyperlink.1"/>
          <w:rtl w:val="0"/>
          <w:lang w:val="en-US"/>
        </w:rPr>
        <w:t>https://www.cxtoday.com/customer-data-platform/gartner-magic-quadrant-for-analytics-and-business-intelligence-abi-platforms-2025-the-rundown/</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Databricks (2025) Build and deploy quality AI agent systems. Available at:</w:t>
      </w:r>
      <w:r>
        <w:rPr>
          <w:rStyle w:val="Hyperlink.0"/>
        </w:rPr>
        <w:fldChar w:fldCharType="begin" w:fldLock="0"/>
      </w:r>
      <w:r>
        <w:rPr>
          <w:rStyle w:val="Hyperlink.0"/>
        </w:rPr>
        <w:instrText xml:space="preserve"> HYPERLINK "https://www.databricks.com/product/artificial-intelligence"</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"https://www.databricks.com/product/artificial-intelligence"</w:instrText>
      </w:r>
      <w:r>
        <w:rPr>
          <w:rStyle w:val="Hyperlink.1"/>
        </w:rPr>
        <w:fldChar w:fldCharType="separate" w:fldLock="0"/>
      </w:r>
      <w:r>
        <w:rPr>
          <w:rStyle w:val="Hyperlink.1"/>
          <w:rtl w:val="0"/>
          <w:lang w:val="en-US"/>
        </w:rPr>
        <w:t>https://www.databricks.com/product/artificial-intelligence</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 xml:space="preserve">FPF </w:t>
      </w:r>
      <w:r>
        <w:rPr>
          <w:rStyle w:val="Hyperlink.0"/>
          <w:rtl w:val="0"/>
          <w:lang w:val="en-US"/>
        </w:rPr>
        <w:t xml:space="preserve">– </w:t>
      </w:r>
      <w:r>
        <w:rPr>
          <w:rStyle w:val="Hyperlink.0"/>
          <w:rtl w:val="0"/>
          <w:lang w:val="en-US"/>
        </w:rPr>
        <w:t>Future of Privacy Forum (2024) Two new Apple and Google platform privacy requirements kicking in now. Available at:</w:t>
      </w:r>
      <w:r>
        <w:rPr>
          <w:rStyle w:val="Hyperlink.0"/>
        </w:rPr>
        <w:fldChar w:fldCharType="begin" w:fldLock="0"/>
      </w:r>
      <w:r>
        <w:rPr>
          <w:rStyle w:val="Hyperlink.0"/>
        </w:rPr>
        <w:instrText xml:space="preserve"> HYPERLINK "https://fpf.org/blog/two-new-apple-and-google-platform-privacy-requirements-kicking-in-now/"</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"https://fpf.org/blog/two-new-apple-and-google-platform-privacy-requirements-kicking-in-now/"</w:instrText>
      </w:r>
      <w:r>
        <w:rPr>
          <w:rStyle w:val="Hyperlink.1"/>
        </w:rPr>
        <w:fldChar w:fldCharType="separate" w:fldLock="0"/>
      </w:r>
      <w:r>
        <w:rPr>
          <w:rStyle w:val="Hyperlink.1"/>
          <w:rtl w:val="0"/>
          <w:lang w:val="en-US"/>
        </w:rPr>
        <w:t>https://fpf.org/blog/two-new-apple-and-google-platform-privacy-requirements-kicking-in-now/</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 xml:space="preserve">GDPR-info.eu (2021) Art. 5 GDPR </w:t>
      </w:r>
      <w:r>
        <w:rPr>
          <w:rStyle w:val="Hyperlink.0"/>
          <w:rtl w:val="0"/>
          <w:lang w:val="en-US"/>
        </w:rPr>
        <w:t xml:space="preserve">– </w:t>
      </w:r>
      <w:r>
        <w:rPr>
          <w:rStyle w:val="Hyperlink.0"/>
          <w:rtl w:val="0"/>
          <w:lang w:val="en-US"/>
        </w:rPr>
        <w:t>Principles relating to processing of personal data. Available at:</w:t>
      </w:r>
      <w:r>
        <w:rPr>
          <w:rStyle w:val="Hyperlink.0"/>
        </w:rPr>
        <w:fldChar w:fldCharType="begin" w:fldLock="0"/>
      </w:r>
      <w:r>
        <w:rPr>
          <w:rStyle w:val="Hyperlink.0"/>
        </w:rPr>
        <w:instrText xml:space="preserve"> HYPERLINK "https://gdpr-info.eu/art-5-gdpr/"</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"https://gdpr-info.eu/art-5-gdpr/"</w:instrText>
      </w:r>
      <w:r>
        <w:rPr>
          <w:rStyle w:val="Hyperlink.1"/>
        </w:rPr>
        <w:fldChar w:fldCharType="separate" w:fldLock="0"/>
      </w:r>
      <w:r>
        <w:rPr>
          <w:rStyle w:val="Hyperlink.1"/>
          <w:rtl w:val="0"/>
          <w:lang w:val="en-US"/>
        </w:rPr>
        <w:t>https://gdpr-info.eu/art-5-gdpr/</w:t>
      </w:r>
      <w:r>
        <w:rPr/>
        <w:fldChar w:fldCharType="end" w:fldLock="0"/>
      </w:r>
      <w:r>
        <w:rPr>
          <w:rStyle w:val="Hyperlink.0"/>
          <w:rtl w:val="0"/>
          <w:lang w:val="en-US"/>
        </w:rPr>
        <w:t xml:space="preserve"> (Accessed: 8 October 2025).</w:t>
      </w:r>
    </w:p>
    <w:p>
      <w:pPr>
        <w:pStyle w:val="Cuerpo"/>
        <w:rPr>
          <w:rStyle w:val="Ninguno"/>
          <w:rFonts w:ascii="Arial" w:cs="Arial" w:hAnsi="Arial" w:eastAsia="Arial"/>
          <w:shd w:val="clear" w:color="auto" w:fill="ffffff"/>
        </w:rPr>
      </w:pPr>
      <w:r>
        <w:rPr>
          <w:rStyle w:val="Hyperlink.0"/>
          <w:rtl w:val="0"/>
          <w:lang w:val="en-US"/>
        </w:rPr>
        <w:t xml:space="preserve">GhorbanTanhaei, H., Boozary, P., Sheykhan, S., Rabiee, M., Rahmani, F. and Hosseini, I., (2024) Predictive analytics in customer behavior: Anticipating trends and preferences. </w:t>
      </w:r>
      <w:r>
        <w:rPr>
          <w:rStyle w:val="Ninguno"/>
          <w:rFonts w:ascii="Arial" w:hAnsi="Arial"/>
          <w:i w:val="1"/>
          <w:iCs w:val="1"/>
          <w:shd w:val="clear" w:color="auto" w:fill="ffffff"/>
          <w:rtl w:val="0"/>
          <w:lang w:val="en-US"/>
        </w:rPr>
        <w:t>Results in Control and Optimization</w:t>
      </w:r>
      <w:r>
        <w:rPr>
          <w:rStyle w:val="Hyperlink.0"/>
          <w:rtl w:val="0"/>
          <w:lang w:val="en-US"/>
        </w:rPr>
        <w:t xml:space="preserve">, </w:t>
      </w:r>
      <w:r>
        <w:rPr>
          <w:rStyle w:val="Ninguno"/>
          <w:rFonts w:ascii="Arial" w:hAnsi="Arial"/>
          <w:i w:val="1"/>
          <w:iCs w:val="1"/>
          <w:shd w:val="clear" w:color="auto" w:fill="ffffff"/>
          <w:rtl w:val="0"/>
          <w:lang w:val="en-US"/>
        </w:rPr>
        <w:t>17</w:t>
      </w:r>
      <w:r>
        <w:rPr>
          <w:rStyle w:val="Hyperlink.0"/>
          <w:rtl w:val="0"/>
          <w:lang w:val="en-US"/>
        </w:rPr>
        <w:t>, p.100462.</w:t>
      </w:r>
    </w:p>
    <w:p>
      <w:pPr>
        <w:pStyle w:val="Cuerpo"/>
        <w:spacing w:after="120"/>
        <w:rPr>
          <w:rStyle w:val="Ninguno"/>
          <w:rFonts w:ascii="Arial" w:cs="Arial" w:hAnsi="Arial" w:eastAsia="Arial"/>
          <w:shd w:val="clear" w:color="auto" w:fill="ffffff"/>
        </w:rPr>
      </w:pPr>
      <w:r>
        <w:rPr>
          <w:rStyle w:val="Hyperlink.0"/>
          <w:rtl w:val="0"/>
          <w:lang w:val="en-US"/>
        </w:rPr>
        <w:t xml:space="preserve">Google (2025) Vertex AI Platform. Available at:  </w:t>
      </w:r>
      <w:r>
        <w:rPr>
          <w:rStyle w:val="Hyperlink.0"/>
        </w:rPr>
        <w:fldChar w:fldCharType="begin" w:fldLock="0"/>
      </w:r>
      <w:r>
        <w:rPr>
          <w:rStyle w:val="Hyperlink.0"/>
        </w:rPr>
        <w:instrText xml:space="preserve"> HYPERLINK "https://cloud.google.com/vertex-ai"</w:instrText>
      </w:r>
      <w:r>
        <w:rPr>
          <w:rStyle w:val="Hyperlink.0"/>
        </w:rPr>
        <w:fldChar w:fldCharType="separate" w:fldLock="0"/>
      </w:r>
      <w:r>
        <w:rPr>
          <w:rStyle w:val="Hyperlink.0"/>
          <w:rtl w:val="0"/>
          <w:lang w:val="en-US"/>
        </w:rPr>
        <w:t>https://cloud.google.com/vertex-ai</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IBM (2024) IBM SPSS Statistics. Available at:</w:t>
      </w:r>
      <w:r>
        <w:rPr>
          <w:rStyle w:val="Hyperlink.0"/>
        </w:rPr>
        <w:fldChar w:fldCharType="begin" w:fldLock="0"/>
      </w:r>
      <w:r>
        <w:rPr>
          <w:rStyle w:val="Hyperlink.0"/>
        </w:rPr>
        <w:instrText xml:space="preserve"> HYPERLINK "https://www.ibm.com/products/spss-statistics"</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"https://www.ibm.com/products/spss-statistics"</w:instrText>
      </w:r>
      <w:r>
        <w:rPr>
          <w:rStyle w:val="Hyperlink.1"/>
        </w:rPr>
        <w:fldChar w:fldCharType="separate" w:fldLock="0"/>
      </w:r>
      <w:r>
        <w:rPr>
          <w:rStyle w:val="Hyperlink.1"/>
          <w:rtl w:val="0"/>
          <w:lang w:val="en-US"/>
        </w:rPr>
        <w:t>https://www.ibm.com/products/spss-statistics</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IT Governance EU (2024) GDPR: Understanding the 6 data protection principles. Available at:</w:t>
      </w:r>
      <w:r>
        <w:rPr>
          <w:rStyle w:val="Hyperlink.0"/>
        </w:rPr>
        <w:fldChar w:fldCharType="begin" w:fldLock="0"/>
      </w:r>
      <w:r>
        <w:rPr>
          <w:rStyle w:val="Hyperlink.0"/>
        </w:rPr>
        <w:instrText xml:space="preserve"> HYPERLINK "https://www.itgovernance.eu/blog/en/the-gdpr-understanding-the-6-data-protection-principles"</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"https://www.itgovernance.eu/blog/en/the-gdpr-understanding-the-6-data-protection-principles"</w:instrText>
      </w:r>
      <w:r>
        <w:rPr>
          <w:rStyle w:val="Hyperlink.1"/>
        </w:rPr>
        <w:fldChar w:fldCharType="separate" w:fldLock="0"/>
      </w:r>
      <w:r>
        <w:rPr>
          <w:rStyle w:val="Hyperlink.1"/>
          <w:rtl w:val="0"/>
          <w:lang w:val="en-US"/>
        </w:rPr>
        <w:t>https://www.itgovernance.eu/blog/en/the-gdpr-understanding-the-6-data-protection-principles</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LumenData (2024) A quick introduction to Medallion Architecture. Available at:</w:t>
      </w:r>
      <w:r>
        <w:rPr>
          <w:rStyle w:val="Hyperlink.0"/>
        </w:rPr>
        <w:fldChar w:fldCharType="begin" w:fldLock="0"/>
      </w:r>
      <w:r>
        <w:rPr>
          <w:rStyle w:val="Hyperlink.0"/>
        </w:rPr>
        <w:instrText xml:space="preserve"> HYPERLINK "https://lumendata.com/technology/a-quick-introduction-to-medallion-architecture/"</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"https://lumendata.com/technology/a-quick-introduction-to-medallion-architecture/"</w:instrText>
      </w:r>
      <w:r>
        <w:rPr>
          <w:rStyle w:val="Hyperlink.1"/>
        </w:rPr>
        <w:fldChar w:fldCharType="separate" w:fldLock="0"/>
      </w:r>
      <w:r>
        <w:rPr>
          <w:rStyle w:val="Hyperlink.1"/>
          <w:rtl w:val="0"/>
          <w:lang w:val="en-US"/>
        </w:rPr>
        <w:t>https://lumendata.com/technology/a-quick-introduction-to-medallion-architecture/</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McKinsey &amp; Company (2024) Technology Trends Outlook 2024. Available at:</w:t>
      </w:r>
      <w:r>
        <w:rPr>
          <w:rStyle w:val="Hyperlink.0"/>
        </w:rPr>
        <w:fldChar w:fldCharType="begin" w:fldLock="0"/>
      </w:r>
      <w:r>
        <w:rPr>
          <w:rStyle w:val="Hyperlink.0"/>
        </w:rPr>
        <w:instrText xml:space="preserve"> HYPERLINK "https://www.mckinsey.com/capabilities/mckinsey-digital/our-insights/the-top-trends-in-tech-2024"</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"https://www.mckinsey.com/capabilities/mckinsey-digital/our-insights/the-top-trends-in-tech-2024"</w:instrText>
      </w:r>
      <w:r>
        <w:rPr>
          <w:rStyle w:val="Hyperlink.1"/>
        </w:rPr>
        <w:fldChar w:fldCharType="separate" w:fldLock="0"/>
      </w:r>
      <w:r>
        <w:rPr>
          <w:rStyle w:val="Hyperlink.1"/>
          <w:rtl w:val="0"/>
          <w:lang w:val="en-US"/>
        </w:rPr>
        <w:t>https://www.mckinsey.com/capabilities/mckinsey-digital/our-insights/the-top-trends-in-tech-2024</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McKinsey Global Institute (2024) 2024 in charts. Available at:</w:t>
      </w:r>
      <w:r>
        <w:rPr>
          <w:rStyle w:val="Hyperlink.0"/>
        </w:rPr>
        <w:fldChar w:fldCharType="begin" w:fldLock="0"/>
      </w:r>
      <w:r>
        <w:rPr>
          <w:rStyle w:val="Hyperlink.0"/>
        </w:rPr>
        <w:instrText xml:space="preserve"> HYPERLINK "https://www.mckinsey.com/mgi/our-research/mckinsey-global-institute-2024-in-charts"</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"https://www.mckinsey.com/mgi/our-research/mckinsey-global-institute-2024-in-charts"</w:instrText>
      </w:r>
      <w:r>
        <w:rPr>
          <w:rStyle w:val="Hyperlink.1"/>
        </w:rPr>
        <w:fldChar w:fldCharType="separate" w:fldLock="0"/>
      </w:r>
      <w:r>
        <w:rPr>
          <w:rStyle w:val="Hyperlink.1"/>
          <w:rtl w:val="0"/>
          <w:lang w:val="en-US"/>
        </w:rPr>
        <w:t>https://www.mckinsey.com/mgi/our-research/mckinsey-global-institute-2024-in-charts</w:t>
      </w:r>
      <w:r>
        <w:rPr/>
        <w:fldChar w:fldCharType="end" w:fldLock="0"/>
      </w:r>
      <w:r>
        <w:rPr>
          <w:rStyle w:val="Hyperlink.0"/>
          <w:rtl w:val="0"/>
          <w:lang w:val="en-US"/>
        </w:rPr>
        <w:t xml:space="preserve"> (Accessed: 8 October 2025).</w:t>
      </w:r>
    </w:p>
    <w:p>
      <w:pPr>
        <w:pStyle w:val="Cuerpo"/>
        <w:spacing w:after="120"/>
        <w:rPr>
          <w:rStyle w:val="Ninguno"/>
          <w:rFonts w:ascii="Arial" w:cs="Arial" w:hAnsi="Arial" w:eastAsia="Arial"/>
          <w:shd w:val="clear" w:color="auto" w:fill="ffffff"/>
        </w:rPr>
      </w:pPr>
      <w:r>
        <w:rPr>
          <w:rStyle w:val="Hyperlink.0"/>
          <w:rtl w:val="0"/>
          <w:lang w:val="en-US"/>
        </w:rPr>
        <w:t xml:space="preserve">Microsoft (2024) </w:t>
      </w:r>
      <w:r>
        <w:rPr>
          <w:rStyle w:val="Ninguno"/>
          <w:rFonts w:ascii="Arial" w:hAnsi="Arial"/>
          <w:i w:val="1"/>
          <w:iCs w:val="1"/>
          <w:shd w:val="clear" w:color="auto" w:fill="ffffff"/>
          <w:rtl w:val="0"/>
          <w:lang w:val="en-US"/>
        </w:rPr>
        <w:t>Use the Responsible AI dashboard in Azure Machine Learning</w:t>
      </w:r>
      <w:r>
        <w:rPr>
          <w:rStyle w:val="Hyperlink.0"/>
          <w:rtl w:val="0"/>
          <w:lang w:val="en-US"/>
        </w:rPr>
        <w:t xml:space="preserve">. Available at:  </w:t>
      </w:r>
      <w:r>
        <w:rPr>
          <w:rStyle w:val="Hyperlink.0"/>
        </w:rPr>
        <w:fldChar w:fldCharType="begin" w:fldLock="0"/>
      </w:r>
      <w:r>
        <w:rPr>
          <w:rStyle w:val="Hyperlink.0"/>
        </w:rPr>
        <w:instrText xml:space="preserve"> HYPERLINK "https://learn.microsoft.com/en-us/azure/machine-learning/how-to-responsible-ai-dashboard"</w:instrText>
      </w:r>
      <w:r>
        <w:rPr>
          <w:rStyle w:val="Hyperlink.0"/>
        </w:rPr>
        <w:fldChar w:fldCharType="separate" w:fldLock="0"/>
      </w:r>
      <w:r>
        <w:rPr>
          <w:rStyle w:val="Hyperlink.0"/>
          <w:rtl w:val="0"/>
          <w:lang w:val="en-US"/>
        </w:rPr>
        <w:t>https://learn.microsoft.com/en-us/azure/machine-learning/how-to-responsible-ai-dashboard</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Microsoft (2025) Automatic page refresh in Power BI Desktop. Available at:</w:t>
      </w:r>
      <w:r>
        <w:rPr>
          <w:rStyle w:val="Hyperlink.0"/>
        </w:rPr>
        <w:fldChar w:fldCharType="begin" w:fldLock="0"/>
      </w:r>
      <w:r>
        <w:rPr>
          <w:rStyle w:val="Hyperlink.0"/>
        </w:rPr>
        <w:instrText xml:space="preserve"> HYPERLINK "https://learn.microsoft.com/en-us/power-bi/create-reports/desktop-automatic-page-refresh"</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"https://learn.microsoft.com/en-us/power-bi/create-reports/desktop-automatic-page-refresh"</w:instrText>
      </w:r>
      <w:r>
        <w:rPr>
          <w:rStyle w:val="Hyperlink.1"/>
        </w:rPr>
        <w:fldChar w:fldCharType="separate" w:fldLock="0"/>
      </w:r>
      <w:r>
        <w:rPr>
          <w:rStyle w:val="Hyperlink.1"/>
          <w:rtl w:val="0"/>
          <w:lang w:val="en-US"/>
        </w:rPr>
        <w:t>https://learn.microsoft.com/en-us/power-bi/create-reports/desktop-automatic-page-refresh</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 xml:space="preserve">Microsoft (2025) Configure scheduled refresh </w:t>
      </w:r>
      <w:r>
        <w:rPr>
          <w:rStyle w:val="Hyperlink.0"/>
          <w:rtl w:val="0"/>
          <w:lang w:val="en-US"/>
        </w:rPr>
        <w:t xml:space="preserve">– </w:t>
      </w:r>
      <w:r>
        <w:rPr>
          <w:rStyle w:val="Hyperlink.0"/>
          <w:rtl w:val="0"/>
          <w:lang w:val="en-US"/>
        </w:rPr>
        <w:t>Power BI. Available at:</w:t>
      </w:r>
      <w:r>
        <w:rPr>
          <w:rStyle w:val="Hyperlink.0"/>
        </w:rPr>
        <w:fldChar w:fldCharType="begin" w:fldLock="0"/>
      </w:r>
      <w:r>
        <w:rPr>
          <w:rStyle w:val="Hyperlink.0"/>
        </w:rPr>
        <w:instrText xml:space="preserve"> HYPERLINK "https://learn.microsoft.com/en-us/power-bi/connect-data/refresh-scheduled-refresh"</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"https://learn.microsoft.com/en-us/power-bi/connect-data/refresh-scheduled-refresh"</w:instrText>
      </w:r>
      <w:r>
        <w:rPr>
          <w:rStyle w:val="Hyperlink.1"/>
        </w:rPr>
        <w:fldChar w:fldCharType="separate" w:fldLock="0"/>
      </w:r>
      <w:r>
        <w:rPr>
          <w:rStyle w:val="Hyperlink.1"/>
          <w:rtl w:val="0"/>
          <w:lang w:val="en-US"/>
        </w:rPr>
        <w:t>https://learn.microsoft.com/en-us/power-bi/connect-data/refresh-scheduled-refresh</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Microsoft (2025) Microsoft named a Leader in the 2025 Gartner Magic Quadrant for Analytics and BI Platforms. Available at:</w:t>
      </w:r>
      <w:r>
        <w:rPr>
          <w:rStyle w:val="Hyperlink.0"/>
        </w:rPr>
        <w:fldChar w:fldCharType="begin" w:fldLock="0"/>
      </w:r>
      <w:r>
        <w:rPr>
          <w:rStyle w:val="Hyperlink.0"/>
        </w:rPr>
        <w:instrText xml:space="preserve"> HYPERLINK "https://powerbi.microsoft.com/en-us/blog/microsoft-named-a-leader-in-the-2025-gartner-magic-quadrant-for-analytics-and-bi-platforms/"</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"https://powerbi.microsoft.com/en-us/blog/microsoft-named-a-leader-in-the-2025-gartner-magic-quadrant-for-analytics-and-bi-platforms/"</w:instrText>
      </w:r>
      <w:r>
        <w:rPr>
          <w:rStyle w:val="Hyperlink.1"/>
        </w:rPr>
        <w:fldChar w:fldCharType="separate" w:fldLock="0"/>
      </w:r>
      <w:r>
        <w:rPr>
          <w:rStyle w:val="Hyperlink.1"/>
          <w:rtl w:val="0"/>
          <w:lang w:val="en-US"/>
        </w:rPr>
        <w:t>https://powerbi.microsoft.com/en-us/blog/microsoft-named-a-leader-in-the-2025-gartner-magic-quadrant-for-analytics-and-bi-platforms/</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Microsoft (2025) Use the Analytics pane in Power BI Desktop. Available at:</w:t>
      </w:r>
      <w:r>
        <w:rPr>
          <w:rStyle w:val="Hyperlink.0"/>
        </w:rPr>
        <w:fldChar w:fldCharType="begin" w:fldLock="0"/>
      </w:r>
      <w:r>
        <w:rPr>
          <w:rStyle w:val="Hyperlink.0"/>
        </w:rPr>
        <w:instrText xml:space="preserve"> HYPERLINK "https://learn.microsoft.com/en-us/power-bi/transform-model/desktop-analytics-pane"</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"https://learn.microsoft.com/en-us/power-bi/transform-model/desktop-analytics-pane"</w:instrText>
      </w:r>
      <w:r>
        <w:rPr>
          <w:rStyle w:val="Hyperlink.1"/>
        </w:rPr>
        <w:fldChar w:fldCharType="separate" w:fldLock="0"/>
      </w:r>
      <w:r>
        <w:rPr>
          <w:rStyle w:val="Hyperlink.1"/>
          <w:rtl w:val="0"/>
          <w:lang w:val="en-US"/>
        </w:rPr>
        <w:t>https://learn.microsoft.com/en-us/power-bi/transform-model/desktop-analytics-pane</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Microsoft Support (2025) FORECAST.ETS function. Available at:</w:t>
      </w:r>
      <w:r>
        <w:rPr>
          <w:rStyle w:val="Hyperlink.0"/>
        </w:rPr>
        <w:fldChar w:fldCharType="begin" w:fldLock="0"/>
      </w:r>
      <w:r>
        <w:rPr>
          <w:rStyle w:val="Hyperlink.0"/>
        </w:rPr>
        <w:instrText xml:space="preserve"> HYPERLINK "https://support.microsoft.com/en-us/office/forecast-ets-function-15389b8b-677e-4fbd-bd95-21d464333f41"</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"https://support.microsoft.com/en-us/office/forecast-ets-function-15389b8b-677e-4fbd-bd95-21d464333f41"</w:instrText>
      </w:r>
      <w:r>
        <w:rPr>
          <w:rStyle w:val="Hyperlink.1"/>
        </w:rPr>
        <w:fldChar w:fldCharType="separate" w:fldLock="0"/>
      </w:r>
      <w:r>
        <w:rPr>
          <w:rStyle w:val="Hyperlink.1"/>
          <w:rtl w:val="0"/>
          <w:lang w:val="en-US"/>
        </w:rPr>
        <w:t>https://support.microsoft.com/en-us/office/forecast-ets-function-15389b8b-677e-4fbd-bd95-21d464333f41</w:t>
      </w:r>
      <w:r>
        <w:rPr/>
        <w:fldChar w:fldCharType="end" w:fldLock="0"/>
      </w:r>
      <w:r>
        <w:rPr>
          <w:rStyle w:val="Hyperlink.0"/>
          <w:rtl w:val="0"/>
          <w:lang w:val="en-US"/>
        </w:rPr>
        <w:t xml:space="preserve"> (Accessed: 8 October 2025).</w:t>
      </w:r>
    </w:p>
    <w:p>
      <w:pPr>
        <w:pStyle w:val="Cuerpo"/>
        <w:rPr>
          <w:rStyle w:val="Ninguno"/>
          <w:rFonts w:ascii="Arial" w:cs="Arial" w:hAnsi="Arial" w:eastAsia="Arial"/>
          <w:shd w:val="clear" w:color="auto" w:fill="ffffff"/>
        </w:rPr>
      </w:pPr>
      <w:r>
        <w:rPr>
          <w:rStyle w:val="Hyperlink.0"/>
          <w:rtl w:val="0"/>
          <w:lang w:val="en-US"/>
        </w:rPr>
        <w:t xml:space="preserve">Mohanty, B., Tripathy, M. and Champati, S., 2023. Performance Analysis of Association Rule Mining Algorithms: Evidence from the Retailing Industry. </w:t>
      </w:r>
      <w:r>
        <w:rPr>
          <w:rStyle w:val="Ninguno"/>
          <w:rFonts w:ascii="Arial" w:hAnsi="Arial"/>
          <w:i w:val="1"/>
          <w:iCs w:val="1"/>
          <w:shd w:val="clear" w:color="auto" w:fill="ffffff"/>
          <w:rtl w:val="0"/>
          <w:lang w:val="en-US"/>
        </w:rPr>
        <w:t>Journal of Engineering Science &amp; Technology Review</w:t>
      </w:r>
      <w:r>
        <w:rPr>
          <w:rStyle w:val="Hyperlink.0"/>
          <w:rtl w:val="0"/>
          <w:lang w:val="en-US"/>
        </w:rPr>
        <w:t xml:space="preserve">, </w:t>
      </w:r>
      <w:r>
        <w:rPr>
          <w:rStyle w:val="Ninguno"/>
          <w:rFonts w:ascii="Arial" w:hAnsi="Arial"/>
          <w:i w:val="1"/>
          <w:iCs w:val="1"/>
          <w:shd w:val="clear" w:color="auto" w:fill="ffffff"/>
          <w:rtl w:val="0"/>
          <w:lang w:val="en-US"/>
        </w:rPr>
        <w:t>16</w:t>
      </w:r>
      <w:r>
        <w:rPr>
          <w:rStyle w:val="Hyperlink.0"/>
          <w:rtl w:val="0"/>
          <w:lang w:val="en-US"/>
        </w:rPr>
        <w:t>(5).</w:t>
      </w:r>
    </w:p>
    <w:p>
      <w:pPr>
        <w:pStyle w:val="Cuerpo"/>
        <w:spacing w:before="240" w:after="240"/>
        <w:rPr>
          <w:rStyle w:val="Ninguno"/>
          <w:rFonts w:ascii="Arial" w:cs="Arial" w:hAnsi="Arial" w:eastAsia="Arial"/>
          <w:shd w:val="clear" w:color="auto" w:fill="ffffff"/>
        </w:rPr>
      </w:pPr>
      <w:r>
        <w:rPr>
          <w:rStyle w:val="Hyperlink.0"/>
          <w:rtl w:val="0"/>
          <w:lang w:val="en-US"/>
        </w:rPr>
        <w:t>NIST (2023) Artificial Intelligence Risk Management Framework (AI RMF 1.0). Available at:</w:t>
      </w:r>
      <w:r>
        <w:rPr>
          <w:rStyle w:val="Hyperlink.0"/>
        </w:rPr>
        <w:fldChar w:fldCharType="begin" w:fldLock="0"/>
      </w:r>
      <w:r>
        <w:rPr>
          <w:rStyle w:val="Hyperlink.0"/>
        </w:rPr>
        <w:instrText xml:space="preserve"> HYPERLINK "https://nvlpubs.nist.gov/nistpubs/ai/nist.ai.100-1.pdf"</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"https://nvlpubs.nist.gov/nistpubs/ai/nist.ai.100-1.pdf"</w:instrText>
      </w:r>
      <w:r>
        <w:rPr>
          <w:rStyle w:val="Hyperlink.1"/>
        </w:rPr>
        <w:fldChar w:fldCharType="separate" w:fldLock="0"/>
      </w:r>
      <w:r>
        <w:rPr>
          <w:rStyle w:val="Hyperlink.1"/>
          <w:rtl w:val="0"/>
          <w:lang w:val="en-US"/>
        </w:rPr>
        <w:t>https://nvlpubs.nist.gov/nistpubs/ai/nist.ai.100-1.pdf</w:t>
      </w:r>
      <w:r>
        <w:rPr/>
        <w:fldChar w:fldCharType="end" w:fldLock="0"/>
      </w:r>
      <w:r>
        <w:rPr>
          <w:rStyle w:val="Hyperlink.0"/>
          <w:rtl w:val="0"/>
          <w:lang w:val="en-US"/>
        </w:rPr>
        <w:t xml:space="preserve"> (Accessed: 8 October 2025).</w:t>
      </w:r>
    </w:p>
    <w:p>
      <w:pPr>
        <w:pStyle w:val="Cuerpo"/>
        <w:rPr>
          <w:rStyle w:val="Ninguno"/>
          <w:rFonts w:ascii="Arial" w:cs="Arial" w:hAnsi="Arial" w:eastAsia="Arial"/>
          <w:shd w:val="clear" w:color="auto" w:fill="ffffff"/>
        </w:rPr>
      </w:pPr>
      <w:r>
        <w:rPr>
          <w:rStyle w:val="Hyperlink.0"/>
          <w:rtl w:val="0"/>
          <w:lang w:val="en-US"/>
        </w:rPr>
        <w:t xml:space="preserve">Poudel, S.S., Pokharel, S. and Timilsina, M., (2024) Explaining customer churn prediction in telecom industry using tabular machine learning models. </w:t>
      </w:r>
      <w:r>
        <w:rPr>
          <w:rStyle w:val="Ninguno"/>
          <w:rFonts w:ascii="Arial" w:hAnsi="Arial"/>
          <w:i w:val="1"/>
          <w:iCs w:val="1"/>
          <w:shd w:val="clear" w:color="auto" w:fill="ffffff"/>
          <w:rtl w:val="0"/>
          <w:lang w:val="en-US"/>
        </w:rPr>
        <w:t>Machine Learning with Applications</w:t>
      </w:r>
      <w:r>
        <w:rPr>
          <w:rStyle w:val="Hyperlink.0"/>
          <w:rtl w:val="0"/>
          <w:lang w:val="en-US"/>
        </w:rPr>
        <w:t xml:space="preserve">, </w:t>
      </w:r>
      <w:r>
        <w:rPr>
          <w:rStyle w:val="Ninguno"/>
          <w:rFonts w:ascii="Arial" w:hAnsi="Arial"/>
          <w:i w:val="1"/>
          <w:iCs w:val="1"/>
          <w:shd w:val="clear" w:color="auto" w:fill="ffffff"/>
          <w:rtl w:val="0"/>
          <w:lang w:val="en-US"/>
        </w:rPr>
        <w:t>17</w:t>
      </w:r>
      <w:r>
        <w:rPr>
          <w:rStyle w:val="Hyperlink.0"/>
          <w:rtl w:val="0"/>
          <w:lang w:val="en-US"/>
        </w:rPr>
        <w:t>, p.100567.</w:t>
      </w:r>
    </w:p>
    <w:p>
      <w:pPr>
        <w:pStyle w:val="Cuerpo"/>
        <w:rPr>
          <w:rStyle w:val="Ninguno"/>
          <w:rFonts w:ascii="Arial" w:cs="Arial" w:hAnsi="Arial" w:eastAsia="Arial"/>
          <w:shd w:val="clear" w:color="auto" w:fill="ffffff"/>
        </w:rPr>
      </w:pPr>
      <w:r>
        <w:rPr>
          <w:rStyle w:val="Hyperlink.0"/>
          <w:rtl w:val="0"/>
          <w:lang w:val="en-US"/>
        </w:rPr>
        <w:t xml:space="preserve">Prabadevi, B., Shalini, R. and Kavitha, B.R., (2023) Customer churning analysis using machine learning algorithms. </w:t>
      </w:r>
      <w:r>
        <w:rPr>
          <w:rStyle w:val="Ninguno"/>
          <w:rFonts w:ascii="Arial" w:hAnsi="Arial"/>
          <w:i w:val="1"/>
          <w:iCs w:val="1"/>
          <w:shd w:val="clear" w:color="auto" w:fill="ffffff"/>
          <w:rtl w:val="0"/>
          <w:lang w:val="en-US"/>
        </w:rPr>
        <w:t>International Journal of Intelligent Networks</w:t>
      </w:r>
      <w:r>
        <w:rPr>
          <w:rStyle w:val="Hyperlink.0"/>
          <w:rtl w:val="0"/>
          <w:lang w:val="en-US"/>
        </w:rPr>
        <w:t xml:space="preserve">, </w:t>
      </w:r>
      <w:r>
        <w:rPr>
          <w:rStyle w:val="Ninguno"/>
          <w:rFonts w:ascii="Arial" w:hAnsi="Arial"/>
          <w:i w:val="1"/>
          <w:iCs w:val="1"/>
          <w:shd w:val="clear" w:color="auto" w:fill="ffffff"/>
          <w:rtl w:val="0"/>
          <w:lang w:val="en-US"/>
        </w:rPr>
        <w:t>4</w:t>
      </w:r>
      <w:r>
        <w:rPr>
          <w:rStyle w:val="Hyperlink.0"/>
          <w:rtl w:val="0"/>
          <w:lang w:val="en-US"/>
        </w:rPr>
        <w:t>, pp.145-154.</w:t>
      </w:r>
    </w:p>
    <w:p>
      <w:pPr>
        <w:pStyle w:val="Cuerpo"/>
        <w:rPr>
          <w:rStyle w:val="Ninguno"/>
          <w:rFonts w:ascii="Arial" w:cs="Arial" w:hAnsi="Arial" w:eastAsia="Arial"/>
          <w:shd w:val="clear" w:color="auto" w:fill="ffffff"/>
        </w:rPr>
      </w:pPr>
      <w:r>
        <w:rPr>
          <w:rStyle w:val="Hyperlink.0"/>
          <w:rtl w:val="0"/>
          <w:lang w:val="en-US"/>
        </w:rPr>
        <w:t xml:space="preserve">Shahabikargar, M. </w:t>
      </w:r>
      <w:r>
        <w:rPr>
          <w:rStyle w:val="Ninguno"/>
          <w:rFonts w:ascii="Arial" w:hAnsi="Arial"/>
          <w:i w:val="1"/>
          <w:iCs w:val="1"/>
          <w:shd w:val="clear" w:color="auto" w:fill="ffffff"/>
          <w:rtl w:val="0"/>
          <w:lang w:val="en-US"/>
        </w:rPr>
        <w:t>et al.</w:t>
      </w:r>
      <w:r>
        <w:rPr>
          <w:rStyle w:val="Hyperlink.0"/>
          <w:rtl w:val="0"/>
          <w:lang w:val="en-US"/>
        </w:rPr>
        <w:t xml:space="preserve"> (2025) </w:t>
      </w:r>
      <w:r>
        <w:rPr>
          <w:rStyle w:val="Hyperlink.0"/>
          <w:rtl w:val="0"/>
          <w:lang w:val="en-US"/>
        </w:rPr>
        <w:t>‘</w:t>
      </w:r>
      <w:r>
        <w:rPr>
          <w:rStyle w:val="Hyperlink.0"/>
          <w:rtl w:val="0"/>
          <w:lang w:val="en-US"/>
        </w:rPr>
        <w:t>A comprehensive survey on customer churn analysis studies</w:t>
      </w:r>
      <w:r>
        <w:rPr>
          <w:rStyle w:val="Hyperlink.0"/>
          <w:rtl w:val="0"/>
          <w:lang w:val="en-US"/>
        </w:rPr>
        <w:t>’</w:t>
      </w:r>
      <w:r>
        <w:rPr>
          <w:rStyle w:val="Hyperlink.0"/>
          <w:rtl w:val="0"/>
          <w:lang w:val="en-US"/>
        </w:rPr>
        <w:t xml:space="preserve">, </w:t>
      </w:r>
      <w:r>
        <w:rPr>
          <w:rStyle w:val="Ninguno"/>
          <w:rFonts w:ascii="Arial" w:hAnsi="Arial"/>
          <w:i w:val="1"/>
          <w:iCs w:val="1"/>
          <w:shd w:val="clear" w:color="auto" w:fill="ffffff"/>
          <w:rtl w:val="0"/>
          <w:lang w:val="en-US"/>
        </w:rPr>
        <w:t>Journal of Information and Telecommunication</w:t>
      </w:r>
      <w:r>
        <w:rPr>
          <w:rStyle w:val="Hyperlink.0"/>
          <w:rtl w:val="0"/>
          <w:lang w:val="en-US"/>
        </w:rPr>
        <w:t>, pp. 1</w:t>
      </w:r>
      <w:r>
        <w:rPr>
          <w:rStyle w:val="Hyperlink.0"/>
          <w:rtl w:val="0"/>
          <w:lang w:val="en-US"/>
        </w:rPr>
        <w:t>–</w:t>
      </w:r>
      <w:r>
        <w:rPr>
          <w:rStyle w:val="Hyperlink.0"/>
          <w:rtl w:val="0"/>
          <w:lang w:val="en-US"/>
        </w:rPr>
        <w:t>47. doi: 10.1080/24751839.2025.2528440.</w:t>
      </w:r>
    </w:p>
    <w:p>
      <w:pPr>
        <w:pStyle w:val="Cuerpo"/>
        <w:spacing w:after="120"/>
        <w:rPr>
          <w:rStyle w:val="Ninguno"/>
          <w:rFonts w:ascii="Arial" w:cs="Arial" w:hAnsi="Arial" w:eastAsia="Arial"/>
          <w:shd w:val="clear" w:color="auto" w:fill="ffffff"/>
        </w:rPr>
      </w:pPr>
      <w:r>
        <w:rPr>
          <w:rStyle w:val="Hyperlink.0"/>
          <w:rtl w:val="0"/>
          <w:lang w:val="en-US"/>
        </w:rPr>
        <w:t xml:space="preserve">Snowflake (2024) Snowflake ML release notes. Available at:  </w:t>
      </w:r>
      <w:r>
        <w:rPr>
          <w:rStyle w:val="Hyperlink.0"/>
        </w:rPr>
        <w:fldChar w:fldCharType="begin" w:fldLock="0"/>
      </w:r>
      <w:r>
        <w:rPr>
          <w:rStyle w:val="Hyperlink.0"/>
        </w:rPr>
        <w:instrText xml:space="preserve"> HYPERLINK "https://docs.snowflake.com/en/release-notes/clients-drivers/snowpark-ml-2024"</w:instrText>
      </w:r>
      <w:r>
        <w:rPr>
          <w:rStyle w:val="Hyperlink.0"/>
        </w:rPr>
        <w:fldChar w:fldCharType="separate" w:fldLock="0"/>
      </w:r>
      <w:r>
        <w:rPr>
          <w:rStyle w:val="Hyperlink.0"/>
          <w:rtl w:val="0"/>
          <w:lang w:val="en-US"/>
        </w:rPr>
        <w:t>https://docs.snowflake.com/en/release-notes/clients-drivers/snowpark-ml-2024</w:t>
      </w:r>
      <w:r>
        <w:rPr/>
        <w:fldChar w:fldCharType="end" w:fldLock="0"/>
      </w:r>
      <w:r>
        <w:rPr>
          <w:rStyle w:val="Hyperlink.0"/>
          <w:rtl w:val="0"/>
          <w:lang w:val="en-US"/>
        </w:rPr>
        <w:t xml:space="preserve"> (Accessed: 8 October 2025).</w:t>
      </w:r>
    </w:p>
    <w:p>
      <w:pPr>
        <w:pStyle w:val="Cuerpo"/>
        <w:spacing w:before="240" w:after="240"/>
        <w:rPr>
          <w:rStyle w:val="Ninguno"/>
          <w:rFonts w:ascii="Arial" w:cs="Arial" w:hAnsi="Arial" w:eastAsia="Arial"/>
          <w:shd w:val="clear" w:color="auto" w:fill="ffffff"/>
        </w:rPr>
      </w:pPr>
      <w:r>
        <w:rPr>
          <w:rStyle w:val="Hyperlink.0"/>
          <w:rtl w:val="0"/>
          <w:lang w:val="en-US"/>
        </w:rPr>
        <w:t>Snowflake (2025) Snowflake ML: End-to-End Machine Learning. Available at:</w:t>
      </w:r>
      <w:r>
        <w:rPr>
          <w:rStyle w:val="Hyperlink.0"/>
        </w:rPr>
        <w:fldChar w:fldCharType="begin" w:fldLock="0"/>
      </w:r>
      <w:r>
        <w:rPr>
          <w:rStyle w:val="Hyperlink.0"/>
        </w:rPr>
        <w:instrText xml:space="preserve"> HYPERLINK "https://docs.snowflake.com/en/developer-guide/snowflake-ml/overview"</w:instrText>
      </w:r>
      <w:r>
        <w:rPr>
          <w:rStyle w:val="Hyperlink.0"/>
        </w:rPr>
        <w:fldChar w:fldCharType="separate" w:fldLock="0"/>
      </w:r>
      <w:r>
        <w:rPr>
          <w:rStyle w:val="Hyperlink.0"/>
          <w:rtl w:val="0"/>
          <w:lang w:val="en-US"/>
        </w:rPr>
        <w:t xml:space="preserve"> </w:t>
      </w:r>
      <w:r>
        <w:rPr/>
        <w:fldChar w:fldCharType="end" w:fldLock="0"/>
      </w:r>
      <w:r>
        <w:rPr>
          <w:rStyle w:val="Hyperlink.1"/>
        </w:rPr>
        <w:fldChar w:fldCharType="begin" w:fldLock="0"/>
      </w:r>
      <w:r>
        <w:rPr>
          <w:rStyle w:val="Hyperlink.1"/>
        </w:rPr>
        <w:instrText xml:space="preserve"> HYPERLINK "https://docs.snowflake.com/en/developer-guide/snowflake-ml/overview"</w:instrText>
      </w:r>
      <w:r>
        <w:rPr>
          <w:rStyle w:val="Hyperlink.1"/>
        </w:rPr>
        <w:fldChar w:fldCharType="separate" w:fldLock="0"/>
      </w:r>
      <w:r>
        <w:rPr>
          <w:rStyle w:val="Hyperlink.1"/>
          <w:rtl w:val="0"/>
          <w:lang w:val="en-US"/>
        </w:rPr>
        <w:t>https://docs.snowflake.com/en/developer-guide/snowflake-ml/overview</w:t>
      </w:r>
      <w:r>
        <w:rPr/>
        <w:fldChar w:fldCharType="end" w:fldLock="0"/>
      </w:r>
      <w:r>
        <w:rPr>
          <w:rStyle w:val="Hyperlink.0"/>
          <w:rtl w:val="0"/>
          <w:lang w:val="en-US"/>
        </w:rPr>
        <w:t xml:space="preserve"> (Accessed: 8 October 2025).</w:t>
      </w:r>
    </w:p>
    <w:p>
      <w:pPr>
        <w:pStyle w:val="Cuerpo"/>
        <w:rPr>
          <w:rStyle w:val="Ninguno"/>
          <w:rFonts w:ascii="Arial" w:cs="Arial" w:hAnsi="Arial" w:eastAsia="Arial"/>
          <w:shd w:val="clear" w:color="auto" w:fill="ffffff"/>
        </w:rPr>
      </w:pPr>
      <w:r>
        <w:rPr>
          <w:rStyle w:val="Hyperlink.0"/>
          <w:rtl w:val="0"/>
          <w:lang w:val="en-US"/>
        </w:rPr>
        <w:t>Studer, S., Bui, T.B., Drescher, C., Hanuschkin, A., Winkler, L., Peters, S. and M</w:t>
      </w:r>
      <w:r>
        <w:rPr>
          <w:rStyle w:val="Hyperlink.0"/>
          <w:rtl w:val="0"/>
          <w:lang w:val="en-US"/>
        </w:rPr>
        <w:t>ü</w:t>
      </w:r>
      <w:r>
        <w:rPr>
          <w:rStyle w:val="Hyperlink.0"/>
          <w:rtl w:val="0"/>
          <w:lang w:val="en-US"/>
        </w:rPr>
        <w:t xml:space="preserve">ller, K.R., (2021) Towards CRISP-ML (Q): a machine learning process model with quality assurance methodology. </w:t>
      </w:r>
      <w:r>
        <w:rPr>
          <w:rStyle w:val="Ninguno"/>
          <w:rFonts w:ascii="Arial" w:hAnsi="Arial"/>
          <w:i w:val="1"/>
          <w:iCs w:val="1"/>
          <w:shd w:val="clear" w:color="auto" w:fill="ffffff"/>
          <w:rtl w:val="0"/>
          <w:lang w:val="en-US"/>
        </w:rPr>
        <w:t>Machine learning and knowledge extraction</w:t>
      </w:r>
      <w:r>
        <w:rPr>
          <w:rStyle w:val="Hyperlink.0"/>
          <w:rtl w:val="0"/>
          <w:lang w:val="en-US"/>
        </w:rPr>
        <w:t xml:space="preserve">, </w:t>
      </w:r>
      <w:r>
        <w:rPr>
          <w:rStyle w:val="Ninguno"/>
          <w:rFonts w:ascii="Arial" w:hAnsi="Arial"/>
          <w:i w:val="1"/>
          <w:iCs w:val="1"/>
          <w:shd w:val="clear" w:color="auto" w:fill="ffffff"/>
          <w:rtl w:val="0"/>
          <w:lang w:val="en-US"/>
        </w:rPr>
        <w:t>3</w:t>
      </w:r>
      <w:r>
        <w:rPr>
          <w:rStyle w:val="Hyperlink.0"/>
          <w:rtl w:val="0"/>
          <w:lang w:val="en-US"/>
        </w:rPr>
        <w:t>(2), pp.392-413.</w:t>
      </w:r>
    </w:p>
    <w:p>
      <w:pPr>
        <w:pStyle w:val="Cuerpo"/>
        <w:rPr>
          <w:rStyle w:val="Ninguno"/>
          <w:rFonts w:ascii="Arial" w:cs="Arial" w:hAnsi="Arial" w:eastAsia="Arial"/>
          <w:shd w:val="clear" w:color="auto" w:fill="ffffff"/>
        </w:rPr>
      </w:pPr>
      <w:r>
        <w:rPr>
          <w:rStyle w:val="Hyperlink.0"/>
          <w:rtl w:val="0"/>
          <w:lang w:val="en-US"/>
        </w:rPr>
        <w:t xml:space="preserve">Wahidi, N. and Ismailova, R., (2024) Association rule mining algorithm implementation for e-commerce in the retail sector. </w:t>
      </w:r>
      <w:r>
        <w:rPr>
          <w:rStyle w:val="Ninguno"/>
          <w:rFonts w:ascii="Arial" w:hAnsi="Arial"/>
          <w:i w:val="1"/>
          <w:iCs w:val="1"/>
          <w:shd w:val="clear" w:color="auto" w:fill="ffffff"/>
          <w:rtl w:val="0"/>
          <w:lang w:val="en-US"/>
        </w:rPr>
        <w:t>Journal of Applied Research in Technology &amp; Engineering</w:t>
      </w:r>
      <w:r>
        <w:rPr>
          <w:rStyle w:val="Hyperlink.0"/>
          <w:rtl w:val="0"/>
          <w:lang w:val="en-US"/>
        </w:rPr>
        <w:t xml:space="preserve">, </w:t>
      </w:r>
      <w:r>
        <w:rPr>
          <w:rStyle w:val="Ninguno"/>
          <w:rFonts w:ascii="Arial" w:hAnsi="Arial"/>
          <w:i w:val="1"/>
          <w:iCs w:val="1"/>
          <w:shd w:val="clear" w:color="auto" w:fill="ffffff"/>
          <w:rtl w:val="0"/>
          <w:lang w:val="en-US"/>
        </w:rPr>
        <w:t>5</w:t>
      </w:r>
      <w:r>
        <w:rPr>
          <w:rStyle w:val="Hyperlink.0"/>
          <w:rtl w:val="0"/>
          <w:lang w:val="en-US"/>
        </w:rPr>
        <w:t>(2), pp.63-68.</w:t>
      </w:r>
    </w:p>
    <w:p>
      <w:pPr>
        <w:pStyle w:val="Cuerpo"/>
        <w:spacing w:after="120"/>
      </w:pPr>
      <w:r>
        <w:rPr>
          <w:rStyle w:val="Hyperlink.0"/>
          <w:rtl w:val="0"/>
          <w:lang w:val="en-US"/>
        </w:rPr>
        <w:t>Yoo, J. (2025) Regional difference in retail product association of market baskets.</w:t>
      </w:r>
      <w:r>
        <w:rPr>
          <w:rStyle w:val="Ninguno"/>
          <w:rFonts w:ascii="Arial" w:hAnsi="Arial"/>
          <w:i w:val="1"/>
          <w:iCs w:val="1"/>
          <w:shd w:val="clear" w:color="auto" w:fill="ffffff"/>
          <w:rtl w:val="0"/>
          <w:lang w:val="en-US"/>
        </w:rPr>
        <w:t xml:space="preserve"> Journal of Distribution Science.</w:t>
      </w:r>
      <w:r>
        <w:rPr>
          <w:rStyle w:val="Hyperlink.0"/>
          <w:rtl w:val="0"/>
          <w:lang w:val="en-US"/>
        </w:rPr>
        <w:t xml:space="preserve"> Available at: </w:t>
      </w:r>
      <w:r>
        <w:rPr>
          <w:rStyle w:val="Hyperlink.0"/>
        </w:rPr>
        <w:fldChar w:fldCharType="begin" w:fldLock="0"/>
      </w:r>
      <w:r>
        <w:rPr>
          <w:rStyle w:val="Hyperlink.0"/>
        </w:rPr>
        <w:instrText xml:space="preserve"> HYPERLINK "https://accesson.kr/jds/assets/pdf/50990/journal-21-4-121.pdf"</w:instrText>
      </w:r>
      <w:r>
        <w:rPr>
          <w:rStyle w:val="Hyperlink.0"/>
        </w:rPr>
        <w:fldChar w:fldCharType="separate" w:fldLock="0"/>
      </w:r>
      <w:r>
        <w:rPr>
          <w:rStyle w:val="Hyperlink.0"/>
          <w:rtl w:val="0"/>
          <w:lang w:val="en-US"/>
        </w:rPr>
        <w:t>https://accesson.kr/jds/assets/pdf/50990/journal-21-4-121.pdf</w:t>
      </w:r>
      <w:r>
        <w:rPr/>
        <w:fldChar w:fldCharType="end" w:fldLock="0"/>
      </w:r>
      <w:r>
        <w:rPr>
          <w:rStyle w:val="Hyperlink.0"/>
          <w:rtl w:val="0"/>
          <w:lang w:val="en-US"/>
        </w:rPr>
        <w:t xml:space="preserve">  (Accessed: 8 October 2025).</w:t>
      </w:r>
      <w:r>
        <w:rPr>
          <w:rStyle w:val="Ninguno"/>
          <w:rFonts w:ascii="Arial" w:cs="Arial" w:hAnsi="Arial" w:eastAsia="Arial"/>
          <w:shd w:val="clear" w:color="auto" w:fill="ffffff"/>
        </w:rPr>
      </w:r>
    </w:p>
    <w:sectPr>
      <w:headerReference w:type="default" r:id="rId5"/>
      <w:footerReference w:type="default" r:id="rId6"/>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EB Garamond Medium">
    <w:charset w:val="00"/>
    <w:family w:val="roman"/>
    <w:pitch w:val="default"/>
  </w:font>
  <w:font w:name="Calibri">
    <w:charset w:val="00"/>
    <w:family w:val="roman"/>
    <w:pitch w:val="default"/>
  </w:font>
  <w:font w:name="Cambria Math">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uerpo"/>
      <w:jc w:val="right"/>
    </w:pPr>
    <w:r>
      <w:rPr>
        <w:rStyle w:val="Ninguno"/>
        <w:rtl w:val="0"/>
      </w:rPr>
      <w:fldChar w:fldCharType="begin" w:fldLock="0"/>
    </w:r>
    <w:r>
      <w:rPr>
        <w:rStyle w:val="Ninguno"/>
        <w:rtl w:val="0"/>
      </w:rPr>
      <w:instrText xml:space="preserve"> PAGE </w:instrText>
    </w:r>
    <w:r>
      <w:rPr>
        <w:rStyle w:val="Ninguno"/>
        <w:rtl w:val="0"/>
      </w:rPr>
      <w:fldChar w:fldCharType="separate" w:fldLock="0"/>
    </w:r>
    <w:r>
      <w:rPr>
        <w:rStyle w:val="Ninguno"/>
        <w:rtl w:val="0"/>
      </w:rPr>
    </w:r>
    <w:r>
      <w:rPr>
        <w:rStyle w:val="Ninguno"/>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Cabecera y pie"/>
      <w:bidi w:val="0"/>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ángulo"/>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Estilo importado 1"/>
  </w:abstractNum>
  <w:abstractNum w:abstractNumId="1">
    <w:multiLevelType w:val="hybridMultilevel"/>
    <w:styleLink w:val="Estilo importado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spañol" w:val="‘“(〔[{〈《「『【⦅〘〖«〝︵︷︹︻︽︿﹁﹃﹇﹙﹛﹝｢"/>
  <w:noLineBreaksBefore w:lang="español"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abecera y pie">
    <w:name w:val="Cabecera y pie"/>
    <w:next w:val="Cabecera y pi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Cuerpo">
    <w:name w:val="Cuerpo"/>
    <w:next w:val="Cuerpo"/>
    <w:pPr>
      <w:keepNext w:val="0"/>
      <w:keepLines w:val="0"/>
      <w:pageBreakBefore w:val="0"/>
      <w:widowControl w:val="1"/>
      <w:shd w:val="clear" w:color="auto" w:fill="auto"/>
      <w:suppressAutoHyphens w:val="0"/>
      <w:bidi w:val="0"/>
      <w:spacing w:before="0" w:after="200" w:line="360" w:lineRule="auto"/>
      <w:ind w:left="0" w:right="0" w:firstLine="0"/>
      <w:jc w:val="both"/>
      <w:outlineLvl w:val="9"/>
    </w:pPr>
    <w:rPr>
      <w:rFonts w:ascii="EB Garamond Medium" w:cs="EB Garamond Medium" w:hAnsi="EB Garamond Medium" w:eastAsia="EB Garamond Medium"/>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Ninguno">
    <w:name w:val="Ninguno"/>
  </w:style>
  <w:style w:type="paragraph" w:styleId="Title">
    <w:name w:val="Title"/>
    <w:next w:val="Cuerpo"/>
    <w:pPr>
      <w:keepNext w:val="1"/>
      <w:keepLines w:val="1"/>
      <w:pageBreakBefore w:val="0"/>
      <w:widowControl w:val="1"/>
      <w:shd w:val="clear" w:color="auto" w:fill="auto"/>
      <w:suppressAutoHyphens w:val="0"/>
      <w:bidi w:val="0"/>
      <w:spacing w:before="0" w:after="60" w:line="360" w:lineRule="auto"/>
      <w:ind w:left="0" w:right="0" w:firstLine="0"/>
      <w:jc w:val="center"/>
      <w:outlineLvl w:val="9"/>
    </w:pPr>
    <w:rPr>
      <w:rFonts w:ascii="EB Garamond Medium" w:cs="EB Garamond Medium" w:hAnsi="EB Garamond Medium" w:eastAsia="EB Garamond Medium"/>
      <w:b w:val="1"/>
      <w:bCs w:val="1"/>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Subtitle">
    <w:name w:val="Subtitle"/>
    <w:next w:val="Cuerpo"/>
    <w:pPr>
      <w:keepNext w:val="1"/>
      <w:keepLines w:val="1"/>
      <w:pageBreakBefore w:val="0"/>
      <w:widowControl w:val="1"/>
      <w:shd w:val="clear" w:color="auto" w:fill="auto"/>
      <w:suppressAutoHyphens w:val="0"/>
      <w:bidi w:val="0"/>
      <w:spacing w:before="0" w:after="320" w:line="360" w:lineRule="auto"/>
      <w:ind w:left="0" w:right="0" w:firstLine="0"/>
      <w:jc w:val="center"/>
      <w:outlineLvl w:val="9"/>
    </w:pPr>
    <w:rPr>
      <w:rFonts w:ascii="EB Garamond Medium" w:cs="EB Garamond Medium" w:hAnsi="EB Garamond Medium" w:eastAsia="EB Garamond Medium"/>
      <w:b w:val="0"/>
      <w:bCs w:val="0"/>
      <w:i w:val="1"/>
      <w:iCs w:val="1"/>
      <w:caps w:val="0"/>
      <w:smallCaps w:val="0"/>
      <w:strike w:val="0"/>
      <w:dstrike w:val="0"/>
      <w:outline w:val="0"/>
      <w:color w:val="666666"/>
      <w:spacing w:val="0"/>
      <w:kern w:val="0"/>
      <w:position w:val="0"/>
      <w:sz w:val="30"/>
      <w:szCs w:val="30"/>
      <w:u w:val="none" w:color="666666"/>
      <w:shd w:val="nil" w:color="auto" w:fill="auto"/>
      <w:vertAlign w:val="baseline"/>
      <w:lang w:val="en-US"/>
      <w14:textFill>
        <w14:solidFill>
          <w14:srgbClr w14:val="666666"/>
        </w14:solidFill>
      </w14:textFill>
    </w:rPr>
  </w:style>
  <w:style w:type="paragraph" w:styleId="Encabezamiento">
    <w:name w:val="Encabezamiento"/>
    <w:next w:val="Cuerpo"/>
    <w:pPr>
      <w:keepNext w:val="1"/>
      <w:keepLines w:val="1"/>
      <w:pageBreakBefore w:val="0"/>
      <w:widowControl w:val="1"/>
      <w:shd w:val="clear" w:color="auto" w:fill="auto"/>
      <w:suppressAutoHyphens w:val="0"/>
      <w:bidi w:val="0"/>
      <w:spacing w:before="400" w:after="120" w:line="360" w:lineRule="auto"/>
      <w:ind w:left="0" w:right="0" w:firstLine="0"/>
      <w:jc w:val="both"/>
      <w:outlineLvl w:val="1"/>
    </w:pPr>
    <w:rPr>
      <w:rFonts w:ascii="EB Garamond Medium" w:cs="EB Garamond Medium" w:hAnsi="EB Garamond Medium" w:eastAsia="EB Garamond Medium"/>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Cuerpo"/>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240" w:right="0" w:firstLine="0"/>
      <w:jc w:val="both"/>
      <w:outlineLvl w:val="9"/>
    </w:pPr>
    <w:rPr>
      <w:rFonts w:ascii="EB Garamond Medium" w:cs="EB Garamond Medium" w:hAnsi="EB Garamond Medium" w:eastAsia="EB Garamond Medium"/>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Encabezam. 2">
    <w:name w:val="Encabezam. 2"/>
    <w:next w:val="Cuerpo"/>
    <w:pPr>
      <w:keepNext w:val="1"/>
      <w:keepLines w:val="1"/>
      <w:pageBreakBefore w:val="0"/>
      <w:widowControl w:val="1"/>
      <w:shd w:val="clear" w:color="auto" w:fill="auto"/>
      <w:suppressAutoHyphens w:val="0"/>
      <w:bidi w:val="0"/>
      <w:spacing w:before="360" w:after="120" w:line="360" w:lineRule="auto"/>
      <w:ind w:left="0" w:right="0" w:firstLine="0"/>
      <w:jc w:val="both"/>
      <w:outlineLvl w:val="0"/>
    </w:pPr>
    <w:rPr>
      <w:rFonts w:ascii="EB Garamond Medium" w:cs="EB Garamond Medium" w:hAnsi="EB Garamond Medium" w:eastAsia="EB Garamond Medium"/>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EB Garamond Medium" w:cs="EB Garamond Medium" w:hAnsi="EB Garamond Medium" w:eastAsia="EB Garamond Medium"/>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Estilo importado 1">
    <w:name w:val="Estilo importado 1"/>
    <w:pPr>
      <w:numPr>
        <w:numId w:val="1"/>
      </w:numPr>
    </w:pPr>
  </w:style>
  <w:style w:type="character" w:styleId="Hyperlink.0">
    <w:name w:val="Hyperlink.0"/>
    <w:basedOn w:val="Ninguno"/>
    <w:next w:val="Hyperlink.0"/>
    <w:rPr>
      <w:rFonts w:ascii="Arial" w:cs="Arial" w:hAnsi="Arial" w:eastAsia="Arial"/>
      <w:shd w:val="clear" w:color="auto" w:fill="ffffff"/>
      <w:lang w:val="en-US"/>
    </w:rPr>
  </w:style>
  <w:style w:type="character" w:styleId="Hyperlink.1">
    <w:name w:val="Hyperlink.1"/>
    <w:basedOn w:val="Ninguno"/>
    <w:next w:val="Hyperlink.1"/>
    <w:rPr>
      <w:rFonts w:ascii="Arial" w:cs="Arial" w:hAnsi="Arial" w:eastAsia="Arial"/>
      <w:u w:val="single"/>
      <w:shd w:val="clear" w:color="auto" w:fill="ffffff"/>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