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eastAsiaTheme="minorEastAsia"/>
          <w:lang w:val="en-US" w:eastAsia="zh-CN"/>
        </w:rPr>
      </w:pPr>
      <w:r>
        <w:drawing>
          <wp:anchor distT="0" distB="0" distL="114300" distR="114300" simplePos="0" relativeHeight="251664384" behindDoc="1" locked="0" layoutInCell="1" allowOverlap="1">
            <wp:simplePos x="0" y="0"/>
            <wp:positionH relativeFrom="column">
              <wp:posOffset>-960120</wp:posOffset>
            </wp:positionH>
            <wp:positionV relativeFrom="paragraph">
              <wp:posOffset>-948055</wp:posOffset>
            </wp:positionV>
            <wp:extent cx="7630160" cy="10722610"/>
            <wp:effectExtent l="0" t="0" r="5080" b="6350"/>
            <wp:wrapNone/>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7630160" cy="10722610"/>
                    </a:xfrm>
                    <a:prstGeom prst="rect">
                      <a:avLst/>
                    </a:prstGeom>
                    <a:noFill/>
                    <a:ln>
                      <a:noFill/>
                    </a:ln>
                  </pic:spPr>
                </pic:pic>
              </a:graphicData>
            </a:graphic>
          </wp:anchor>
        </w:drawing>
      </w:r>
      <w:r>
        <w:rPr>
          <w:sz w:val="21"/>
        </w:rPr>
        <mc:AlternateContent>
          <mc:Choice Requires="wps">
            <w:drawing>
              <wp:anchor distT="0" distB="0" distL="114300" distR="114300" simplePos="0" relativeHeight="251665408" behindDoc="0" locked="0" layoutInCell="1" allowOverlap="1">
                <wp:simplePos x="0" y="0"/>
                <wp:positionH relativeFrom="column">
                  <wp:posOffset>724535</wp:posOffset>
                </wp:positionH>
                <wp:positionV relativeFrom="paragraph">
                  <wp:posOffset>8462010</wp:posOffset>
                </wp:positionV>
                <wp:extent cx="3134995" cy="560705"/>
                <wp:effectExtent l="0" t="0" r="0" b="0"/>
                <wp:wrapNone/>
                <wp:docPr id="11" name="文本框 11"/>
                <wp:cNvGraphicFramePr/>
                <a:graphic xmlns:a="http://schemas.openxmlformats.org/drawingml/2006/main">
                  <a:graphicData uri="http://schemas.microsoft.com/office/word/2010/wordprocessingShape">
                    <wps:wsp>
                      <wps:cNvSpPr txBox="1"/>
                      <wps:spPr>
                        <a:xfrm>
                          <a:off x="0" y="0"/>
                          <a:ext cx="3134995" cy="5607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汉仪雅酷黑 75W" w:hAnsi="汉仪雅酷黑 75W" w:eastAsia="汉仪雅酷黑 75W" w:cs="汉仪雅酷黑 75W"/>
                                <w:b/>
                                <w:bCs/>
                                <w:color w:val="8DABD0"/>
                                <w:sz w:val="28"/>
                                <w:szCs w:val="28"/>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7.05pt;margin-top:666.3pt;height:44.15pt;width:246.85pt;z-index:251665408;mso-width-relative:page;mso-height-relative:page;" filled="f" stroked="f" coordsize="21600,21600" o:gfxdata="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N7Z70jcAAAADQEAAA8AAAAAAAAAAQAgAAAAIgAA&#10;AGRycy9kb3ducmV2LnhtbFBLAQIUABQAAAAIAIdO4kACqnz9PQIAAGgEAAAOAAAAAAAAAAEAIAAA&#10;ACsBAABkcnMvZTJvRG9jLnhtbFBLBQYAAAAABgAGAFkBAADaBQAAAAA=&#10;">
                <v:fill on="f" focussize="0,0"/>
                <v:stroke on="f" weight="0.5pt"/>
                <v:imagedata o:title=""/>
                <o:lock v:ext="edit" aspectratio="f"/>
                <v:textbox>
                  <w:txbxContent>
                    <w:p>
                      <w:pPr>
                        <w:jc w:val="left"/>
                        <w:rPr>
                          <w:rFonts w:hint="default" w:ascii="汉仪雅酷黑 75W" w:hAnsi="汉仪雅酷黑 75W" w:eastAsia="汉仪雅酷黑 75W" w:cs="汉仪雅酷黑 75W"/>
                          <w:b/>
                          <w:bCs/>
                          <w:color w:val="8DABD0"/>
                          <w:sz w:val="28"/>
                          <w:szCs w:val="28"/>
                          <w:lang w:val="en-US" w:eastAsia="zh-CN"/>
                        </w:rPr>
                      </w:pPr>
                    </w:p>
                  </w:txbxContent>
                </v:textbox>
              </v:shape>
            </w:pict>
          </mc:Fallback>
        </mc:AlternateContent>
      </w:r>
      <w:r>
        <w:rPr>
          <w:sz w:val="21"/>
        </w:rPr>
        <mc:AlternateContent>
          <mc:Choice Requires="wps">
            <w:drawing>
              <wp:anchor distT="0" distB="0" distL="114300" distR="114300" simplePos="0" relativeHeight="251663360" behindDoc="0" locked="0" layoutInCell="1" allowOverlap="1">
                <wp:simplePos x="0" y="0"/>
                <wp:positionH relativeFrom="column">
                  <wp:posOffset>-60325</wp:posOffset>
                </wp:positionH>
                <wp:positionV relativeFrom="paragraph">
                  <wp:posOffset>4857750</wp:posOffset>
                </wp:positionV>
                <wp:extent cx="4576445" cy="948055"/>
                <wp:effectExtent l="0" t="0" r="0" b="0"/>
                <wp:wrapNone/>
                <wp:docPr id="5" name="文本框 5"/>
                <wp:cNvGraphicFramePr/>
                <a:graphic xmlns:a="http://schemas.openxmlformats.org/drawingml/2006/main">
                  <a:graphicData uri="http://schemas.microsoft.com/office/word/2010/wordprocessingShape">
                    <wps:wsp>
                      <wps:cNvSpPr txBox="1"/>
                      <wps:spPr>
                        <a:xfrm>
                          <a:off x="0" y="0"/>
                          <a:ext cx="4576445" cy="94805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color w:val="7B9DCA"/>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4.75pt;margin-top:382.5pt;height:74.65pt;width:360.35pt;z-index:251663360;mso-width-relative:page;mso-height-relative:page;" filled="f" stroked="f" coordsize="21600,21600" o:gfxdata="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fZdeKtwAAAAKAQAADwAAAAAAAAABACAAAAAiAAAA&#10;ZHJzL2Rvd25yZXYueG1sUEsBAhQAFAAAAAgAh07iQKt4+a48AgAAZgQAAA4AAAAAAAAAAQAgAAAA&#10;KwEAAGRycy9lMm9Eb2MueG1sUEsFBgAAAAAGAAYAWQEAANkFAAAAAA==&#10;">
                <v:fill on="f" focussize="0,0"/>
                <v:stroke on="f" weight="0.5pt"/>
                <v:imagedata o:title=""/>
                <o:lock v:ext="edit" aspectratio="f"/>
                <v:textbox>
                  <w:txbxContent>
                    <w:p>
                      <w:pPr>
                        <w:jc w:val="left"/>
                        <w:rPr>
                          <w:rFonts w:hint="default"/>
                          <w:color w:val="7B9DCA"/>
                          <w:lang w:val="en-US" w:eastAsia="zh-CN"/>
                        </w:rPr>
                      </w:pPr>
                    </w:p>
                  </w:txbxContent>
                </v:textbox>
              </v:shape>
            </w:pict>
          </mc:Fallback>
        </mc:AlternateContent>
      </w:r>
      <w:r>
        <w:rPr>
          <w:sz w:val="21"/>
        </w:rPr>
        <mc:AlternateContent>
          <mc:Choice Requires="wps">
            <w:drawing>
              <wp:anchor distT="0" distB="0" distL="114300" distR="114300" simplePos="0" relativeHeight="251660288" behindDoc="0" locked="0" layoutInCell="1" allowOverlap="1">
                <wp:simplePos x="0" y="0"/>
                <wp:positionH relativeFrom="column">
                  <wp:posOffset>-1216660</wp:posOffset>
                </wp:positionH>
                <wp:positionV relativeFrom="paragraph">
                  <wp:posOffset>1981200</wp:posOffset>
                </wp:positionV>
                <wp:extent cx="7679055" cy="2173605"/>
                <wp:effectExtent l="0" t="0" r="0" b="0"/>
                <wp:wrapNone/>
                <wp:docPr id="3" name="文本框 3"/>
                <wp:cNvGraphicFramePr/>
                <a:graphic xmlns:a="http://schemas.openxmlformats.org/drawingml/2006/main">
                  <a:graphicData uri="http://schemas.microsoft.com/office/word/2010/wordprocessingShape">
                    <wps:wsp>
                      <wps:cNvSpPr txBox="1"/>
                      <wps:spPr>
                        <a:xfrm>
                          <a:off x="0" y="0"/>
                          <a:ext cx="7679055" cy="217360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汉仪雅酷黑 75W" w:hAnsi="汉仪雅酷黑 75W" w:eastAsia="汉仪雅酷黑 75W" w:cs="汉仪雅酷黑 75W"/>
                                <w:b/>
                                <w:bCs/>
                                <w:color w:val="187B84"/>
                                <w:sz w:val="144"/>
                                <w:szCs w:val="144"/>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95.8pt;margin-top:156pt;height:171.15pt;width:604.65pt;z-index:251660288;mso-width-relative:page;mso-height-relative:page;" filled="f" stroked="f" coordsize="21600,21600" o:gfxdata="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">
                <v:fill on="f" focussize="0,0"/>
                <v:stroke on="f" weight="0.5pt"/>
                <v:imagedata o:title=""/>
                <o:lock v:ext="edit" aspectratio="f"/>
                <v:textbox>
                  <w:txbxContent>
                    <w:p>
                      <w:pPr>
                        <w:jc w:val="center"/>
                        <w:rPr>
                          <w:rFonts w:hint="default" w:ascii="汉仪雅酷黑 75W" w:hAnsi="汉仪雅酷黑 75W" w:eastAsia="汉仪雅酷黑 75W" w:cs="汉仪雅酷黑 75W"/>
                          <w:b/>
                          <w:bCs/>
                          <w:color w:val="187B84"/>
                          <w:sz w:val="144"/>
                          <w:szCs w:val="144"/>
                          <w:lang w:val="en-US" w:eastAsia="zh-CN"/>
                        </w:rPr>
                      </w:pPr>
                    </w:p>
                  </w:txbxContent>
                </v:textbox>
              </v:shape>
            </w:pict>
          </mc:Fallback>
        </mc:AlternateContent>
      </w:r>
      <w:r>
        <w:drawing>
          <wp:anchor distT="0" distB="0" distL="114300" distR="114300" simplePos="0" relativeHeight="251664384" behindDoc="0" locked="0" layoutInCell="1" allowOverlap="1">
            <wp:simplePos x="0" y="0"/>
            <wp:positionH relativeFrom="column">
              <wp:posOffset>-866775</wp:posOffset>
            </wp:positionH>
            <wp:positionV relativeFrom="paragraph">
              <wp:posOffset>-171450</wp:posOffset>
            </wp:positionV>
            <wp:extent cx="1787525" cy="234315"/>
            <wp:effectExtent l="0" t="0" r="10795" b="9525"/>
            <wp:wrapNone/>
            <wp:docPr id="4"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2"/>
                    <pic:cNvPicPr>
                      <a:picLocks noChangeAspect="1"/>
                    </pic:cNvPicPr>
                  </pic:nvPicPr>
                  <pic:blipFill>
                    <a:blip r:embed="rId7"/>
                    <a:stretch>
                      <a:fillRect/>
                    </a:stretch>
                  </pic:blipFill>
                  <pic:spPr>
                    <a:xfrm>
                      <a:off x="0" y="0"/>
                      <a:ext cx="1787525" cy="234315"/>
                    </a:xfrm>
                    <a:prstGeom prst="rect">
                      <a:avLst/>
                    </a:prstGeom>
                    <a:noFill/>
                    <a:ln>
                      <a:noFill/>
                    </a:ln>
                  </pic:spPr>
                </pic:pic>
              </a:graphicData>
            </a:graphic>
          </wp:anchor>
        </w:drawing>
      </w:r>
    </w:p>
    <w:p>
      <w:pPr>
        <w:sectPr>
          <w:pgSz w:w="11906" w:h="16838"/>
          <w:pgMar w:top="1440" w:right="1440" w:bottom="1440" w:left="1440" w:header="708" w:footer="708" w:gutter="0"/>
          <w:pgNumType w:start="0"/>
          <w:cols w:space="708" w:num="1"/>
          <w:titlePg/>
          <w:docGrid w:linePitch="360" w:charSpace="0"/>
        </w:sectPr>
      </w:pPr>
      <w:r>
        <w:rPr>
          <w:sz w:val="21"/>
        </w:rPr>
        <mc:AlternateContent>
          <mc:Choice Requires="wps">
            <w:drawing>
              <wp:anchor distT="0" distB="0" distL="114300" distR="114300" simplePos="0" relativeHeight="251662336" behindDoc="0" locked="0" layoutInCell="1" allowOverlap="1">
                <wp:simplePos x="0" y="0"/>
                <wp:positionH relativeFrom="column">
                  <wp:posOffset>-821690</wp:posOffset>
                </wp:positionH>
                <wp:positionV relativeFrom="paragraph">
                  <wp:posOffset>2985770</wp:posOffset>
                </wp:positionV>
                <wp:extent cx="7084060" cy="3201035"/>
                <wp:effectExtent l="0" t="0" r="0" b="0"/>
                <wp:wrapNone/>
                <wp:docPr id="9" name="文本框 9"/>
                <wp:cNvGraphicFramePr/>
                <a:graphic xmlns:a="http://schemas.openxmlformats.org/drawingml/2006/main">
                  <a:graphicData uri="http://schemas.microsoft.com/office/word/2010/wordprocessingShape">
                    <wps:wsp>
                      <wps:cNvSpPr txBox="1"/>
                      <wps:spPr>
                        <a:xfrm>
                          <a:off x="0" y="0"/>
                          <a:ext cx="7084060" cy="3201035"/>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International Business Communication</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code:BMBM60</w:t>
                            </w:r>
                            <w:r>
                              <w:rPr>
                                <w:rFonts w:hint="eastAsia" w:ascii="Arial" w:hAnsi="Arial" w:eastAsia="汉仪雅酷黑 75W" w:cs="Arial"/>
                                <w:b/>
                                <w:bCs/>
                                <w:color w:val="187B84"/>
                                <w:sz w:val="30"/>
                                <w:szCs w:val="30"/>
                                <w:lang w:val="en-US" w:eastAsia="zh-CN"/>
                              </w:rPr>
                              <w:t>21</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w:t>
                            </w:r>
                            <w:r>
                              <w:rPr>
                                <w:rFonts w:hint="eastAsia" w:ascii="Arial" w:hAnsi="Arial" w:eastAsia="汉仪雅酷黑 75W" w:cs="Arial"/>
                                <w:b/>
                                <w:bCs/>
                                <w:color w:val="187B84"/>
                                <w:sz w:val="30"/>
                                <w:szCs w:val="30"/>
                                <w:lang w:val="en-US" w:eastAsia="zh-CN"/>
                              </w:rPr>
                              <w:t>Gwyneth Jones</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w:t>
                            </w:r>
                            <w:r>
                              <w:rPr>
                                <w:rFonts w:hint="eastAsia" w:ascii="Arial" w:hAnsi="Arial" w:eastAsia="汉仪雅酷黑 75W" w:cs="Arial"/>
                                <w:b/>
                                <w:bCs/>
                                <w:color w:val="187B84"/>
                                <w:sz w:val="30"/>
                                <w:szCs w:val="30"/>
                                <w:lang w:val="en-US" w:eastAsia="zh-CN"/>
                              </w:rPr>
                              <w:t>1</w:t>
                            </w:r>
                            <w:r>
                              <w:rPr>
                                <w:rFonts w:hint="default" w:ascii="Arial" w:hAnsi="Arial" w:eastAsia="汉仪雅酷黑 75W" w:cs="Arial"/>
                                <w:b/>
                                <w:bCs/>
                                <w:color w:val="187B84"/>
                                <w:sz w:val="30"/>
                                <w:szCs w:val="30"/>
                                <w:lang w:val="en-US" w:eastAsia="zh-CN"/>
                              </w:rPr>
                              <w:t xml:space="preserve"> December 2023</w:t>
                            </w:r>
                          </w:p>
                          <w:p>
                            <w:pPr>
                              <w:jc w:val="center"/>
                              <w:rPr>
                                <w:rFonts w:hint="default" w:ascii="汉仪雅酷黑 75W" w:hAnsi="汉仪雅酷黑 75W" w:eastAsia="汉仪雅酷黑 75W" w:cs="汉仪雅酷黑 75W"/>
                                <w:b/>
                                <w:bCs/>
                                <w:color w:val="2DCBD9"/>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4.7pt;margin-top:235.1pt;height:252.05pt;width:557.8pt;z-index:251662336;mso-width-relative:page;mso-height-relative:page;" filled="f" stroked="f" coordsize="21600,21600" o:gfxdata="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x5QqUN0AAAAMAQAADwAAAAAAAAABACAAAAAiAAAA&#10;ZHJzL2Rvd25yZXYueG1sUEsBAhQAFAAAAAgAh07iQPBKlVY7AgAAZwQAAA4AAAAAAAAAAQAgAAAA&#10;LAEAAGRycy9lMm9Eb2MueG1sUEsFBgAAAAAGAAYAWQEAANkFAAAAAA==&#10;">
                <v:fill on="f" focussize="0,0"/>
                <v:stroke on="f" weight="0.5pt"/>
                <v:imagedata o:title=""/>
                <o:lock v:ext="edit" aspectratio="f"/>
                <v:textbox>
                  <w:txbxContent>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Unit name:</w:t>
                      </w:r>
                      <w:r>
                        <w:rPr>
                          <w:rFonts w:hint="eastAsia" w:ascii="Arial" w:hAnsi="Arial" w:eastAsia="汉仪雅酷黑 75W" w:cs="Arial"/>
                          <w:b/>
                          <w:bCs/>
                          <w:color w:val="187B84"/>
                          <w:sz w:val="30"/>
                          <w:szCs w:val="30"/>
                          <w:lang w:val="en-US" w:eastAsia="zh-CN"/>
                        </w:rPr>
                        <w:t>International Business Communication</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Module code:BMBM60</w:t>
                      </w:r>
                      <w:r>
                        <w:rPr>
                          <w:rFonts w:hint="eastAsia" w:ascii="Arial" w:hAnsi="Arial" w:eastAsia="汉仪雅酷黑 75W" w:cs="Arial"/>
                          <w:b/>
                          <w:bCs/>
                          <w:color w:val="187B84"/>
                          <w:sz w:val="30"/>
                          <w:szCs w:val="30"/>
                          <w:lang w:val="en-US" w:eastAsia="zh-CN"/>
                        </w:rPr>
                        <w:t>21</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Lecturer:</w:t>
                      </w:r>
                      <w:r>
                        <w:rPr>
                          <w:rFonts w:hint="eastAsia" w:ascii="Arial" w:hAnsi="Arial" w:eastAsia="汉仪雅酷黑 75W" w:cs="Arial"/>
                          <w:b/>
                          <w:bCs/>
                          <w:color w:val="187B84"/>
                          <w:sz w:val="30"/>
                          <w:szCs w:val="30"/>
                          <w:lang w:val="en-US" w:eastAsia="zh-CN"/>
                        </w:rPr>
                        <w:t>Gwyneth Jones</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name:Yi Chen Wang</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Student ID number:2300489</w:t>
                      </w:r>
                    </w:p>
                    <w:p>
                      <w:pPr>
                        <w:keepNext w:val="0"/>
                        <w:keepLines w:val="0"/>
                        <w:pageBreakBefore w:val="0"/>
                        <w:widowControl/>
                        <w:kinsoku/>
                        <w:wordWrap/>
                        <w:overflowPunct/>
                        <w:topLinePunct w:val="0"/>
                        <w:bidi w:val="0"/>
                        <w:adjustRightInd/>
                        <w:snapToGrid/>
                        <w:spacing w:line="480" w:lineRule="auto"/>
                        <w:jc w:val="center"/>
                        <w:textAlignment w:val="auto"/>
                        <w:rPr>
                          <w:rFonts w:hint="default" w:ascii="Arial" w:hAnsi="Arial" w:eastAsia="汉仪雅酷黑 75W" w:cs="Arial"/>
                          <w:b/>
                          <w:bCs/>
                          <w:color w:val="187B84"/>
                          <w:sz w:val="30"/>
                          <w:szCs w:val="30"/>
                          <w:lang w:val="en-US" w:eastAsia="zh-CN"/>
                        </w:rPr>
                      </w:pPr>
                      <w:r>
                        <w:rPr>
                          <w:rFonts w:hint="default" w:ascii="Arial" w:hAnsi="Arial" w:eastAsia="汉仪雅酷黑 75W" w:cs="Arial"/>
                          <w:b/>
                          <w:bCs/>
                          <w:color w:val="187B84"/>
                          <w:sz w:val="30"/>
                          <w:szCs w:val="30"/>
                          <w:lang w:val="en-US" w:eastAsia="zh-CN"/>
                        </w:rPr>
                        <w:t>Date submitted:</w:t>
                      </w:r>
                      <w:r>
                        <w:rPr>
                          <w:rFonts w:hint="eastAsia" w:ascii="Arial" w:hAnsi="Arial" w:eastAsia="汉仪雅酷黑 75W" w:cs="Arial"/>
                          <w:b/>
                          <w:bCs/>
                          <w:color w:val="187B84"/>
                          <w:sz w:val="30"/>
                          <w:szCs w:val="30"/>
                          <w:lang w:val="en-US" w:eastAsia="zh-CN"/>
                        </w:rPr>
                        <w:t>1</w:t>
                      </w:r>
                      <w:r>
                        <w:rPr>
                          <w:rFonts w:hint="default" w:ascii="Arial" w:hAnsi="Arial" w:eastAsia="汉仪雅酷黑 75W" w:cs="Arial"/>
                          <w:b/>
                          <w:bCs/>
                          <w:color w:val="187B84"/>
                          <w:sz w:val="30"/>
                          <w:szCs w:val="30"/>
                          <w:lang w:val="en-US" w:eastAsia="zh-CN"/>
                        </w:rPr>
                        <w:t xml:space="preserve"> December 2023</w:t>
                      </w:r>
                    </w:p>
                    <w:p>
                      <w:pPr>
                        <w:jc w:val="center"/>
                        <w:rPr>
                          <w:rFonts w:hint="default" w:ascii="汉仪雅酷黑 75W" w:hAnsi="汉仪雅酷黑 75W" w:eastAsia="汉仪雅酷黑 75W" w:cs="汉仪雅酷黑 75W"/>
                          <w:b/>
                          <w:bCs/>
                          <w:color w:val="2DCBD9"/>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p>
                      <w:pPr>
                        <w:jc w:val="center"/>
                        <w:rPr>
                          <w:rFonts w:hint="default" w:ascii="汉仪雅酷黑 75W" w:hAnsi="汉仪雅酷黑 75W" w:eastAsia="汉仪雅酷黑 75W" w:cs="汉仪雅酷黑 75W"/>
                          <w:b/>
                          <w:bCs/>
                          <w:color w:val="8DABD0"/>
                          <w:sz w:val="80"/>
                          <w:szCs w:val="80"/>
                          <w:lang w:val="en-US" w:eastAsia="zh-CN"/>
                        </w:rPr>
                      </w:pPr>
                    </w:p>
                  </w:txbxContent>
                </v:textbox>
              </v:shape>
            </w:pict>
          </mc:Fallback>
        </mc:AlternateContent>
      </w:r>
      <w:r>
        <w:rPr>
          <w:sz w:val="21"/>
        </w:rPr>
        <mc:AlternateContent>
          <mc:Choice Requires="wps">
            <w:drawing>
              <wp:anchor distT="0" distB="0" distL="114300" distR="114300" simplePos="0" relativeHeight="251661312" behindDoc="0" locked="0" layoutInCell="1" allowOverlap="1">
                <wp:simplePos x="0" y="0"/>
                <wp:positionH relativeFrom="column">
                  <wp:posOffset>746125</wp:posOffset>
                </wp:positionH>
                <wp:positionV relativeFrom="paragraph">
                  <wp:posOffset>-247650</wp:posOffset>
                </wp:positionV>
                <wp:extent cx="4467225" cy="2150110"/>
                <wp:effectExtent l="0" t="0" r="0" b="0"/>
                <wp:wrapNone/>
                <wp:docPr id="6" name="文本框 6"/>
                <wp:cNvGraphicFramePr/>
                <a:graphic xmlns:a="http://schemas.openxmlformats.org/drawingml/2006/main">
                  <a:graphicData uri="http://schemas.microsoft.com/office/word/2010/wordprocessingShape">
                    <wps:wsp>
                      <wps:cNvSpPr txBox="1"/>
                      <wps:spPr>
                        <a:xfrm>
                          <a:off x="0" y="0"/>
                          <a:ext cx="4467225" cy="215011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jc w:val="left"/>
                              <w:rPr>
                                <w:rFonts w:hint="default" w:ascii="汉仪雅酷黑 75W" w:hAnsi="汉仪雅酷黑 75W" w:eastAsia="汉仪雅酷黑 75W" w:cs="汉仪雅酷黑 75W"/>
                                <w:b/>
                                <w:bCs/>
                                <w:color w:val="7B9DCA"/>
                                <w:sz w:val="36"/>
                                <w:szCs w:val="36"/>
                                <w:lang w:val="en-US" w:eastAsia="zh-CN"/>
                              </w:rPr>
                            </w:pPr>
                            <w:r>
                              <w:rPr>
                                <w:rFonts w:hint="eastAsia" w:ascii="Arial" w:hAnsi="Arial" w:eastAsia="汉仪雅酷黑 75W" w:cs="Arial"/>
                                <w:b/>
                                <w:bCs/>
                                <w:color w:val="7B9DCA"/>
                                <w:sz w:val="84"/>
                                <w:szCs w:val="84"/>
                                <w:lang w:val="en-US" w:eastAsia="zh-CN"/>
                              </w:rPr>
                              <w:t>Internation Business Communication</w:t>
                            </w:r>
                          </w:p>
                          <w:p>
                            <w:pPr>
                              <w:jc w:val="left"/>
                              <w:rPr>
                                <w:rFonts w:hint="eastAsia" w:ascii="汉仪雅酷黑 75W" w:hAnsi="汉仪雅酷黑 75W" w:eastAsia="汉仪雅酷黑 75W" w:cs="汉仪雅酷黑 75W"/>
                                <w:b/>
                                <w:bCs/>
                                <w:color w:val="7B9DCA"/>
                                <w:sz w:val="36"/>
                                <w:szCs w:val="36"/>
                                <w:lang w:val="en-US" w:eastAsia="zh-CN"/>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8.75pt;margin-top:-19.5pt;height:169.3pt;width:351.75pt;z-index:251661312;mso-width-relative:page;mso-height-relative:page;" filled="f" stroked="f" coordsize="21600,21600" o:gfxdata="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">
                <v:fill on="f" focussize="0,0"/>
                <v:stroke on="f" weight="0.5pt"/>
                <v:imagedata o:title=""/>
                <o:lock v:ext="edit" aspectratio="f"/>
                <v:textbox>
                  <w:txbxContent>
                    <w:p>
                      <w:pPr>
                        <w:jc w:val="left"/>
                        <w:rPr>
                          <w:rFonts w:hint="default" w:ascii="汉仪雅酷黑 75W" w:hAnsi="汉仪雅酷黑 75W" w:eastAsia="汉仪雅酷黑 75W" w:cs="汉仪雅酷黑 75W"/>
                          <w:b/>
                          <w:bCs/>
                          <w:color w:val="7B9DCA"/>
                          <w:sz w:val="36"/>
                          <w:szCs w:val="36"/>
                          <w:lang w:val="en-US" w:eastAsia="zh-CN"/>
                        </w:rPr>
                      </w:pPr>
                      <w:r>
                        <w:rPr>
                          <w:rFonts w:hint="eastAsia" w:ascii="Arial" w:hAnsi="Arial" w:eastAsia="汉仪雅酷黑 75W" w:cs="Arial"/>
                          <w:b/>
                          <w:bCs/>
                          <w:color w:val="7B9DCA"/>
                          <w:sz w:val="84"/>
                          <w:szCs w:val="84"/>
                          <w:lang w:val="en-US" w:eastAsia="zh-CN"/>
                        </w:rPr>
                        <w:t>Internation Business Communication</w:t>
                      </w:r>
                    </w:p>
                    <w:p>
                      <w:pPr>
                        <w:jc w:val="left"/>
                        <w:rPr>
                          <w:rFonts w:hint="eastAsia" w:ascii="汉仪雅酷黑 75W" w:hAnsi="汉仪雅酷黑 75W" w:eastAsia="汉仪雅酷黑 75W" w:cs="汉仪雅酷黑 75W"/>
                          <w:b/>
                          <w:bCs/>
                          <w:color w:val="7B9DCA"/>
                          <w:sz w:val="36"/>
                          <w:szCs w:val="36"/>
                          <w:lang w:val="en-US" w:eastAsia="zh-CN"/>
                        </w:rPr>
                      </w:pPr>
                    </w:p>
                  </w:txbxContent>
                </v:textbox>
              </v:shape>
            </w:pict>
          </mc:Fallback>
        </mc:AlternateContent>
      </w:r>
    </w:p>
    <w:p>
      <w:pPr>
        <w:rPr>
          <w:rFonts w:hint="default" w:eastAsiaTheme="minorEastAsia"/>
          <w:lang w:val="en-US" w:eastAsia="zh-CN"/>
        </w:rPr>
      </w:pPr>
      <w:bookmarkStart w:id="20" w:name="_GoBack"/>
      <w:bookmarkEnd w:id="20"/>
      <w:r>
        <mc:AlternateContent>
          <mc:Choice Requires="wps">
            <w:drawing>
              <wp:anchor distT="0" distB="0" distL="114300" distR="114300" simplePos="0" relativeHeight="251659264" behindDoc="0" locked="0" layoutInCell="1" allowOverlap="1">
                <wp:simplePos x="0" y="0"/>
                <wp:positionH relativeFrom="page">
                  <wp:posOffset>24765</wp:posOffset>
                </wp:positionH>
                <wp:positionV relativeFrom="page">
                  <wp:posOffset>-27940</wp:posOffset>
                </wp:positionV>
                <wp:extent cx="7523480" cy="10695305"/>
                <wp:effectExtent l="0" t="0" r="5080" b="3175"/>
                <wp:wrapNone/>
                <wp:docPr id="138" name="Text Box 138"/>
                <wp:cNvGraphicFramePr/>
                <a:graphic xmlns:a="http://schemas.openxmlformats.org/drawingml/2006/main">
                  <a:graphicData uri="http://schemas.microsoft.com/office/word/2010/wordprocessingShape">
                    <wps:wsp>
                      <wps:cNvSpPr txBox="1"/>
                      <wps:spPr>
                        <a:xfrm>
                          <a:off x="0" y="0"/>
                          <a:ext cx="7523480" cy="1069530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Style w:val="14"/>
                              <w:tblpPr w:leftFromText="180" w:rightFromText="180" w:horzAnchor="margin" w:tblpXSpec="left" w:tblpY="-11487"/>
                              <w:tblOverlap w:val="never"/>
                              <w:tblW w:w="3403"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95"/>
                              <w:gridCol w:w="2352"/>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3422"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8"/>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14:textFill>
                                        <w14:solidFill>
                                          <w14:schemeClr w14:val="tx1">
                                            <w14:lumMod w14:val="90000"/>
                                            <w14:lumOff w14:val="10000"/>
                                          </w14:schemeClr>
                                        </w14:solidFill>
                                      </w14:textFill>
                                    </w:rPr>
                                    <w:t>International Business Communication</w:t>
                                  </w:r>
                                </w:p>
                                <w:sdt>
                                  <w:sdtPr>
                                    <w:rPr>
                                      <w:color w:val="000000" w:themeColor="text1"/>
                                      <w:sz w:val="24"/>
                                      <w:szCs w:val="24"/>
                                      <w14:textFill>
                                        <w14:solidFill>
                                          <w14:schemeClr w14:val="tx1"/>
                                        </w14:solidFill>
                                      </w14:textFill>
                                    </w:rPr>
                                    <w:alias w:val="Subtitle"/>
                                    <w:id w:val="1354072561"/>
                                    <w:showingPlcHdr/>
                                    <w:text/>
                                  </w:sdtPr>
                                  <w:sdtEndPr>
                                    <w:rPr>
                                      <w:color w:val="000000" w:themeColor="text1"/>
                                      <w:sz w:val="24"/>
                                      <w:szCs w:val="24"/>
                                      <w14:textFill>
                                        <w14:solidFill>
                                          <w14:schemeClr w14:val="tx1"/>
                                        </w14:solidFill>
                                      </w14:textFill>
                                    </w:rPr>
                                  </w:sdtEndPr>
                                  <w:sdtContent>
                                    <w:p>
                                      <w:pPr>
                                        <w:jc w:val="right"/>
                                        <w:rPr>
                                          <w:sz w:val="24"/>
                                          <w:szCs w:val="24"/>
                                        </w:rPr>
                                      </w:pPr>
                                      <w:r>
                                        <w:rPr>
                                          <w:color w:val="000000" w:themeColor="text1"/>
                                          <w:sz w:val="24"/>
                                          <w:szCs w:val="24"/>
                                          <w14:textFill>
                                            <w14:solidFill>
                                              <w14:schemeClr w14:val="tx1"/>
                                            </w14:solidFill>
                                          </w14:textFill>
                                        </w:rPr>
                                        <w:t>[Document subtitle]</w:t>
                                      </w:r>
                                    </w:p>
                                  </w:sdtContent>
                                </w:sdt>
                              </w:tc>
                              <w:tc>
                                <w:tcPr>
                                  <w:tcW w:w="1577" w:type="pct"/>
                                  <w:vAlign w:val="center"/>
                                </w:tcPr>
                                <w:p>
                                  <w:pPr>
                                    <w:pStyle w:val="18"/>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p>
                                  <w:pPr>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In the contemporary business environment, globalization is more than a buzzword; This article serves as a comprehensive guide using a framework to analyze the importance of business communication, which is critical to the successful expansion of our clients' businesses.</w:t>
                                  </w:r>
                                </w:p>
                                <w:p>
                                  <w:pPr>
                                    <w:rPr>
                                      <w:color w:val="000000" w:themeColor="text1"/>
                                      <w14:textFill>
                                        <w14:solidFill>
                                          <w14:schemeClr w14:val="tx1"/>
                                        </w14:solidFill>
                                      </w14:textFill>
                                    </w:rPr>
                                  </w:pPr>
                                </w:p>
                                <w:sdt>
                                  <w:sdtPr>
                                    <w:rPr>
                                      <w:color w:val="ED7D31" w:themeColor="accent2"/>
                                      <w:sz w:val="26"/>
                                      <w:szCs w:val="26"/>
                                      <w14:textFill>
                                        <w14:solidFill>
                                          <w14:schemeClr w14:val="accent2"/>
                                        </w14:solidFill>
                                      </w14:textFill>
                                    </w:rPr>
                                    <w:alias w:val="Author"/>
                                    <w:id w:val="1148865549"/>
                                    <w:text/>
                                  </w:sdtPr>
                                  <w:sdtEndPr>
                                    <w:rPr>
                                      <w:color w:val="ED7D31" w:themeColor="accent2"/>
                                      <w:sz w:val="26"/>
                                      <w:szCs w:val="26"/>
                                      <w14:textFill>
                                        <w14:solidFill>
                                          <w14:schemeClr w14:val="accent2"/>
                                        </w14:solidFill>
                                      </w14:textFill>
                                    </w:rPr>
                                  </w:sdtEndPr>
                                  <w:sdtContent>
                                    <w:p>
                                      <w:pPr>
                                        <w:pStyle w:val="18"/>
                                        <w:rPr>
                                          <w:color w:val="ED7D31" w:themeColor="accent2"/>
                                          <w:sz w:val="26"/>
                                          <w:szCs w:val="26"/>
                                          <w14:textFill>
                                            <w14:solidFill>
                                              <w14:schemeClr w14:val="accent2"/>
                                            </w14:solidFill>
                                          </w14:textFill>
                                        </w:rPr>
                                      </w:pPr>
                                      <w:r>
                                        <w:rPr>
                                          <w:color w:val="ED7D31" w:themeColor="accent2"/>
                                          <w:sz w:val="26"/>
                                          <w:szCs w:val="26"/>
                                          <w14:textFill>
                                            <w14:solidFill>
                                              <w14:schemeClr w14:val="accent2"/>
                                            </w14:solidFill>
                                          </w14:textFill>
                                        </w:rPr>
                                        <w:t>Gwyneth Jones</w:t>
                                      </w:r>
                                    </w:p>
                                  </w:sdtContent>
                                </w:sdt>
                                <w:p>
                                  <w:pPr>
                                    <w:pStyle w:val="18"/>
                                  </w:pPr>
                                  <w:sdt>
                                    <w:sdtPr>
                                      <w:rPr>
                                        <w:color w:val="44546A" w:themeColor="text2"/>
                                        <w14:textFill>
                                          <w14:solidFill>
                                            <w14:schemeClr w14:val="tx2"/>
                                          </w14:solidFill>
                                        </w14:textFill>
                                      </w:rPr>
                                      <w:alias w:val="Course"/>
                                      <w:tag w:val="Course"/>
                                      <w:id w:val="-1"/>
                                      <w:showingPlcHdr/>
                                      <w:text/>
                                    </w:sdtPr>
                                    <w:sdtEndPr>
                                      <w:rPr>
                                        <w:color w:val="44546A" w:themeColor="text2"/>
                                        <w14:textFill>
                                          <w14:solidFill>
                                            <w14:schemeClr w14:val="tx2"/>
                                          </w14:solidFill>
                                        </w14:textFill>
                                      </w:rPr>
                                    </w:sdtEndPr>
                                    <w:sdtContent>
                                      <w:r>
                                        <w:rPr>
                                          <w:color w:val="44546A" w:themeColor="text2"/>
                                          <w14:textFill>
                                            <w14:solidFill>
                                              <w14:schemeClr w14:val="tx2"/>
                                            </w14:solidFill>
                                          </w14:textFill>
                                        </w:rPr>
                                        <w:t>[Course title]</w:t>
                                      </w:r>
                                    </w:sdtContent>
                                  </w:sdt>
                                </w:p>
                              </w:tc>
                            </w:tr>
                          </w:tbl>
                          <w:p/>
                        </w:txbxContent>
                      </wps:txbx>
                      <wps:bodyPr rot="0" spcFirstLastPara="0" vertOverflow="overflow" horzOverflow="overflow" vert="horz" wrap="square" lIns="0" tIns="0" rIns="0" bIns="0" numCol="1" spcCol="0" rtlCol="0" fromWordArt="0" anchor="ctr" anchorCtr="0" forceAA="0" compatLnSpc="1">
                        <a:noAutofit/>
                      </wps:bodyPr>
                    </wps:wsp>
                  </a:graphicData>
                </a:graphic>
              </wp:anchor>
            </w:drawing>
          </mc:Choice>
          <mc:Fallback>
            <w:pict>
              <v:shape id="Text Box 138" o:spid="_x0000_s1026" o:spt="202" type="#_x0000_t202" style="position:absolute;left:0pt;margin-left:1.95pt;margin-top:-2.2pt;height:842.15pt;width:592.4pt;mso-position-horizontal-relative:page;mso-position-vertical-relative:page;z-index:251659264;v-text-anchor:middle;mso-width-relative:page;mso-height-relative:page;" fillcolor="#FFFFFF [3201]" filled="t" stroked="f" coordsize="21600,21600" o:gfxdata="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">
                <v:fill on="t" focussize="0,0"/>
                <v:stroke on="f" weight="0.5pt"/>
                <v:imagedata o:title=""/>
                <o:lock v:ext="edit" aspectratio="f"/>
                <v:textbox inset="0mm,0mm,0mm,0mm">
                  <w:txbxContent>
                    <w:tbl>
                      <w:tblPr>
                        <w:tblStyle w:val="14"/>
                        <w:tblpPr w:leftFromText="180" w:rightFromText="180" w:horzAnchor="margin" w:tblpXSpec="left" w:tblpY="-11487"/>
                        <w:tblOverlap w:val="never"/>
                        <w:tblW w:w="3403" w:type="pct"/>
                        <w:jc w:val="center"/>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Layout w:type="autofit"/>
                        <w:tblCellMar>
                          <w:top w:w="1296" w:type="dxa"/>
                          <w:left w:w="360" w:type="dxa"/>
                          <w:bottom w:w="1296" w:type="dxa"/>
                          <w:right w:w="360" w:type="dxa"/>
                        </w:tblCellMar>
                      </w:tblPr>
                      <w:tblGrid>
                        <w:gridCol w:w="6195"/>
                        <w:gridCol w:w="2352"/>
                      </w:tblGrid>
                      <w:tr>
                        <w:tblPrEx>
                          <w:tblBorders>
                            <w:top w:val="none" w:color="auto" w:sz="0" w:space="0"/>
                            <w:left w:val="none" w:color="auto" w:sz="0" w:space="0"/>
                            <w:bottom w:val="none" w:color="auto" w:sz="0" w:space="0"/>
                            <w:right w:val="none" w:color="auto" w:sz="0" w:space="0"/>
                            <w:insideH w:val="none" w:color="auto" w:sz="0" w:space="0"/>
                            <w:insideV w:val="single" w:color="ED7D31" w:themeColor="accent2" w:sz="12" w:space="0"/>
                          </w:tblBorders>
                          <w:tblCellMar>
                            <w:top w:w="1296" w:type="dxa"/>
                            <w:left w:w="360" w:type="dxa"/>
                            <w:bottom w:w="1296" w:type="dxa"/>
                            <w:right w:w="360" w:type="dxa"/>
                          </w:tblCellMar>
                        </w:tblPrEx>
                        <w:trPr>
                          <w:jc w:val="center"/>
                        </w:trPr>
                        <w:tc>
                          <w:tcPr>
                            <w:tcW w:w="3422" w:type="pct"/>
                            <w:vAlign w:val="center"/>
                          </w:tcPr>
                          <w:p>
                            <w:pPr>
                              <w:jc w:val="right"/>
                            </w:pPr>
                            <w:r>
                              <w:drawing>
                                <wp:inline distT="0" distB="0" distL="0" distR="0">
                                  <wp:extent cx="3064510" cy="3830955"/>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of a winding road and trees" title="Road"/>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pPr>
                              <w:pStyle w:val="18"/>
                              <w:spacing w:line="312" w:lineRule="auto"/>
                              <w:jc w:val="right"/>
                              <w:rPr>
                                <w:caps/>
                                <w:color w:val="1A1A1A" w:themeColor="text1" w:themeTint="E6"/>
                                <w:sz w:val="72"/>
                                <w:szCs w:val="72"/>
                                <w14:textFill>
                                  <w14:solidFill>
                                    <w14:schemeClr w14:val="tx1">
                                      <w14:lumMod w14:val="90000"/>
                                      <w14:lumOff w14:val="10000"/>
                                    </w14:schemeClr>
                                  </w14:solidFill>
                                </w14:textFill>
                              </w:rPr>
                            </w:pPr>
                            <w:r>
                              <w:rPr>
                                <w:rFonts w:hint="eastAsia"/>
                                <w:caps/>
                                <w:color w:val="1A1A1A" w:themeColor="text1" w:themeTint="E6"/>
                                <w:sz w:val="72"/>
                                <w:szCs w:val="72"/>
                                <w14:textFill>
                                  <w14:solidFill>
                                    <w14:schemeClr w14:val="tx1">
                                      <w14:lumMod w14:val="90000"/>
                                      <w14:lumOff w14:val="10000"/>
                                    </w14:schemeClr>
                                  </w14:solidFill>
                                </w14:textFill>
                              </w:rPr>
                              <w:t>International Business Communication</w:t>
                            </w:r>
                          </w:p>
                          <w:sdt>
                            <w:sdtPr>
                              <w:rPr>
                                <w:color w:val="000000" w:themeColor="text1"/>
                                <w:sz w:val="24"/>
                                <w:szCs w:val="24"/>
                                <w14:textFill>
                                  <w14:solidFill>
                                    <w14:schemeClr w14:val="tx1"/>
                                  </w14:solidFill>
                                </w14:textFill>
                              </w:rPr>
                              <w:alias w:val="Subtitle"/>
                              <w:id w:val="1354072561"/>
                              <w:showingPlcHdr/>
                              <w:text/>
                            </w:sdtPr>
                            <w:sdtEndPr>
                              <w:rPr>
                                <w:color w:val="000000" w:themeColor="text1"/>
                                <w:sz w:val="24"/>
                                <w:szCs w:val="24"/>
                                <w14:textFill>
                                  <w14:solidFill>
                                    <w14:schemeClr w14:val="tx1"/>
                                  </w14:solidFill>
                                </w14:textFill>
                              </w:rPr>
                            </w:sdtEndPr>
                            <w:sdtContent>
                              <w:p>
                                <w:pPr>
                                  <w:jc w:val="right"/>
                                  <w:rPr>
                                    <w:sz w:val="24"/>
                                    <w:szCs w:val="24"/>
                                  </w:rPr>
                                </w:pPr>
                                <w:r>
                                  <w:rPr>
                                    <w:color w:val="000000" w:themeColor="text1"/>
                                    <w:sz w:val="24"/>
                                    <w:szCs w:val="24"/>
                                    <w14:textFill>
                                      <w14:solidFill>
                                        <w14:schemeClr w14:val="tx1"/>
                                      </w14:solidFill>
                                    </w14:textFill>
                                  </w:rPr>
                                  <w:t>[Document subtitle]</w:t>
                                </w:r>
                              </w:p>
                            </w:sdtContent>
                          </w:sdt>
                        </w:tc>
                        <w:tc>
                          <w:tcPr>
                            <w:tcW w:w="1577" w:type="pct"/>
                            <w:vAlign w:val="center"/>
                          </w:tcPr>
                          <w:p>
                            <w:pPr>
                              <w:pStyle w:val="18"/>
                              <w:rPr>
                                <w:caps/>
                                <w:color w:val="ED7D31" w:themeColor="accent2"/>
                                <w:sz w:val="26"/>
                                <w:szCs w:val="26"/>
                                <w14:textFill>
                                  <w14:solidFill>
                                    <w14:schemeClr w14:val="accent2"/>
                                  </w14:solidFill>
                                </w14:textFill>
                              </w:rPr>
                            </w:pPr>
                            <w:r>
                              <w:rPr>
                                <w:caps/>
                                <w:color w:val="ED7D31" w:themeColor="accent2"/>
                                <w:sz w:val="26"/>
                                <w:szCs w:val="26"/>
                                <w14:textFill>
                                  <w14:solidFill>
                                    <w14:schemeClr w14:val="accent2"/>
                                  </w14:solidFill>
                                </w14:textFill>
                              </w:rPr>
                              <w:t>Abstract</w:t>
                            </w:r>
                          </w:p>
                          <w:p>
                            <w:pPr>
                              <w:rPr>
                                <w:rFonts w:hint="eastAsia"/>
                                <w:color w:val="000000" w:themeColor="text1"/>
                                <w14:textFill>
                                  <w14:solidFill>
                                    <w14:schemeClr w14:val="tx1"/>
                                  </w14:solidFill>
                                </w14:textFill>
                              </w:rPr>
                            </w:pPr>
                            <w:r>
                              <w:rPr>
                                <w:rFonts w:hint="eastAsia"/>
                                <w:color w:val="000000" w:themeColor="text1"/>
                                <w14:textFill>
                                  <w14:solidFill>
                                    <w14:schemeClr w14:val="tx1"/>
                                  </w14:solidFill>
                                </w14:textFill>
                              </w:rPr>
                              <w:t>In the contemporary business environment, globalization is more than a buzzword; This article serves as a comprehensive guide using a framework to analyze the importance of business communication, which is critical to the successful expansion of our clients' businesses.</w:t>
                            </w:r>
                          </w:p>
                          <w:p>
                            <w:pPr>
                              <w:rPr>
                                <w:color w:val="000000" w:themeColor="text1"/>
                                <w14:textFill>
                                  <w14:solidFill>
                                    <w14:schemeClr w14:val="tx1"/>
                                  </w14:solidFill>
                                </w14:textFill>
                              </w:rPr>
                            </w:pPr>
                          </w:p>
                          <w:sdt>
                            <w:sdtPr>
                              <w:rPr>
                                <w:color w:val="ED7D31" w:themeColor="accent2"/>
                                <w:sz w:val="26"/>
                                <w:szCs w:val="26"/>
                                <w14:textFill>
                                  <w14:solidFill>
                                    <w14:schemeClr w14:val="accent2"/>
                                  </w14:solidFill>
                                </w14:textFill>
                              </w:rPr>
                              <w:alias w:val="Author"/>
                              <w:id w:val="1148865549"/>
                              <w:text/>
                            </w:sdtPr>
                            <w:sdtEndPr>
                              <w:rPr>
                                <w:color w:val="ED7D31" w:themeColor="accent2"/>
                                <w:sz w:val="26"/>
                                <w:szCs w:val="26"/>
                                <w14:textFill>
                                  <w14:solidFill>
                                    <w14:schemeClr w14:val="accent2"/>
                                  </w14:solidFill>
                                </w14:textFill>
                              </w:rPr>
                            </w:sdtEndPr>
                            <w:sdtContent>
                              <w:p>
                                <w:pPr>
                                  <w:pStyle w:val="18"/>
                                  <w:rPr>
                                    <w:color w:val="ED7D31" w:themeColor="accent2"/>
                                    <w:sz w:val="26"/>
                                    <w:szCs w:val="26"/>
                                    <w14:textFill>
                                      <w14:solidFill>
                                        <w14:schemeClr w14:val="accent2"/>
                                      </w14:solidFill>
                                    </w14:textFill>
                                  </w:rPr>
                                </w:pPr>
                                <w:r>
                                  <w:rPr>
                                    <w:color w:val="ED7D31" w:themeColor="accent2"/>
                                    <w:sz w:val="26"/>
                                    <w:szCs w:val="26"/>
                                    <w14:textFill>
                                      <w14:solidFill>
                                        <w14:schemeClr w14:val="accent2"/>
                                      </w14:solidFill>
                                    </w14:textFill>
                                  </w:rPr>
                                  <w:t>Gwyneth Jones</w:t>
                                </w:r>
                              </w:p>
                            </w:sdtContent>
                          </w:sdt>
                          <w:p>
                            <w:pPr>
                              <w:pStyle w:val="18"/>
                            </w:pPr>
                            <w:sdt>
                              <w:sdtPr>
                                <w:rPr>
                                  <w:color w:val="44546A" w:themeColor="text2"/>
                                  <w14:textFill>
                                    <w14:solidFill>
                                      <w14:schemeClr w14:val="tx2"/>
                                    </w14:solidFill>
                                  </w14:textFill>
                                </w:rPr>
                                <w:alias w:val="Course"/>
                                <w:tag w:val="Course"/>
                                <w:id w:val="-1"/>
                                <w:showingPlcHdr/>
                                <w:text/>
                              </w:sdtPr>
                              <w:sdtEndPr>
                                <w:rPr>
                                  <w:color w:val="44546A" w:themeColor="text2"/>
                                  <w14:textFill>
                                    <w14:solidFill>
                                      <w14:schemeClr w14:val="tx2"/>
                                    </w14:solidFill>
                                  </w14:textFill>
                                </w:rPr>
                              </w:sdtEndPr>
                              <w:sdtContent>
                                <w:r>
                                  <w:rPr>
                                    <w:color w:val="44546A" w:themeColor="text2"/>
                                    <w14:textFill>
                                      <w14:solidFill>
                                        <w14:schemeClr w14:val="tx2"/>
                                      </w14:solidFill>
                                    </w14:textFill>
                                  </w:rPr>
                                  <w:t>[Course title]</w:t>
                                </w:r>
                              </w:sdtContent>
                            </w:sdt>
                          </w:p>
                        </w:tc>
                      </w:tr>
                    </w:tbl>
                    <w:p/>
                  </w:txbxContent>
                </v:textbox>
              </v:shape>
            </w:pict>
          </mc:Fallback>
        </mc:AlternateContent>
      </w:r>
      <w:sdt>
        <w:sdtPr>
          <w:id w:val="930390944"/>
        </w:sdtPr>
        <w:sdtContent>
          <w:r>
            <w:rPr>
              <w:rFonts w:hint="eastAsia"/>
              <w:lang w:val="en-US" w:eastAsia="zh-CN"/>
            </w:rPr>
            <w:t xml:space="preserve"> </w:t>
          </w:r>
          <w:r>
            <w:br w:type="page"/>
          </w:r>
        </w:sdtContent>
      </w:sdt>
      <w:r>
        <w:rPr>
          <w:rFonts w:hint="eastAsia"/>
          <w:lang w:val="en-US" w:eastAsia="zh-CN"/>
        </w:rPr>
        <w:t xml:space="preserve">    </w:t>
      </w:r>
    </w:p>
    <w:p>
      <w:pPr>
        <w:pStyle w:val="2"/>
        <w:rPr>
          <w:rFonts w:ascii="Times New Roman" w:hAnsi="Times New Roman" w:cs="Times New Roman"/>
          <w:color w:val="000000" w:themeColor="text1"/>
          <w:sz w:val="28"/>
          <w:szCs w:val="28"/>
          <w14:textFill>
            <w14:solidFill>
              <w14:schemeClr w14:val="tx1"/>
            </w14:solidFill>
          </w14:textFill>
        </w:rPr>
      </w:pPr>
      <w:bookmarkStart w:id="0" w:name="_Toc689776165"/>
      <w:r>
        <w:rPr>
          <w:rFonts w:ascii="Times New Roman" w:hAnsi="Times New Roman" w:cs="Times New Roman"/>
          <w:color w:val="000000" w:themeColor="text1"/>
          <w:sz w:val="28"/>
          <w:szCs w:val="28"/>
          <w14:textFill>
            <w14:solidFill>
              <w14:schemeClr w14:val="tx1"/>
            </w14:solidFill>
          </w14:textFill>
        </w:rPr>
        <w:t>Executive Summary</w:t>
      </w:r>
      <w:bookmarkEnd w:id="0"/>
    </w:p>
    <w:p>
      <w:pPr>
        <w:rPr>
          <w:sz w:val="24"/>
          <w:szCs w:val="24"/>
          <w:lang w:val="en-US"/>
        </w:rPr>
      </w:pPr>
      <w:r>
        <w:rPr>
          <w:sz w:val="24"/>
          <w:szCs w:val="24"/>
        </w:rPr>
        <w:t xml:space="preserve">This report is intended to provide important guidance to a UK clothing retailer planning to expand into the Asian market. It focuses on the importance of intercultural communication theory and skills in promoting successful international business communication. The report explores the skills needed to communicate effectively, communication methods, the importance of building relationships, potential causes of communication failure, and cultural </w:t>
      </w:r>
      <w:r>
        <w:rPr>
          <w:rFonts w:hint="eastAsia"/>
          <w:sz w:val="24"/>
          <w:szCs w:val="24"/>
          <w:lang w:val="en-US" w:eastAsia="zh-CN"/>
        </w:rPr>
        <w:t xml:space="preserve"> </w:t>
      </w:r>
      <w:r>
        <w:rPr>
          <w:sz w:val="24"/>
          <w:szCs w:val="24"/>
        </w:rPr>
        <w:t>differences. Academic theories Halls High Low Context, Trompenaar's 7 Cultural Dimensions, etc., are used to support these recommendations</w:t>
      </w:r>
      <w:r>
        <w:rPr>
          <w:sz w:val="24"/>
          <w:szCs w:val="24"/>
          <w:lang w:val="en-US"/>
        </w:rPr>
        <w:t>.</w:t>
      </w:r>
    </w:p>
    <w:p/>
    <w:p/>
    <w:p/>
    <w:p/>
    <w:p/>
    <w:p/>
    <w:p/>
    <w:p/>
    <w:p/>
    <w:p/>
    <w:p/>
    <w:p/>
    <w:p/>
    <w:p/>
    <w:p/>
    <w:p/>
    <w:p/>
    <w:p/>
    <w:p/>
    <w:p/>
    <w:p/>
    <w:p/>
    <w:p>
      <w:pPr>
        <w:pBdr>
          <w:bottom w:val="single" w:color="auto" w:sz="4" w:space="1"/>
        </w:pBdr>
        <w:rPr>
          <w:b/>
          <w:bCs/>
          <w:sz w:val="28"/>
          <w:szCs w:val="28"/>
        </w:rPr>
      </w:pPr>
    </w:p>
    <w:p>
      <w:pPr>
        <w:pBdr>
          <w:bottom w:val="single" w:color="auto" w:sz="4" w:space="1"/>
        </w:pBdr>
        <w:rPr>
          <w:rFonts w:hint="eastAsia"/>
          <w:b/>
          <w:bCs/>
          <w:sz w:val="28"/>
          <w:szCs w:val="28"/>
        </w:rPr>
      </w:pPr>
    </w:p>
    <w:p>
      <w:pPr>
        <w:pBdr>
          <w:bottom w:val="single" w:color="auto" w:sz="4" w:space="1"/>
        </w:pBdr>
        <w:rPr>
          <w:b/>
          <w:bCs/>
          <w:sz w:val="28"/>
          <w:szCs w:val="28"/>
        </w:rPr>
      </w:pPr>
      <w:r>
        <w:rPr>
          <w:b/>
          <w:bCs/>
          <w:sz w:val="28"/>
          <w:szCs w:val="28"/>
        </w:rPr>
        <w:t>Content Page</w:t>
      </w:r>
    </w:p>
    <w:sdt>
      <w:sdtPr>
        <w:rPr>
          <w:rFonts w:ascii="宋体" w:hAnsi="宋体" w:eastAsia="宋体" w:cstheme="minorBidi"/>
          <w:sz w:val="21"/>
          <w:szCs w:val="22"/>
          <w:lang w:val="en-GB" w:eastAsia="zh-CN" w:bidi="ar-SA"/>
        </w:rPr>
        <w:id w:val="54789360"/>
        <w15:color w:val="DBDBDB"/>
        <w:docPartObj>
          <w:docPartGallery w:val="Table of Contents"/>
          <w:docPartUnique/>
        </w:docPartObj>
      </w:sdtPr>
      <w:sdtEndPr>
        <w:rPr>
          <w:rFonts w:asciiTheme="minorHAnsi" w:hAnsiTheme="minorHAnsi" w:eastAsiaTheme="minorEastAsia" w:cstheme="minorBidi"/>
          <w:b/>
          <w:sz w:val="22"/>
          <w:szCs w:val="22"/>
          <w:lang w:val="en-GB" w:eastAsia="zh-CN" w:bidi="ar-SA"/>
        </w:rPr>
      </w:sdtEndPr>
      <w:sdtContent>
        <w:p>
          <w:pPr>
            <w:spacing w:before="0" w:beforeLines="0" w:after="0" w:afterLines="0" w:line="240" w:lineRule="auto"/>
            <w:ind w:left="0" w:leftChars="0" w:right="0" w:rightChars="0" w:firstLine="0" w:firstLineChars="0"/>
            <w:jc w:val="center"/>
          </w:pPr>
          <w:r>
            <w:rPr>
              <w:rFonts w:ascii="宋体" w:hAnsi="宋体" w:eastAsia="宋体"/>
              <w:sz w:val="21"/>
            </w:rPr>
            <w:t>目录</w:t>
          </w:r>
        </w:p>
        <w:p>
          <w:pPr>
            <w:pStyle w:val="25"/>
            <w:tabs>
              <w:tab w:val="right" w:leader="dot" w:pos="9026"/>
            </w:tabs>
            <w:rPr>
              <w:rFonts w:hint="default" w:ascii="Times New Roman" w:hAnsi="Times New Roman" w:cs="Times New Roman"/>
              <w:b w:val="0"/>
              <w:bCs/>
            </w:rPr>
          </w:pPr>
          <w:r>
            <w:fldChar w:fldCharType="begin"/>
          </w:r>
          <w:r>
            <w:instrText xml:space="preserve">TOC \o "1-2" \h \u </w:instrText>
          </w:r>
          <w:r>
            <w:fldChar w:fldCharType="separate"/>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_Toc689776165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Executive Summary</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_Toc689776165 \h </w:instrText>
          </w:r>
          <w:r>
            <w:rPr>
              <w:rFonts w:hint="default" w:ascii="Times New Roman" w:hAnsi="Times New Roman" w:cs="Times New Roman"/>
              <w:b w:val="0"/>
              <w:bCs/>
            </w:rPr>
            <w:fldChar w:fldCharType="separate"/>
          </w:r>
          <w:r>
            <w:rPr>
              <w:rFonts w:hint="default" w:ascii="Times New Roman" w:hAnsi="Times New Roman" w:cs="Times New Roman"/>
              <w:b w:val="0"/>
              <w:bCs/>
            </w:rPr>
            <w:t>1</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_Toc951278649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1.0– Introduction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_Toc951278649 \h </w:instrText>
          </w:r>
          <w:r>
            <w:rPr>
              <w:rFonts w:hint="default" w:ascii="Times New Roman" w:hAnsi="Times New Roman" w:cs="Times New Roman"/>
              <w:b w:val="0"/>
              <w:bCs/>
            </w:rPr>
            <w:fldChar w:fldCharType="separate"/>
          </w:r>
          <w:r>
            <w:rPr>
              <w:rFonts w:hint="default" w:ascii="Times New Roman" w:hAnsi="Times New Roman" w:cs="Times New Roman"/>
              <w:b w:val="0"/>
              <w:bCs/>
            </w:rPr>
            <w:t>3</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_Toc124501828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2.0 – Main Findings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_Toc124501828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_Toc853151018 </w:instrText>
          </w:r>
          <w:r>
            <w:rPr>
              <w:rFonts w:hint="default" w:ascii="Times New Roman" w:hAnsi="Times New Roman" w:cs="Times New Roman"/>
              <w:b w:val="0"/>
              <w:bCs/>
            </w:rPr>
            <w:fldChar w:fldCharType="separate"/>
          </w:r>
          <w:r>
            <w:rPr>
              <w:rFonts w:hint="default" w:ascii="Times New Roman" w:hAnsi="Times New Roman" w:cs="Times New Roman"/>
              <w:b w:val="0"/>
              <w:bCs/>
              <w:szCs w:val="24"/>
            </w:rPr>
            <w:t>2.1 – International Business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_Toc853151018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_Toc160848507 </w:instrText>
          </w:r>
          <w:r>
            <w:rPr>
              <w:rFonts w:hint="default" w:ascii="Times New Roman" w:hAnsi="Times New Roman" w:cs="Times New Roman"/>
              <w:b w:val="0"/>
              <w:bCs/>
            </w:rPr>
            <w:fldChar w:fldCharType="separate"/>
          </w:r>
          <w:r>
            <w:rPr>
              <w:rFonts w:hint="default" w:ascii="Times New Roman" w:hAnsi="Times New Roman" w:cs="Times New Roman"/>
              <w:b w:val="0"/>
              <w:bCs/>
              <w:szCs w:val="24"/>
            </w:rPr>
            <w:t>2.2 – Skills Requirements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_Toc160848507 \h </w:instrText>
          </w:r>
          <w:r>
            <w:rPr>
              <w:rFonts w:hint="default" w:ascii="Times New Roman" w:hAnsi="Times New Roman" w:cs="Times New Roman"/>
              <w:b w:val="0"/>
              <w:bCs/>
            </w:rPr>
            <w:fldChar w:fldCharType="separate"/>
          </w:r>
          <w:r>
            <w:rPr>
              <w:rFonts w:hint="default" w:ascii="Times New Roman" w:hAnsi="Times New Roman" w:cs="Times New Roman"/>
              <w:b w:val="0"/>
              <w:bCs/>
            </w:rPr>
            <w:t>4</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_Toc1846429223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2.3 – Methods of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_Toc1846429223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_Toc1797251811 </w:instrText>
          </w:r>
          <w:r>
            <w:rPr>
              <w:rFonts w:hint="default" w:ascii="Times New Roman" w:hAnsi="Times New Roman" w:cs="Times New Roman"/>
              <w:b w:val="0"/>
              <w:bCs/>
            </w:rPr>
            <w:fldChar w:fldCharType="separate"/>
          </w:r>
          <w:r>
            <w:rPr>
              <w:rFonts w:hint="default" w:ascii="Times New Roman" w:hAnsi="Times New Roman" w:cs="Times New Roman"/>
              <w:b w:val="0"/>
              <w:bCs/>
            </w:rPr>
            <w:t>2.3.1 - Halls High Low Context</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_Toc1797251811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_Toc2053692422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2.4 – Effective Communication</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_Toc2053692422 \h </w:instrText>
          </w:r>
          <w:r>
            <w:rPr>
              <w:rFonts w:hint="default" w:ascii="Times New Roman" w:hAnsi="Times New Roman" w:cs="Times New Roman"/>
              <w:b w:val="0"/>
              <w:bCs/>
            </w:rPr>
            <w:fldChar w:fldCharType="separate"/>
          </w:r>
          <w:r>
            <w:rPr>
              <w:rFonts w:hint="default" w:ascii="Times New Roman" w:hAnsi="Times New Roman" w:cs="Times New Roman"/>
              <w:b w:val="0"/>
              <w:bCs/>
            </w:rPr>
            <w:t>5</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_Toc2051361970 </w:instrText>
          </w:r>
          <w:r>
            <w:rPr>
              <w:rFonts w:hint="default" w:ascii="Times New Roman" w:hAnsi="Times New Roman" w:cs="Times New Roman"/>
              <w:b w:val="0"/>
              <w:bCs/>
            </w:rPr>
            <w:fldChar w:fldCharType="separate"/>
          </w:r>
          <w:r>
            <w:rPr>
              <w:rFonts w:hint="default" w:ascii="Times New Roman" w:hAnsi="Times New Roman" w:cs="Times New Roman"/>
              <w:b w:val="0"/>
              <w:bCs/>
              <w:szCs w:val="28"/>
              <w:lang w:val="fr-FR"/>
            </w:rPr>
            <w:t>2.5 – International Culture</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_Toc2051361970 \h </w:instrText>
          </w:r>
          <w:r>
            <w:rPr>
              <w:rFonts w:hint="default" w:ascii="Times New Roman" w:hAnsi="Times New Roman" w:cs="Times New Roman"/>
              <w:b w:val="0"/>
              <w:bCs/>
            </w:rPr>
            <w:fldChar w:fldCharType="separate"/>
          </w:r>
          <w:r>
            <w:rPr>
              <w:rFonts w:hint="default" w:ascii="Times New Roman" w:hAnsi="Times New Roman" w:cs="Times New Roman"/>
              <w:b w:val="0"/>
              <w:bCs/>
            </w:rPr>
            <w:t>6</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6"/>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_Toc1538160852 </w:instrText>
          </w:r>
          <w:r>
            <w:rPr>
              <w:rFonts w:hint="default" w:ascii="Times New Roman" w:hAnsi="Times New Roman" w:cs="Times New Roman"/>
              <w:b w:val="0"/>
              <w:bCs/>
            </w:rPr>
            <w:fldChar w:fldCharType="separate"/>
          </w:r>
          <w:r>
            <w:rPr>
              <w:rFonts w:hint="default" w:ascii="Times New Roman" w:hAnsi="Times New Roman" w:cs="Times New Roman"/>
              <w:b w:val="0"/>
              <w:bCs/>
              <w:lang w:val="fr-FR"/>
            </w:rPr>
            <w:t>2.5.1 - Trompenaar’s 7 dimensions to culture</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_Toc1538160852 \h </w:instrText>
          </w:r>
          <w:r>
            <w:rPr>
              <w:rFonts w:hint="default" w:ascii="Times New Roman" w:hAnsi="Times New Roman" w:cs="Times New Roman"/>
              <w:b w:val="0"/>
              <w:bCs/>
            </w:rPr>
            <w:fldChar w:fldCharType="separate"/>
          </w:r>
          <w:r>
            <w:rPr>
              <w:rFonts w:hint="default" w:ascii="Times New Roman" w:hAnsi="Times New Roman" w:cs="Times New Roman"/>
              <w:b w:val="0"/>
              <w:bCs/>
            </w:rPr>
            <w:t>6</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_Toc461296978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2.6 – Importance of Building Relationships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_Toc461296978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_Toc602343576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2.7 – How to build Trust</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_Toc602343576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_Toc350569874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2.8 – Failed Relationships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_Toc350569874 \h </w:instrText>
          </w:r>
          <w:r>
            <w:rPr>
              <w:rFonts w:hint="default" w:ascii="Times New Roman" w:hAnsi="Times New Roman" w:cs="Times New Roman"/>
              <w:b w:val="0"/>
              <w:bCs/>
            </w:rPr>
            <w:fldChar w:fldCharType="separate"/>
          </w:r>
          <w:r>
            <w:rPr>
              <w:rFonts w:hint="default" w:ascii="Times New Roman" w:hAnsi="Times New Roman" w:cs="Times New Roman"/>
              <w:b w:val="0"/>
              <w:bCs/>
            </w:rPr>
            <w:t>7</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_Toc1480228597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3.0 – Conclusions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_Toc1480228597 \h </w:instrText>
          </w:r>
          <w:r>
            <w:rPr>
              <w:rFonts w:hint="default" w:ascii="Times New Roman" w:hAnsi="Times New Roman" w:cs="Times New Roman"/>
              <w:b w:val="0"/>
              <w:bCs/>
            </w:rPr>
            <w:fldChar w:fldCharType="separate"/>
          </w:r>
          <w:r>
            <w:rPr>
              <w:rFonts w:hint="default" w:ascii="Times New Roman" w:hAnsi="Times New Roman" w:cs="Times New Roman"/>
              <w:b w:val="0"/>
              <w:bCs/>
            </w:rPr>
            <w:t>8</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rFonts w:hint="default" w:ascii="Times New Roman" w:hAnsi="Times New Roman" w:cs="Times New Roman"/>
              <w:b w:val="0"/>
              <w:bCs/>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_Toc1751462931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4.0 – Recommendations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_Toc1751462931 \h </w:instrText>
          </w:r>
          <w:r>
            <w:rPr>
              <w:rFonts w:hint="default" w:ascii="Times New Roman" w:hAnsi="Times New Roman" w:cs="Times New Roman"/>
              <w:b w:val="0"/>
              <w:bCs/>
            </w:rPr>
            <w:fldChar w:fldCharType="separate"/>
          </w:r>
          <w:r>
            <w:rPr>
              <w:rFonts w:hint="default" w:ascii="Times New Roman" w:hAnsi="Times New Roman" w:cs="Times New Roman"/>
              <w:b w:val="0"/>
              <w:bCs/>
            </w:rPr>
            <w:t>9</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pPr>
            <w:pStyle w:val="25"/>
            <w:tabs>
              <w:tab w:val="right" w:leader="dot" w:pos="9026"/>
            </w:tabs>
            <w:rPr>
              <w:b/>
            </w:rPr>
          </w:pP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HYPERLINK \l _Toc1279131888 </w:instrText>
          </w:r>
          <w:r>
            <w:rPr>
              <w:rFonts w:hint="default" w:ascii="Times New Roman" w:hAnsi="Times New Roman" w:cs="Times New Roman"/>
              <w:b w:val="0"/>
              <w:bCs/>
            </w:rPr>
            <w:fldChar w:fldCharType="separate"/>
          </w:r>
          <w:r>
            <w:rPr>
              <w:rFonts w:hint="default" w:ascii="Times New Roman" w:hAnsi="Times New Roman" w:cs="Times New Roman"/>
              <w:b w:val="0"/>
              <w:bCs/>
              <w:szCs w:val="28"/>
            </w:rPr>
            <w:t>References</w:t>
          </w:r>
          <w:r>
            <w:rPr>
              <w:rFonts w:hint="default" w:ascii="Times New Roman" w:hAnsi="Times New Roman" w:cs="Times New Roman"/>
              <w:b w:val="0"/>
              <w:bCs/>
            </w:rPr>
            <w:tab/>
          </w:r>
          <w:r>
            <w:rPr>
              <w:rFonts w:hint="default" w:ascii="Times New Roman" w:hAnsi="Times New Roman" w:cs="Times New Roman"/>
              <w:b w:val="0"/>
              <w:bCs/>
            </w:rPr>
            <w:fldChar w:fldCharType="begin"/>
          </w:r>
          <w:r>
            <w:rPr>
              <w:rFonts w:hint="default" w:ascii="Times New Roman" w:hAnsi="Times New Roman" w:cs="Times New Roman"/>
              <w:b w:val="0"/>
              <w:bCs/>
            </w:rPr>
            <w:instrText xml:space="preserve"> PAGEREF _Toc1279131888 \h </w:instrText>
          </w:r>
          <w:r>
            <w:rPr>
              <w:rFonts w:hint="default" w:ascii="Times New Roman" w:hAnsi="Times New Roman" w:cs="Times New Roman"/>
              <w:b w:val="0"/>
              <w:bCs/>
            </w:rPr>
            <w:fldChar w:fldCharType="separate"/>
          </w:r>
          <w:r>
            <w:rPr>
              <w:rFonts w:hint="default" w:ascii="Times New Roman" w:hAnsi="Times New Roman" w:cs="Times New Roman"/>
              <w:b w:val="0"/>
              <w:bCs/>
            </w:rPr>
            <w:t>10</w:t>
          </w:r>
          <w:r>
            <w:rPr>
              <w:rFonts w:hint="default" w:ascii="Times New Roman" w:hAnsi="Times New Roman" w:cs="Times New Roman"/>
              <w:b w:val="0"/>
              <w:bCs/>
            </w:rPr>
            <w:fldChar w:fldCharType="end"/>
          </w:r>
          <w:r>
            <w:rPr>
              <w:rFonts w:hint="default" w:ascii="Times New Roman" w:hAnsi="Times New Roman" w:cs="Times New Roman"/>
              <w:b w:val="0"/>
              <w:bCs/>
            </w:rPr>
            <w:fldChar w:fldCharType="end"/>
          </w:r>
        </w:p>
        <w:p>
          <w:r>
            <w:rPr>
              <w:b/>
            </w:rPr>
            <w:fldChar w:fldCharType="end"/>
          </w:r>
        </w:p>
      </w:sdtContent>
    </w:sdt>
    <w:p/>
    <w:p/>
    <w:p/>
    <w:p/>
    <w:p/>
    <w:p/>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1" w:name="_Toc951278649"/>
      <w:r>
        <w:rPr>
          <w:rFonts w:ascii="Times New Roman" w:hAnsi="Times New Roman" w:cs="Times New Roman"/>
          <w:color w:val="000000" w:themeColor="text1"/>
          <w:sz w:val="28"/>
          <w:szCs w:val="28"/>
          <w14:textFill>
            <w14:solidFill>
              <w14:schemeClr w14:val="tx1"/>
            </w14:solidFill>
          </w14:textFill>
        </w:rPr>
        <w:t>1.0– Introduction</w:t>
      </w:r>
      <w:bookmarkEnd w:id="1"/>
    </w:p>
    <w:p>
      <w:pPr>
        <w:jc w:val="both"/>
        <w:rPr>
          <w:sz w:val="24"/>
          <w:szCs w:val="24"/>
        </w:rPr>
      </w:pPr>
      <w:r>
        <w:rPr>
          <w:sz w:val="24"/>
          <w:szCs w:val="24"/>
        </w:rPr>
        <w:t>In the ever-evolving global business landscape, companies are constantly looking for opportunities to expand their business scope and explore new markets. This report serves as a comprehensive guide for clients, designed to provide insights into intercultural communication theory and promote an understanding of different international cultures, which is critical to successfully expanding their business.</w:t>
      </w:r>
    </w:p>
    <w:p>
      <w:pPr>
        <w:jc w:val="both"/>
        <w:rPr>
          <w:sz w:val="24"/>
          <w:szCs w:val="24"/>
        </w:rPr>
      </w:pPr>
    </w:p>
    <w:p>
      <w:pPr>
        <w:jc w:val="both"/>
        <w:rPr>
          <w:sz w:val="24"/>
          <w:szCs w:val="24"/>
        </w:rPr>
      </w:pPr>
      <w:r>
        <w:rPr>
          <w:sz w:val="24"/>
          <w:szCs w:val="24"/>
        </w:rPr>
        <w:t>The primary purpose of this report is to provide our clients with the necessary knowledge and strategies to deal with the complexities of cross-cultural communication. The company is a well-known clothing retailer based in the UK that has carved a niche for itself in the highly competitive fashion industry and decided to enter the Asian market. Due to cultural differences in global expansion, companies need to handle the nuances of different cultural backgrounds. This report will explore intercultural communication theory and also examine the skills required for successful international business communication, methods of communication, the importance of relationship building, potential causes of communication failure, and an in-depth analysis of cultural differences. This will help our expansion into new markets. Through our research we will be fully informed, master the knowledge needed to navigate the intricacies of cross-cultural communication, and be prepared to successfully enter the diverse and dynamic Asian market.</w:t>
      </w:r>
    </w:p>
    <w:p/>
    <w:p/>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2" w:name="_Toc124501828"/>
      <w:r>
        <w:rPr>
          <w:rFonts w:ascii="Times New Roman" w:hAnsi="Times New Roman" w:cs="Times New Roman"/>
          <w:color w:val="000000" w:themeColor="text1"/>
          <w:sz w:val="28"/>
          <w:szCs w:val="28"/>
          <w14:textFill>
            <w14:solidFill>
              <w14:schemeClr w14:val="tx1"/>
            </w14:solidFill>
          </w14:textFill>
        </w:rPr>
        <w:t>2.0 – Main Findings</w:t>
      </w:r>
      <w:bookmarkEnd w:id="2"/>
    </w:p>
    <w:p>
      <w:pPr>
        <w:pStyle w:val="3"/>
        <w:rPr>
          <w:rFonts w:cs="Times New Roman"/>
          <w:b w:val="0"/>
          <w:bCs w:val="0"/>
          <w:szCs w:val="24"/>
        </w:rPr>
      </w:pPr>
      <w:bookmarkStart w:id="3" w:name="_Toc853151018"/>
      <w:r>
        <w:rPr>
          <w:rFonts w:cs="Times New Roman"/>
          <w:b w:val="0"/>
          <w:bCs w:val="0"/>
          <w:szCs w:val="24"/>
        </w:rPr>
        <w:t>2.1 – International Business Communication</w:t>
      </w:r>
      <w:bookmarkEnd w:id="3"/>
    </w:p>
    <w:p>
      <w:pPr>
        <w:jc w:val="both"/>
        <w:rPr>
          <w:lang w:val="en-US"/>
        </w:rPr>
      </w:pPr>
      <w:r>
        <w:rPr>
          <w:lang w:val="en-US"/>
        </w:rPr>
        <w:t>International business communication is the lifeline of global ventures. It involves the exchange of information between entities from different countries, playing a pivotal role in establishing shared understanding, fostering collaboration, and ensuring the smooth functioning of cross-border business operations (Gudykunst &amp; Kim, 2017).</w:t>
      </w:r>
    </w:p>
    <w:p>
      <w:pPr>
        <w:jc w:val="both"/>
        <w:rPr>
          <w:lang w:val="en-US"/>
        </w:rPr>
      </w:pPr>
      <w:r>
        <w:rPr>
          <w:lang w:val="en-US"/>
        </w:rPr>
        <w:t>In the process of business communication, we should not only pay attention to the political, economic, diplomatic relations and other factors between the two countries, but also pay attention to the cultural differences, religious beliefs, and folk customs between the two countries, so as to avoid inadvertently touching each other's personal information. The bottom line brought the originally smooth negotiation to an abrupt end(</w:t>
      </w:r>
      <w:r>
        <w:rPr>
          <w:rFonts w:ascii="Times New Roman" w:hAnsi="Times New Roman"/>
          <w:sz w:val="24"/>
          <w:szCs w:val="24"/>
        </w:rPr>
        <w:t>Jandt,2019</w:t>
      </w:r>
      <w:r>
        <w:rPr>
          <w:lang w:val="en-US"/>
        </w:rPr>
        <w:t>).</w:t>
      </w:r>
    </w:p>
    <w:p>
      <w:pPr>
        <w:pStyle w:val="3"/>
        <w:outlineLvl w:val="0"/>
        <w:rPr>
          <w:rFonts w:cs="Times New Roman"/>
          <w:b w:val="0"/>
          <w:bCs w:val="0"/>
          <w:szCs w:val="24"/>
        </w:rPr>
      </w:pPr>
      <w:bookmarkStart w:id="4" w:name="_Toc160848507"/>
      <w:r>
        <w:rPr>
          <w:rFonts w:cs="Times New Roman"/>
          <w:b w:val="0"/>
          <w:bCs w:val="0"/>
          <w:szCs w:val="24"/>
        </w:rPr>
        <w:t>2.2 – Skills Requirements</w:t>
      </w:r>
      <w:bookmarkEnd w:id="4"/>
    </w:p>
    <w:p>
      <w:r>
        <w:t>Cross-cultural communication demands a unique set of skills crucial for navigating the complexities of international business interactions. Cultural sensitivity and adaptability top the list, ensuring that individuals can effectively engage with diverse audiences, understand varying perspectives, and adjust their communication styles accordingly (Brislin, 1993).</w:t>
      </w:r>
    </w:p>
    <w:p>
      <w:pPr>
        <w:jc w:val="both"/>
      </w:pPr>
      <w:r>
        <w:t>International business communication is an essential activity when conducting business interactions on a global scale. In this field, successful communication is not only about the use of language, but also involves communication across cultures and borders. Being sensitive to the differences between cultures is the basis for successful international business communication. Understanding and respecting the values, beliefs, and behavioral norms of other cultures can help avoid cultural conflicts and build good business relationships(</w:t>
      </w:r>
      <w:r>
        <w:rPr>
          <w:rFonts w:ascii="Times New Roman" w:hAnsi="Times New Roman"/>
          <w:sz w:val="24"/>
          <w:szCs w:val="24"/>
        </w:rPr>
        <w:t>Hofstede,2001</w:t>
      </w:r>
      <w:r>
        <w:t>). Secondly, in the face of a global multilingual environment, good language skills are the key to international business communication. Not only is proficiency in English required, but you may also need to master other languages commonly used in international business, or at least understand basic business terminology. Finally, as we expand into other markets, we need to adapt to communicating in different cultural environments. Respond flexibly to different social and business situations, adapting communication methods and styles to suit different cultural expectations(</w:t>
      </w:r>
      <w:r>
        <w:rPr>
          <w:rFonts w:ascii="Times New Roman" w:hAnsi="Times New Roman"/>
          <w:sz w:val="24"/>
          <w:szCs w:val="24"/>
        </w:rPr>
        <w:t>Brislin,1993</w:t>
      </w:r>
      <w:r>
        <w:t>).</w:t>
      </w:r>
    </w:p>
    <w:p>
      <w:pPr>
        <w:pStyle w:val="2"/>
        <w:rPr>
          <w:rFonts w:ascii="Times New Roman" w:hAnsi="Times New Roman" w:cs="Times New Roman"/>
          <w:color w:val="000000" w:themeColor="text1"/>
          <w:sz w:val="28"/>
          <w:szCs w:val="28"/>
          <w14:textFill>
            <w14:solidFill>
              <w14:schemeClr w14:val="tx1"/>
            </w14:solidFill>
          </w14:textFill>
        </w:rPr>
      </w:pPr>
      <w:bookmarkStart w:id="5" w:name="_Toc1846429223"/>
      <w:r>
        <w:rPr>
          <w:rFonts w:ascii="Times New Roman" w:hAnsi="Times New Roman" w:cs="Times New Roman"/>
          <w:color w:val="000000" w:themeColor="text1"/>
          <w:sz w:val="28"/>
          <w:szCs w:val="28"/>
          <w14:textFill>
            <w14:solidFill>
              <w14:schemeClr w14:val="tx1"/>
            </w14:solidFill>
          </w14:textFill>
        </w:rPr>
        <w:t>2.3 – Methods of Communication</w:t>
      </w:r>
      <w:bookmarkEnd w:id="5"/>
    </w:p>
    <w:p>
      <w:pPr>
        <w:pStyle w:val="3"/>
        <w:outlineLvl w:val="0"/>
        <w:rPr>
          <w:b w:val="0"/>
          <w:bCs w:val="0"/>
        </w:rPr>
      </w:pPr>
      <w:bookmarkStart w:id="6" w:name="_Toc1797251811"/>
      <w:r>
        <w:rPr>
          <w:b w:val="0"/>
          <w:bCs w:val="0"/>
        </w:rPr>
        <w:t xml:space="preserve">2.3.1 - </w:t>
      </w:r>
      <w:bookmarkStart w:id="7" w:name="OLE_LINK2"/>
      <w:bookmarkStart w:id="8" w:name="OLE_LINK1"/>
      <w:r>
        <w:rPr>
          <w:b w:val="0"/>
          <w:bCs w:val="0"/>
        </w:rPr>
        <w:t>Halls High Low Context</w:t>
      </w:r>
      <w:bookmarkEnd w:id="6"/>
      <w:bookmarkEnd w:id="7"/>
      <w:bookmarkEnd w:id="8"/>
    </w:p>
    <w:p>
      <w:r>
        <w:t>Edward T. Hall's High/Low Context theory provides valuable insights into communication styles. High-context cultures rely on implicit communication and shared understanding, whereas low-context cultures emphasize explicit verbal communication</w:t>
      </w:r>
      <w:r>
        <w:rPr>
          <w:lang w:val="en-US"/>
        </w:rPr>
        <w:t>(Hall,1976)</w:t>
      </w:r>
      <w:r>
        <w:t>.</w:t>
      </w:r>
    </w:p>
    <w:p>
      <w:pPr>
        <w:jc w:val="both"/>
      </w:pPr>
      <w:r>
        <w:t>By analyzing Edward T. Hall's high/low context framework, we find that both styles have strengths and weaknesses. In the context of the high/low context model, British communication generally has the characteristics of low context, emphasizing clear and direct communication. In contrast, Chinese communication tends to have a higher context and rely more on implicit cues, non-verbal expressions and shared cultural understanding(</w:t>
      </w:r>
      <w:r>
        <w:rPr>
          <w:rFonts w:ascii="Times New Roman" w:hAnsi="Times New Roman"/>
          <w:sz w:val="24"/>
          <w:szCs w:val="24"/>
        </w:rPr>
        <w:t>Chen,2014</w:t>
      </w:r>
      <w:r>
        <w:t>). Therefore, British clothing companies need to take into account China's high-context communication methods when entering the Chinese market, and British companies should develop cultural sensitivity and adaptability(</w:t>
      </w:r>
      <w:r>
        <w:rPr>
          <w:rFonts w:ascii="Times New Roman" w:hAnsi="Times New Roman"/>
          <w:sz w:val="24"/>
          <w:szCs w:val="24"/>
        </w:rPr>
        <w:t>Ying,2011</w:t>
      </w:r>
      <w:r>
        <w:t>). Secondly, in a high-context culture like China, there is a strong emphasis on building relationships. UK companies should invest time in nurturing personal connections and building trust before engaging in formal business discussions. Networking and relationship cultivation are integral components of successful business interactions in China(</w:t>
      </w:r>
      <w:r>
        <w:rPr>
          <w:rFonts w:ascii="Times New Roman" w:hAnsi="Times New Roman"/>
          <w:sz w:val="24"/>
          <w:szCs w:val="24"/>
        </w:rPr>
        <w:t>Nisbett,2004</w:t>
      </w:r>
      <w:r>
        <w:t>). Additionally, Chinese communication tends to be more indirect, with implicit meanings rather than explicit statements. The British company should develop the skills to decipher hidden messages and nuances in conversations and deliver messages in a way that matches the Chinese preference for indirectness. Overall, by adapting to the high-context communication styles popular in China, the British clothing company can improve its chances of successfully entering the market and creating meaningful connections with Chinese partners, customers and consumers(T</w:t>
      </w:r>
      <w:r>
        <w:rPr>
          <w:rFonts w:ascii="Times New Roman" w:hAnsi="Times New Roman"/>
          <w:sz w:val="24"/>
          <w:szCs w:val="24"/>
        </w:rPr>
        <w:t>ing-Toomey, &amp; Chung,2005</w:t>
      </w:r>
      <w:r>
        <w:t>).</w:t>
      </w:r>
    </w:p>
    <w:p>
      <w:pPr>
        <w:pStyle w:val="2"/>
        <w:rPr>
          <w:rFonts w:ascii="Times New Roman" w:hAnsi="Times New Roman" w:cs="Times New Roman"/>
          <w:color w:val="000000" w:themeColor="text1"/>
          <w:sz w:val="28"/>
          <w:szCs w:val="28"/>
          <w14:textFill>
            <w14:solidFill>
              <w14:schemeClr w14:val="tx1"/>
            </w14:solidFill>
          </w14:textFill>
        </w:rPr>
      </w:pPr>
      <w:bookmarkStart w:id="9" w:name="_Toc2053692422"/>
      <w:r>
        <w:rPr>
          <w:rFonts w:ascii="Times New Roman" w:hAnsi="Times New Roman" w:cs="Times New Roman"/>
          <w:color w:val="000000" w:themeColor="text1"/>
          <w:sz w:val="28"/>
          <w:szCs w:val="28"/>
          <w14:textFill>
            <w14:solidFill>
              <w14:schemeClr w14:val="tx1"/>
            </w14:solidFill>
          </w14:textFill>
        </w:rPr>
        <w:t>2.4 – Effective Communication</w:t>
      </w:r>
      <w:bookmarkEnd w:id="9"/>
    </w:p>
    <w:p>
      <w:pPr>
        <w:jc w:val="both"/>
      </w:pPr>
      <w:r>
        <w:t>Effective international communication transcends language barriers and requires clarity, transparency, and an acute awareness of cultural differences. Communication methods should be carefully chosen, and the message adapted to resonate with diverse audiences, ensuring a harmonious exchange of information (Samovar, Porter, &amp; McDaniel, 2009).</w:t>
      </w:r>
    </w:p>
    <w:p>
      <w:pPr>
        <w:jc w:val="both"/>
      </w:pPr>
      <w:r>
        <w:t>As a British clothing retailer expands into Asia, effective communication is crucial to success. First</w:t>
      </w:r>
      <w:r>
        <w:rPr>
          <w:rFonts w:hint="eastAsia"/>
        </w:rPr>
        <w:t>，</w:t>
      </w:r>
      <w:r>
        <w:t xml:space="preserve"> we need to understand the cultural differences of the Asian target market. As a British clothing company, we need to be familiar with local customs, traditions and communication methods. This awareness can prevent inadvertent cultural misunderstandings and show respect for the diversity of new markets, and we also need to master the local language of the target country, which can help us increase communication between both parties. Second, different cultures may have different communication styles, ranging from direct and explicit to indirect and implicit. UK garment factories must be adaptable, recognizing when to adopt more direct forms of communication and when to deal with the subtleties of indirect communication prevalent in some Asian cultures.</w:t>
      </w:r>
    </w:p>
    <w:p>
      <w:pPr>
        <w:jc w:val="both"/>
      </w:pPr>
      <w:r>
        <w:t>By incorporating these elements into their communications strategy, UK clothing retailers can foster positive interactions, build trust with local vendors and lay the foundation for successful business expansion into culturally rich Asian markets(</w:t>
      </w:r>
      <w:r>
        <w:rPr>
          <w:rFonts w:hint="eastAsia" w:ascii="Times New Roman" w:hAnsi="Times New Roman"/>
          <w:sz w:val="24"/>
          <w:szCs w:val="24"/>
        </w:rPr>
        <w:t>Li</w:t>
      </w:r>
      <w:r>
        <w:rPr>
          <w:rFonts w:ascii="Times New Roman" w:hAnsi="Times New Roman"/>
          <w:sz w:val="24"/>
          <w:szCs w:val="24"/>
          <w:lang w:val="en-US"/>
        </w:rPr>
        <w:t>na,2014</w:t>
      </w:r>
      <w:r>
        <w:t>).</w:t>
      </w:r>
    </w:p>
    <w:p>
      <w:pPr>
        <w:pStyle w:val="2"/>
        <w:rPr>
          <w:rFonts w:ascii="Times New Roman" w:hAnsi="Times New Roman" w:cs="Times New Roman"/>
          <w:color w:val="000000" w:themeColor="text1"/>
          <w:sz w:val="28"/>
          <w:szCs w:val="28"/>
          <w:lang w:val="fr-FR"/>
          <w14:textFill>
            <w14:solidFill>
              <w14:schemeClr w14:val="tx1"/>
            </w14:solidFill>
          </w14:textFill>
        </w:rPr>
      </w:pPr>
      <w:bookmarkStart w:id="10" w:name="_Toc2051361970"/>
      <w:r>
        <w:rPr>
          <w:rFonts w:ascii="Times New Roman" w:hAnsi="Times New Roman" w:cs="Times New Roman"/>
          <w:color w:val="000000" w:themeColor="text1"/>
          <w:sz w:val="28"/>
          <w:szCs w:val="28"/>
          <w:lang w:val="fr-FR"/>
          <w14:textFill>
            <w14:solidFill>
              <w14:schemeClr w14:val="tx1"/>
            </w14:solidFill>
          </w14:textFill>
        </w:rPr>
        <w:t>2.5 – International Culture</w:t>
      </w:r>
      <w:bookmarkEnd w:id="10"/>
    </w:p>
    <w:p>
      <w:pPr>
        <w:pStyle w:val="3"/>
        <w:jc w:val="both"/>
        <w:rPr>
          <w:b w:val="0"/>
          <w:bCs w:val="0"/>
          <w:lang w:val="en-US"/>
        </w:rPr>
      </w:pPr>
      <w:bookmarkStart w:id="11" w:name="_Toc1538160852"/>
      <w:r>
        <w:rPr>
          <w:b w:val="0"/>
          <w:bCs w:val="0"/>
          <w:lang w:val="fr-FR"/>
        </w:rPr>
        <w:t>2.5.1 - Trompenaar’s 7 dimensions to culture</w:t>
      </w:r>
      <w:bookmarkEnd w:id="11"/>
    </w:p>
    <w:p>
      <w:pPr>
        <w:jc w:val="both"/>
        <w:rPr>
          <w:rFonts w:ascii="Times New Roman" w:hAnsi="Times New Roman" w:cs="Times New Roman"/>
          <w:lang w:val="fr-FR"/>
        </w:rPr>
      </w:pPr>
      <w:r>
        <w:rPr>
          <w:rFonts w:ascii="Times New Roman" w:hAnsi="Times New Roman" w:cs="Times New Roman"/>
          <w:lang w:val="fr-FR"/>
        </w:rPr>
        <w:t>Trompenaar's seven dimensions, including universalism vs. particularism, individualism vs. collectivism, and neutral vs. emotional, provide a nuanced understanding of how cultures differ. This knowledge is indispensable for tailoring business strategies and communication approaches to align with the cultural fabric of the new markets (Trompenaars &amp; Hampden-Turner, 1997).</w:t>
      </w:r>
    </w:p>
    <w:p>
      <w:pPr>
        <w:jc w:val="both"/>
        <w:rPr>
          <w:rFonts w:ascii="Times New Roman" w:hAnsi="Times New Roman" w:cs="Times New Roman"/>
          <w:lang w:val="fr-FR"/>
        </w:rPr>
      </w:pPr>
      <w:r>
        <w:rPr>
          <w:rFonts w:ascii="Times New Roman" w:hAnsi="Times New Roman" w:cs="Times New Roman"/>
          <w:lang w:val="fr-FR"/>
        </w:rPr>
        <w:t>Analyzing Trompenaar's "Seven Dimensions of Culture" can help us understand more intuitively how British garment factories can establish effective communication when entering the Asian market.</w:t>
      </w:r>
    </w:p>
    <w:p>
      <w:pPr>
        <w:jc w:val="both"/>
        <w:rPr>
          <w:rFonts w:ascii="Times New Roman" w:hAnsi="Times New Roman" w:cs="Times New Roman"/>
          <w:lang w:val="fr-FR"/>
        </w:rPr>
      </w:pPr>
      <w:r>
        <w:rPr>
          <w:rFonts w:ascii="Times New Roman" w:hAnsi="Times New Roman" w:cs="Times New Roman"/>
          <w:lang w:val="fr-FR"/>
        </w:rPr>
        <w:t>The first is universalism versus particularism. In Asian cultures, especially in countries such as Japan, there is often a higher degree of particularism, which emphasizes personalized relationships and situational decision-making. UK garment factories should prioritize building personalized relationships with local partners and stakeholders, taking into account individual needs and preferences</w:t>
      </w:r>
      <w:r>
        <w:rPr>
          <w:rFonts w:ascii="Times New Roman" w:hAnsi="Times New Roman" w:cs="Times New Roman"/>
          <w:lang w:val="en-US"/>
        </w:rPr>
        <w:t>(</w:t>
      </w:r>
      <w:r>
        <w:rPr>
          <w:rFonts w:ascii="Times New Roman" w:hAnsi="Times New Roman" w:cs="Times New Roman"/>
          <w:sz w:val="24"/>
          <w:szCs w:val="24"/>
        </w:rPr>
        <w:t>Katan,2004</w:t>
      </w:r>
      <w:r>
        <w:rPr>
          <w:rFonts w:ascii="Times New Roman" w:hAnsi="Times New Roman" w:cs="Times New Roman"/>
          <w:lang w:val="en-US"/>
        </w:rPr>
        <w:t>)</w:t>
      </w:r>
      <w:r>
        <w:rPr>
          <w:rFonts w:ascii="Times New Roman" w:hAnsi="Times New Roman" w:cs="Times New Roman"/>
          <w:lang w:val="fr-FR"/>
        </w:rPr>
        <w:t>.</w:t>
      </w:r>
    </w:p>
    <w:p>
      <w:pPr>
        <w:jc w:val="both"/>
        <w:rPr>
          <w:rFonts w:ascii="Times New Roman" w:hAnsi="Times New Roman" w:cs="Times New Roman"/>
          <w:lang w:val="fr-FR"/>
        </w:rPr>
      </w:pPr>
      <w:r>
        <w:rPr>
          <w:rFonts w:ascii="Times New Roman" w:hAnsi="Times New Roman" w:cs="Times New Roman"/>
          <w:lang w:val="fr-FR"/>
        </w:rPr>
        <w:t>The second is individualism and collectivism. Many Asian cultures, such as Korean culture, tend to be collectivist, emphasizing group harmony and cooperation. When encountering problems, everyone communicates and solves them together. Factories should foster a sense of collective identity and promote teamwork.</w:t>
      </w:r>
    </w:p>
    <w:p>
      <w:pPr>
        <w:jc w:val="both"/>
        <w:rPr>
          <w:rFonts w:ascii="Times New Roman" w:hAnsi="Times New Roman" w:cs="Times New Roman"/>
          <w:lang w:val="fr-FR"/>
        </w:rPr>
      </w:pPr>
      <w:r>
        <w:rPr>
          <w:rFonts w:ascii="Times New Roman" w:hAnsi="Times New Roman" w:cs="Times New Roman"/>
          <w:lang w:val="fr-FR"/>
        </w:rPr>
        <w:t>The third is neutrality versus emotion. Asian cultures, including Japan, often show a preference for neutrality and emotional restraint in professional settings. Garment factories should maintain a certain degree of formality in communications and avoid obvious expressions of emotion. Using clear and concise information and communicating it can help create a positive perception.</w:t>
      </w:r>
    </w:p>
    <w:p>
      <w:pPr>
        <w:jc w:val="both"/>
        <w:rPr>
          <w:rFonts w:ascii="Times New Roman" w:hAnsi="Times New Roman" w:cs="Times New Roman"/>
          <w:lang w:val="fr-FR"/>
        </w:rPr>
      </w:pPr>
      <w:r>
        <w:rPr>
          <w:rFonts w:ascii="Times New Roman" w:hAnsi="Times New Roman" w:cs="Times New Roman"/>
          <w:lang w:val="fr-FR"/>
        </w:rPr>
        <w:t>The fourth is concreteness vs. decentralization, Asian cultures are generally more diffuse and the lines between personal and professional life become blurred. Facilities should be prepared for discussions that go beyond business issues. Building trust may involve sharing some non-business-related information to build rapport and strengthen the relationship(Min,2015).</w:t>
      </w:r>
    </w:p>
    <w:p>
      <w:pPr>
        <w:jc w:val="both"/>
        <w:rPr>
          <w:rFonts w:ascii="Times New Roman" w:hAnsi="Times New Roman" w:cs="Times New Roman"/>
          <w:lang w:val="fr-FR"/>
        </w:rPr>
      </w:pPr>
      <w:r>
        <w:rPr>
          <w:rFonts w:ascii="Times New Roman" w:hAnsi="Times New Roman" w:cs="Times New Roman"/>
          <w:lang w:val="fr-FR"/>
        </w:rPr>
        <w:t>The fifth is achievement and belonging. In countries such as South Korea, achievement is highly valued. British garment factories should emphasize their achievements, qualifications and track record when communicating with Asian partners.</w:t>
      </w:r>
    </w:p>
    <w:p>
      <w:pPr>
        <w:jc w:val="both"/>
        <w:rPr>
          <w:rFonts w:ascii="Times New Roman" w:hAnsi="Times New Roman" w:cs="Times New Roman"/>
          <w:lang w:val="fr-FR"/>
        </w:rPr>
      </w:pPr>
      <w:r>
        <w:rPr>
          <w:rFonts w:ascii="Times New Roman" w:hAnsi="Times New Roman" w:cs="Times New Roman"/>
          <w:lang w:val="fr-FR"/>
        </w:rPr>
        <w:t>The sixth is sequential time vs. synchronous time. Asian cultures generally have a more synchronous time orientation, emphasizing relationships rather than strict adherence to schedules. Factory communication methods should be flexible, recognizing that relationships may take precedence over punctuality in some situations.</w:t>
      </w:r>
    </w:p>
    <w:p>
      <w:pPr>
        <w:jc w:val="both"/>
        <w:rPr>
          <w:rFonts w:ascii="Times New Roman" w:hAnsi="Times New Roman" w:cs="Times New Roman"/>
          <w:lang w:val="fr-FR"/>
        </w:rPr>
      </w:pPr>
      <w:r>
        <w:rPr>
          <w:rFonts w:ascii="Times New Roman" w:hAnsi="Times New Roman" w:cs="Times New Roman"/>
          <w:lang w:val="fr-FR"/>
        </w:rPr>
        <w:t>Finally, there is internal versus external orientation. Cultures such as Japan show a preference for internal orientation, emphasizing focusing on long-term goals and maintaining traditions. Garment factory communications should be long-term and demonstrate commitment and stability. Demonstrating understanding and respect for local traditions is crucial.</w:t>
      </w:r>
    </w:p>
    <w:p>
      <w:pPr>
        <w:jc w:val="both"/>
        <w:rPr>
          <w:rFonts w:ascii="Times New Roman" w:hAnsi="Times New Roman" w:cs="Times New Roman"/>
          <w:lang w:val="fr-FR"/>
        </w:rPr>
      </w:pPr>
      <w:r>
        <w:rPr>
          <w:rFonts w:ascii="Times New Roman" w:hAnsi="Times New Roman" w:cs="Times New Roman"/>
          <w:lang w:val="fr-FR"/>
        </w:rPr>
        <w:t>By considering Trompenaar's 7 cultural dimensions, the British clothing factory could tailor its communication strategy to match the cultural preferences of the Asian market. Accommodating these cultural differences can promote better understanding, strengthen relationships, and facilitate successful entry into and integration into the diverse Asian business environment(Chenxi,2007).</w:t>
      </w:r>
    </w:p>
    <w:p>
      <w:pPr>
        <w:pStyle w:val="2"/>
        <w:rPr>
          <w:rFonts w:ascii="Times New Roman" w:hAnsi="Times New Roman" w:cs="Times New Roman"/>
          <w:color w:val="000000" w:themeColor="text1"/>
          <w:sz w:val="28"/>
          <w:szCs w:val="28"/>
          <w14:textFill>
            <w14:solidFill>
              <w14:schemeClr w14:val="tx1"/>
            </w14:solidFill>
          </w14:textFill>
        </w:rPr>
      </w:pPr>
      <w:bookmarkStart w:id="12" w:name="_Toc461296978"/>
      <w:r>
        <w:rPr>
          <w:rFonts w:ascii="Times New Roman" w:hAnsi="Times New Roman" w:cs="Times New Roman"/>
          <w:color w:val="000000" w:themeColor="text1"/>
          <w:sz w:val="28"/>
          <w:szCs w:val="28"/>
          <w14:textFill>
            <w14:solidFill>
              <w14:schemeClr w14:val="tx1"/>
            </w14:solidFill>
          </w14:textFill>
        </w:rPr>
        <w:t>2.6 – Importance of Building Relationships</w:t>
      </w:r>
      <w:bookmarkEnd w:id="12"/>
    </w:p>
    <w:p>
      <w:pPr>
        <w:jc w:val="both"/>
      </w:pPr>
      <w:r>
        <w:t>Building relationships is not just a formality; it is the bedrock upon which successful international ventures are built. Establishing trust and rapport is fundamental for effective collaboration, negotiations, and long-term partnerships(Gudykunst &amp; Kim, 2017).</w:t>
      </w:r>
    </w:p>
    <w:p>
      <w:pPr>
        <w:jc w:val="both"/>
      </w:pPr>
      <w:r>
        <w:t>To tap into the dynamic and diverse Asian market, British clothing brands need to carefully navigate cultural differences and prioritize relationship building in business communications. First of all, British Yuyao understands the different cultural landscapes across Asia. Every country has unique customs, traditions and consumer behaviors. British brands must invest in cultural sensitivity training to adapt their marketing strategies and product offerings to local preferences and ensure they resonate with different audiences. Secondly, the UK must adapt to some localized business methods in Asia and adopt Asian thinking to formulate marketing methods. This localization not only attracts customers but also demonstrates a genuine commitment to understanding and respecting cultural context. In summary, the success of British clothing brands in Asian markets depends on a thoughtful approach to cultural adaptation, localized communication and a genuine commitment to building meaningful relationships(</w:t>
      </w:r>
      <w:r>
        <w:rPr>
          <w:rFonts w:ascii="Times New Roman" w:hAnsi="Times New Roman"/>
          <w:sz w:val="24"/>
          <w:szCs w:val="24"/>
        </w:rPr>
        <w:t>Fredrickson,2001</w:t>
      </w:r>
      <w:r>
        <w:t>).</w:t>
      </w:r>
    </w:p>
    <w:p>
      <w:pPr>
        <w:pStyle w:val="2"/>
        <w:rPr>
          <w:rFonts w:ascii="Times New Roman" w:hAnsi="Times New Roman" w:cs="Times New Roman"/>
          <w:color w:val="000000" w:themeColor="text1"/>
          <w:sz w:val="28"/>
          <w:szCs w:val="28"/>
          <w14:textFill>
            <w14:solidFill>
              <w14:schemeClr w14:val="tx1"/>
            </w14:solidFill>
          </w14:textFill>
        </w:rPr>
      </w:pPr>
      <w:bookmarkStart w:id="13" w:name="_Toc602343576"/>
      <w:r>
        <w:rPr>
          <w:rFonts w:ascii="Times New Roman" w:hAnsi="Times New Roman" w:cs="Times New Roman"/>
          <w:color w:val="000000" w:themeColor="text1"/>
          <w:sz w:val="28"/>
          <w:szCs w:val="28"/>
          <w14:textFill>
            <w14:solidFill>
              <w14:schemeClr w14:val="tx1"/>
            </w14:solidFill>
          </w14:textFill>
        </w:rPr>
        <w:t>2.7 – How to build Trust</w:t>
      </w:r>
      <w:bookmarkEnd w:id="13"/>
    </w:p>
    <w:p>
      <w:pPr>
        <w:jc w:val="both"/>
        <w:rPr>
          <w:rFonts w:ascii="Segoe UI" w:hAnsi="Segoe UI" w:cs="Segoe UI"/>
          <w:color w:val="0F0F0F"/>
        </w:rPr>
      </w:pPr>
      <w:r>
        <w:rPr>
          <w:rFonts w:ascii="Segoe UI" w:hAnsi="Segoe UI" w:cs="Segoe UI"/>
          <w:color w:val="0F0F0F"/>
        </w:rPr>
        <w:t>Building trust across cultures is a delicate yet crucial endeavor. Consistent communication, cultural awareness training, and demonstrating reliability and integrity are paramount. Trust is not merely a transactional element; it is the glue that binds successful international business relationships (Shapiro, Dunbar, &amp; Toma, 2015).</w:t>
      </w:r>
    </w:p>
    <w:p>
      <w:pPr>
        <w:jc w:val="both"/>
      </w:pPr>
      <w:r>
        <w:t>Entering the Asian market presents both opportunities and challenges for British clothing brands, requiring a strategic approach to building trust in business communications. Faced with Asia's diverse cultures, British manufacturers must first understand and adapt to Asia's diverse cultures. Each country has its own unique cultural differences, preferences and consumer behaviors. British clothing brands should invest in market research to adapt their products, marketing strategies and communications to match local sensibilities. Second, while English may be a global business language, incorporating local languages into communication materials can deepen engagement and foster trust. Providing information, customer support, and promotional content in your target market's native language enhances accessibility and demonstrates a commitment to effective communication. All in all, building trust in business communications is a progressive process that involves understanding, respecting and aligning with the values and expectations of a diverse group of Asian consumers(</w:t>
      </w:r>
      <w:r>
        <w:rPr>
          <w:rFonts w:hint="eastAsia" w:ascii="Times New Roman" w:hAnsi="Times New Roman"/>
          <w:sz w:val="24"/>
          <w:szCs w:val="24"/>
        </w:rPr>
        <w:t>Cong</w:t>
      </w:r>
      <w:r>
        <w:rPr>
          <w:rFonts w:ascii="Times New Roman" w:hAnsi="Times New Roman"/>
          <w:sz w:val="24"/>
          <w:szCs w:val="24"/>
        </w:rPr>
        <w:t>,2013</w:t>
      </w:r>
      <w:r>
        <w:t>).</w:t>
      </w:r>
    </w:p>
    <w:p>
      <w:pPr>
        <w:pStyle w:val="2"/>
        <w:rPr>
          <w:rFonts w:ascii="Times New Roman" w:hAnsi="Times New Roman" w:cs="Times New Roman"/>
          <w:color w:val="000000" w:themeColor="text1"/>
          <w:sz w:val="28"/>
          <w:szCs w:val="28"/>
          <w:lang w:val="en-US"/>
          <w14:textFill>
            <w14:solidFill>
              <w14:schemeClr w14:val="tx1"/>
            </w14:solidFill>
          </w14:textFill>
        </w:rPr>
      </w:pPr>
      <w:bookmarkStart w:id="14" w:name="_Toc350569874"/>
      <w:r>
        <w:rPr>
          <w:rFonts w:ascii="Times New Roman" w:hAnsi="Times New Roman" w:cs="Times New Roman"/>
          <w:color w:val="000000" w:themeColor="text1"/>
          <w:sz w:val="28"/>
          <w:szCs w:val="28"/>
          <w14:textFill>
            <w14:solidFill>
              <w14:schemeClr w14:val="tx1"/>
            </w14:solidFill>
          </w14:textFill>
        </w:rPr>
        <w:t>2.8 – Failed Relationships</w:t>
      </w:r>
      <w:bookmarkEnd w:id="14"/>
      <w:r>
        <w:rPr>
          <w:rFonts w:ascii="Times New Roman" w:hAnsi="Times New Roman" w:cs="Times New Roman"/>
          <w:color w:val="000000" w:themeColor="text1"/>
          <w:sz w:val="28"/>
          <w:szCs w:val="28"/>
          <w14:textFill>
            <w14:solidFill>
              <w14:schemeClr w14:val="tx1"/>
            </w14:solidFill>
          </w14:textFill>
        </w:rPr>
        <w:t xml:space="preserve"> </w:t>
      </w:r>
    </w:p>
    <w:p>
      <w:pPr>
        <w:jc w:val="both"/>
      </w:pPr>
      <w:r>
        <w:t>Understanding the reasons for failed international business relationships is as important as cultivating successful ones. Potential causes include cultural misunderstandings, language barriers, differences in communication styles, and inadequate cross-cultural training. Our client must be well-versed in recognizing these challenges and implementing strategies to mitigate them (Gudykunst &amp; Kim, 2017).</w:t>
      </w:r>
    </w:p>
    <w:p>
      <w:pPr>
        <w:jc w:val="both"/>
      </w:pPr>
      <w:r>
        <w:t>For a British clothing retailer expanding into Asia, the impact of failed relationships on international communications was multifaceted, including issues of trust, cultural understanding, reputation, business opportunities, costs and internal dynamics. First, failed relationships in international exchanges can lead to a serious erosion of trust. In the context of UK clothing retailers' expansion into Asia, trust can be compromised if there is a breakdown in communication with local partners, suppliers or customers. Trust is critical in business transactions, and the erosion of trust can hinder the establishment of long-term, mutually beneficial relationships. Secondly, cross-cultural communication is a delicate process, and failed relationships often stem from cultural misunderstandings. If a UK retailer fails to grasp the cultural nuances of the Asian market, it may inadvertently engage in communications that are seen as insensitive or inappropriate. This can cause tensions with local stakeholders and potential customers. So if the UK is to succeed in business communications, it needs to mitigate these risks and develop a comprehensive understanding of intercultural communication theory and strategic approaches to building and maintaining positive relationships in the global marketplace(</w:t>
      </w:r>
      <w:r>
        <w:rPr>
          <w:rFonts w:ascii="Times New Roman" w:hAnsi="Times New Roman"/>
          <w:sz w:val="24"/>
          <w:szCs w:val="24"/>
        </w:rPr>
        <w:t>Jackson,2018</w:t>
      </w:r>
      <w:r>
        <w:t>).</w:t>
      </w:r>
    </w:p>
    <w:p>
      <w:pPr>
        <w:ind w:firstLine="720"/>
      </w:pPr>
    </w:p>
    <w:p>
      <w:pPr>
        <w:pStyle w:val="2"/>
        <w:rPr>
          <w:rFonts w:ascii="Times New Roman" w:hAnsi="Times New Roman" w:cs="Times New Roman"/>
          <w:color w:val="000000" w:themeColor="text1"/>
          <w:sz w:val="28"/>
          <w:szCs w:val="28"/>
          <w14:textFill>
            <w14:solidFill>
              <w14:schemeClr w14:val="tx1"/>
            </w14:solidFill>
          </w14:textFill>
        </w:rPr>
      </w:pPr>
      <w:bookmarkStart w:id="15" w:name="_Toc1480228597"/>
      <w:r>
        <w:rPr>
          <w:rFonts w:ascii="Times New Roman" w:hAnsi="Times New Roman" w:cs="Times New Roman"/>
          <w:color w:val="000000" w:themeColor="text1"/>
          <w:sz w:val="28"/>
          <w:szCs w:val="28"/>
          <w14:textFill>
            <w14:solidFill>
              <w14:schemeClr w14:val="tx1"/>
            </w14:solidFill>
          </w14:textFill>
        </w:rPr>
        <w:t>3.0 – Conclusions</w:t>
      </w:r>
      <w:bookmarkEnd w:id="15"/>
    </w:p>
    <w:p>
      <w:pPr>
        <w:jc w:val="both"/>
      </w:pPr>
      <w:r>
        <w:t>The so-called international business communication means that in order to expand the scope of business and increase its own business income, business operators cross national boundaries and time to negotiate with people from different countries and cultural backgrounds, so as to achieve the purpose of cooperation with them. A foreign affairs business negotiation activity to create a win-win situation. This is different from ordinary business communication. When negotiating with people outside our own country, we must not only pay attention to the political, economic, diplomatic relations and other factors between the two countries, but also pay attention to the cultural differences, religious beliefs, and folk customs between the two countries. differences in habits to facilitate friendly communication between both parties. In summary, as British manufacturers enter the dynamic Asian market, the success of their business expansion depends on mastering the complexities of cross-cultural communication. By adopting the theoretical framework and insights discussed in this article, apparel retailers can overcome cultural differences, build meaningful relationships, and establish a lasting presence in Asia's diverse markets. Effective international business communication is more than a skill; it is a strategic advantage that drives businesses to global success.</w:t>
      </w:r>
    </w:p>
    <w:p/>
    <w:p/>
    <w:p/>
    <w:p/>
    <w:p/>
    <w:p/>
    <w:p/>
    <w:p/>
    <w:p/>
    <w:p/>
    <w:p/>
    <w:p/>
    <w:p/>
    <w:p/>
    <w:p/>
    <w:p/>
    <w:p/>
    <w:p/>
    <w:p/>
    <w:p>
      <w:pPr>
        <w:rPr>
          <w:rFonts w:hint="eastAsia"/>
        </w:rPr>
      </w:pPr>
    </w:p>
    <w:p>
      <w:pPr>
        <w:pStyle w:val="2"/>
        <w:rPr>
          <w:rFonts w:ascii="Times New Roman" w:hAnsi="Times New Roman" w:cs="Times New Roman"/>
          <w:color w:val="000000" w:themeColor="text1"/>
          <w:sz w:val="28"/>
          <w:szCs w:val="28"/>
          <w14:textFill>
            <w14:solidFill>
              <w14:schemeClr w14:val="tx1"/>
            </w14:solidFill>
          </w14:textFill>
        </w:rPr>
      </w:pPr>
      <w:bookmarkStart w:id="16" w:name="_Toc1751462931"/>
      <w:r>
        <w:rPr>
          <w:rFonts w:ascii="Times New Roman" w:hAnsi="Times New Roman" w:cs="Times New Roman"/>
          <w:color w:val="000000" w:themeColor="text1"/>
          <w:sz w:val="28"/>
          <w:szCs w:val="28"/>
          <w14:textFill>
            <w14:solidFill>
              <w14:schemeClr w14:val="tx1"/>
            </w14:solidFill>
          </w14:textFill>
        </w:rPr>
        <w:t>4.0 – Recommendations</w:t>
      </w:r>
      <w:bookmarkEnd w:id="16"/>
    </w:p>
    <w:p>
      <w:pPr>
        <w:jc w:val="both"/>
      </w:pPr>
      <w:r>
        <w:t>In order to better help British manufacturers conduct better business communication, the following suggestions can be adopted. First, conduct research on the cultural background. Before expanding to a new area, conduct thorough research on the local culture. Understanding the cultural, social and economic factors that influence business practices and consumer behavior will help tailor communications strategies to the specific needs of each market. For example, invest in language training to ensure employees have the language skills they need to communicate effectively. While English is often a global business language, proficiency in the local language of your target market can enhance communication and build rapport(</w:t>
      </w:r>
      <w:r>
        <w:rPr>
          <w:rFonts w:ascii="Times New Roman" w:hAnsi="Times New Roman"/>
          <w:sz w:val="24"/>
          <w:szCs w:val="24"/>
        </w:rPr>
        <w:t>Ruifeng,2014</w:t>
      </w:r>
      <w:r>
        <w:t>).</w:t>
      </w:r>
    </w:p>
    <w:p>
      <w:pPr>
        <w:jc w:val="both"/>
      </w:pPr>
    </w:p>
    <w:p>
      <w:pPr>
        <w:jc w:val="both"/>
      </w:pPr>
      <w:r>
        <w:t>The second is to understand and adapt to the different communication methods popular in different cultures. Some cultures may prefer indirect communication, while others may value a more direct approach. Flexibility in communication styles will help build positive relationships. Also, we need to adopt some friendly relationship policies to establish good business relationships so that we can better carry out expansion policies(</w:t>
      </w:r>
      <w:r>
        <w:rPr>
          <w:rFonts w:ascii="Times New Roman" w:hAnsi="Times New Roman"/>
          <w:sz w:val="24"/>
          <w:szCs w:val="24"/>
        </w:rPr>
        <w:t>Gao,2008</w:t>
      </w:r>
      <w:r>
        <w:t>).</w:t>
      </w:r>
    </w:p>
    <w:p>
      <w:pPr>
        <w:jc w:val="both"/>
      </w:pPr>
    </w:p>
    <w:p>
      <w:pPr>
        <w:jc w:val="both"/>
      </w:pPr>
      <w:r>
        <w:t>Finally, in international business exchanges, clear communication protocols are crucial to ensuring that information is conveyed accurately. Since different communication styles and habits exist between different cultures, it is crucial that both parties develop clear communication protocols. This includes identifying appropriate communication channels, clear expected response times, standardized document formats, and more. By developing such an agreement, companies can reduce communication misunderstandings and confusion and ensure that the transfer of information between international teams is efficient and accurate.</w:t>
      </w:r>
    </w:p>
    <w:p/>
    <w:p/>
    <w:p/>
    <w:p/>
    <w:p/>
    <w:p/>
    <w:p/>
    <w:p/>
    <w:p/>
    <w:p/>
    <w:p/>
    <w:p/>
    <w:p/>
    <w:p>
      <w:pPr>
        <w:pStyle w:val="2"/>
        <w:rPr>
          <w:rFonts w:ascii="Times New Roman" w:hAnsi="Times New Roman" w:cs="Times New Roman"/>
          <w:color w:val="000000" w:themeColor="text1"/>
          <w:sz w:val="28"/>
          <w:szCs w:val="28"/>
          <w14:textFill>
            <w14:solidFill>
              <w14:schemeClr w14:val="tx1"/>
            </w14:solidFill>
          </w14:textFill>
        </w:rPr>
      </w:pPr>
      <w:bookmarkStart w:id="17" w:name="_Toc1279131888"/>
      <w:r>
        <w:rPr>
          <w:rFonts w:ascii="Times New Roman" w:hAnsi="Times New Roman" w:cs="Times New Roman"/>
          <w:color w:val="000000" w:themeColor="text1"/>
          <w:sz w:val="28"/>
          <w:szCs w:val="28"/>
          <w14:textFill>
            <w14:solidFill>
              <w14:schemeClr w14:val="tx1"/>
            </w14:solidFill>
          </w14:textFill>
        </w:rPr>
        <w:t>References</w:t>
      </w:r>
      <w:bookmarkEnd w:id="17"/>
    </w:p>
    <w:p>
      <w:pPr>
        <w:wordWrap w:val="0"/>
        <w:autoSpaceDE w:val="0"/>
        <w:spacing w:line="360" w:lineRule="auto"/>
        <w:rPr>
          <w:rFonts w:ascii="Times New Roman" w:hAnsi="Times New Roman"/>
          <w:sz w:val="24"/>
          <w:szCs w:val="24"/>
          <w:lang w:val="en-US"/>
        </w:rPr>
      </w:pPr>
      <w:r>
        <w:rPr>
          <w:rFonts w:ascii="Times New Roman" w:hAnsi="Times New Roman"/>
          <w:sz w:val="24"/>
          <w:szCs w:val="24"/>
        </w:rPr>
        <w:t>[1]</w:t>
      </w:r>
      <w:r>
        <w:rPr>
          <w:rFonts w:hint="eastAsia" w:ascii="Times New Roman" w:hAnsi="Times New Roman"/>
          <w:sz w:val="24"/>
          <w:szCs w:val="24"/>
        </w:rPr>
        <w:t xml:space="preserve"> </w:t>
      </w:r>
      <w:r>
        <w:rPr>
          <w:rFonts w:ascii="Times New Roman" w:hAnsi="Times New Roman"/>
          <w:sz w:val="24"/>
          <w:szCs w:val="24"/>
          <w:lang w:val="en-US"/>
        </w:rPr>
        <w:t xml:space="preserve">Gudykunst, W. B., &amp; Kim, Y. Y. (2017). </w:t>
      </w:r>
      <w:r>
        <w:rPr>
          <w:rFonts w:ascii="Times New Roman" w:hAnsi="Times New Roman"/>
          <w:i/>
          <w:iCs/>
          <w:sz w:val="24"/>
          <w:szCs w:val="24"/>
          <w:lang w:val="en-US"/>
        </w:rPr>
        <w:t>Communication and cross-cultural adaptation: An integrative theory.</w:t>
      </w:r>
      <w:r>
        <w:rPr>
          <w:rFonts w:ascii="Times New Roman" w:hAnsi="Times New Roman"/>
          <w:sz w:val="24"/>
          <w:szCs w:val="24"/>
          <w:lang w:val="en-US"/>
        </w:rPr>
        <w:t xml:space="preserve"> Routledge</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[2]</w:t>
      </w:r>
      <w:r>
        <w:rPr>
          <w:rFonts w:ascii="Segoe UI" w:hAnsi="Segoe UI" w:cs="Segoe UI"/>
        </w:rPr>
        <w:t xml:space="preserve"> </w:t>
      </w:r>
      <w:r>
        <w:rPr>
          <w:rFonts w:ascii="Times New Roman" w:hAnsi="Times New Roman"/>
          <w:sz w:val="24"/>
          <w:szCs w:val="24"/>
        </w:rPr>
        <w:t>Samovar, L. A., Porter, R. E., &amp; McDaniel, E. R. (2009)</w:t>
      </w:r>
      <w:r>
        <w:rPr>
          <w:rFonts w:ascii="Segoe UI" w:hAnsi="Segoe UI" w:cs="Segoe UI"/>
        </w:rPr>
        <w:t xml:space="preserve"> </w:t>
      </w:r>
      <w:r>
        <w:rPr>
          <w:rFonts w:ascii="Times New Roman" w:hAnsi="Times New Roman"/>
          <w:i/>
          <w:iCs/>
          <w:sz w:val="24"/>
          <w:szCs w:val="24"/>
        </w:rPr>
        <w:t>Communication between cultures</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Cengage Learning.</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[3]</w:t>
      </w:r>
      <w:r>
        <w:rPr>
          <w:rFonts w:hint="eastAsia" w:ascii="Times New Roman" w:hAnsi="Times New Roman"/>
          <w:sz w:val="24"/>
          <w:szCs w:val="24"/>
        </w:rPr>
        <w:t xml:space="preserve"> </w:t>
      </w:r>
      <w:r>
        <w:rPr>
          <w:rFonts w:ascii="Times New Roman" w:hAnsi="Times New Roman"/>
          <w:sz w:val="24"/>
          <w:szCs w:val="24"/>
        </w:rPr>
        <w:t>Hofstede, G. (2001)</w:t>
      </w:r>
      <w:r>
        <w:rPr>
          <w:rFonts w:ascii="Segoe UI" w:hAnsi="Segoe UI" w:cs="Segoe UI"/>
        </w:rPr>
        <w:t xml:space="preserve"> </w:t>
      </w:r>
      <w:r>
        <w:rPr>
          <w:rFonts w:ascii="Times New Roman" w:hAnsi="Times New Roman"/>
          <w:i/>
          <w:iCs/>
          <w:sz w:val="24"/>
          <w:szCs w:val="24"/>
        </w:rPr>
        <w:t>Understanding culture's influence on behavior</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Sage Publications.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[4]</w:t>
      </w:r>
      <w:r>
        <w:rPr>
          <w:rFonts w:hint="eastAsia" w:ascii="Times New Roman" w:hAnsi="Times New Roman"/>
          <w:sz w:val="24"/>
          <w:szCs w:val="24"/>
        </w:rPr>
        <w:t xml:space="preserve"> </w:t>
      </w:r>
      <w:r>
        <w:rPr>
          <w:rFonts w:ascii="Times New Roman" w:hAnsi="Times New Roman"/>
          <w:sz w:val="24"/>
          <w:szCs w:val="24"/>
        </w:rPr>
        <w:t xml:space="preserve">Brislin, R. W. (1993) </w:t>
      </w:r>
      <w:r>
        <w:rPr>
          <w:rFonts w:ascii="Times New Roman" w:hAnsi="Times New Roman"/>
          <w:i/>
          <w:iCs/>
          <w:sz w:val="24"/>
          <w:szCs w:val="24"/>
        </w:rPr>
        <w:t>Communicating with strangers: An approach to intercultural communication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Harcourt Brace Jovanovich College Publishers.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[5]</w:t>
      </w:r>
      <w:r>
        <w:rPr>
          <w:rFonts w:hint="eastAsia" w:ascii="Times New Roman" w:hAnsi="Times New Roman"/>
          <w:sz w:val="24"/>
          <w:szCs w:val="24"/>
        </w:rPr>
        <w:t xml:space="preserve"> </w:t>
      </w:r>
      <w:r>
        <w:rPr>
          <w:rFonts w:ascii="Times New Roman" w:hAnsi="Times New Roman"/>
          <w:sz w:val="24"/>
          <w:szCs w:val="24"/>
        </w:rPr>
        <w:t xml:space="preserve">Ting-Toomey, S., &amp; Chung, L. C. (2005) </w:t>
      </w:r>
      <w:r>
        <w:rPr>
          <w:rFonts w:ascii="Times New Roman" w:hAnsi="Times New Roman"/>
          <w:i/>
          <w:iCs/>
          <w:sz w:val="24"/>
          <w:szCs w:val="24"/>
        </w:rPr>
        <w:t>Understanding intercultural communication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Oxford University Press.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[6]</w:t>
      </w:r>
      <w:r>
        <w:rPr>
          <w:rFonts w:hint="eastAsia" w:ascii="Times New Roman" w:hAnsi="Times New Roman"/>
          <w:sz w:val="24"/>
          <w:szCs w:val="24"/>
        </w:rPr>
        <w:t xml:space="preserve"> </w:t>
      </w:r>
      <w:r>
        <w:rPr>
          <w:rFonts w:ascii="Times New Roman" w:hAnsi="Times New Roman"/>
          <w:sz w:val="24"/>
          <w:szCs w:val="24"/>
        </w:rPr>
        <w:t>McLean, L., &amp; DePalo, A. (2016)</w:t>
      </w:r>
      <w:r>
        <w:rPr>
          <w:rFonts w:ascii="Segoe UI" w:hAnsi="Segoe UI" w:cs="Segoe UI"/>
        </w:rPr>
        <w:t xml:space="preserve"> </w:t>
      </w:r>
      <w:r>
        <w:rPr>
          <w:rFonts w:ascii="Times New Roman" w:hAnsi="Times New Roman"/>
          <w:i/>
          <w:iCs/>
          <w:sz w:val="24"/>
          <w:szCs w:val="24"/>
        </w:rPr>
        <w:t>Culture and communication: The logic by which symbols are connected</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[7]</w:t>
      </w:r>
      <w:r>
        <w:rPr>
          <w:rFonts w:hint="eastAsia" w:ascii="Times New Roman" w:hAnsi="Times New Roman"/>
          <w:sz w:val="24"/>
          <w:szCs w:val="24"/>
        </w:rPr>
        <w:t xml:space="preserve"> </w:t>
      </w:r>
      <w:r>
        <w:rPr>
          <w:rFonts w:ascii="Times New Roman" w:hAnsi="Times New Roman"/>
          <w:sz w:val="24"/>
          <w:szCs w:val="24"/>
        </w:rPr>
        <w:t xml:space="preserve">Holmes, P., &amp; Stubbe, M. (2015) </w:t>
      </w:r>
      <w:r>
        <w:rPr>
          <w:rFonts w:ascii="Times New Roman" w:hAnsi="Times New Roman"/>
          <w:i/>
          <w:iCs/>
          <w:sz w:val="24"/>
          <w:szCs w:val="24"/>
        </w:rPr>
        <w:t>Power and politeness in the workplace</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[8]</w:t>
      </w:r>
      <w:r>
        <w:rPr>
          <w:rFonts w:hint="eastAsia" w:ascii="Times New Roman" w:hAnsi="Times New Roman"/>
          <w:sz w:val="24"/>
          <w:szCs w:val="24"/>
        </w:rPr>
        <w:t xml:space="preserve"> Li</w:t>
      </w:r>
      <w:r>
        <w:rPr>
          <w:rFonts w:ascii="Times New Roman" w:hAnsi="Times New Roman"/>
          <w:sz w:val="24"/>
          <w:szCs w:val="24"/>
          <w:lang w:val="en-US"/>
        </w:rPr>
        <w:t>na</w:t>
      </w:r>
      <w:r>
        <w:rPr>
          <w:rFonts w:ascii="Times New Roman" w:hAnsi="Times New Roman"/>
          <w:sz w:val="24"/>
          <w:szCs w:val="24"/>
        </w:rPr>
        <w:t>,W.</w:t>
      </w:r>
      <w:r>
        <w:rPr>
          <w:rFonts w:hint="eastAsia" w:ascii="Times New Roman" w:hAnsi="Times New Roman"/>
          <w:sz w:val="24"/>
          <w:szCs w:val="24"/>
        </w:rPr>
        <w:t xml:space="preserve"> </w:t>
      </w:r>
      <w:r>
        <w:rPr>
          <w:rFonts w:ascii="Times New Roman" w:hAnsi="Times New Roman"/>
          <w:sz w:val="24"/>
          <w:szCs w:val="24"/>
        </w:rPr>
        <w:t>(2014)</w:t>
      </w:r>
      <w:r>
        <w:rPr>
          <w:rFonts w:hint="eastAsia" w:ascii="Times New Roman" w:hAnsi="Times New Roman"/>
          <w:sz w:val="24"/>
          <w:szCs w:val="24"/>
        </w:rPr>
        <w:t xml:space="preserve"> </w:t>
      </w:r>
      <w:r>
        <w:rPr>
          <w:rFonts w:ascii="Times New Roman" w:hAnsi="Times New Roman"/>
          <w:i/>
          <w:iCs/>
          <w:sz w:val="24"/>
          <w:szCs w:val="24"/>
        </w:rPr>
        <w:t>The analysis of effect and strategy of Chinese and foreign cultural differences on international business negotiation</w:t>
      </w:r>
      <w:r>
        <w:rPr>
          <w:rFonts w:ascii="Times New Roman" w:hAnsi="Times New Roman"/>
          <w:sz w:val="24"/>
          <w:szCs w:val="24"/>
        </w:rPr>
        <w:t>[Master’s thesis,JiLin University].</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[9]</w:t>
      </w:r>
      <w:r>
        <w:rPr>
          <w:rFonts w:hint="eastAsia" w:ascii="Times New Roman" w:hAnsi="Times New Roman"/>
          <w:sz w:val="24"/>
          <w:szCs w:val="24"/>
        </w:rPr>
        <w:t xml:space="preserve"> </w:t>
      </w:r>
      <w:r>
        <w:rPr>
          <w:rFonts w:ascii="Times New Roman" w:hAnsi="Times New Roman"/>
          <w:sz w:val="24"/>
          <w:szCs w:val="24"/>
        </w:rPr>
        <w:t xml:space="preserve">Chen, G. M. (2014) </w:t>
      </w:r>
      <w:r>
        <w:rPr>
          <w:rFonts w:ascii="Times New Roman" w:hAnsi="Times New Roman"/>
          <w:i/>
          <w:iCs/>
          <w:sz w:val="24"/>
          <w:szCs w:val="24"/>
        </w:rPr>
        <w:t>The development of the Intercultural Sensitivity Scale</w:t>
      </w:r>
      <w:r>
        <w:rPr>
          <w:rFonts w:ascii="Times New Roman" w:hAnsi="Times New Roman"/>
          <w:sz w:val="24"/>
          <w:szCs w:val="24"/>
        </w:rPr>
        <w:t>.</w:t>
      </w:r>
      <w:r>
        <w:rPr>
          <w:rFonts w:ascii="Segoe UI" w:hAnsi="Segoe UI" w:cs="Segoe UI"/>
        </w:rPr>
        <w:t xml:space="preserve"> </w:t>
      </w:r>
      <w:r>
        <w:rPr>
          <w:rFonts w:ascii="Times New Roman" w:hAnsi="Times New Roman" w:cs="Times New Roman"/>
        </w:rPr>
        <w:t>Human Communication, 7(3), pp</w:t>
      </w:r>
      <w:r>
        <w:rPr>
          <w:rFonts w:ascii="Times New Roman" w:hAnsi="Times New Roman" w:cs="Times New Roman"/>
          <w:lang w:val="en-US"/>
        </w:rPr>
        <w:t>.</w:t>
      </w:r>
      <w:r>
        <w:rPr>
          <w:rFonts w:ascii="Times New Roman" w:hAnsi="Times New Roman" w:cs="Times New Roman"/>
        </w:rPr>
        <w:t>1-15</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[10]</w:t>
      </w:r>
      <w:r>
        <w:rPr>
          <w:rFonts w:hint="eastAsia" w:ascii="Times New Roman" w:hAnsi="Times New Roman"/>
          <w:sz w:val="24"/>
          <w:szCs w:val="24"/>
        </w:rPr>
        <w:t xml:space="preserve"> </w:t>
      </w:r>
      <w:r>
        <w:rPr>
          <w:rFonts w:ascii="Times New Roman" w:hAnsi="Times New Roman"/>
          <w:sz w:val="24"/>
          <w:szCs w:val="24"/>
        </w:rPr>
        <w:t>Ying,S.</w:t>
      </w:r>
      <w:r>
        <w:rPr>
          <w:rFonts w:hint="eastAsia" w:ascii="Times New Roman" w:hAnsi="Times New Roman"/>
          <w:sz w:val="24"/>
          <w:szCs w:val="24"/>
        </w:rPr>
        <w:t xml:space="preserve"> </w:t>
      </w:r>
      <w:r>
        <w:rPr>
          <w:rFonts w:ascii="Times New Roman" w:hAnsi="Times New Roman"/>
          <w:sz w:val="24"/>
          <w:szCs w:val="24"/>
        </w:rPr>
        <w:t>(2011)</w:t>
      </w:r>
      <w:r>
        <w:rPr>
          <w:rFonts w:hint="eastAsia" w:ascii="Times New Roman" w:hAnsi="Times New Roman"/>
          <w:sz w:val="24"/>
          <w:szCs w:val="24"/>
        </w:rPr>
        <w:t xml:space="preserve"> </w:t>
      </w:r>
      <w:r>
        <w:rPr>
          <w:rFonts w:ascii="Times New Roman" w:hAnsi="Times New Roman"/>
          <w:i/>
          <w:iCs/>
          <w:sz w:val="24"/>
          <w:szCs w:val="24"/>
        </w:rPr>
        <w:t>International business negotiation course-from the perspective of intercultural commmunication</w:t>
      </w:r>
      <w:r>
        <w:rPr>
          <w:rFonts w:ascii="Times New Roman" w:hAnsi="Times New Roman"/>
          <w:sz w:val="24"/>
          <w:szCs w:val="24"/>
        </w:rPr>
        <w:t>[Master’s thesis,ShanDong University].</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[11]</w:t>
      </w:r>
      <w:r>
        <w:rPr>
          <w:rFonts w:hint="eastAsia" w:ascii="Times New Roman" w:hAnsi="Times New Roman"/>
          <w:sz w:val="24"/>
          <w:szCs w:val="24"/>
        </w:rPr>
        <w:t xml:space="preserve"> </w:t>
      </w:r>
      <w:r>
        <w:rPr>
          <w:rFonts w:ascii="Times New Roman" w:hAnsi="Times New Roman"/>
          <w:sz w:val="24"/>
          <w:szCs w:val="24"/>
        </w:rPr>
        <w:t xml:space="preserve">Jandt, F. E. (2019) </w:t>
      </w:r>
      <w:r>
        <w:rPr>
          <w:rFonts w:ascii="Times New Roman" w:hAnsi="Times New Roman"/>
          <w:i/>
          <w:iCs/>
          <w:sz w:val="24"/>
          <w:szCs w:val="24"/>
        </w:rPr>
        <w:t>An introduction to intercultural communication: Identities in a global community.</w:t>
      </w:r>
      <w:r>
        <w:rPr>
          <w:rFonts w:ascii="Segoe UI" w:hAnsi="Segoe UI" w:cs="Segoe UI"/>
        </w:rPr>
        <w:t xml:space="preserve"> </w:t>
      </w:r>
      <w:r>
        <w:rPr>
          <w:rFonts w:ascii="Times New Roman" w:hAnsi="Times New Roman"/>
          <w:sz w:val="24"/>
          <w:szCs w:val="24"/>
        </w:rPr>
        <w:t>Sage Publications.</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[12]</w:t>
      </w:r>
      <w:r>
        <w:rPr>
          <w:rFonts w:hint="eastAsia" w:ascii="Times New Roman" w:hAnsi="Times New Roman"/>
          <w:sz w:val="24"/>
          <w:szCs w:val="24"/>
        </w:rPr>
        <w:t xml:space="preserve"> </w:t>
      </w:r>
      <w:r>
        <w:rPr>
          <w:rFonts w:ascii="Times New Roman" w:hAnsi="Times New Roman"/>
          <w:sz w:val="24"/>
          <w:szCs w:val="24"/>
        </w:rPr>
        <w:t>Nisbett, R. E. (2004)</w:t>
      </w:r>
      <w:r>
        <w:rPr>
          <w:rFonts w:ascii="Segoe UI" w:hAnsi="Segoe UI" w:cs="Segoe UI"/>
        </w:rPr>
        <w:t xml:space="preserve"> </w:t>
      </w:r>
      <w:bookmarkStart w:id="18" w:name="OLE_LINK10"/>
      <w:bookmarkStart w:id="19" w:name="OLE_LINK9"/>
      <w:r>
        <w:rPr>
          <w:rFonts w:ascii="Times New Roman" w:hAnsi="Times New Roman"/>
          <w:i/>
          <w:iCs/>
          <w:sz w:val="24"/>
          <w:szCs w:val="24"/>
        </w:rPr>
        <w:t>The geography of thought: How Asians and Westerners think differently … and why</w:t>
      </w:r>
      <w:bookmarkEnd w:id="18"/>
      <w:bookmarkEnd w:id="19"/>
      <w:r>
        <w:rPr>
          <w:rFonts w:ascii="Times New Roman" w:hAnsi="Times New Roman"/>
          <w:i/>
          <w:iCs/>
          <w:sz w:val="24"/>
          <w:szCs w:val="24"/>
        </w:rPr>
        <w:t>.</w:t>
      </w:r>
      <w:r>
        <w:rPr>
          <w:rFonts w:ascii="Segoe UI" w:hAnsi="Segoe UI" w:cs="Segoe UI"/>
        </w:rPr>
        <w:t xml:space="preserve"> </w:t>
      </w:r>
      <w:r>
        <w:rPr>
          <w:rFonts w:ascii="Times New Roman" w:hAnsi="Times New Roman"/>
          <w:i/>
          <w:iCs/>
          <w:sz w:val="24"/>
          <w:szCs w:val="24"/>
        </w:rPr>
        <w:t>Free Press</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[13]</w:t>
      </w:r>
      <w:r>
        <w:rPr>
          <w:rFonts w:hint="eastAsia" w:ascii="Times New Roman" w:hAnsi="Times New Roman"/>
          <w:sz w:val="24"/>
          <w:szCs w:val="24"/>
        </w:rPr>
        <w:t xml:space="preserve"> </w:t>
      </w:r>
      <w:r>
        <w:rPr>
          <w:rFonts w:ascii="Times New Roman" w:hAnsi="Times New Roman"/>
          <w:sz w:val="24"/>
          <w:szCs w:val="24"/>
        </w:rPr>
        <w:t xml:space="preserve">Oetzel, J. G., &amp; Ting-Toomey, S. (2003) </w:t>
      </w:r>
      <w:r>
        <w:rPr>
          <w:rFonts w:ascii="Times New Roman" w:hAnsi="Times New Roman"/>
          <w:i/>
          <w:iCs/>
          <w:sz w:val="24"/>
          <w:szCs w:val="24"/>
        </w:rPr>
        <w:t>Face concerns in interpersonal conflict: A cross-cultural empirical test of the face negotiation theory</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Communication Research, 30(6), pp.599-624.</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[14]</w:t>
      </w:r>
      <w:r>
        <w:rPr>
          <w:rFonts w:hint="eastAsia" w:ascii="Times New Roman" w:hAnsi="Times New Roman"/>
          <w:sz w:val="24"/>
          <w:szCs w:val="24"/>
        </w:rPr>
        <w:t xml:space="preserve"> </w:t>
      </w:r>
      <w:r>
        <w:rPr>
          <w:rFonts w:ascii="Times New Roman" w:hAnsi="Times New Roman"/>
          <w:sz w:val="24"/>
          <w:szCs w:val="24"/>
        </w:rPr>
        <w:t xml:space="preserve">Jia, L., &amp; Syed, J. (2016) </w:t>
      </w:r>
      <w:r>
        <w:rPr>
          <w:rFonts w:ascii="Times New Roman" w:hAnsi="Times New Roman"/>
          <w:i/>
          <w:iCs/>
          <w:sz w:val="24"/>
          <w:szCs w:val="24"/>
        </w:rPr>
        <w:t>Globalization, culture, and branding: How to leverage cultural equity for building iconic brands in the era of globalization</w:t>
      </w:r>
      <w:r>
        <w:rPr>
          <w:rFonts w:ascii="Times New Roman" w:hAnsi="Times New Roman"/>
          <w:sz w:val="24"/>
          <w:szCs w:val="24"/>
        </w:rPr>
        <w:t>.</w:t>
      </w:r>
      <w:r>
        <w:rPr>
          <w:rFonts w:ascii="Segoe UI" w:hAnsi="Segoe UI" w:cs="Segoe UI"/>
        </w:rPr>
        <w:t xml:space="preserve"> </w:t>
      </w:r>
      <w:r>
        <w:rPr>
          <w:rFonts w:ascii="Times New Roman" w:hAnsi="Times New Roman"/>
          <w:sz w:val="24"/>
          <w:szCs w:val="24"/>
        </w:rPr>
        <w:t>Global Business and Organizational Excellence, 35(2), pp.47-57.</w:t>
      </w:r>
    </w:p>
    <w:p>
      <w:pPr>
        <w:wordWrap w:val="0"/>
        <w:autoSpaceDE w:val="0"/>
        <w:spacing w:line="360" w:lineRule="auto"/>
        <w:ind w:left="120" w:hanging="120" w:hangingChars="50"/>
        <w:rPr>
          <w:rFonts w:ascii="Times New Roman" w:hAnsi="Times New Roman"/>
          <w:i/>
          <w:iCs/>
          <w:sz w:val="24"/>
          <w:szCs w:val="24"/>
          <w:lang w:val="en-US"/>
        </w:rPr>
      </w:pPr>
      <w:r>
        <w:rPr>
          <w:rFonts w:ascii="Times New Roman" w:hAnsi="Times New Roman"/>
          <w:sz w:val="24"/>
          <w:szCs w:val="24"/>
        </w:rPr>
        <w:t>[15]</w:t>
      </w:r>
      <w:r>
        <w:rPr>
          <w:rFonts w:hint="eastAsia" w:ascii="Times New Roman" w:hAnsi="Times New Roman"/>
          <w:sz w:val="24"/>
          <w:szCs w:val="24"/>
        </w:rPr>
        <w:t xml:space="preserve"> </w:t>
      </w:r>
      <w:r>
        <w:rPr>
          <w:rFonts w:ascii="Times New Roman" w:hAnsi="Times New Roman"/>
          <w:sz w:val="24"/>
          <w:szCs w:val="24"/>
        </w:rPr>
        <w:t>Ruifeng,H.</w:t>
      </w:r>
      <w:r>
        <w:rPr>
          <w:rFonts w:hint="eastAsia" w:ascii="Times New Roman" w:hAnsi="Times New Roman"/>
          <w:sz w:val="24"/>
          <w:szCs w:val="24"/>
        </w:rPr>
        <w:t xml:space="preserve"> </w:t>
      </w:r>
      <w:r>
        <w:rPr>
          <w:rFonts w:ascii="Times New Roman" w:hAnsi="Times New Roman"/>
          <w:sz w:val="24"/>
          <w:szCs w:val="24"/>
        </w:rPr>
        <w:t>(2014)</w:t>
      </w:r>
      <w:r>
        <w:rPr>
          <w:rFonts w:hint="eastAsia" w:ascii="Times New Roman" w:hAnsi="Times New Roman"/>
          <w:sz w:val="24"/>
          <w:szCs w:val="24"/>
        </w:rPr>
        <w:t xml:space="preserve"> </w:t>
      </w:r>
      <w:r>
        <w:rPr>
          <w:rFonts w:ascii="Times New Roman" w:hAnsi="Times New Roman"/>
          <w:i/>
          <w:iCs/>
          <w:sz w:val="24"/>
          <w:szCs w:val="24"/>
          <w:lang w:val="en-US"/>
        </w:rPr>
        <w:t xml:space="preserve">A Study on Intercultural Business Communication Countermeansure ofME Company in Germany </w:t>
      </w:r>
      <w:r>
        <w:rPr>
          <w:rFonts w:ascii="Times New Roman" w:hAnsi="Times New Roman"/>
          <w:sz w:val="24"/>
          <w:szCs w:val="24"/>
        </w:rPr>
        <w:t>[Master’s thesis,</w:t>
      </w:r>
      <w:r>
        <w:t xml:space="preserve"> </w:t>
      </w:r>
      <w:r>
        <w:rPr>
          <w:rFonts w:ascii="Times New Roman" w:hAnsi="Times New Roman"/>
          <w:sz w:val="24"/>
          <w:szCs w:val="24"/>
        </w:rPr>
        <w:t>Zhongnan University of Economics and Law].</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[16]</w:t>
      </w:r>
      <w:r>
        <w:rPr>
          <w:rFonts w:hint="eastAsia" w:ascii="Times New Roman" w:hAnsi="Times New Roman"/>
          <w:sz w:val="24"/>
          <w:szCs w:val="24"/>
        </w:rPr>
        <w:t xml:space="preserve"> </w:t>
      </w:r>
      <w:r>
        <w:rPr>
          <w:rFonts w:ascii="Times New Roman" w:hAnsi="Times New Roman"/>
          <w:sz w:val="24"/>
          <w:szCs w:val="24"/>
        </w:rPr>
        <w:t>Gao, G. (2008)</w:t>
      </w:r>
      <w:r>
        <w:rPr>
          <w:rFonts w:ascii="Segoe UI" w:hAnsi="Segoe UI" w:cs="Segoe UI"/>
        </w:rPr>
        <w:t xml:space="preserve"> </w:t>
      </w:r>
      <w:r>
        <w:rPr>
          <w:rFonts w:ascii="Times New Roman" w:hAnsi="Times New Roman"/>
          <w:i/>
          <w:iCs/>
          <w:sz w:val="24"/>
          <w:szCs w:val="24"/>
        </w:rPr>
        <w:t>Intercultural communication in global business: An analysis of benefits and challenges.</w:t>
      </w:r>
      <w:r>
        <w:rPr>
          <w:rFonts w:ascii="Segoe UI" w:hAnsi="Segoe UI" w:cs="Segoe UI"/>
        </w:rPr>
        <w:t xml:space="preserve"> </w:t>
      </w:r>
      <w:r>
        <w:rPr>
          <w:rFonts w:ascii="Times New Roman" w:hAnsi="Times New Roman"/>
          <w:sz w:val="24"/>
          <w:szCs w:val="24"/>
        </w:rPr>
        <w:t>Global Business Languages, 13, pp.54-70.</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[17]</w:t>
      </w:r>
      <w:r>
        <w:rPr>
          <w:rFonts w:hint="eastAsia" w:ascii="Times New Roman" w:hAnsi="Times New Roman"/>
          <w:sz w:val="24"/>
          <w:szCs w:val="24"/>
        </w:rPr>
        <w:t xml:space="preserve"> </w:t>
      </w:r>
      <w:r>
        <w:rPr>
          <w:rFonts w:ascii="Times New Roman" w:hAnsi="Times New Roman"/>
          <w:sz w:val="24"/>
          <w:szCs w:val="24"/>
        </w:rPr>
        <w:t>Scott, M. B., &amp; Solomon, O. (2012)</w:t>
      </w:r>
      <w:r>
        <w:rPr>
          <w:rFonts w:ascii="Segoe UI" w:hAnsi="Segoe UI" w:cs="Segoe UI"/>
        </w:rPr>
        <w:t xml:space="preserve"> </w:t>
      </w:r>
      <w:r>
        <w:rPr>
          <w:rFonts w:ascii="Times New Roman" w:hAnsi="Times New Roman"/>
          <w:i/>
          <w:iCs/>
          <w:sz w:val="24"/>
          <w:szCs w:val="24"/>
        </w:rPr>
        <w:t>Meaningful multiculturalism: Interpreting children's multicultural literature in the primary grades.</w:t>
      </w:r>
      <w:r>
        <w:rPr>
          <w:rFonts w:ascii="Times New Roman" w:hAnsi="Times New Roman" w:cs="Times New Roman"/>
        </w:rPr>
        <w:t xml:space="preserve"> </w:t>
      </w:r>
      <w:r>
        <w:rPr>
          <w:rFonts w:ascii="Times New Roman" w:hAnsi="Times New Roman" w:cs="Times New Roman"/>
          <w:sz w:val="24"/>
          <w:szCs w:val="24"/>
        </w:rPr>
        <w:t>Teachers College Press</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[18]</w:t>
      </w:r>
      <w:r>
        <w:rPr>
          <w:rFonts w:hint="eastAsia" w:ascii="Times New Roman" w:hAnsi="Times New Roman"/>
          <w:sz w:val="24"/>
          <w:szCs w:val="24"/>
        </w:rPr>
        <w:t xml:space="preserve"> </w:t>
      </w:r>
      <w:r>
        <w:rPr>
          <w:rFonts w:ascii="Times New Roman" w:hAnsi="Times New Roman"/>
          <w:sz w:val="24"/>
          <w:szCs w:val="24"/>
        </w:rPr>
        <w:t>Jackson, T. (2018)</w:t>
      </w:r>
      <w:r>
        <w:rPr>
          <w:rFonts w:ascii="Segoe UI" w:hAnsi="Segoe UI" w:cs="Segoe UI"/>
        </w:rPr>
        <w:t xml:space="preserve"> </w:t>
      </w:r>
      <w:r>
        <w:rPr>
          <w:rFonts w:ascii="Segoe UI" w:hAnsi="Segoe UI" w:cs="Segoe UI"/>
          <w:i/>
          <w:iCs/>
        </w:rPr>
        <w:t>I</w:t>
      </w:r>
      <w:r>
        <w:rPr>
          <w:rFonts w:ascii="Times New Roman" w:hAnsi="Times New Roman"/>
          <w:i/>
          <w:iCs/>
          <w:sz w:val="24"/>
          <w:szCs w:val="24"/>
        </w:rPr>
        <w:t>nternational relations: The key concepts.</w:t>
      </w:r>
      <w:r>
        <w:rPr>
          <w:rFonts w:ascii="Segoe UI" w:hAnsi="Segoe UI" w:cs="Segoe UI"/>
        </w:rPr>
        <w:t xml:space="preserve"> </w:t>
      </w:r>
      <w:r>
        <w:rPr>
          <w:rFonts w:ascii="Times New Roman" w:hAnsi="Times New Roman"/>
          <w:sz w:val="24"/>
          <w:szCs w:val="24"/>
        </w:rPr>
        <w:t>Routledge.</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[19]</w:t>
      </w:r>
      <w:r>
        <w:rPr>
          <w:rFonts w:hint="eastAsia" w:ascii="Times New Roman" w:hAnsi="Times New Roman"/>
          <w:sz w:val="24"/>
          <w:szCs w:val="24"/>
        </w:rPr>
        <w:t xml:space="preserve"> </w:t>
      </w:r>
      <w:r>
        <w:rPr>
          <w:rFonts w:ascii="Times New Roman" w:hAnsi="Times New Roman"/>
          <w:sz w:val="24"/>
          <w:szCs w:val="24"/>
        </w:rPr>
        <w:t>Katan, D. (2004)</w:t>
      </w:r>
      <w:r>
        <w:rPr>
          <w:rFonts w:ascii="Segoe UI" w:hAnsi="Segoe UI" w:cs="Segoe UI"/>
        </w:rPr>
        <w:t xml:space="preserve"> </w:t>
      </w:r>
      <w:r>
        <w:rPr>
          <w:rFonts w:ascii="Times New Roman" w:hAnsi="Times New Roman"/>
          <w:i/>
          <w:iCs/>
          <w:sz w:val="24"/>
          <w:szCs w:val="24"/>
        </w:rPr>
        <w:t>Translating cultures: An introduction for translators, interpreters and mediators.</w:t>
      </w:r>
      <w:r>
        <w:rPr>
          <w:rFonts w:ascii="Segoe UI" w:hAnsi="Segoe UI" w:cs="Segoe UI"/>
        </w:rPr>
        <w:t xml:space="preserve"> </w:t>
      </w:r>
      <w:r>
        <w:rPr>
          <w:rFonts w:ascii="Times New Roman" w:hAnsi="Times New Roman"/>
          <w:sz w:val="24"/>
          <w:szCs w:val="24"/>
        </w:rPr>
        <w:t>St. Jerome Publishing</w:t>
      </w:r>
      <w:r>
        <w:rPr>
          <w:rFonts w:ascii="Times New Roman" w:hAnsi="Times New Roman"/>
          <w:i/>
          <w:iCs/>
          <w:sz w:val="24"/>
          <w:szCs w:val="24"/>
        </w:rPr>
        <w:t>.</w:t>
      </w:r>
    </w:p>
    <w:p>
      <w:pPr>
        <w:wordWrap w:val="0"/>
        <w:autoSpaceDE w:val="0"/>
        <w:spacing w:line="360" w:lineRule="auto"/>
        <w:rPr>
          <w:rFonts w:ascii="Times New Roman" w:hAnsi="Times New Roman"/>
          <w:sz w:val="24"/>
          <w:szCs w:val="24"/>
        </w:rPr>
      </w:pPr>
      <w:r>
        <w:rPr>
          <w:rFonts w:ascii="Times New Roman" w:hAnsi="Times New Roman"/>
          <w:sz w:val="24"/>
          <w:szCs w:val="24"/>
        </w:rPr>
        <w:t>[20]</w:t>
      </w:r>
      <w:r>
        <w:rPr>
          <w:rFonts w:hint="eastAsia" w:ascii="Times New Roman" w:hAnsi="Times New Roman"/>
          <w:sz w:val="24"/>
          <w:szCs w:val="24"/>
        </w:rPr>
        <w:t xml:space="preserve"> </w:t>
      </w:r>
      <w:r>
        <w:rPr>
          <w:rFonts w:ascii="Times New Roman" w:hAnsi="Times New Roman"/>
          <w:sz w:val="24"/>
          <w:szCs w:val="24"/>
        </w:rPr>
        <w:t>Fredrickson, B. L. (2001)</w:t>
      </w:r>
      <w:r>
        <w:rPr>
          <w:rFonts w:ascii="Segoe UI" w:hAnsi="Segoe UI" w:cs="Segoe UI"/>
        </w:rPr>
        <w:t xml:space="preserve"> </w:t>
      </w:r>
      <w:r>
        <w:rPr>
          <w:rFonts w:ascii="Times New Roman" w:hAnsi="Times New Roman"/>
          <w:i/>
          <w:iCs/>
          <w:sz w:val="24"/>
          <w:szCs w:val="24"/>
        </w:rPr>
        <w:t>The role of positive emotions in positive psychology: The broaden-and-build theory of positive emotions.</w:t>
      </w:r>
      <w:r>
        <w:rPr>
          <w:rFonts w:ascii="Segoe UI" w:hAnsi="Segoe UI" w:cs="Segoe UI"/>
        </w:rPr>
        <w:t xml:space="preserve"> </w:t>
      </w:r>
      <w:r>
        <w:rPr>
          <w:rFonts w:ascii="Times New Roman" w:hAnsi="Times New Roman"/>
          <w:sz w:val="24"/>
          <w:szCs w:val="24"/>
        </w:rPr>
        <w:t>American Psychologist, 56(3), pp.218.</w:t>
      </w:r>
    </w:p>
    <w:p>
      <w:pPr>
        <w:wordWrap w:val="0"/>
        <w:autoSpaceDE w:val="0"/>
        <w:spacing w:line="360" w:lineRule="auto"/>
        <w:rPr>
          <w:rFonts w:ascii="Times New Roman" w:hAnsi="Times New Roman"/>
          <w:lang w:val="en-US"/>
        </w:rPr>
      </w:pPr>
      <w:r>
        <w:rPr>
          <w:rFonts w:ascii="Times New Roman" w:hAnsi="Times New Roman"/>
          <w:sz w:val="24"/>
          <w:szCs w:val="24"/>
          <w:lang w:val="en-US"/>
        </w:rPr>
        <w:t>.</w:t>
      </w:r>
      <w:r>
        <w:rPr>
          <w:rFonts w:ascii="Times New Roman" w:hAnsi="Times New Roman"/>
          <w:sz w:val="24"/>
          <w:szCs w:val="24"/>
        </w:rPr>
        <w:t>[21]</w:t>
      </w:r>
      <w:r>
        <w:rPr>
          <w:rFonts w:hint="eastAsia" w:ascii="Times New Roman" w:hAnsi="Times New Roman"/>
          <w:sz w:val="24"/>
          <w:szCs w:val="24"/>
        </w:rPr>
        <w:t xml:space="preserve"> </w:t>
      </w:r>
      <w:r>
        <w:rPr>
          <w:rFonts w:ascii="Times New Roman" w:hAnsi="Times New Roman"/>
          <w:sz w:val="24"/>
          <w:szCs w:val="24"/>
        </w:rPr>
        <w:t xml:space="preserve">Trompenaars, F., &amp; Hampden-Turner, C. (1997). </w:t>
      </w:r>
      <w:r>
        <w:rPr>
          <w:rFonts w:ascii="Times New Roman" w:hAnsi="Times New Roman"/>
          <w:i/>
          <w:iCs/>
          <w:sz w:val="24"/>
          <w:szCs w:val="24"/>
        </w:rPr>
        <w:t>Riding the waves of culture: Understanding diversity in global business.</w:t>
      </w:r>
      <w:r>
        <w:rPr>
          <w:rFonts w:ascii="Times New Roman" w:hAnsi="Times New Roman"/>
          <w:sz w:val="24"/>
          <w:szCs w:val="24"/>
        </w:rPr>
        <w:t xml:space="preserve"> Nicholas Brealey Publishing.</w:t>
      </w:r>
    </w:p>
    <w:p>
      <w:pPr>
        <w:wordWrap w:val="0"/>
        <w:autoSpaceDE w:val="0"/>
        <w:spacing w:line="360" w:lineRule="auto"/>
        <w:rPr>
          <w:rFonts w:ascii="Times New Roman" w:hAnsi="Times New Roman"/>
          <w:sz w:val="24"/>
          <w:szCs w:val="24"/>
        </w:rPr>
      </w:pPr>
      <w:r>
        <w:rPr>
          <w:rFonts w:ascii="Times New Roman" w:hAnsi="Times New Roman"/>
          <w:sz w:val="24"/>
          <w:szCs w:val="24"/>
        </w:rPr>
        <w:t>[22]</w:t>
      </w:r>
      <w:r>
        <w:rPr>
          <w:rFonts w:hint="eastAsia" w:ascii="Times New Roman" w:hAnsi="Times New Roman"/>
          <w:sz w:val="24"/>
          <w:szCs w:val="24"/>
        </w:rPr>
        <w:t xml:space="preserve"> </w:t>
      </w:r>
      <w:r>
        <w:rPr>
          <w:rFonts w:ascii="Times New Roman" w:hAnsi="Times New Roman"/>
          <w:sz w:val="24"/>
          <w:szCs w:val="24"/>
        </w:rPr>
        <w:t xml:space="preserve">Hall, E. T. (1976). </w:t>
      </w:r>
      <w:r>
        <w:rPr>
          <w:rFonts w:ascii="Times New Roman" w:hAnsi="Times New Roman"/>
          <w:i/>
          <w:iCs/>
          <w:sz w:val="24"/>
          <w:szCs w:val="24"/>
        </w:rPr>
        <w:t>Beyond Culture.</w:t>
      </w:r>
      <w:r>
        <w:rPr>
          <w:rFonts w:ascii="Times New Roman" w:hAnsi="Times New Roman"/>
          <w:sz w:val="24"/>
          <w:szCs w:val="24"/>
        </w:rPr>
        <w:t xml:space="preserve"> Anchor.</w:t>
      </w:r>
    </w:p>
    <w:p>
      <w:pPr>
        <w:wordWrap w:val="0"/>
        <w:autoSpaceDE w:val="0"/>
        <w:spacing w:line="360" w:lineRule="auto"/>
        <w:rPr>
          <w:rFonts w:ascii="Times New Roman" w:hAnsi="Times New Roman"/>
          <w:lang w:val="en-US"/>
        </w:rPr>
      </w:pPr>
      <w:r>
        <w:rPr>
          <w:rFonts w:ascii="Times New Roman" w:hAnsi="Times New Roman"/>
          <w:sz w:val="24"/>
          <w:szCs w:val="24"/>
        </w:rPr>
        <w:t>[23]</w:t>
      </w:r>
      <w:r>
        <w:rPr>
          <w:rFonts w:hint="eastAsia" w:ascii="Times New Roman" w:hAnsi="Times New Roman"/>
          <w:sz w:val="24"/>
          <w:szCs w:val="24"/>
        </w:rPr>
        <w:t xml:space="preserve"> </w:t>
      </w:r>
      <w:r>
        <w:rPr>
          <w:rFonts w:ascii="Times New Roman" w:hAnsi="Times New Roman"/>
          <w:sz w:val="24"/>
          <w:szCs w:val="24"/>
          <w:lang w:val="en-US"/>
        </w:rPr>
        <w:t xml:space="preserve">Shapiro, D. L., Dunbar, R. L., &amp; Toma, G. (2015). </w:t>
      </w:r>
      <w:r>
        <w:rPr>
          <w:rFonts w:ascii="Times New Roman" w:hAnsi="Times New Roman"/>
          <w:i/>
          <w:iCs/>
          <w:sz w:val="24"/>
          <w:szCs w:val="24"/>
          <w:lang w:val="en-US"/>
        </w:rPr>
        <w:t>When is it trust? Conceptualizing trust in business relationships.</w:t>
      </w:r>
      <w:r>
        <w:rPr>
          <w:rFonts w:ascii="Times New Roman" w:hAnsi="Times New Roman"/>
          <w:sz w:val="24"/>
          <w:szCs w:val="24"/>
          <w:lang w:val="en-US"/>
        </w:rPr>
        <w:t xml:space="preserve"> Journal of Management, 41(1), 266-298.</w:t>
      </w:r>
    </w:p>
    <w:p>
      <w:pPr>
        <w:wordWrap w:val="0"/>
        <w:autoSpaceDE w:val="0"/>
        <w:spacing w:line="360" w:lineRule="auto"/>
        <w:rPr>
          <w:rFonts w:ascii="Times New Roman" w:hAnsi="Times New Roman"/>
          <w:sz w:val="24"/>
          <w:szCs w:val="24"/>
        </w:rPr>
      </w:pPr>
      <w:r>
        <w:rPr>
          <w:rFonts w:ascii="Times New Roman" w:hAnsi="Times New Roman"/>
          <w:sz w:val="24"/>
          <w:szCs w:val="24"/>
        </w:rPr>
        <w:t>[24]</w:t>
      </w:r>
      <w:r>
        <w:rPr>
          <w:rFonts w:hint="eastAsia" w:ascii="Times New Roman" w:hAnsi="Times New Roman"/>
          <w:sz w:val="24"/>
          <w:szCs w:val="24"/>
        </w:rPr>
        <w:t xml:space="preserve"> Cong</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(2013)</w:t>
      </w:r>
      <w:r>
        <w:rPr>
          <w:rFonts w:hint="eastAsia" w:ascii="Times New Roman" w:hAnsi="Times New Roman"/>
          <w:sz w:val="24"/>
          <w:szCs w:val="24"/>
        </w:rPr>
        <w:t xml:space="preserve"> </w:t>
      </w:r>
      <w:r>
        <w:rPr>
          <w:rFonts w:ascii="Times New Roman" w:hAnsi="Times New Roman"/>
          <w:i/>
          <w:iCs/>
          <w:sz w:val="24"/>
          <w:szCs w:val="24"/>
        </w:rPr>
        <w:t>A pragmatic study of address forms in cross-cultural business communications</w:t>
      </w:r>
      <w:r>
        <w:rPr>
          <w:rFonts w:ascii="Times New Roman" w:hAnsi="Times New Roman"/>
          <w:sz w:val="24"/>
          <w:szCs w:val="24"/>
        </w:rPr>
        <w:t>[Master’s thesis,</w:t>
      </w:r>
      <w:r>
        <w:t xml:space="preserve"> </w:t>
      </w:r>
      <w:r>
        <w:rPr>
          <w:rFonts w:ascii="Times New Roman" w:hAnsi="Times New Roman"/>
          <w:sz w:val="24"/>
          <w:szCs w:val="24"/>
        </w:rPr>
        <w:t>Dongbei University of Finance and Economics].</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rPr>
      </w:pPr>
      <w:r>
        <w:rPr>
          <w:rFonts w:ascii="Times New Roman" w:hAnsi="Times New Roman"/>
          <w:sz w:val="24"/>
          <w:szCs w:val="24"/>
        </w:rPr>
        <w:t>[25]</w:t>
      </w:r>
      <w:r>
        <w:rPr>
          <w:rFonts w:hint="eastAsia" w:ascii="Times New Roman" w:hAnsi="Times New Roman"/>
          <w:sz w:val="24"/>
          <w:szCs w:val="24"/>
        </w:rPr>
        <w:t xml:space="preserve"> Min</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(2005)</w:t>
      </w:r>
      <w:r>
        <w:rPr>
          <w:rFonts w:hint="eastAsia" w:ascii="Times New Roman" w:hAnsi="Times New Roman"/>
          <w:sz w:val="24"/>
          <w:szCs w:val="24"/>
        </w:rPr>
        <w:t xml:space="preserve"> </w:t>
      </w:r>
      <w:r>
        <w:rPr>
          <w:rFonts w:ascii="Times New Roman" w:hAnsi="Times New Roman"/>
          <w:i/>
          <w:iCs/>
          <w:sz w:val="24"/>
          <w:szCs w:val="24"/>
          <w:lang w:val="en-US"/>
        </w:rPr>
        <w:t>Nonverbal Pragmatic Failure in Intercultural Business Communication</w:t>
      </w:r>
      <w:r>
        <w:rPr>
          <w:rFonts w:ascii="Times New Roman" w:hAnsi="Times New Roman"/>
          <w:sz w:val="24"/>
          <w:szCs w:val="24"/>
        </w:rPr>
        <w:t xml:space="preserve"> [Master’s thesis,</w:t>
      </w:r>
      <w:r>
        <w:t xml:space="preserve"> </w:t>
      </w:r>
      <w:r>
        <w:rPr>
          <w:rFonts w:ascii="Times New Roman" w:hAnsi="Times New Roman"/>
          <w:sz w:val="24"/>
          <w:szCs w:val="24"/>
        </w:rPr>
        <w:t>Southwestern University of Finance and Economics].</w:t>
      </w:r>
      <w:r>
        <w:rPr>
          <w:rFonts w:hint="eastAsia" w:ascii="Times New Roman" w:hAnsi="Times New Roman"/>
          <w:sz w:val="24"/>
          <w:szCs w:val="24"/>
        </w:rPr>
        <w:t xml:space="preserve"> CNKI</w:t>
      </w:r>
      <w:r>
        <w:rPr>
          <w:rFonts w:ascii="Times New Roman" w:hAnsi="Times New Roman"/>
          <w:sz w:val="24"/>
          <w:szCs w:val="24"/>
        </w:rPr>
        <w:t>.</w:t>
      </w:r>
    </w:p>
    <w:p>
      <w:pPr>
        <w:wordWrap w:val="0"/>
        <w:autoSpaceDE w:val="0"/>
        <w:spacing w:line="360" w:lineRule="auto"/>
        <w:rPr>
          <w:rFonts w:ascii="Times New Roman" w:hAnsi="Times New Roman"/>
          <w:sz w:val="24"/>
          <w:szCs w:val="24"/>
          <w:lang w:val="en-US"/>
        </w:rPr>
      </w:pPr>
      <w:r>
        <w:rPr>
          <w:rFonts w:ascii="Times New Roman" w:hAnsi="Times New Roman"/>
          <w:sz w:val="24"/>
          <w:szCs w:val="24"/>
        </w:rPr>
        <w:t>[26]</w:t>
      </w:r>
      <w:r>
        <w:rPr>
          <w:rFonts w:hint="eastAsia" w:ascii="Times New Roman" w:hAnsi="Times New Roman"/>
          <w:sz w:val="24"/>
          <w:szCs w:val="24"/>
        </w:rPr>
        <w:t xml:space="preserve"> ChenXi</w:t>
      </w:r>
      <w:r>
        <w:rPr>
          <w:rFonts w:ascii="Times New Roman" w:hAnsi="Times New Roman"/>
          <w:sz w:val="24"/>
          <w:szCs w:val="24"/>
        </w:rPr>
        <w:t>,Z.</w:t>
      </w:r>
      <w:r>
        <w:rPr>
          <w:rFonts w:hint="eastAsia" w:ascii="Times New Roman" w:hAnsi="Times New Roman"/>
          <w:sz w:val="24"/>
          <w:szCs w:val="24"/>
        </w:rPr>
        <w:t xml:space="preserve"> </w:t>
      </w:r>
      <w:r>
        <w:rPr>
          <w:rFonts w:ascii="Times New Roman" w:hAnsi="Times New Roman"/>
          <w:sz w:val="24"/>
          <w:szCs w:val="24"/>
        </w:rPr>
        <w:t>(2007)</w:t>
      </w:r>
      <w:r>
        <w:rPr>
          <w:rFonts w:hint="eastAsia" w:ascii="Times New Roman" w:hAnsi="Times New Roman"/>
          <w:sz w:val="24"/>
          <w:szCs w:val="24"/>
        </w:rPr>
        <w:t xml:space="preserve"> </w:t>
      </w:r>
      <w:r>
        <w:rPr>
          <w:rFonts w:ascii="Times New Roman" w:hAnsi="Times New Roman"/>
          <w:i/>
          <w:iCs/>
          <w:sz w:val="24"/>
          <w:szCs w:val="24"/>
          <w:lang w:val="en-US"/>
        </w:rPr>
        <w:t>STUDY ON BUSINESS COMMUNICATION STRATEGIES</w:t>
      </w:r>
      <w:r>
        <w:rPr>
          <w:rFonts w:ascii="Times New Roman" w:hAnsi="Times New Roman"/>
          <w:b/>
          <w:bCs/>
          <w:sz w:val="24"/>
          <w:szCs w:val="24"/>
          <w:lang w:val="en-US"/>
        </w:rPr>
        <w:t xml:space="preserve"> </w:t>
      </w:r>
      <w:r>
        <w:rPr>
          <w:rFonts w:ascii="Times New Roman" w:hAnsi="Times New Roman"/>
          <w:sz w:val="24"/>
          <w:szCs w:val="24"/>
        </w:rPr>
        <w:t>[Master’s thesis,</w:t>
      </w:r>
      <w:r>
        <w:t xml:space="preserve"> </w:t>
      </w:r>
      <w:r>
        <w:rPr>
          <w:rFonts w:ascii="Times New Roman" w:hAnsi="Times New Roman"/>
          <w:sz w:val="24"/>
          <w:szCs w:val="24"/>
        </w:rPr>
        <w:t>Beijing industry university].</w:t>
      </w:r>
      <w:r>
        <w:rPr>
          <w:rFonts w:hint="eastAsia" w:ascii="Times New Roman" w:hAnsi="Times New Roman"/>
          <w:sz w:val="24"/>
          <w:szCs w:val="24"/>
        </w:rPr>
        <w:t xml:space="preserve"> CNKI</w:t>
      </w:r>
      <w:r>
        <w:rPr>
          <w:rFonts w:ascii="Times New Roman" w:hAnsi="Times New Roman"/>
          <w:sz w:val="24"/>
          <w:szCs w:val="24"/>
        </w:rPr>
        <w:t>.</w:t>
      </w:r>
    </w:p>
    <w:p/>
    <w:p/>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汉仪雅酷黑 75W">
    <w:altName w:val="黑体"/>
    <w:panose1 w:val="020B0804020202020204"/>
    <w:charset w:val="86"/>
    <w:family w:val="auto"/>
    <w:pitch w:val="default"/>
    <w:sig w:usb0="00000000" w:usb1="00000000" w:usb2="00000016" w:usb3="00000000" w:csb0="2004000F" w:csb1="00000000"/>
  </w:font>
  <w:font w:name="Segoe UI">
    <w:panose1 w:val="020B0502040204020203"/>
    <w:charset w:val="00"/>
    <w:family w:val="swiss"/>
    <w:pitch w:val="default"/>
    <w:sig w:usb0="E4002EFF" w:usb1="C000E47F"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QwNTIzMmYyMjk0MGRiN2Q5MTA2NjVlY2ZiNGEwNmYifQ=="/>
  </w:docVars>
  <w:rsids>
    <w:rsidRoot w:val="00571F12"/>
    <w:rsid w:val="00005625"/>
    <w:rsid w:val="00102068"/>
    <w:rsid w:val="00130F0E"/>
    <w:rsid w:val="001652C1"/>
    <w:rsid w:val="001C2B84"/>
    <w:rsid w:val="001D4B4C"/>
    <w:rsid w:val="0021432F"/>
    <w:rsid w:val="00280214"/>
    <w:rsid w:val="002C1183"/>
    <w:rsid w:val="00390E8A"/>
    <w:rsid w:val="003E60D4"/>
    <w:rsid w:val="004A4D45"/>
    <w:rsid w:val="00571F12"/>
    <w:rsid w:val="005E7A06"/>
    <w:rsid w:val="00605D72"/>
    <w:rsid w:val="006E0DDD"/>
    <w:rsid w:val="00706232"/>
    <w:rsid w:val="007C4355"/>
    <w:rsid w:val="00874E4B"/>
    <w:rsid w:val="008F5059"/>
    <w:rsid w:val="00905F82"/>
    <w:rsid w:val="009A527D"/>
    <w:rsid w:val="00A44E27"/>
    <w:rsid w:val="00A84103"/>
    <w:rsid w:val="00A85BB5"/>
    <w:rsid w:val="00AA0209"/>
    <w:rsid w:val="00AC0B05"/>
    <w:rsid w:val="00B75675"/>
    <w:rsid w:val="00B86E1B"/>
    <w:rsid w:val="00C06C76"/>
    <w:rsid w:val="00C409A6"/>
    <w:rsid w:val="00C86847"/>
    <w:rsid w:val="00D53F15"/>
    <w:rsid w:val="00D86589"/>
    <w:rsid w:val="00DD4B29"/>
    <w:rsid w:val="00E30040"/>
    <w:rsid w:val="00E434A2"/>
    <w:rsid w:val="00EB7438"/>
    <w:rsid w:val="00F81595"/>
    <w:rsid w:val="00FC27CF"/>
    <w:rsid w:val="00FE609C"/>
    <w:rsid w:val="01995B0E"/>
    <w:rsid w:val="04045B76"/>
    <w:rsid w:val="110C66BE"/>
    <w:rsid w:val="18041ADC"/>
    <w:rsid w:val="19377C8F"/>
    <w:rsid w:val="33E505BB"/>
    <w:rsid w:val="39FA384C"/>
    <w:rsid w:val="3BB54D17"/>
    <w:rsid w:val="4426309D"/>
    <w:rsid w:val="4689127A"/>
    <w:rsid w:val="511E4CB5"/>
    <w:rsid w:val="53FEF0C5"/>
    <w:rsid w:val="5C180C7F"/>
    <w:rsid w:val="5D7E0FB5"/>
    <w:rsid w:val="6A2C121C"/>
    <w:rsid w:val="7B0F7299"/>
    <w:rsid w:val="DD7F89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unhideWhenUsed="0" w:uiPriority="0" w:semiHidden="0" w:name="toc 8"/>
    <w:lsdException w:qFormat="1"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styleId="2">
    <w:name w:val="heading 1"/>
    <w:basedOn w:val="1"/>
    <w:next w:val="1"/>
    <w:link w:val="21"/>
    <w:qFormat/>
    <w:uiPriority w:val="0"/>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paragraph" w:styleId="3">
    <w:name w:val="heading 2"/>
    <w:basedOn w:val="1"/>
    <w:next w:val="1"/>
    <w:link w:val="23"/>
    <w:semiHidden/>
    <w:unhideWhenUsed/>
    <w:qFormat/>
    <w:uiPriority w:val="0"/>
    <w:pPr>
      <w:keepNext/>
      <w:keepLines/>
      <w:spacing w:before="260" w:after="260" w:line="240" w:lineRule="auto"/>
      <w:outlineLvl w:val="1"/>
    </w:pPr>
    <w:rPr>
      <w:rFonts w:ascii="Times New Roman" w:hAnsi="Times New Roman" w:eastAsiaTheme="majorEastAsia" w:cstheme="majorBidi"/>
      <w:b/>
      <w:bCs/>
      <w:sz w:val="24"/>
      <w:szCs w:val="32"/>
    </w:rPr>
  </w:style>
  <w:style w:type="character" w:default="1" w:styleId="15">
    <w:name w:val="Default Paragraph Font"/>
    <w:semiHidden/>
    <w:qFormat/>
    <w:uiPriority w:val="0"/>
  </w:style>
  <w:style w:type="table" w:default="1" w:styleId="14">
    <w:name w:val="Normal Table"/>
    <w:semiHidden/>
    <w:qFormat/>
    <w:uiPriority w:val="0"/>
    <w:tblPr>
      <w:tblCellMar>
        <w:top w:w="0" w:type="dxa"/>
        <w:left w:w="108" w:type="dxa"/>
        <w:bottom w:w="0" w:type="dxa"/>
        <w:right w:w="108" w:type="dxa"/>
      </w:tblCellMar>
    </w:tblPr>
  </w:style>
  <w:style w:type="paragraph" w:styleId="4">
    <w:name w:val="toc 7"/>
    <w:basedOn w:val="1"/>
    <w:next w:val="1"/>
    <w:qFormat/>
    <w:uiPriority w:val="0"/>
    <w:pPr>
      <w:spacing w:after="0"/>
      <w:ind w:left="1320"/>
    </w:pPr>
    <w:rPr>
      <w:rFonts w:cstheme="minorHAnsi"/>
      <w:sz w:val="20"/>
      <w:szCs w:val="20"/>
    </w:rPr>
  </w:style>
  <w:style w:type="paragraph" w:styleId="5">
    <w:name w:val="toc 5"/>
    <w:basedOn w:val="1"/>
    <w:next w:val="1"/>
    <w:qFormat/>
    <w:uiPriority w:val="0"/>
    <w:pPr>
      <w:spacing w:after="0"/>
      <w:ind w:left="880"/>
    </w:pPr>
    <w:rPr>
      <w:rFonts w:cstheme="minorHAnsi"/>
      <w:sz w:val="20"/>
      <w:szCs w:val="20"/>
    </w:rPr>
  </w:style>
  <w:style w:type="paragraph" w:styleId="6">
    <w:name w:val="toc 3"/>
    <w:basedOn w:val="1"/>
    <w:next w:val="1"/>
    <w:qFormat/>
    <w:uiPriority w:val="0"/>
    <w:pPr>
      <w:spacing w:after="0"/>
      <w:ind w:left="440"/>
    </w:pPr>
    <w:rPr>
      <w:rFonts w:cstheme="minorHAnsi"/>
      <w:sz w:val="20"/>
      <w:szCs w:val="20"/>
    </w:rPr>
  </w:style>
  <w:style w:type="paragraph" w:styleId="7">
    <w:name w:val="toc 8"/>
    <w:basedOn w:val="1"/>
    <w:next w:val="1"/>
    <w:uiPriority w:val="0"/>
    <w:pPr>
      <w:spacing w:after="0"/>
      <w:ind w:left="1540"/>
    </w:pPr>
    <w:rPr>
      <w:rFonts w:cstheme="minorHAnsi"/>
      <w:sz w:val="20"/>
      <w:szCs w:val="20"/>
    </w:rPr>
  </w:style>
  <w:style w:type="paragraph" w:styleId="8">
    <w:name w:val="toc 1"/>
    <w:basedOn w:val="1"/>
    <w:next w:val="1"/>
    <w:uiPriority w:val="0"/>
    <w:pPr>
      <w:spacing w:before="120" w:after="0"/>
    </w:pPr>
    <w:rPr>
      <w:rFonts w:cstheme="minorHAnsi"/>
      <w:b/>
      <w:bCs/>
      <w:i/>
      <w:iCs/>
      <w:sz w:val="24"/>
      <w:szCs w:val="24"/>
    </w:rPr>
  </w:style>
  <w:style w:type="paragraph" w:styleId="9">
    <w:name w:val="toc 4"/>
    <w:basedOn w:val="1"/>
    <w:next w:val="1"/>
    <w:uiPriority w:val="0"/>
    <w:pPr>
      <w:spacing w:after="0"/>
      <w:ind w:left="660"/>
    </w:pPr>
    <w:rPr>
      <w:rFonts w:cstheme="minorHAnsi"/>
      <w:sz w:val="20"/>
      <w:szCs w:val="20"/>
    </w:rPr>
  </w:style>
  <w:style w:type="paragraph" w:styleId="10">
    <w:name w:val="toc 6"/>
    <w:basedOn w:val="1"/>
    <w:next w:val="1"/>
    <w:qFormat/>
    <w:uiPriority w:val="0"/>
    <w:pPr>
      <w:spacing w:after="0"/>
      <w:ind w:left="1100"/>
    </w:pPr>
    <w:rPr>
      <w:rFonts w:cstheme="minorHAnsi"/>
      <w:sz w:val="20"/>
      <w:szCs w:val="20"/>
    </w:rPr>
  </w:style>
  <w:style w:type="paragraph" w:styleId="11">
    <w:name w:val="toc 2"/>
    <w:basedOn w:val="1"/>
    <w:next w:val="1"/>
    <w:qFormat/>
    <w:uiPriority w:val="0"/>
    <w:pPr>
      <w:spacing w:before="120" w:after="0"/>
      <w:ind w:left="220"/>
    </w:pPr>
    <w:rPr>
      <w:rFonts w:cstheme="minorHAnsi"/>
      <w:b/>
      <w:bCs/>
    </w:rPr>
  </w:style>
  <w:style w:type="paragraph" w:styleId="12">
    <w:name w:val="toc 9"/>
    <w:basedOn w:val="1"/>
    <w:next w:val="1"/>
    <w:qFormat/>
    <w:uiPriority w:val="0"/>
    <w:pPr>
      <w:spacing w:after="0"/>
      <w:ind w:left="1760"/>
    </w:pPr>
    <w:rPr>
      <w:rFonts w:cstheme="minorHAnsi"/>
      <w:sz w:val="20"/>
      <w:szCs w:val="20"/>
    </w:rPr>
  </w:style>
  <w:style w:type="paragraph" w:styleId="13">
    <w:name w:val="Normal (Web)"/>
    <w:basedOn w:val="1"/>
    <w:qFormat/>
    <w:uiPriority w:val="0"/>
    <w:pPr>
      <w:spacing w:before="100" w:beforeAutospacing="1" w:after="100" w:afterAutospacing="1" w:line="240" w:lineRule="auto"/>
    </w:pPr>
    <w:rPr>
      <w:rFonts w:ascii="宋体" w:hAnsi="宋体" w:eastAsia="宋体" w:cs="宋体"/>
      <w:sz w:val="24"/>
      <w:szCs w:val="24"/>
      <w:lang w:val="en-US"/>
    </w:rPr>
  </w:style>
  <w:style w:type="character" w:styleId="16">
    <w:name w:val="Strong"/>
    <w:basedOn w:val="15"/>
    <w:qFormat/>
    <w:uiPriority w:val="0"/>
    <w:rPr>
      <w:b/>
      <w:bCs/>
    </w:rPr>
  </w:style>
  <w:style w:type="character" w:styleId="17">
    <w:name w:val="Emphasis"/>
    <w:basedOn w:val="15"/>
    <w:qFormat/>
    <w:uiPriority w:val="0"/>
    <w:rPr>
      <w:i/>
      <w:iCs/>
    </w:rPr>
  </w:style>
  <w:style w:type="paragraph" w:styleId="18">
    <w:name w:val="No Spacing"/>
    <w:link w:val="19"/>
    <w:qFormat/>
    <w:uiPriority w:val="1"/>
    <w:rPr>
      <w:rFonts w:asciiTheme="minorHAnsi" w:hAnsiTheme="minorHAnsi" w:eastAsiaTheme="minorEastAsia" w:cstheme="minorBidi"/>
      <w:sz w:val="22"/>
      <w:szCs w:val="22"/>
      <w:lang w:val="en-US" w:eastAsia="en-US" w:bidi="ar-SA"/>
    </w:rPr>
  </w:style>
  <w:style w:type="character" w:customStyle="1" w:styleId="19">
    <w:name w:val="无间隔 字符"/>
    <w:basedOn w:val="15"/>
    <w:link w:val="18"/>
    <w:qFormat/>
    <w:uiPriority w:val="1"/>
    <w:rPr>
      <w:lang w:val="en-US" w:eastAsia="en-US"/>
    </w:rPr>
  </w:style>
  <w:style w:type="paragraph" w:styleId="20">
    <w:name w:val="List Paragraph"/>
    <w:basedOn w:val="1"/>
    <w:qFormat/>
    <w:uiPriority w:val="34"/>
    <w:pPr>
      <w:ind w:left="720"/>
      <w:contextualSpacing/>
    </w:pPr>
  </w:style>
  <w:style w:type="character" w:customStyle="1" w:styleId="21">
    <w:name w:val="标题 1 字符"/>
    <w:basedOn w:val="15"/>
    <w:link w:val="2"/>
    <w:qFormat/>
    <w:uiPriority w:val="9"/>
    <w:rPr>
      <w:rFonts w:asciiTheme="majorHAnsi" w:hAnsiTheme="majorHAnsi" w:eastAsiaTheme="majorEastAsia" w:cstheme="majorBidi"/>
      <w:color w:val="2F5597" w:themeColor="accent1" w:themeShade="BF"/>
      <w:sz w:val="32"/>
      <w:szCs w:val="32"/>
    </w:rPr>
  </w:style>
  <w:style w:type="paragraph" w:customStyle="1" w:styleId="22">
    <w:name w:val="TOC 标题1"/>
    <w:basedOn w:val="2"/>
    <w:next w:val="1"/>
    <w:unhideWhenUsed/>
    <w:qFormat/>
    <w:uiPriority w:val="39"/>
    <w:pPr>
      <w:outlineLvl w:val="9"/>
    </w:pPr>
    <w:rPr>
      <w:lang w:val="en-US" w:eastAsia="en-US"/>
    </w:rPr>
  </w:style>
  <w:style w:type="character" w:customStyle="1" w:styleId="23">
    <w:name w:val="标题 2 字符"/>
    <w:basedOn w:val="15"/>
    <w:link w:val="3"/>
    <w:qFormat/>
    <w:uiPriority w:val="9"/>
    <w:rPr>
      <w:rFonts w:ascii="Times New Roman" w:hAnsi="Times New Roman" w:eastAsiaTheme="majorEastAsia" w:cstheme="majorBidi"/>
      <w:b/>
      <w:bCs/>
      <w:sz w:val="24"/>
      <w:szCs w:val="32"/>
      <w:lang w:val="en-GB"/>
    </w:rPr>
  </w:style>
  <w:style w:type="paragraph" w:customStyle="1" w:styleId="24">
    <w:name w:val="TOC Heading"/>
    <w:basedOn w:val="2"/>
    <w:next w:val="1"/>
    <w:unhideWhenUsed/>
    <w:qFormat/>
    <w:uiPriority w:val="39"/>
    <w:pPr>
      <w:spacing w:before="480" w:line="276" w:lineRule="auto"/>
      <w:outlineLvl w:val="9"/>
    </w:pPr>
    <w:rPr>
      <w:b/>
      <w:bCs/>
      <w:sz w:val="28"/>
      <w:szCs w:val="28"/>
      <w:lang w:val="en-US"/>
    </w:rPr>
  </w:style>
  <w:style w:type="paragraph" w:customStyle="1" w:styleId="25">
    <w:name w:val="WPSOffice手动目录 1"/>
    <w:qFormat/>
    <w:uiPriority w:val="0"/>
    <w:pPr>
      <w:ind w:leftChars="0"/>
    </w:pPr>
    <w:rPr>
      <w:rFonts w:asciiTheme="minorHAnsi" w:hAnsiTheme="minorHAnsi" w:eastAsiaTheme="minorEastAsia" w:cstheme="minorBidi"/>
      <w:sz w:val="20"/>
      <w:szCs w:val="20"/>
    </w:rPr>
  </w:style>
  <w:style w:type="paragraph" w:customStyle="1" w:styleId="26">
    <w:name w:val="WPSOffice手动目录 2"/>
    <w:qFormat/>
    <w:uiPriority w:val="0"/>
    <w:pPr>
      <w:ind w:leftChars="2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jpe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sectNamePr val="lengthwise4"/>
      <sectRole val="1"/>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2019-12-12T12:44:00Z</dcterms:created>
  <dc:creator>咕咕</dc:creator>
  <cp:lastModifiedBy>rua</cp:lastModifiedBy>
  <dcterms:modified xsi:type="dcterms:W3CDTF">2023-11-30T23:30:19Z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34C0666889784CABBAB0100630E647A1_13</vt:lpwstr>
  </property>
</Properties>
</file>