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D97D7" w14:textId="77777777" w:rsidR="001C2FAC" w:rsidRDefault="009D5E5E" w:rsidP="009D5E5E">
      <w:pPr>
        <w:spacing w:line="360" w:lineRule="auto"/>
        <w:rPr>
          <w:rFonts w:ascii="Arial" w:hAnsi="Arial" w:cs="Arial"/>
          <w:sz w:val="24"/>
          <w:szCs w:val="24"/>
        </w:rPr>
      </w:pPr>
      <w:r>
        <w:rPr>
          <w:rFonts w:ascii="Arial" w:hAnsi="Arial" w:cs="Arial"/>
          <w:sz w:val="24"/>
          <w:szCs w:val="24"/>
        </w:rPr>
        <w:t>Slide 1</w:t>
      </w:r>
    </w:p>
    <w:p w14:paraId="46F6C6E1" w14:textId="77777777" w:rsidR="009D5E5E" w:rsidRDefault="009D5E5E" w:rsidP="009D5E5E">
      <w:pPr>
        <w:spacing w:line="360" w:lineRule="auto"/>
        <w:rPr>
          <w:rFonts w:ascii="Arial" w:hAnsi="Arial" w:cs="Arial"/>
          <w:sz w:val="24"/>
          <w:szCs w:val="24"/>
        </w:rPr>
      </w:pPr>
    </w:p>
    <w:p w14:paraId="0438934A" w14:textId="6DA304C4" w:rsidR="009D5E5E" w:rsidRDefault="009D5E5E" w:rsidP="009D5E5E">
      <w:pPr>
        <w:spacing w:line="360" w:lineRule="auto"/>
        <w:jc w:val="center"/>
        <w:rPr>
          <w:rFonts w:ascii="Arial" w:hAnsi="Arial" w:cs="Arial"/>
          <w:sz w:val="24"/>
          <w:szCs w:val="24"/>
        </w:rPr>
      </w:pPr>
      <w:r>
        <w:rPr>
          <w:rFonts w:ascii="Arial" w:hAnsi="Arial" w:cs="Arial"/>
          <w:sz w:val="24"/>
          <w:szCs w:val="24"/>
        </w:rPr>
        <w:object w:dxaOrig="14399" w:dyaOrig="8100" w14:anchorId="097720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0pt;height:304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826387395" r:id="rId5"/>
        </w:object>
      </w:r>
    </w:p>
    <w:p w14:paraId="3E9E33D1" w14:textId="77777777" w:rsidR="009D5E5E" w:rsidRDefault="009D5E5E" w:rsidP="009D5E5E">
      <w:pPr>
        <w:spacing w:line="360" w:lineRule="auto"/>
        <w:jc w:val="center"/>
        <w:rPr>
          <w:rFonts w:ascii="Arial" w:hAnsi="Arial" w:cs="Arial"/>
          <w:sz w:val="24"/>
          <w:szCs w:val="24"/>
        </w:rPr>
      </w:pPr>
    </w:p>
    <w:p w14:paraId="0C4F510D" w14:textId="77777777" w:rsidR="009D5E5E" w:rsidRDefault="009D5E5E" w:rsidP="009D5E5E">
      <w:pPr>
        <w:spacing w:line="360" w:lineRule="auto"/>
        <w:rPr>
          <w:rFonts w:ascii="Arial" w:hAnsi="Arial" w:cs="Arial"/>
          <w:sz w:val="24"/>
          <w:szCs w:val="24"/>
        </w:rPr>
      </w:pPr>
    </w:p>
    <w:p w14:paraId="431BA8D7" w14:textId="17290CC3" w:rsidR="009D5E5E" w:rsidRDefault="009D5E5E">
      <w:pPr>
        <w:rPr>
          <w:rFonts w:ascii="Arial" w:hAnsi="Arial" w:cs="Arial"/>
          <w:sz w:val="24"/>
          <w:szCs w:val="24"/>
        </w:rPr>
      </w:pPr>
      <w:r>
        <w:rPr>
          <w:rFonts w:ascii="Arial" w:hAnsi="Arial" w:cs="Arial"/>
          <w:sz w:val="24"/>
          <w:szCs w:val="24"/>
        </w:rPr>
        <w:br w:type="page"/>
      </w:r>
    </w:p>
    <w:p w14:paraId="1CDB415A" w14:textId="2266C921" w:rsidR="009D5E5E" w:rsidRDefault="009D5E5E" w:rsidP="009D5E5E">
      <w:pPr>
        <w:spacing w:line="360" w:lineRule="auto"/>
        <w:rPr>
          <w:rFonts w:ascii="Arial" w:hAnsi="Arial" w:cs="Arial"/>
          <w:sz w:val="24"/>
          <w:szCs w:val="24"/>
        </w:rPr>
      </w:pPr>
      <w:r>
        <w:rPr>
          <w:rFonts w:ascii="Arial" w:hAnsi="Arial" w:cs="Arial"/>
          <w:sz w:val="24"/>
          <w:szCs w:val="24"/>
        </w:rPr>
        <w:lastRenderedPageBreak/>
        <w:t>Slide 2</w:t>
      </w:r>
    </w:p>
    <w:p w14:paraId="6AFECA53" w14:textId="77777777" w:rsidR="009D5E5E" w:rsidRDefault="009D5E5E" w:rsidP="009D5E5E">
      <w:pPr>
        <w:spacing w:line="360" w:lineRule="auto"/>
        <w:rPr>
          <w:rFonts w:ascii="Arial" w:hAnsi="Arial" w:cs="Arial"/>
          <w:sz w:val="24"/>
          <w:szCs w:val="24"/>
        </w:rPr>
      </w:pPr>
    </w:p>
    <w:p w14:paraId="086115D9" w14:textId="51C5477B" w:rsidR="009D5E5E" w:rsidRDefault="009D5E5E" w:rsidP="009D5E5E">
      <w:pPr>
        <w:spacing w:line="360" w:lineRule="auto"/>
        <w:jc w:val="center"/>
        <w:rPr>
          <w:rFonts w:ascii="Arial" w:hAnsi="Arial" w:cs="Arial"/>
          <w:sz w:val="24"/>
          <w:szCs w:val="24"/>
        </w:rPr>
      </w:pPr>
      <w:r>
        <w:rPr>
          <w:rFonts w:ascii="Arial" w:hAnsi="Arial" w:cs="Arial"/>
          <w:sz w:val="24"/>
          <w:szCs w:val="24"/>
        </w:rPr>
        <w:object w:dxaOrig="14399" w:dyaOrig="8100" w14:anchorId="00DCE4CA">
          <v:shape id="_x0000_i1030" type="#_x0000_t75" style="width:347.5pt;height:196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0" DrawAspect="Content" ObjectID="_1826387396" r:id="rId7"/>
        </w:object>
      </w:r>
    </w:p>
    <w:p w14:paraId="4D29E3C8" w14:textId="77777777" w:rsidR="009D5E5E" w:rsidRDefault="009D5E5E" w:rsidP="009D5E5E">
      <w:pPr>
        <w:spacing w:line="360" w:lineRule="auto"/>
        <w:jc w:val="center"/>
        <w:rPr>
          <w:rFonts w:ascii="Arial" w:hAnsi="Arial" w:cs="Arial"/>
          <w:sz w:val="24"/>
          <w:szCs w:val="24"/>
        </w:rPr>
      </w:pPr>
    </w:p>
    <w:p w14:paraId="275352A1"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Outline:</w:t>
      </w:r>
    </w:p>
    <w:p w14:paraId="4295ACCD"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 xml:space="preserve">What will we be doing? – Undertaking a basic bushcraft session, with fire-lighting, woodchopping and, hopefully, some </w:t>
      </w:r>
      <w:proofErr w:type="spellStart"/>
      <w:r>
        <w:rPr>
          <w:rFonts w:ascii="Aptos" w:hAnsi="Aptos" w:cs="Aptos"/>
          <w:kern w:val="24"/>
          <w:sz w:val="24"/>
          <w:szCs w:val="24"/>
        </w:rPr>
        <w:t>s’mores</w:t>
      </w:r>
      <w:proofErr w:type="spellEnd"/>
      <w:r>
        <w:rPr>
          <w:rFonts w:ascii="Aptos" w:hAnsi="Aptos" w:cs="Aptos"/>
          <w:kern w:val="24"/>
          <w:sz w:val="24"/>
          <w:szCs w:val="24"/>
        </w:rPr>
        <w:t>.</w:t>
      </w:r>
    </w:p>
    <w:p w14:paraId="031304CD"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 xml:space="preserve">Why – Examine reasons why these sessions are useful in a youth work setting, particularly in relation to wellbeing, with reference to relevant literature, contemporary research and the National Occupational Standards. </w:t>
      </w:r>
    </w:p>
    <w:p w14:paraId="0BABD52A"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Conclusions &amp; Questions – Opportunity to reflect on our experience and consider how we can incorporate what we’ve learned into our practice.</w:t>
      </w:r>
    </w:p>
    <w:p w14:paraId="5A1D5193" w14:textId="77777777" w:rsidR="009D5E5E" w:rsidRDefault="009D5E5E" w:rsidP="009D5E5E">
      <w:pPr>
        <w:autoSpaceDE w:val="0"/>
        <w:autoSpaceDN w:val="0"/>
        <w:adjustRightInd w:val="0"/>
        <w:rPr>
          <w:rFonts w:ascii="Arial" w:hAnsi="Arial" w:cs="Arial"/>
          <w:sz w:val="24"/>
          <w:szCs w:val="24"/>
        </w:rPr>
      </w:pPr>
    </w:p>
    <w:p w14:paraId="34881C7B" w14:textId="77777777" w:rsidR="009D5E5E" w:rsidRDefault="009D5E5E" w:rsidP="009D5E5E">
      <w:pPr>
        <w:spacing w:line="360" w:lineRule="auto"/>
        <w:rPr>
          <w:rFonts w:ascii="Arial" w:hAnsi="Arial" w:cs="Arial"/>
          <w:sz w:val="24"/>
          <w:szCs w:val="24"/>
        </w:rPr>
      </w:pPr>
    </w:p>
    <w:p w14:paraId="0F55571C" w14:textId="57FB8DC2" w:rsidR="009D5E5E" w:rsidRDefault="009D5E5E">
      <w:pPr>
        <w:rPr>
          <w:rFonts w:ascii="Arial" w:hAnsi="Arial" w:cs="Arial"/>
          <w:sz w:val="24"/>
          <w:szCs w:val="24"/>
        </w:rPr>
      </w:pPr>
      <w:r>
        <w:rPr>
          <w:rFonts w:ascii="Arial" w:hAnsi="Arial" w:cs="Arial"/>
          <w:sz w:val="24"/>
          <w:szCs w:val="24"/>
        </w:rPr>
        <w:br w:type="page"/>
      </w:r>
    </w:p>
    <w:p w14:paraId="687A3B58" w14:textId="34438014" w:rsidR="009D5E5E" w:rsidRDefault="009D5E5E" w:rsidP="009D5E5E">
      <w:pPr>
        <w:spacing w:line="360" w:lineRule="auto"/>
        <w:rPr>
          <w:rFonts w:ascii="Arial" w:hAnsi="Arial" w:cs="Arial"/>
          <w:sz w:val="24"/>
          <w:szCs w:val="24"/>
        </w:rPr>
      </w:pPr>
      <w:r>
        <w:rPr>
          <w:rFonts w:ascii="Arial" w:hAnsi="Arial" w:cs="Arial"/>
          <w:sz w:val="24"/>
          <w:szCs w:val="24"/>
        </w:rPr>
        <w:lastRenderedPageBreak/>
        <w:t>Slide 3</w:t>
      </w:r>
    </w:p>
    <w:p w14:paraId="251E59CC" w14:textId="77777777" w:rsidR="009D5E5E" w:rsidRDefault="009D5E5E" w:rsidP="009D5E5E">
      <w:pPr>
        <w:spacing w:line="360" w:lineRule="auto"/>
        <w:rPr>
          <w:rFonts w:ascii="Arial" w:hAnsi="Arial" w:cs="Arial"/>
          <w:sz w:val="24"/>
          <w:szCs w:val="24"/>
        </w:rPr>
      </w:pPr>
    </w:p>
    <w:p w14:paraId="5D56D37C" w14:textId="6EC832F7" w:rsidR="009D5E5E" w:rsidRDefault="009D5E5E" w:rsidP="009D5E5E">
      <w:pPr>
        <w:spacing w:line="360" w:lineRule="auto"/>
        <w:jc w:val="center"/>
        <w:rPr>
          <w:rFonts w:ascii="Arial" w:hAnsi="Arial" w:cs="Arial"/>
          <w:sz w:val="24"/>
          <w:szCs w:val="24"/>
        </w:rPr>
      </w:pPr>
      <w:r>
        <w:rPr>
          <w:rFonts w:ascii="Arial" w:hAnsi="Arial" w:cs="Arial"/>
          <w:sz w:val="24"/>
          <w:szCs w:val="24"/>
        </w:rPr>
        <w:object w:dxaOrig="14399" w:dyaOrig="8100" w14:anchorId="1125EAD1">
          <v:shape id="_x0000_i1035" type="#_x0000_t75" style="width:362pt;height:203.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5" DrawAspect="Content" ObjectID="_1826387397" r:id="rId9"/>
        </w:object>
      </w:r>
    </w:p>
    <w:p w14:paraId="09E1D617" w14:textId="77777777" w:rsidR="009D5E5E" w:rsidRDefault="009D5E5E" w:rsidP="009D5E5E">
      <w:pPr>
        <w:spacing w:line="360" w:lineRule="auto"/>
        <w:jc w:val="center"/>
        <w:rPr>
          <w:rFonts w:ascii="Arial" w:hAnsi="Arial" w:cs="Arial"/>
          <w:sz w:val="24"/>
          <w:szCs w:val="24"/>
        </w:rPr>
      </w:pPr>
    </w:p>
    <w:p w14:paraId="291C0FC9"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Outline why the rules are important – these serve as our ‘contract’ for the session.</w:t>
      </w:r>
    </w:p>
    <w:p w14:paraId="3496651E"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 xml:space="preserve">Safety First – We will be working with potentially dangerous things, fire, knives, axes etc. Make the point that these are tools, not weapons. Encourage participants to demonstrate the ‘blood bubble’ and draw comparison to healthy relationships – people must respect your boundaries! The difference here is that if they don’t, they might lose a finger. </w:t>
      </w:r>
    </w:p>
    <w:p w14:paraId="08B1F43D"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Comfort is key – Nobody should be forced to engage. If, at any point anyone feels unsafe or uncomfortable they should express this; remind participants that this is a judgement-free zone and that we are here to support each other.</w:t>
      </w:r>
    </w:p>
    <w:p w14:paraId="2DF36E73"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Have fun! – Follow the rules and we get to eat marshmallows!</w:t>
      </w:r>
    </w:p>
    <w:p w14:paraId="6EE104A5" w14:textId="77777777" w:rsidR="009D5E5E" w:rsidRDefault="009D5E5E" w:rsidP="009D5E5E">
      <w:pPr>
        <w:autoSpaceDE w:val="0"/>
        <w:autoSpaceDN w:val="0"/>
        <w:adjustRightInd w:val="0"/>
        <w:rPr>
          <w:rFonts w:ascii="Arial" w:hAnsi="Arial" w:cs="Arial"/>
          <w:sz w:val="24"/>
          <w:szCs w:val="24"/>
        </w:rPr>
      </w:pPr>
    </w:p>
    <w:p w14:paraId="7D195113" w14:textId="77777777" w:rsidR="009D5E5E" w:rsidRDefault="009D5E5E" w:rsidP="009D5E5E">
      <w:pPr>
        <w:spacing w:line="360" w:lineRule="auto"/>
        <w:rPr>
          <w:rFonts w:ascii="Arial" w:hAnsi="Arial" w:cs="Arial"/>
          <w:sz w:val="24"/>
          <w:szCs w:val="24"/>
        </w:rPr>
      </w:pPr>
    </w:p>
    <w:p w14:paraId="4A538944" w14:textId="01C5C030" w:rsidR="009D5E5E" w:rsidRDefault="009D5E5E">
      <w:pPr>
        <w:rPr>
          <w:rFonts w:ascii="Arial" w:hAnsi="Arial" w:cs="Arial"/>
          <w:sz w:val="24"/>
          <w:szCs w:val="24"/>
        </w:rPr>
      </w:pPr>
      <w:r>
        <w:rPr>
          <w:rFonts w:ascii="Arial" w:hAnsi="Arial" w:cs="Arial"/>
          <w:sz w:val="24"/>
          <w:szCs w:val="24"/>
        </w:rPr>
        <w:br w:type="page"/>
      </w:r>
    </w:p>
    <w:p w14:paraId="1A6A93AF" w14:textId="05B0546E" w:rsidR="009D5E5E" w:rsidRDefault="009D5E5E" w:rsidP="009D5E5E">
      <w:pPr>
        <w:spacing w:line="360" w:lineRule="auto"/>
        <w:rPr>
          <w:rFonts w:ascii="Arial" w:hAnsi="Arial" w:cs="Arial"/>
          <w:sz w:val="24"/>
          <w:szCs w:val="24"/>
        </w:rPr>
      </w:pPr>
      <w:r>
        <w:rPr>
          <w:rFonts w:ascii="Arial" w:hAnsi="Arial" w:cs="Arial"/>
          <w:sz w:val="24"/>
          <w:szCs w:val="24"/>
        </w:rPr>
        <w:lastRenderedPageBreak/>
        <w:t>Slide 4</w:t>
      </w:r>
    </w:p>
    <w:p w14:paraId="1CD9ADD5" w14:textId="77777777" w:rsidR="009D5E5E" w:rsidRDefault="009D5E5E" w:rsidP="009D5E5E">
      <w:pPr>
        <w:spacing w:line="360" w:lineRule="auto"/>
        <w:rPr>
          <w:rFonts w:ascii="Arial" w:hAnsi="Arial" w:cs="Arial"/>
          <w:sz w:val="24"/>
          <w:szCs w:val="24"/>
        </w:rPr>
      </w:pPr>
    </w:p>
    <w:p w14:paraId="0CE28B69" w14:textId="7D053078" w:rsidR="009D5E5E" w:rsidRDefault="009D5E5E" w:rsidP="009D5E5E">
      <w:pPr>
        <w:spacing w:line="360" w:lineRule="auto"/>
        <w:jc w:val="center"/>
        <w:rPr>
          <w:rFonts w:ascii="Arial" w:hAnsi="Arial" w:cs="Arial"/>
          <w:sz w:val="24"/>
          <w:szCs w:val="24"/>
        </w:rPr>
      </w:pPr>
      <w:r>
        <w:rPr>
          <w:rFonts w:ascii="Arial" w:hAnsi="Arial" w:cs="Arial"/>
          <w:sz w:val="24"/>
          <w:szCs w:val="24"/>
        </w:rPr>
        <w:object w:dxaOrig="14399" w:dyaOrig="8100" w14:anchorId="6C12F812">
          <v:shape id="_x0000_i1040" type="#_x0000_t75" style="width:540pt;height:304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0" DrawAspect="Content" ObjectID="_1826387398" r:id="rId11"/>
        </w:object>
      </w:r>
    </w:p>
    <w:p w14:paraId="26688529" w14:textId="77777777" w:rsidR="009D5E5E" w:rsidRDefault="009D5E5E" w:rsidP="009D5E5E">
      <w:pPr>
        <w:spacing w:line="360" w:lineRule="auto"/>
        <w:jc w:val="center"/>
        <w:rPr>
          <w:rFonts w:ascii="Arial" w:hAnsi="Arial" w:cs="Arial"/>
          <w:sz w:val="24"/>
          <w:szCs w:val="24"/>
        </w:rPr>
      </w:pPr>
    </w:p>
    <w:p w14:paraId="3F011B60"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Ask participants to stand up and align themselves along the ‘Bear Scale’, based on their knowledge of bushcraft and survival skills.</w:t>
      </w:r>
    </w:p>
    <w:p w14:paraId="288419E1"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One end, low knowledge/skills is ‘Barely Anything’ represented by the confused bear. The other is ‘Bear Grylls’, survivalist and scout leader.</w:t>
      </w:r>
    </w:p>
    <w:p w14:paraId="61677D5C"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 xml:space="preserve">This should serve as a continuation of the </w:t>
      </w:r>
      <w:proofErr w:type="gramStart"/>
      <w:r>
        <w:rPr>
          <w:rFonts w:ascii="Aptos" w:hAnsi="Aptos" w:cs="Aptos"/>
          <w:kern w:val="24"/>
          <w:sz w:val="24"/>
          <w:szCs w:val="24"/>
        </w:rPr>
        <w:t>ice-breaker</w:t>
      </w:r>
      <w:proofErr w:type="gramEnd"/>
      <w:r>
        <w:rPr>
          <w:rFonts w:ascii="Aptos" w:hAnsi="Aptos" w:cs="Aptos"/>
          <w:kern w:val="24"/>
          <w:sz w:val="24"/>
          <w:szCs w:val="24"/>
        </w:rPr>
        <w:t>, getting participants on their feet and sharing experiences, as well as providing opportunity for evaluation and reflection.</w:t>
      </w:r>
    </w:p>
    <w:p w14:paraId="22925886" w14:textId="5AFAC514" w:rsidR="009D5E5E" w:rsidRDefault="009D5E5E" w:rsidP="009D5E5E">
      <w:pPr>
        <w:autoSpaceDE w:val="0"/>
        <w:autoSpaceDN w:val="0"/>
        <w:adjustRightInd w:val="0"/>
        <w:rPr>
          <w:rFonts w:ascii="Arial" w:hAnsi="Arial" w:cs="Arial"/>
          <w:sz w:val="24"/>
          <w:szCs w:val="24"/>
        </w:rPr>
      </w:pPr>
      <w:r>
        <w:rPr>
          <w:rFonts w:ascii="Arial" w:hAnsi="Arial" w:cs="Arial"/>
          <w:sz w:val="24"/>
          <w:szCs w:val="24"/>
        </w:rPr>
        <w:lastRenderedPageBreak/>
        <w:t>Slide 5</w:t>
      </w:r>
    </w:p>
    <w:p w14:paraId="2C693EAB" w14:textId="77777777" w:rsidR="009D5E5E" w:rsidRDefault="009D5E5E" w:rsidP="009D5E5E">
      <w:pPr>
        <w:spacing w:line="360" w:lineRule="auto"/>
        <w:rPr>
          <w:rFonts w:ascii="Arial" w:hAnsi="Arial" w:cs="Arial"/>
          <w:sz w:val="24"/>
          <w:szCs w:val="24"/>
        </w:rPr>
      </w:pPr>
    </w:p>
    <w:p w14:paraId="01DCAE4B" w14:textId="30EDB497" w:rsidR="009D5E5E" w:rsidRDefault="009D5E5E" w:rsidP="009D5E5E">
      <w:pPr>
        <w:spacing w:line="360" w:lineRule="auto"/>
        <w:jc w:val="center"/>
        <w:rPr>
          <w:rFonts w:ascii="Arial" w:hAnsi="Arial" w:cs="Arial"/>
          <w:sz w:val="24"/>
          <w:szCs w:val="24"/>
        </w:rPr>
      </w:pPr>
      <w:r>
        <w:rPr>
          <w:rFonts w:ascii="Arial" w:hAnsi="Arial" w:cs="Arial"/>
          <w:sz w:val="24"/>
          <w:szCs w:val="24"/>
        </w:rPr>
        <w:object w:dxaOrig="14399" w:dyaOrig="8100" w14:anchorId="73DDE95B">
          <v:shape id="_x0000_i1045" type="#_x0000_t75" style="width:540pt;height:304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5" DrawAspect="Content" ObjectID="_1826387399" r:id="rId13"/>
        </w:object>
      </w:r>
    </w:p>
    <w:p w14:paraId="622A2475" w14:textId="77777777" w:rsidR="009D5E5E" w:rsidRDefault="009D5E5E" w:rsidP="009D5E5E">
      <w:pPr>
        <w:spacing w:line="360" w:lineRule="auto"/>
        <w:jc w:val="center"/>
        <w:rPr>
          <w:rFonts w:ascii="Arial" w:hAnsi="Arial" w:cs="Arial"/>
          <w:sz w:val="24"/>
          <w:szCs w:val="24"/>
        </w:rPr>
      </w:pPr>
    </w:p>
    <w:p w14:paraId="0F3218FA" w14:textId="77777777" w:rsidR="009D5E5E" w:rsidRDefault="009D5E5E" w:rsidP="009D5E5E">
      <w:pPr>
        <w:autoSpaceDE w:val="0"/>
        <w:autoSpaceDN w:val="0"/>
        <w:adjustRightInd w:val="0"/>
        <w:rPr>
          <w:rFonts w:ascii="Aptos" w:hAnsi="Aptos" w:cs="Aptos"/>
          <w:kern w:val="24"/>
          <w:sz w:val="24"/>
          <w:szCs w:val="24"/>
        </w:rPr>
      </w:pPr>
    </w:p>
    <w:p w14:paraId="41CB0193" w14:textId="77777777" w:rsidR="009D5E5E" w:rsidRDefault="009D5E5E" w:rsidP="009D5E5E">
      <w:pPr>
        <w:autoSpaceDE w:val="0"/>
        <w:autoSpaceDN w:val="0"/>
        <w:adjustRightInd w:val="0"/>
        <w:rPr>
          <w:rFonts w:ascii="Aptos" w:hAnsi="Aptos" w:cs="Aptos"/>
          <w:kern w:val="24"/>
          <w:sz w:val="24"/>
          <w:szCs w:val="24"/>
        </w:rPr>
      </w:pPr>
    </w:p>
    <w:p w14:paraId="68FE3C93" w14:textId="77777777" w:rsidR="009D5E5E" w:rsidRDefault="009D5E5E" w:rsidP="009D5E5E">
      <w:pPr>
        <w:autoSpaceDE w:val="0"/>
        <w:autoSpaceDN w:val="0"/>
        <w:adjustRightInd w:val="0"/>
        <w:rPr>
          <w:rFonts w:ascii="Aptos" w:hAnsi="Aptos" w:cs="Aptos"/>
          <w:kern w:val="24"/>
          <w:sz w:val="24"/>
          <w:szCs w:val="24"/>
        </w:rPr>
      </w:pPr>
    </w:p>
    <w:p w14:paraId="0F40F973" w14:textId="77777777" w:rsidR="009D5E5E" w:rsidRDefault="009D5E5E" w:rsidP="009D5E5E">
      <w:pPr>
        <w:autoSpaceDE w:val="0"/>
        <w:autoSpaceDN w:val="0"/>
        <w:adjustRightInd w:val="0"/>
        <w:rPr>
          <w:rFonts w:ascii="Aptos" w:hAnsi="Aptos" w:cs="Aptos"/>
          <w:kern w:val="24"/>
          <w:sz w:val="24"/>
          <w:szCs w:val="24"/>
        </w:rPr>
      </w:pPr>
    </w:p>
    <w:p w14:paraId="2159CB7E" w14:textId="77777777" w:rsidR="009D5E5E" w:rsidRDefault="009D5E5E" w:rsidP="009D5E5E">
      <w:pPr>
        <w:autoSpaceDE w:val="0"/>
        <w:autoSpaceDN w:val="0"/>
        <w:adjustRightInd w:val="0"/>
        <w:rPr>
          <w:rFonts w:ascii="Aptos" w:hAnsi="Aptos" w:cs="Aptos"/>
          <w:kern w:val="24"/>
          <w:sz w:val="24"/>
          <w:szCs w:val="24"/>
        </w:rPr>
      </w:pPr>
    </w:p>
    <w:p w14:paraId="12F169A1" w14:textId="4AAE720A"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lastRenderedPageBreak/>
        <w:t>Session to commence outside:</w:t>
      </w:r>
    </w:p>
    <w:p w14:paraId="526DEE66" w14:textId="77777777" w:rsidR="009D5E5E" w:rsidRDefault="009D5E5E" w:rsidP="009D5E5E">
      <w:pPr>
        <w:autoSpaceDE w:val="0"/>
        <w:autoSpaceDN w:val="0"/>
        <w:adjustRightInd w:val="0"/>
        <w:rPr>
          <w:rFonts w:ascii="Aptos" w:hAnsi="Aptos" w:cs="Aptos"/>
          <w:kern w:val="24"/>
          <w:sz w:val="24"/>
          <w:szCs w:val="24"/>
        </w:rPr>
      </w:pPr>
    </w:p>
    <w:p w14:paraId="5E5F9FA3"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N.B – Do not force any of the comparisons or ‘lecture’ during this session. Respond with insights if they arise, as you would with young people. This session offers multiple opportunities for experiential learning – allow participants the time and space to practice, offering support if necessary but being led by them.</w:t>
      </w:r>
    </w:p>
    <w:p w14:paraId="157C0F3A" w14:textId="77777777" w:rsidR="009D5E5E" w:rsidRDefault="009D5E5E" w:rsidP="009D5E5E">
      <w:pPr>
        <w:autoSpaceDE w:val="0"/>
        <w:autoSpaceDN w:val="0"/>
        <w:adjustRightInd w:val="0"/>
        <w:rPr>
          <w:rFonts w:ascii="Aptos" w:hAnsi="Aptos" w:cs="Aptos"/>
          <w:kern w:val="24"/>
          <w:sz w:val="24"/>
          <w:szCs w:val="24"/>
        </w:rPr>
      </w:pPr>
    </w:p>
    <w:p w14:paraId="5360E3D5"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Each participant to have their own log – share how you use this when working with young people to draw the metaphor of an issue or feeling being too big to manage. Encourage participants to project a recent problem onto the log, any frustrations or fears they are currently encountering are to be represented by this log. Ask if we can just put the log in the firepit, hold a match to it and hope for the best – Clearly no, just like a big problem or feeling we need to break it down, making it more manageable.</w:t>
      </w:r>
    </w:p>
    <w:p w14:paraId="47115252" w14:textId="77777777" w:rsidR="009D5E5E" w:rsidRDefault="009D5E5E" w:rsidP="009D5E5E">
      <w:pPr>
        <w:autoSpaceDE w:val="0"/>
        <w:autoSpaceDN w:val="0"/>
        <w:adjustRightInd w:val="0"/>
        <w:rPr>
          <w:rFonts w:ascii="Aptos" w:hAnsi="Aptos" w:cs="Aptos"/>
          <w:kern w:val="24"/>
          <w:sz w:val="24"/>
          <w:szCs w:val="24"/>
        </w:rPr>
      </w:pPr>
    </w:p>
    <w:p w14:paraId="7E8FFBDC"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 xml:space="preserve">This leads to each participant taking turns with the axe – cutting ‘with the grain’ to create kindling. Again, an opportunity to speak on how this relates to tackling a problem or issue; sometimes we don’t have the right tools (knife rather than axe), sometimes we just need to approach a problem from a different angle (moving the log around to find a better cutting area) or getting help from someone else. Further, may be an opportunity to speak on how our problems look different to other people, or that others may seem to deal with problems much more easily – this can </w:t>
      </w:r>
      <w:proofErr w:type="gramStart"/>
      <w:r>
        <w:rPr>
          <w:rFonts w:ascii="Aptos" w:hAnsi="Aptos" w:cs="Aptos"/>
          <w:kern w:val="24"/>
          <w:sz w:val="24"/>
          <w:szCs w:val="24"/>
        </w:rPr>
        <w:t>refer back</w:t>
      </w:r>
      <w:proofErr w:type="gramEnd"/>
      <w:r>
        <w:rPr>
          <w:rFonts w:ascii="Aptos" w:hAnsi="Aptos" w:cs="Aptos"/>
          <w:kern w:val="24"/>
          <w:sz w:val="24"/>
          <w:szCs w:val="24"/>
        </w:rPr>
        <w:t xml:space="preserve"> to our self-evaluations regarding our knowledge of bushcraft. Some people are naturally skilled, some have developed those skills, and some have failed previously so have lowered expectations of their own success. Ask participants to consider how this compares to our experiences of working with young people.</w:t>
      </w:r>
    </w:p>
    <w:p w14:paraId="74BE3296" w14:textId="77777777" w:rsidR="009D5E5E" w:rsidRDefault="009D5E5E" w:rsidP="009D5E5E">
      <w:pPr>
        <w:autoSpaceDE w:val="0"/>
        <w:autoSpaceDN w:val="0"/>
        <w:adjustRightInd w:val="0"/>
        <w:rPr>
          <w:rFonts w:ascii="Aptos" w:hAnsi="Aptos" w:cs="Aptos"/>
          <w:kern w:val="24"/>
          <w:sz w:val="24"/>
          <w:szCs w:val="24"/>
        </w:rPr>
      </w:pPr>
    </w:p>
    <w:p w14:paraId="3FA79483"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 xml:space="preserve">Move on to fire-lighting with flint and steel – with young people this offers a fantastic opportunity to practice patience and build resilience. If appropriate, share experiences from own practice of young people becoming frustrated, finding it difficult but refusing to give up. Speak on the ‘needs’ of a fire and, if relevant, draw comparisons to our own needs – unless the fire is fed and maintained it will, literally, ‘burn out’, much like </w:t>
      </w:r>
      <w:proofErr w:type="gramStart"/>
      <w:r>
        <w:rPr>
          <w:rFonts w:ascii="Aptos" w:hAnsi="Aptos" w:cs="Aptos"/>
          <w:kern w:val="24"/>
          <w:sz w:val="24"/>
          <w:szCs w:val="24"/>
        </w:rPr>
        <w:t>ourselves</w:t>
      </w:r>
      <w:proofErr w:type="gramEnd"/>
      <w:r>
        <w:rPr>
          <w:rFonts w:ascii="Aptos" w:hAnsi="Aptos" w:cs="Aptos"/>
          <w:kern w:val="24"/>
          <w:sz w:val="24"/>
          <w:szCs w:val="24"/>
        </w:rPr>
        <w:t>.</w:t>
      </w:r>
    </w:p>
    <w:p w14:paraId="1AF92E59"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 xml:space="preserve">Provide marshmallows and biscuits for </w:t>
      </w:r>
      <w:proofErr w:type="spellStart"/>
      <w:r>
        <w:rPr>
          <w:rFonts w:ascii="Aptos" w:hAnsi="Aptos" w:cs="Aptos"/>
          <w:kern w:val="24"/>
          <w:sz w:val="24"/>
          <w:szCs w:val="24"/>
        </w:rPr>
        <w:t>s’mores</w:t>
      </w:r>
      <w:proofErr w:type="spellEnd"/>
      <w:r>
        <w:rPr>
          <w:rFonts w:ascii="Aptos" w:hAnsi="Aptos" w:cs="Aptos"/>
          <w:kern w:val="24"/>
          <w:sz w:val="24"/>
          <w:szCs w:val="24"/>
        </w:rPr>
        <w:t xml:space="preserve"> before safely extinguishing the fire and returning inside to explore why this session was chosen and briefly share feedback.</w:t>
      </w:r>
    </w:p>
    <w:p w14:paraId="6473CE1E" w14:textId="77777777" w:rsidR="009D5E5E" w:rsidRDefault="009D5E5E" w:rsidP="009D5E5E">
      <w:pPr>
        <w:autoSpaceDE w:val="0"/>
        <w:autoSpaceDN w:val="0"/>
        <w:adjustRightInd w:val="0"/>
        <w:rPr>
          <w:rFonts w:ascii="Arial" w:hAnsi="Arial" w:cs="Arial"/>
          <w:sz w:val="24"/>
          <w:szCs w:val="24"/>
        </w:rPr>
      </w:pPr>
    </w:p>
    <w:p w14:paraId="044E34A7" w14:textId="77777777" w:rsidR="009D5E5E" w:rsidRDefault="009D5E5E" w:rsidP="009D5E5E">
      <w:pPr>
        <w:spacing w:line="360" w:lineRule="auto"/>
        <w:rPr>
          <w:rFonts w:ascii="Arial" w:hAnsi="Arial" w:cs="Arial"/>
          <w:sz w:val="24"/>
          <w:szCs w:val="24"/>
        </w:rPr>
      </w:pPr>
    </w:p>
    <w:p w14:paraId="7060DF2B" w14:textId="4F5E76EC" w:rsidR="009D5E5E" w:rsidRDefault="009D5E5E">
      <w:pPr>
        <w:rPr>
          <w:rFonts w:ascii="Arial" w:hAnsi="Arial" w:cs="Arial"/>
          <w:sz w:val="24"/>
          <w:szCs w:val="24"/>
        </w:rPr>
      </w:pPr>
      <w:r>
        <w:rPr>
          <w:rFonts w:ascii="Arial" w:hAnsi="Arial" w:cs="Arial"/>
          <w:sz w:val="24"/>
          <w:szCs w:val="24"/>
        </w:rPr>
        <w:br w:type="page"/>
      </w:r>
    </w:p>
    <w:p w14:paraId="760510C6" w14:textId="3B61825A" w:rsidR="009D5E5E" w:rsidRDefault="009D5E5E" w:rsidP="009D5E5E">
      <w:pPr>
        <w:spacing w:line="360" w:lineRule="auto"/>
        <w:rPr>
          <w:rFonts w:ascii="Arial" w:hAnsi="Arial" w:cs="Arial"/>
          <w:sz w:val="24"/>
          <w:szCs w:val="24"/>
        </w:rPr>
      </w:pPr>
      <w:r>
        <w:rPr>
          <w:rFonts w:ascii="Arial" w:hAnsi="Arial" w:cs="Arial"/>
          <w:sz w:val="24"/>
          <w:szCs w:val="24"/>
        </w:rPr>
        <w:lastRenderedPageBreak/>
        <w:t>Slide 6</w:t>
      </w:r>
    </w:p>
    <w:p w14:paraId="763C323C" w14:textId="77777777" w:rsidR="009D5E5E" w:rsidRDefault="009D5E5E" w:rsidP="009D5E5E">
      <w:pPr>
        <w:spacing w:line="360" w:lineRule="auto"/>
        <w:rPr>
          <w:rFonts w:ascii="Arial" w:hAnsi="Arial" w:cs="Arial"/>
          <w:sz w:val="24"/>
          <w:szCs w:val="24"/>
        </w:rPr>
      </w:pPr>
    </w:p>
    <w:p w14:paraId="45DAC890" w14:textId="651FD4D6" w:rsidR="009D5E5E" w:rsidRDefault="009D5E5E" w:rsidP="009D5E5E">
      <w:pPr>
        <w:spacing w:line="360" w:lineRule="auto"/>
        <w:jc w:val="center"/>
        <w:rPr>
          <w:rFonts w:ascii="Arial" w:hAnsi="Arial" w:cs="Arial"/>
          <w:sz w:val="24"/>
          <w:szCs w:val="24"/>
        </w:rPr>
      </w:pPr>
      <w:r>
        <w:rPr>
          <w:rFonts w:ascii="Arial" w:hAnsi="Arial" w:cs="Arial"/>
          <w:sz w:val="24"/>
          <w:szCs w:val="24"/>
        </w:rPr>
        <w:object w:dxaOrig="14399" w:dyaOrig="8100" w14:anchorId="05A888E4">
          <v:shape id="_x0000_i1050" type="#_x0000_t75" style="width:540pt;height:304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0" DrawAspect="Content" ObjectID="_1826387400" r:id="rId15"/>
        </w:object>
      </w:r>
    </w:p>
    <w:p w14:paraId="7EFECBC6" w14:textId="77777777" w:rsidR="009D5E5E" w:rsidRDefault="009D5E5E" w:rsidP="009D5E5E">
      <w:pPr>
        <w:spacing w:line="360" w:lineRule="auto"/>
        <w:jc w:val="center"/>
        <w:rPr>
          <w:rFonts w:ascii="Arial" w:hAnsi="Arial" w:cs="Arial"/>
          <w:sz w:val="24"/>
          <w:szCs w:val="24"/>
        </w:rPr>
      </w:pPr>
    </w:p>
    <w:p w14:paraId="2BFCB624"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 xml:space="preserve">Bratman &amp; Mackay are only two examples of this – references provide more in-depth analysis than </w:t>
      </w:r>
      <w:proofErr w:type="gramStart"/>
      <w:r>
        <w:rPr>
          <w:rFonts w:ascii="Aptos" w:hAnsi="Aptos" w:cs="Aptos"/>
          <w:kern w:val="24"/>
          <w:sz w:val="24"/>
          <w:szCs w:val="24"/>
        </w:rPr>
        <w:t>is able to</w:t>
      </w:r>
      <w:proofErr w:type="gramEnd"/>
      <w:r>
        <w:rPr>
          <w:rFonts w:ascii="Aptos" w:hAnsi="Aptos" w:cs="Aptos"/>
          <w:kern w:val="24"/>
          <w:sz w:val="24"/>
          <w:szCs w:val="24"/>
        </w:rPr>
        <w:t xml:space="preserve"> be covered here.</w:t>
      </w:r>
    </w:p>
    <w:p w14:paraId="18E45AAC"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Talking Point – encourage participants to share their feelings on the session, or, more broadly to reflect on times they have sought a more natural setting or outdoors activity when struggling with something. Why do they think they felt this way? Why did they seek more connectivity with nature at that time? What were the results?</w:t>
      </w:r>
    </w:p>
    <w:p w14:paraId="47451AA9" w14:textId="77777777" w:rsidR="009D5E5E" w:rsidRDefault="009D5E5E" w:rsidP="009D5E5E">
      <w:pPr>
        <w:spacing w:line="360" w:lineRule="auto"/>
        <w:rPr>
          <w:rFonts w:ascii="Arial" w:hAnsi="Arial" w:cs="Arial"/>
          <w:sz w:val="24"/>
          <w:szCs w:val="24"/>
        </w:rPr>
      </w:pPr>
    </w:p>
    <w:p w14:paraId="1EE11870" w14:textId="16549E2E" w:rsidR="009D5E5E" w:rsidRDefault="009D5E5E" w:rsidP="009D5E5E">
      <w:pPr>
        <w:spacing w:line="360" w:lineRule="auto"/>
        <w:rPr>
          <w:rFonts w:ascii="Arial" w:hAnsi="Arial" w:cs="Arial"/>
          <w:sz w:val="24"/>
          <w:szCs w:val="24"/>
        </w:rPr>
      </w:pPr>
      <w:r>
        <w:rPr>
          <w:rFonts w:ascii="Arial" w:hAnsi="Arial" w:cs="Arial"/>
          <w:sz w:val="24"/>
          <w:szCs w:val="24"/>
        </w:rPr>
        <w:lastRenderedPageBreak/>
        <w:t>Slide 7</w:t>
      </w:r>
    </w:p>
    <w:p w14:paraId="2C2C6DA9" w14:textId="77777777" w:rsidR="009D5E5E" w:rsidRDefault="009D5E5E" w:rsidP="009D5E5E">
      <w:pPr>
        <w:spacing w:line="360" w:lineRule="auto"/>
        <w:rPr>
          <w:rFonts w:ascii="Arial" w:hAnsi="Arial" w:cs="Arial"/>
          <w:sz w:val="24"/>
          <w:szCs w:val="24"/>
        </w:rPr>
      </w:pPr>
    </w:p>
    <w:p w14:paraId="7095421F" w14:textId="303530C8" w:rsidR="009D5E5E" w:rsidRDefault="009D5E5E" w:rsidP="009D5E5E">
      <w:pPr>
        <w:spacing w:line="360" w:lineRule="auto"/>
        <w:jc w:val="center"/>
        <w:rPr>
          <w:rFonts w:ascii="Arial" w:hAnsi="Arial" w:cs="Arial"/>
          <w:sz w:val="24"/>
          <w:szCs w:val="24"/>
        </w:rPr>
      </w:pPr>
      <w:r>
        <w:rPr>
          <w:rFonts w:ascii="Arial" w:hAnsi="Arial" w:cs="Arial"/>
          <w:sz w:val="24"/>
          <w:szCs w:val="24"/>
        </w:rPr>
        <w:object w:dxaOrig="14399" w:dyaOrig="8100" w14:anchorId="7565B638">
          <v:shape id="_x0000_i1055" type="#_x0000_t75" style="width:540pt;height:304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5" DrawAspect="Content" ObjectID="_1826387401" r:id="rId17"/>
        </w:object>
      </w:r>
    </w:p>
    <w:p w14:paraId="1BA7EFB2" w14:textId="77777777" w:rsidR="009D5E5E" w:rsidRDefault="009D5E5E" w:rsidP="009D5E5E">
      <w:pPr>
        <w:spacing w:line="360" w:lineRule="auto"/>
        <w:jc w:val="center"/>
        <w:rPr>
          <w:rFonts w:ascii="Arial" w:hAnsi="Arial" w:cs="Arial"/>
          <w:sz w:val="24"/>
          <w:szCs w:val="24"/>
        </w:rPr>
      </w:pPr>
    </w:p>
    <w:p w14:paraId="35CA491C"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Refer to slide. Kaplan’s points are echoed in contemporary understanding of adolescent development.</w:t>
      </w:r>
    </w:p>
    <w:p w14:paraId="2C638027" w14:textId="77777777" w:rsidR="009D5E5E" w:rsidRDefault="009D5E5E" w:rsidP="009D5E5E">
      <w:pPr>
        <w:autoSpaceDE w:val="0"/>
        <w:autoSpaceDN w:val="0"/>
        <w:adjustRightInd w:val="0"/>
        <w:rPr>
          <w:rFonts w:ascii="Arial" w:hAnsi="Arial" w:cs="Arial"/>
          <w:sz w:val="24"/>
          <w:szCs w:val="24"/>
        </w:rPr>
      </w:pPr>
    </w:p>
    <w:p w14:paraId="54273B2A" w14:textId="77777777" w:rsidR="009D5E5E" w:rsidRDefault="009D5E5E" w:rsidP="009D5E5E">
      <w:pPr>
        <w:spacing w:line="360" w:lineRule="auto"/>
        <w:rPr>
          <w:rFonts w:ascii="Arial" w:hAnsi="Arial" w:cs="Arial"/>
          <w:sz w:val="24"/>
          <w:szCs w:val="24"/>
        </w:rPr>
      </w:pPr>
    </w:p>
    <w:p w14:paraId="0378AB80" w14:textId="4757F80F" w:rsidR="009D5E5E" w:rsidRDefault="009D5E5E">
      <w:pPr>
        <w:rPr>
          <w:rFonts w:ascii="Arial" w:hAnsi="Arial" w:cs="Arial"/>
          <w:sz w:val="24"/>
          <w:szCs w:val="24"/>
        </w:rPr>
      </w:pPr>
      <w:r>
        <w:rPr>
          <w:rFonts w:ascii="Arial" w:hAnsi="Arial" w:cs="Arial"/>
          <w:sz w:val="24"/>
          <w:szCs w:val="24"/>
        </w:rPr>
        <w:br w:type="page"/>
      </w:r>
    </w:p>
    <w:p w14:paraId="14D437E3" w14:textId="2C70AA2D" w:rsidR="009D5E5E" w:rsidRDefault="009D5E5E" w:rsidP="009D5E5E">
      <w:pPr>
        <w:spacing w:line="360" w:lineRule="auto"/>
        <w:rPr>
          <w:rFonts w:ascii="Arial" w:hAnsi="Arial" w:cs="Arial"/>
          <w:sz w:val="24"/>
          <w:szCs w:val="24"/>
        </w:rPr>
      </w:pPr>
      <w:r>
        <w:rPr>
          <w:rFonts w:ascii="Arial" w:hAnsi="Arial" w:cs="Arial"/>
          <w:sz w:val="24"/>
          <w:szCs w:val="24"/>
        </w:rPr>
        <w:lastRenderedPageBreak/>
        <w:t>Slide 8</w:t>
      </w:r>
    </w:p>
    <w:p w14:paraId="3F0D93E4" w14:textId="77777777" w:rsidR="009D5E5E" w:rsidRDefault="009D5E5E" w:rsidP="009D5E5E">
      <w:pPr>
        <w:spacing w:line="360" w:lineRule="auto"/>
        <w:rPr>
          <w:rFonts w:ascii="Arial" w:hAnsi="Arial" w:cs="Arial"/>
          <w:sz w:val="24"/>
          <w:szCs w:val="24"/>
        </w:rPr>
      </w:pPr>
    </w:p>
    <w:p w14:paraId="2772EE48" w14:textId="195C6EF4" w:rsidR="009D5E5E" w:rsidRDefault="009D5E5E" w:rsidP="009D5E5E">
      <w:pPr>
        <w:spacing w:line="360" w:lineRule="auto"/>
        <w:jc w:val="center"/>
        <w:rPr>
          <w:rFonts w:ascii="Arial" w:hAnsi="Arial" w:cs="Arial"/>
          <w:sz w:val="24"/>
          <w:szCs w:val="24"/>
        </w:rPr>
      </w:pPr>
      <w:r>
        <w:rPr>
          <w:rFonts w:ascii="Arial" w:hAnsi="Arial" w:cs="Arial"/>
          <w:sz w:val="24"/>
          <w:szCs w:val="24"/>
        </w:rPr>
        <w:object w:dxaOrig="14399" w:dyaOrig="8100" w14:anchorId="38D67F93">
          <v:shape id="_x0000_i1060" type="#_x0000_t75" style="width:540pt;height:304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0" DrawAspect="Content" ObjectID="_1826387402" r:id="rId19"/>
        </w:object>
      </w:r>
    </w:p>
    <w:p w14:paraId="0DF82C13" w14:textId="77777777" w:rsidR="009D5E5E" w:rsidRDefault="009D5E5E" w:rsidP="009D5E5E">
      <w:pPr>
        <w:spacing w:line="360" w:lineRule="auto"/>
        <w:jc w:val="center"/>
        <w:rPr>
          <w:rFonts w:ascii="Arial" w:hAnsi="Arial" w:cs="Arial"/>
          <w:sz w:val="24"/>
          <w:szCs w:val="24"/>
        </w:rPr>
      </w:pPr>
    </w:p>
    <w:p w14:paraId="51ABDF00"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Refer to slide – Madera goes on to note that this detachment from the natural environment ‘coincides with identity formation, emotional vulnerability, and the emergence of lifelong behavioural patterns.’</w:t>
      </w:r>
    </w:p>
    <w:p w14:paraId="59C4B285" w14:textId="6A018B67" w:rsidR="009D5E5E" w:rsidRDefault="009D5E5E">
      <w:pPr>
        <w:rPr>
          <w:rFonts w:ascii="Arial" w:hAnsi="Arial" w:cs="Arial"/>
          <w:sz w:val="24"/>
          <w:szCs w:val="24"/>
        </w:rPr>
      </w:pPr>
      <w:r>
        <w:rPr>
          <w:rFonts w:ascii="Arial" w:hAnsi="Arial" w:cs="Arial"/>
          <w:sz w:val="24"/>
          <w:szCs w:val="24"/>
        </w:rPr>
        <w:br w:type="page"/>
      </w:r>
    </w:p>
    <w:p w14:paraId="584DEE9E" w14:textId="40C81B6F" w:rsidR="009D5E5E" w:rsidRDefault="009D5E5E" w:rsidP="009D5E5E">
      <w:pPr>
        <w:spacing w:line="360" w:lineRule="auto"/>
        <w:rPr>
          <w:rFonts w:ascii="Arial" w:hAnsi="Arial" w:cs="Arial"/>
          <w:sz w:val="24"/>
          <w:szCs w:val="24"/>
        </w:rPr>
      </w:pPr>
      <w:r>
        <w:rPr>
          <w:rFonts w:ascii="Arial" w:hAnsi="Arial" w:cs="Arial"/>
          <w:sz w:val="24"/>
          <w:szCs w:val="24"/>
        </w:rPr>
        <w:lastRenderedPageBreak/>
        <w:t>Slide 9</w:t>
      </w:r>
    </w:p>
    <w:p w14:paraId="132C1CB5" w14:textId="77777777" w:rsidR="009D5E5E" w:rsidRDefault="009D5E5E" w:rsidP="009D5E5E">
      <w:pPr>
        <w:spacing w:line="360" w:lineRule="auto"/>
        <w:rPr>
          <w:rFonts w:ascii="Arial" w:hAnsi="Arial" w:cs="Arial"/>
          <w:sz w:val="24"/>
          <w:szCs w:val="24"/>
        </w:rPr>
      </w:pPr>
    </w:p>
    <w:p w14:paraId="67D0A234" w14:textId="5C490FC0" w:rsidR="009D5E5E" w:rsidRDefault="009D5E5E" w:rsidP="009D5E5E">
      <w:pPr>
        <w:spacing w:line="360" w:lineRule="auto"/>
        <w:jc w:val="center"/>
        <w:rPr>
          <w:rFonts w:ascii="Arial" w:hAnsi="Arial" w:cs="Arial"/>
          <w:sz w:val="24"/>
          <w:szCs w:val="24"/>
        </w:rPr>
      </w:pPr>
      <w:r>
        <w:rPr>
          <w:rFonts w:ascii="Arial" w:hAnsi="Arial" w:cs="Arial"/>
          <w:sz w:val="24"/>
          <w:szCs w:val="24"/>
        </w:rPr>
        <w:object w:dxaOrig="14399" w:dyaOrig="8100" w14:anchorId="1339BB4E">
          <v:shape id="_x0000_i1065" type="#_x0000_t75" style="width:540pt;height:304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5" DrawAspect="Content" ObjectID="_1826387403" r:id="rId21"/>
        </w:object>
      </w:r>
    </w:p>
    <w:p w14:paraId="45DE5310" w14:textId="77777777" w:rsidR="009D5E5E" w:rsidRDefault="009D5E5E" w:rsidP="009D5E5E">
      <w:pPr>
        <w:spacing w:line="360" w:lineRule="auto"/>
        <w:jc w:val="center"/>
        <w:rPr>
          <w:rFonts w:ascii="Arial" w:hAnsi="Arial" w:cs="Arial"/>
          <w:sz w:val="24"/>
          <w:szCs w:val="24"/>
        </w:rPr>
      </w:pPr>
    </w:p>
    <w:p w14:paraId="6888AE02"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 xml:space="preserve">Consider this in relation to the National Occupational Standards – YW06 – Support young people to work in groups, YW14 – Developing and exploring values, YW18 – supporting their wellbeing. Further, we can see the similarities between what Madera describes and </w:t>
      </w:r>
      <w:proofErr w:type="gramStart"/>
      <w:r>
        <w:rPr>
          <w:rFonts w:ascii="Aptos" w:hAnsi="Aptos" w:cs="Aptos"/>
          <w:kern w:val="24"/>
          <w:sz w:val="24"/>
          <w:szCs w:val="24"/>
        </w:rPr>
        <w:t>a number of</w:t>
      </w:r>
      <w:proofErr w:type="gramEnd"/>
      <w:r>
        <w:rPr>
          <w:rFonts w:ascii="Aptos" w:hAnsi="Aptos" w:cs="Aptos"/>
          <w:kern w:val="24"/>
          <w:sz w:val="24"/>
          <w:szCs w:val="24"/>
        </w:rPr>
        <w:t xml:space="preserve"> the key principles and purposes of Youth Work in Wales: to support young people in building positive relationships (p.4), fostering their growth (ibid) and recognising their rights and responsibilities within their community (p.7). Further, many of the goals that Kaplan (2002) stated as a reason for young people losing interest in nature are demonstrably achievable through outdoors experiences. </w:t>
      </w:r>
    </w:p>
    <w:p w14:paraId="25CB7417" w14:textId="09314F4E" w:rsidR="009D5E5E" w:rsidRDefault="009D5E5E" w:rsidP="009D5E5E">
      <w:pPr>
        <w:spacing w:line="360" w:lineRule="auto"/>
        <w:rPr>
          <w:rFonts w:ascii="Arial" w:hAnsi="Arial" w:cs="Arial"/>
          <w:sz w:val="24"/>
          <w:szCs w:val="24"/>
        </w:rPr>
      </w:pPr>
      <w:r>
        <w:rPr>
          <w:rFonts w:ascii="Arial" w:hAnsi="Arial" w:cs="Arial"/>
          <w:sz w:val="24"/>
          <w:szCs w:val="24"/>
        </w:rPr>
        <w:lastRenderedPageBreak/>
        <w:t>Slide 10</w:t>
      </w:r>
    </w:p>
    <w:p w14:paraId="2208F822" w14:textId="77777777" w:rsidR="009D5E5E" w:rsidRDefault="009D5E5E" w:rsidP="009D5E5E">
      <w:pPr>
        <w:spacing w:line="360" w:lineRule="auto"/>
        <w:rPr>
          <w:rFonts w:ascii="Arial" w:hAnsi="Arial" w:cs="Arial"/>
          <w:sz w:val="24"/>
          <w:szCs w:val="24"/>
        </w:rPr>
      </w:pPr>
    </w:p>
    <w:p w14:paraId="7743B287" w14:textId="47F2BF97" w:rsidR="009D5E5E" w:rsidRDefault="009D5E5E" w:rsidP="009D5E5E">
      <w:pPr>
        <w:spacing w:line="360" w:lineRule="auto"/>
        <w:jc w:val="center"/>
        <w:rPr>
          <w:rFonts w:ascii="Arial" w:hAnsi="Arial" w:cs="Arial"/>
          <w:sz w:val="24"/>
          <w:szCs w:val="24"/>
        </w:rPr>
      </w:pPr>
      <w:r>
        <w:rPr>
          <w:rFonts w:ascii="Arial" w:hAnsi="Arial" w:cs="Arial"/>
          <w:sz w:val="24"/>
          <w:szCs w:val="24"/>
        </w:rPr>
        <w:object w:dxaOrig="14399" w:dyaOrig="8100" w14:anchorId="51C16928">
          <v:shape id="_x0000_i1070" type="#_x0000_t75" style="width:7in;height:284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0" DrawAspect="Content" ObjectID="_1826387404" r:id="rId23"/>
        </w:object>
      </w:r>
    </w:p>
    <w:p w14:paraId="05D9EB94" w14:textId="77777777" w:rsidR="009D5E5E" w:rsidRDefault="009D5E5E" w:rsidP="009D5E5E">
      <w:pPr>
        <w:spacing w:line="360" w:lineRule="auto"/>
        <w:jc w:val="center"/>
        <w:rPr>
          <w:rFonts w:ascii="Arial" w:hAnsi="Arial" w:cs="Arial"/>
          <w:sz w:val="24"/>
          <w:szCs w:val="24"/>
        </w:rPr>
      </w:pPr>
    </w:p>
    <w:p w14:paraId="1F91FACB" w14:textId="338BE1D7" w:rsidR="009D5E5E" w:rsidRDefault="009D5E5E" w:rsidP="009D5E5E">
      <w:pPr>
        <w:autoSpaceDE w:val="0"/>
        <w:autoSpaceDN w:val="0"/>
        <w:adjustRightInd w:val="0"/>
        <w:rPr>
          <w:rFonts w:ascii="Arial" w:hAnsi="Arial" w:cs="Arial"/>
          <w:sz w:val="24"/>
          <w:szCs w:val="24"/>
        </w:rPr>
      </w:pPr>
      <w:r>
        <w:rPr>
          <w:rFonts w:ascii="Aptos" w:hAnsi="Aptos" w:cs="Aptos"/>
          <w:kern w:val="24"/>
          <w:sz w:val="24"/>
          <w:szCs w:val="24"/>
        </w:rPr>
        <w:t>In conclusion, though prior research such as Kaplan’s suggests that adolescent development and lack of interest in connectivity with nature go hand in hand, more contemporary findings, such as Madera’s (2025) and Puhakka’s (2025), as well as our own experiences, argue that nature-based sessions and increased connectivity with the outdoors offer the opportunities that young people seek in building relationships, fostering community and developing shared values - in many cases, as Madera’s findings suggest, to a greater extent than other comparable activities. We have a duty as youth workers then to recognise and provide these opportunities, encouraging the young people we work with to discover the impact of time spent in nature upon a developing brain.</w:t>
      </w:r>
      <w:r>
        <w:rPr>
          <w:rFonts w:ascii="Arial" w:hAnsi="Arial" w:cs="Arial"/>
          <w:sz w:val="24"/>
          <w:szCs w:val="24"/>
        </w:rPr>
        <w:br w:type="page"/>
      </w:r>
    </w:p>
    <w:p w14:paraId="75B40770" w14:textId="168E3BFE" w:rsidR="009D5E5E" w:rsidRDefault="009D5E5E" w:rsidP="009D5E5E">
      <w:pPr>
        <w:spacing w:line="360" w:lineRule="auto"/>
        <w:rPr>
          <w:rFonts w:ascii="Arial" w:hAnsi="Arial" w:cs="Arial"/>
          <w:sz w:val="24"/>
          <w:szCs w:val="24"/>
        </w:rPr>
      </w:pPr>
      <w:r>
        <w:rPr>
          <w:rFonts w:ascii="Arial" w:hAnsi="Arial" w:cs="Arial"/>
          <w:sz w:val="24"/>
          <w:szCs w:val="24"/>
        </w:rPr>
        <w:lastRenderedPageBreak/>
        <w:t>Slide 11</w:t>
      </w:r>
    </w:p>
    <w:p w14:paraId="40E1CBC5" w14:textId="77777777" w:rsidR="009D5E5E" w:rsidRDefault="009D5E5E" w:rsidP="009D5E5E">
      <w:pPr>
        <w:spacing w:line="360" w:lineRule="auto"/>
        <w:rPr>
          <w:rFonts w:ascii="Arial" w:hAnsi="Arial" w:cs="Arial"/>
          <w:sz w:val="24"/>
          <w:szCs w:val="24"/>
        </w:rPr>
      </w:pPr>
    </w:p>
    <w:p w14:paraId="5A5B2921" w14:textId="2B12B0AA" w:rsidR="009D5E5E" w:rsidRDefault="009D5E5E" w:rsidP="009D5E5E">
      <w:pPr>
        <w:spacing w:line="360" w:lineRule="auto"/>
        <w:jc w:val="center"/>
        <w:rPr>
          <w:rFonts w:ascii="Arial" w:hAnsi="Arial" w:cs="Arial"/>
          <w:sz w:val="24"/>
          <w:szCs w:val="24"/>
        </w:rPr>
      </w:pPr>
      <w:r>
        <w:rPr>
          <w:rFonts w:ascii="Arial" w:hAnsi="Arial" w:cs="Arial"/>
          <w:sz w:val="24"/>
          <w:szCs w:val="24"/>
        </w:rPr>
        <w:object w:dxaOrig="14399" w:dyaOrig="8100" w14:anchorId="149494A4">
          <v:shape id="_x0000_i1075" type="#_x0000_t75" style="width:540pt;height:304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75" DrawAspect="Content" ObjectID="_1826387405" r:id="rId25"/>
        </w:object>
      </w:r>
    </w:p>
    <w:p w14:paraId="172D77D9" w14:textId="77777777" w:rsidR="009D5E5E" w:rsidRDefault="009D5E5E" w:rsidP="009D5E5E">
      <w:pPr>
        <w:spacing w:line="360" w:lineRule="auto"/>
        <w:jc w:val="center"/>
        <w:rPr>
          <w:rFonts w:ascii="Arial" w:hAnsi="Arial" w:cs="Arial"/>
          <w:sz w:val="24"/>
          <w:szCs w:val="24"/>
        </w:rPr>
      </w:pPr>
    </w:p>
    <w:p w14:paraId="20A865BF" w14:textId="77777777" w:rsidR="009D5E5E" w:rsidRDefault="009D5E5E" w:rsidP="009D5E5E">
      <w:pPr>
        <w:autoSpaceDE w:val="0"/>
        <w:autoSpaceDN w:val="0"/>
        <w:adjustRightInd w:val="0"/>
        <w:rPr>
          <w:rFonts w:ascii="Aptos" w:hAnsi="Aptos" w:cs="Aptos"/>
          <w:kern w:val="24"/>
          <w:sz w:val="24"/>
          <w:szCs w:val="24"/>
        </w:rPr>
      </w:pPr>
      <w:r>
        <w:rPr>
          <w:rFonts w:ascii="Aptos" w:hAnsi="Aptos" w:cs="Aptos"/>
          <w:kern w:val="24"/>
          <w:sz w:val="24"/>
          <w:szCs w:val="24"/>
        </w:rPr>
        <w:t>Allow for questions.</w:t>
      </w:r>
    </w:p>
    <w:p w14:paraId="77540E46" w14:textId="77777777" w:rsidR="009D5E5E" w:rsidRDefault="009D5E5E" w:rsidP="009D5E5E">
      <w:pPr>
        <w:autoSpaceDE w:val="0"/>
        <w:autoSpaceDN w:val="0"/>
        <w:adjustRightInd w:val="0"/>
        <w:rPr>
          <w:rFonts w:ascii="Arial" w:hAnsi="Arial" w:cs="Arial"/>
          <w:sz w:val="24"/>
          <w:szCs w:val="24"/>
        </w:rPr>
      </w:pPr>
    </w:p>
    <w:p w14:paraId="3E2126D6" w14:textId="77777777" w:rsidR="009D5E5E" w:rsidRDefault="009D5E5E" w:rsidP="009D5E5E">
      <w:pPr>
        <w:spacing w:line="360" w:lineRule="auto"/>
        <w:rPr>
          <w:rFonts w:ascii="Arial" w:hAnsi="Arial" w:cs="Arial"/>
          <w:sz w:val="24"/>
          <w:szCs w:val="24"/>
        </w:rPr>
      </w:pPr>
    </w:p>
    <w:p w14:paraId="03379B2E" w14:textId="0748E2B2" w:rsidR="009D5E5E" w:rsidRDefault="009D5E5E">
      <w:pPr>
        <w:rPr>
          <w:rFonts w:ascii="Arial" w:hAnsi="Arial" w:cs="Arial"/>
          <w:sz w:val="24"/>
          <w:szCs w:val="24"/>
        </w:rPr>
      </w:pPr>
      <w:r>
        <w:rPr>
          <w:rFonts w:ascii="Arial" w:hAnsi="Arial" w:cs="Arial"/>
          <w:sz w:val="24"/>
          <w:szCs w:val="24"/>
        </w:rPr>
        <w:br w:type="page"/>
      </w:r>
    </w:p>
    <w:p w14:paraId="122D75E0" w14:textId="750FC71D" w:rsidR="009D5E5E" w:rsidRDefault="009D5E5E" w:rsidP="009D5E5E">
      <w:pPr>
        <w:spacing w:line="360" w:lineRule="auto"/>
        <w:rPr>
          <w:rFonts w:ascii="Arial" w:hAnsi="Arial" w:cs="Arial"/>
          <w:sz w:val="24"/>
          <w:szCs w:val="24"/>
        </w:rPr>
      </w:pPr>
      <w:r>
        <w:rPr>
          <w:rFonts w:ascii="Arial" w:hAnsi="Arial" w:cs="Arial"/>
          <w:sz w:val="24"/>
          <w:szCs w:val="24"/>
        </w:rPr>
        <w:lastRenderedPageBreak/>
        <w:t>Slide 12</w:t>
      </w:r>
    </w:p>
    <w:p w14:paraId="08D36DF8" w14:textId="77777777" w:rsidR="009D5E5E" w:rsidRDefault="009D5E5E" w:rsidP="009D5E5E">
      <w:pPr>
        <w:spacing w:line="360" w:lineRule="auto"/>
        <w:rPr>
          <w:rFonts w:ascii="Arial" w:hAnsi="Arial" w:cs="Arial"/>
          <w:sz w:val="24"/>
          <w:szCs w:val="24"/>
        </w:rPr>
      </w:pPr>
    </w:p>
    <w:p w14:paraId="3A795CDE" w14:textId="4DA5D7F3" w:rsidR="009D5E5E" w:rsidRDefault="009D5E5E" w:rsidP="009D5E5E">
      <w:pPr>
        <w:spacing w:line="360" w:lineRule="auto"/>
        <w:jc w:val="center"/>
        <w:rPr>
          <w:rFonts w:ascii="Arial" w:hAnsi="Arial" w:cs="Arial"/>
          <w:sz w:val="24"/>
          <w:szCs w:val="24"/>
        </w:rPr>
      </w:pPr>
      <w:r>
        <w:rPr>
          <w:rFonts w:ascii="Arial" w:hAnsi="Arial" w:cs="Arial"/>
          <w:sz w:val="24"/>
          <w:szCs w:val="24"/>
        </w:rPr>
        <w:object w:dxaOrig="14399" w:dyaOrig="8100" w14:anchorId="347A170D">
          <v:shape id="_x0000_i1080" type="#_x0000_t75" style="width:620pt;height:348.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80" DrawAspect="Content" ObjectID="_1826387406" r:id="rId27"/>
        </w:object>
      </w:r>
    </w:p>
    <w:p w14:paraId="6B96028F" w14:textId="77777777" w:rsidR="009D5E5E" w:rsidRDefault="009D5E5E" w:rsidP="009D5E5E">
      <w:pPr>
        <w:spacing w:line="360" w:lineRule="auto"/>
        <w:jc w:val="center"/>
        <w:rPr>
          <w:rFonts w:ascii="Arial" w:hAnsi="Arial" w:cs="Arial"/>
          <w:sz w:val="24"/>
          <w:szCs w:val="24"/>
        </w:rPr>
      </w:pPr>
    </w:p>
    <w:p w14:paraId="25287812" w14:textId="77777777" w:rsidR="009D5E5E" w:rsidRPr="009E55C1" w:rsidRDefault="009D5E5E" w:rsidP="009D5E5E">
      <w:pPr>
        <w:spacing w:line="360" w:lineRule="auto"/>
        <w:rPr>
          <w:rFonts w:ascii="Arial" w:hAnsi="Arial" w:cs="Arial"/>
          <w:sz w:val="24"/>
          <w:szCs w:val="24"/>
        </w:rPr>
      </w:pPr>
    </w:p>
    <w:sectPr w:rsidR="009D5E5E" w:rsidRPr="009E55C1" w:rsidSect="009D5E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E5E"/>
    <w:rsid w:val="001C2FAC"/>
    <w:rsid w:val="0062420C"/>
    <w:rsid w:val="007A30CE"/>
    <w:rsid w:val="009D5E5E"/>
    <w:rsid w:val="009E55C1"/>
    <w:rsid w:val="00B43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98B29"/>
  <w15:chartTrackingRefBased/>
  <w15:docId w15:val="{A85AFA97-1642-45DF-BDC3-B363FA6C8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E5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D5E5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D5E5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D5E5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D5E5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D5E5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5E5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5E5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5E5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E5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D5E5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D5E5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D5E5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D5E5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D5E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5E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5E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5E5E"/>
    <w:rPr>
      <w:rFonts w:eastAsiaTheme="majorEastAsia" w:cstheme="majorBidi"/>
      <w:color w:val="272727" w:themeColor="text1" w:themeTint="D8"/>
    </w:rPr>
  </w:style>
  <w:style w:type="paragraph" w:styleId="Title">
    <w:name w:val="Title"/>
    <w:basedOn w:val="Normal"/>
    <w:next w:val="Normal"/>
    <w:link w:val="TitleChar"/>
    <w:uiPriority w:val="10"/>
    <w:qFormat/>
    <w:rsid w:val="009D5E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E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5E5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E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5E5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5E5E"/>
    <w:rPr>
      <w:i/>
      <w:iCs/>
      <w:color w:val="404040" w:themeColor="text1" w:themeTint="BF"/>
    </w:rPr>
  </w:style>
  <w:style w:type="paragraph" w:styleId="ListParagraph">
    <w:name w:val="List Paragraph"/>
    <w:basedOn w:val="Normal"/>
    <w:uiPriority w:val="34"/>
    <w:qFormat/>
    <w:rsid w:val="009D5E5E"/>
    <w:pPr>
      <w:ind w:left="720"/>
      <w:contextualSpacing/>
    </w:pPr>
  </w:style>
  <w:style w:type="character" w:styleId="IntenseEmphasis">
    <w:name w:val="Intense Emphasis"/>
    <w:basedOn w:val="DefaultParagraphFont"/>
    <w:uiPriority w:val="21"/>
    <w:qFormat/>
    <w:rsid w:val="009D5E5E"/>
    <w:rPr>
      <w:i/>
      <w:iCs/>
      <w:color w:val="365F91" w:themeColor="accent1" w:themeShade="BF"/>
    </w:rPr>
  </w:style>
  <w:style w:type="paragraph" w:styleId="IntenseQuote">
    <w:name w:val="Intense Quote"/>
    <w:basedOn w:val="Normal"/>
    <w:next w:val="Normal"/>
    <w:link w:val="IntenseQuoteChar"/>
    <w:uiPriority w:val="30"/>
    <w:qFormat/>
    <w:rsid w:val="009D5E5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D5E5E"/>
    <w:rPr>
      <w:i/>
      <w:iCs/>
      <w:color w:val="365F91" w:themeColor="accent1" w:themeShade="BF"/>
    </w:rPr>
  </w:style>
  <w:style w:type="character" w:styleId="IntenseReference">
    <w:name w:val="Intense Reference"/>
    <w:basedOn w:val="DefaultParagraphFont"/>
    <w:uiPriority w:val="32"/>
    <w:qFormat/>
    <w:rsid w:val="009D5E5E"/>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webSettings" Target="webSettings.xml"/><Relationship Id="rId21" Type="http://schemas.openxmlformats.org/officeDocument/2006/relationships/package" Target="embeddings/Microsoft_PowerPoint_Slide8.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package" Target="embeddings/Microsoft_PowerPoint_Slide7.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1020</Words>
  <Characters>5817</Characters>
  <Application>Microsoft Office Word</Application>
  <DocSecurity>0</DocSecurity>
  <Lines>48</Lines>
  <Paragraphs>13</Paragraphs>
  <ScaleCrop>false</ScaleCrop>
  <Company>City &amp; County of Swansea</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Askill</dc:creator>
  <cp:keywords/>
  <dc:description/>
  <cp:lastModifiedBy>James Askill</cp:lastModifiedBy>
  <cp:revision>1</cp:revision>
  <dcterms:created xsi:type="dcterms:W3CDTF">2025-12-04T20:59:00Z</dcterms:created>
  <dcterms:modified xsi:type="dcterms:W3CDTF">2025-12-04T21:03:00Z</dcterms:modified>
</cp:coreProperties>
</file>