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5B9BC" w14:textId="58853BB1" w:rsidR="00EE6DA4" w:rsidRDefault="00D75341" w:rsidP="00D75341">
      <w:pPr>
        <w:jc w:val="center"/>
        <w:rPr>
          <w:rFonts w:ascii="Arial" w:hAnsi="Arial" w:cs="Arial"/>
          <w:b/>
          <w:bCs/>
          <w:sz w:val="28"/>
          <w:szCs w:val="28"/>
          <w:u w:val="single"/>
        </w:rPr>
      </w:pPr>
      <w:r w:rsidRPr="00E67563">
        <w:rPr>
          <w:rFonts w:ascii="Arial" w:hAnsi="Arial" w:cs="Arial"/>
          <w:b/>
          <w:bCs/>
          <w:sz w:val="28"/>
          <w:szCs w:val="28"/>
          <w:u w:val="single"/>
        </w:rPr>
        <w:t xml:space="preserve">Aesthetics </w:t>
      </w:r>
    </w:p>
    <w:p w14:paraId="0A4FDFDA" w14:textId="77777777" w:rsidR="00E309AD" w:rsidRPr="00E67563" w:rsidRDefault="00E309AD" w:rsidP="00D75341">
      <w:pPr>
        <w:jc w:val="center"/>
        <w:rPr>
          <w:rFonts w:ascii="Arial" w:hAnsi="Arial" w:cs="Arial"/>
          <w:b/>
          <w:bCs/>
          <w:sz w:val="28"/>
          <w:szCs w:val="28"/>
          <w:u w:val="single"/>
        </w:rPr>
      </w:pPr>
    </w:p>
    <w:p w14:paraId="3614B1DE" w14:textId="2DB2E14A" w:rsidR="00D75341" w:rsidRPr="001A6D0A" w:rsidRDefault="00D75341" w:rsidP="00E95A39">
      <w:pPr>
        <w:spacing w:line="360" w:lineRule="auto"/>
        <w:rPr>
          <w:rFonts w:ascii="Arial" w:hAnsi="Arial" w:cs="Arial"/>
        </w:rPr>
      </w:pPr>
      <w:r w:rsidRPr="001A6D0A">
        <w:rPr>
          <w:rFonts w:ascii="Arial" w:hAnsi="Arial" w:cs="Arial"/>
        </w:rPr>
        <w:t xml:space="preserve">Aesthetics within the concept of building design can be considered a philosophic study of how an object in the build environment can relate to nature through its shape, size, colour, texture, </w:t>
      </w:r>
      <w:r w:rsidR="00BE3766" w:rsidRPr="001A6D0A">
        <w:rPr>
          <w:rFonts w:ascii="Arial" w:hAnsi="Arial" w:cs="Arial"/>
        </w:rPr>
        <w:t xml:space="preserve">symmetry, alignment, and context in space. The overall aesthetics of a building can be influenced by the subjective taste of an individual. Within the creative design process, all the above mentioned are considered to create a unified whole. </w:t>
      </w:r>
    </w:p>
    <w:p w14:paraId="379E2A58" w14:textId="35A0B432" w:rsidR="00BE3766" w:rsidRPr="001A6D0A" w:rsidRDefault="00BE3766" w:rsidP="00E95A39">
      <w:pPr>
        <w:spacing w:line="360" w:lineRule="auto"/>
        <w:rPr>
          <w:rFonts w:ascii="Arial" w:hAnsi="Arial" w:cs="Arial"/>
        </w:rPr>
      </w:pPr>
      <w:r w:rsidRPr="001A6D0A">
        <w:rPr>
          <w:rFonts w:ascii="Arial" w:hAnsi="Arial" w:cs="Arial"/>
        </w:rPr>
        <w:t xml:space="preserve">A further consideration for the aesthetics of a building would be the performance of all elements considered and chosen in relation to their position within a design. The weathering and level of deterioration considered in the inclusion of any elements included in the fabric of the building. Although, the materials used in the final design exterior could and will be legally limited by planning and building regulations. </w:t>
      </w:r>
    </w:p>
    <w:p w14:paraId="79C3F405" w14:textId="51F7B886" w:rsidR="00906103" w:rsidRPr="001A6D0A" w:rsidRDefault="00E67563" w:rsidP="00E95A39">
      <w:pPr>
        <w:spacing w:line="360" w:lineRule="auto"/>
        <w:rPr>
          <w:rFonts w:ascii="Arial" w:hAnsi="Arial" w:cs="Arial"/>
        </w:rPr>
      </w:pPr>
      <w:r w:rsidRPr="001A6D0A">
        <w:rPr>
          <w:rFonts w:ascii="Arial" w:hAnsi="Arial" w:cs="Arial"/>
        </w:rPr>
        <w:t>Our design has been developed with the consideration of the link between the form of the building fabric and the local environmental needs. Further, the key features of the building are considered against the required internal environment (M. Riley and A. Cotgrave, p.4, 2014)</w:t>
      </w:r>
      <w:r w:rsidR="00906103" w:rsidRPr="001A6D0A">
        <w:rPr>
          <w:rFonts w:ascii="Arial" w:hAnsi="Arial" w:cs="Arial"/>
        </w:rPr>
        <w:t xml:space="preserve">. As modern buildings have evolved, the internal environment of the building requires control. It is important that the external fabric of a building is considered against the requirements of the internal environment. The main function of the building as designed is to protect the future occupiers and users against the elements or weather regardless of season. This function also providing suitable enclosures for any internal building services whilst being aesthetically pleasing (M. Riley and A. Cotgrave, p.4, 2014). </w:t>
      </w:r>
    </w:p>
    <w:p w14:paraId="276ED3B5" w14:textId="667D37C2" w:rsidR="00706B83" w:rsidRPr="001A6D0A" w:rsidRDefault="00706B83" w:rsidP="00E95A39">
      <w:pPr>
        <w:spacing w:line="360" w:lineRule="auto"/>
        <w:rPr>
          <w:rFonts w:ascii="Arial" w:hAnsi="Arial" w:cs="Arial"/>
        </w:rPr>
      </w:pPr>
      <w:r w:rsidRPr="001A6D0A">
        <w:rPr>
          <w:rFonts w:ascii="Arial" w:hAnsi="Arial" w:cs="Arial"/>
        </w:rPr>
        <w:t xml:space="preserve">The domestic dwelling areas of our design have been considered against the perceptions of the level of comfort that occupants of modern buildings consider a basic requirement. The consideration and provision of acceptable levels of internal conditions regardless of season of the year relies on </w:t>
      </w:r>
      <w:r w:rsidR="00CE7D35" w:rsidRPr="001A6D0A">
        <w:rPr>
          <w:rFonts w:ascii="Arial" w:hAnsi="Arial" w:cs="Arial"/>
        </w:rPr>
        <w:t xml:space="preserve">elements that have affect on the internal performance of the building. The provision of acoustic and thermal insulation with temperature control is designed within the building. The control of humidity and exclusion of contaminants with an acceptable level of artificial or natural light, all have been included in the design (M. Riley and A. Cotgrave, p.6, 2014). </w:t>
      </w:r>
    </w:p>
    <w:p w14:paraId="6CD0F553" w14:textId="5A2C7786" w:rsidR="00CE7D35" w:rsidRPr="001A6D0A" w:rsidRDefault="00CE7D35" w:rsidP="00E95A39">
      <w:pPr>
        <w:spacing w:line="360" w:lineRule="auto"/>
        <w:rPr>
          <w:rFonts w:ascii="Arial" w:hAnsi="Arial" w:cs="Arial"/>
        </w:rPr>
      </w:pPr>
      <w:r w:rsidRPr="001A6D0A">
        <w:rPr>
          <w:rFonts w:ascii="Arial" w:hAnsi="Arial" w:cs="Arial"/>
        </w:rPr>
        <w:t xml:space="preserve">The minimum standards for the performance of a new building are set against the parameters required by regulations included in the Building regulations covering the whole of the design, </w:t>
      </w:r>
      <w:r w:rsidR="00536AAE" w:rsidRPr="001A6D0A">
        <w:rPr>
          <w:rFonts w:ascii="Arial" w:hAnsi="Arial" w:cs="Arial"/>
        </w:rPr>
        <w:t>whether</w:t>
      </w:r>
      <w:r w:rsidRPr="001A6D0A">
        <w:rPr>
          <w:rFonts w:ascii="Arial" w:hAnsi="Arial" w:cs="Arial"/>
        </w:rPr>
        <w:t xml:space="preserve"> domestic or commercial regulations.</w:t>
      </w:r>
      <w:r w:rsidR="00E90AB2" w:rsidRPr="001A6D0A">
        <w:rPr>
          <w:rFonts w:ascii="Arial" w:hAnsi="Arial" w:cs="Arial"/>
        </w:rPr>
        <w:t xml:space="preserve"> The regulations aiding the designer to ensure the building is effectively designed with elements which consider the environment</w:t>
      </w:r>
      <w:r w:rsidR="00536AAE" w:rsidRPr="001A6D0A">
        <w:rPr>
          <w:rFonts w:ascii="Arial" w:hAnsi="Arial" w:cs="Arial"/>
        </w:rPr>
        <w:t xml:space="preserve"> (M. Riley and A. Cotgrave, p.</w:t>
      </w:r>
      <w:r w:rsidR="00E309AD" w:rsidRPr="001A6D0A">
        <w:rPr>
          <w:rFonts w:ascii="Arial" w:hAnsi="Arial" w:cs="Arial"/>
        </w:rPr>
        <w:t>7</w:t>
      </w:r>
      <w:r w:rsidR="00536AAE" w:rsidRPr="001A6D0A">
        <w:rPr>
          <w:rFonts w:ascii="Arial" w:hAnsi="Arial" w:cs="Arial"/>
        </w:rPr>
        <w:t xml:space="preserve">, 2014). </w:t>
      </w:r>
      <w:r w:rsidR="00647907" w:rsidRPr="001A6D0A">
        <w:rPr>
          <w:rFonts w:ascii="Arial" w:hAnsi="Arial" w:cs="Arial"/>
        </w:rPr>
        <w:t xml:space="preserve">Further, the structural behaviour of the elements </w:t>
      </w:r>
      <w:r w:rsidR="00647907" w:rsidRPr="001A6D0A">
        <w:rPr>
          <w:rFonts w:ascii="Arial" w:hAnsi="Arial" w:cs="Arial"/>
        </w:rPr>
        <w:lastRenderedPageBreak/>
        <w:t>included in the design of the building have been considered against the forces of nature acting on the building and the nature of the individual components (M. Riley and A. Cotgrave, p.17, 2014).</w:t>
      </w:r>
      <w:r w:rsidR="0039302C">
        <w:rPr>
          <w:rFonts w:ascii="Arial" w:hAnsi="Arial" w:cs="Arial"/>
        </w:rPr>
        <w:t xml:space="preserve"> </w:t>
      </w:r>
    </w:p>
    <w:p w14:paraId="79191DFA" w14:textId="24F19571" w:rsidR="00CE7D35" w:rsidRPr="001A6D0A" w:rsidRDefault="00CE7D35" w:rsidP="00D75341">
      <w:pPr>
        <w:rPr>
          <w:rFonts w:ascii="Arial" w:hAnsi="Arial" w:cs="Arial"/>
        </w:rPr>
      </w:pPr>
      <w:r w:rsidRPr="001A6D0A">
        <w:rPr>
          <w:rFonts w:ascii="Arial" w:hAnsi="Arial" w:cs="Arial"/>
        </w:rPr>
        <w:t xml:space="preserve"> </w:t>
      </w:r>
    </w:p>
    <w:p w14:paraId="35DF69EB" w14:textId="38EB15C0" w:rsidR="00906103" w:rsidRPr="001A6D0A" w:rsidRDefault="001D0A1E" w:rsidP="001D0A1E">
      <w:pPr>
        <w:spacing w:line="360" w:lineRule="auto"/>
        <w:rPr>
          <w:rFonts w:ascii="Arial" w:hAnsi="Arial" w:cs="Arial"/>
          <w:b/>
          <w:bCs/>
        </w:rPr>
      </w:pPr>
      <w:r w:rsidRPr="001A6D0A">
        <w:rPr>
          <w:rFonts w:ascii="Arial" w:hAnsi="Arial" w:cs="Arial"/>
          <w:b/>
          <w:bCs/>
        </w:rPr>
        <w:t xml:space="preserve">Social Aspects </w:t>
      </w:r>
    </w:p>
    <w:p w14:paraId="2DAE42EA" w14:textId="4FB4ECB0" w:rsidR="001D0A1E" w:rsidRDefault="001D0A1E" w:rsidP="001D0A1E">
      <w:pPr>
        <w:spacing w:line="360" w:lineRule="auto"/>
        <w:rPr>
          <w:rFonts w:ascii="Arial" w:hAnsi="Arial" w:cs="Arial"/>
        </w:rPr>
      </w:pPr>
      <w:r w:rsidRPr="001A6D0A">
        <w:rPr>
          <w:rFonts w:ascii="Arial" w:hAnsi="Arial" w:cs="Arial"/>
        </w:rPr>
        <w:t>The social aspects of the building as designed</w:t>
      </w:r>
      <w:r w:rsidR="00F462EE">
        <w:rPr>
          <w:rFonts w:ascii="Arial" w:hAnsi="Arial" w:cs="Arial"/>
        </w:rPr>
        <w:t xml:space="preserve"> were</w:t>
      </w:r>
      <w:r w:rsidRPr="001A6D0A">
        <w:rPr>
          <w:rFonts w:ascii="Arial" w:hAnsi="Arial" w:cs="Arial"/>
        </w:rPr>
        <w:t xml:space="preserve"> considered with any unintended consequences for the surrounding community in the Environmental impact study. Where possible the fabric elements included in the design are from potentially local sources. With the intention that a majority of the labour required to complete the project will be from the local surrounding area. Buildings are produced by society</w:t>
      </w:r>
      <w:r w:rsidR="007E02F5" w:rsidRPr="001A6D0A">
        <w:rPr>
          <w:rFonts w:ascii="Arial" w:hAnsi="Arial" w:cs="Arial"/>
        </w:rPr>
        <w:t>,</w:t>
      </w:r>
      <w:r w:rsidRPr="001A6D0A">
        <w:rPr>
          <w:rFonts w:ascii="Arial" w:hAnsi="Arial" w:cs="Arial"/>
        </w:rPr>
        <w:t xml:space="preserve"> which</w:t>
      </w:r>
      <w:r w:rsidR="007E02F5" w:rsidRPr="001A6D0A">
        <w:rPr>
          <w:rFonts w:ascii="Arial" w:hAnsi="Arial" w:cs="Arial"/>
        </w:rPr>
        <w:t xml:space="preserve"> in themselves</w:t>
      </w:r>
      <w:r w:rsidRPr="001A6D0A">
        <w:rPr>
          <w:rFonts w:ascii="Arial" w:hAnsi="Arial" w:cs="Arial"/>
        </w:rPr>
        <w:t xml:space="preserve"> do not produce societ</w:t>
      </w:r>
      <w:r w:rsidR="000D77BE" w:rsidRPr="001A6D0A">
        <w:rPr>
          <w:rFonts w:ascii="Arial" w:hAnsi="Arial" w:cs="Arial"/>
        </w:rPr>
        <w:t>y. B</w:t>
      </w:r>
      <w:r w:rsidRPr="001A6D0A">
        <w:rPr>
          <w:rFonts w:ascii="Arial" w:hAnsi="Arial" w:cs="Arial"/>
        </w:rPr>
        <w:t xml:space="preserve">ut help to maintain many of the social forms within society. </w:t>
      </w:r>
      <w:r w:rsidR="005A3EC0" w:rsidRPr="001A6D0A">
        <w:rPr>
          <w:rFonts w:ascii="Arial" w:hAnsi="Arial" w:cs="Arial"/>
        </w:rPr>
        <w:t xml:space="preserve">The building form included in the design will influence human behaviour by the use of the building itself, this potential influence has been considered in the proposed design. </w:t>
      </w:r>
    </w:p>
    <w:p w14:paraId="223B5FE3" w14:textId="420910B2" w:rsidR="00A745E8" w:rsidRPr="000A58C7" w:rsidRDefault="00F779D9" w:rsidP="001D0A1E">
      <w:pPr>
        <w:spacing w:line="360" w:lineRule="auto"/>
        <w:rPr>
          <w:rFonts w:ascii="Arial" w:hAnsi="Arial" w:cs="Arial"/>
        </w:rPr>
      </w:pPr>
      <w:r>
        <w:rPr>
          <w:rFonts w:ascii="Arial" w:hAnsi="Arial" w:cs="Arial"/>
        </w:rPr>
        <w:t>The natural world has been shaped by the knowledge and capabilities of human beings</w:t>
      </w:r>
      <w:r w:rsidR="00BE2E21">
        <w:rPr>
          <w:rFonts w:ascii="Arial" w:hAnsi="Arial" w:cs="Arial"/>
        </w:rPr>
        <w:t>. Human beings have constructed urban areas which affect the quality of life of those living within an urban environment. With the surrounding countryside, a product of interactive, social relationships between each other and the immediate natural world. The impact of our use of our environment and social interactions can be seen affecting the wider environment. These interactions, necessitating  the moderation of our behaviour</w:t>
      </w:r>
      <w:r w:rsidR="00C37538">
        <w:rPr>
          <w:rFonts w:ascii="Arial" w:hAnsi="Arial" w:cs="Arial"/>
        </w:rPr>
        <w:t xml:space="preserve"> </w:t>
      </w:r>
      <w:sdt>
        <w:sdtPr>
          <w:rPr>
            <w:rFonts w:ascii="Arial" w:hAnsi="Arial" w:cs="Arial"/>
          </w:rPr>
          <w:id w:val="-1760059283"/>
          <w:citation/>
        </w:sdtPr>
        <w:sdtContent>
          <w:r w:rsidR="00C37538">
            <w:rPr>
              <w:rFonts w:ascii="Arial" w:hAnsi="Arial" w:cs="Arial"/>
            </w:rPr>
            <w:fldChar w:fldCharType="begin"/>
          </w:r>
          <w:r w:rsidR="00C37538">
            <w:rPr>
              <w:rFonts w:ascii="Arial" w:hAnsi="Arial" w:cs="Arial"/>
            </w:rPr>
            <w:instrText xml:space="preserve">CITATION Joh15 \p 98-99 \l 2057 </w:instrText>
          </w:r>
          <w:r w:rsidR="00C37538">
            <w:rPr>
              <w:rFonts w:ascii="Arial" w:hAnsi="Arial" w:cs="Arial"/>
            </w:rPr>
            <w:fldChar w:fldCharType="separate"/>
          </w:r>
          <w:r w:rsidR="000A58C7" w:rsidRPr="000A58C7">
            <w:rPr>
              <w:rFonts w:ascii="Arial" w:hAnsi="Arial" w:cs="Arial"/>
              <w:noProof/>
            </w:rPr>
            <w:t>(Blewitt, 2015, pp. 98-99)</w:t>
          </w:r>
          <w:r w:rsidR="00C37538">
            <w:rPr>
              <w:rFonts w:ascii="Arial" w:hAnsi="Arial" w:cs="Arial"/>
            </w:rPr>
            <w:fldChar w:fldCharType="end"/>
          </w:r>
        </w:sdtContent>
      </w:sdt>
      <w:r w:rsidR="000A58C7">
        <w:rPr>
          <w:rFonts w:ascii="Arial" w:hAnsi="Arial" w:cs="Arial"/>
        </w:rPr>
        <w:t>. The interactions could be termed ‘social capital’</w:t>
      </w:r>
      <w:r w:rsidR="008F3AF3">
        <w:rPr>
          <w:rFonts w:ascii="Arial" w:hAnsi="Arial" w:cs="Arial"/>
        </w:rPr>
        <w:t xml:space="preserve">. The relationships between individuals and groups denotes part of the social interaction of society </w:t>
      </w:r>
      <w:sdt>
        <w:sdtPr>
          <w:rPr>
            <w:rFonts w:ascii="Arial" w:hAnsi="Arial" w:cs="Arial"/>
          </w:rPr>
          <w:id w:val="-1479211450"/>
          <w:citation/>
        </w:sdtPr>
        <w:sdtContent>
          <w:r w:rsidR="008F3AF3">
            <w:rPr>
              <w:rFonts w:ascii="Arial" w:hAnsi="Arial" w:cs="Arial"/>
            </w:rPr>
            <w:fldChar w:fldCharType="begin"/>
          </w:r>
          <w:r w:rsidR="008F3AF3">
            <w:rPr>
              <w:rFonts w:ascii="Arial" w:hAnsi="Arial" w:cs="Arial"/>
            </w:rPr>
            <w:instrText xml:space="preserve">CITATION Joh15 \p 101 \l 2057 </w:instrText>
          </w:r>
          <w:r w:rsidR="008F3AF3">
            <w:rPr>
              <w:rFonts w:ascii="Arial" w:hAnsi="Arial" w:cs="Arial"/>
            </w:rPr>
            <w:fldChar w:fldCharType="separate"/>
          </w:r>
          <w:r w:rsidR="008F3AF3" w:rsidRPr="008F3AF3">
            <w:rPr>
              <w:rFonts w:ascii="Arial" w:hAnsi="Arial" w:cs="Arial"/>
              <w:noProof/>
            </w:rPr>
            <w:t>(Blewitt, 2015, p. 101)</w:t>
          </w:r>
          <w:r w:rsidR="008F3AF3">
            <w:rPr>
              <w:rFonts w:ascii="Arial" w:hAnsi="Arial" w:cs="Arial"/>
            </w:rPr>
            <w:fldChar w:fldCharType="end"/>
          </w:r>
        </w:sdtContent>
      </w:sdt>
    </w:p>
    <w:p w14:paraId="320DE6A5" w14:textId="57E59474" w:rsidR="00906103" w:rsidRDefault="00906103" w:rsidP="00D75341">
      <w:pPr>
        <w:rPr>
          <w:rFonts w:ascii="Arial" w:hAnsi="Arial" w:cs="Arial"/>
          <w:sz w:val="24"/>
          <w:szCs w:val="24"/>
        </w:rPr>
      </w:pPr>
    </w:p>
    <w:p w14:paraId="1D7CFA24" w14:textId="53374CB4" w:rsidR="00010195" w:rsidRDefault="00010195" w:rsidP="00D75341">
      <w:pPr>
        <w:rPr>
          <w:rFonts w:ascii="Arial" w:hAnsi="Arial" w:cs="Arial"/>
          <w:sz w:val="24"/>
          <w:szCs w:val="24"/>
        </w:rPr>
      </w:pPr>
      <w:r>
        <w:rPr>
          <w:rFonts w:ascii="Arial" w:hAnsi="Arial" w:cs="Arial"/>
          <w:sz w:val="24"/>
          <w:szCs w:val="24"/>
        </w:rPr>
        <w:t>References</w:t>
      </w:r>
    </w:p>
    <w:p w14:paraId="6B537FA0" w14:textId="77777777" w:rsidR="00906103" w:rsidRPr="00906103" w:rsidRDefault="00906103" w:rsidP="00906103">
      <w:pPr>
        <w:rPr>
          <w:rFonts w:ascii="Arial" w:hAnsi="Arial" w:cs="Arial"/>
          <w:sz w:val="24"/>
          <w:szCs w:val="24"/>
        </w:rPr>
      </w:pPr>
      <w:r w:rsidRPr="00906103">
        <w:rPr>
          <w:rFonts w:ascii="Arial" w:hAnsi="Arial" w:cs="Arial"/>
          <w:sz w:val="24"/>
          <w:szCs w:val="24"/>
        </w:rPr>
        <w:t xml:space="preserve">Riley M and Cotgrave A, 2014 Industrial and Commercial Building, third edition, Palgrave Macmillan, Basingstoke </w:t>
      </w:r>
    </w:p>
    <w:p w14:paraId="20AE0296" w14:textId="51E77812" w:rsidR="00F97332" w:rsidRPr="00D75341" w:rsidRDefault="00F97332" w:rsidP="00D75341">
      <w:pPr>
        <w:rPr>
          <w:rFonts w:ascii="Arial" w:hAnsi="Arial" w:cs="Arial"/>
          <w:sz w:val="24"/>
          <w:szCs w:val="24"/>
        </w:rPr>
      </w:pPr>
      <w:sdt>
        <w:sdtPr>
          <w:rPr>
            <w:rFonts w:ascii="Arial" w:hAnsi="Arial" w:cs="Arial"/>
            <w:sz w:val="24"/>
            <w:szCs w:val="24"/>
          </w:rPr>
          <w:id w:val="843987879"/>
          <w:citation/>
        </w:sdtPr>
        <w:sdtContent>
          <w:r>
            <w:rPr>
              <w:rFonts w:ascii="Arial" w:hAnsi="Arial" w:cs="Arial"/>
              <w:sz w:val="24"/>
              <w:szCs w:val="24"/>
            </w:rPr>
            <w:fldChar w:fldCharType="begin"/>
          </w:r>
          <w:r w:rsidR="00F462EE">
            <w:rPr>
              <w:rFonts w:ascii="Arial" w:hAnsi="Arial" w:cs="Arial"/>
              <w:sz w:val="24"/>
              <w:szCs w:val="24"/>
            </w:rPr>
            <w:instrText xml:space="preserve">CITATION Ril14 \l 2057 </w:instrText>
          </w:r>
          <w:r>
            <w:rPr>
              <w:rFonts w:ascii="Arial" w:hAnsi="Arial" w:cs="Arial"/>
              <w:sz w:val="24"/>
              <w:szCs w:val="24"/>
            </w:rPr>
            <w:fldChar w:fldCharType="separate"/>
          </w:r>
          <w:r w:rsidR="000A58C7" w:rsidRPr="000A58C7">
            <w:rPr>
              <w:rFonts w:ascii="Arial" w:hAnsi="Arial" w:cs="Arial"/>
              <w:noProof/>
              <w:sz w:val="24"/>
              <w:szCs w:val="24"/>
            </w:rPr>
            <w:t>(A, 2014)</w:t>
          </w:r>
          <w:r>
            <w:rPr>
              <w:rFonts w:ascii="Arial" w:hAnsi="Arial" w:cs="Arial"/>
              <w:sz w:val="24"/>
              <w:szCs w:val="24"/>
            </w:rPr>
            <w:fldChar w:fldCharType="end"/>
          </w:r>
        </w:sdtContent>
      </w:sdt>
    </w:p>
    <w:sdt>
      <w:sdtPr>
        <w:id w:val="122657698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EA607BD" w14:textId="672F81AC" w:rsidR="00F97332" w:rsidRDefault="00F97332">
          <w:pPr>
            <w:pStyle w:val="Heading1"/>
          </w:pPr>
          <w:r>
            <w:t>Bibliography</w:t>
          </w:r>
        </w:p>
        <w:sdt>
          <w:sdtPr>
            <w:id w:val="111145805"/>
            <w:bibliography/>
          </w:sdtPr>
          <w:sdtContent>
            <w:p w14:paraId="0BD2F81C" w14:textId="77777777" w:rsidR="000A58C7" w:rsidRDefault="00F97332" w:rsidP="000A58C7">
              <w:pPr>
                <w:pStyle w:val="Bibliography"/>
                <w:rPr>
                  <w:noProof/>
                  <w:sz w:val="24"/>
                  <w:szCs w:val="24"/>
                  <w:lang w:val="en-US"/>
                </w:rPr>
              </w:pPr>
              <w:r>
                <w:fldChar w:fldCharType="begin"/>
              </w:r>
              <w:r>
                <w:instrText xml:space="preserve"> BIBLIOGRAPHY </w:instrText>
              </w:r>
              <w:r>
                <w:fldChar w:fldCharType="separate"/>
              </w:r>
              <w:r w:rsidR="000A58C7">
                <w:rPr>
                  <w:noProof/>
                  <w:lang w:val="en-US"/>
                </w:rPr>
                <w:t xml:space="preserve">A, R. M. C., 2014. </w:t>
              </w:r>
              <w:r w:rsidR="000A58C7">
                <w:rPr>
                  <w:i/>
                  <w:iCs/>
                  <w:noProof/>
                  <w:lang w:val="en-US"/>
                </w:rPr>
                <w:t xml:space="preserve">Industrial and Commercial Building. </w:t>
              </w:r>
              <w:r w:rsidR="000A58C7">
                <w:rPr>
                  <w:noProof/>
                  <w:lang w:val="en-US"/>
                </w:rPr>
                <w:t>Third edition ed. Basingstoke: Palgrave Macmillan.</w:t>
              </w:r>
            </w:p>
            <w:p w14:paraId="37851088" w14:textId="77777777" w:rsidR="000A58C7" w:rsidRDefault="000A58C7" w:rsidP="000A58C7">
              <w:pPr>
                <w:pStyle w:val="Bibliography"/>
                <w:rPr>
                  <w:noProof/>
                  <w:lang w:val="en-US"/>
                </w:rPr>
              </w:pPr>
              <w:r>
                <w:rPr>
                  <w:noProof/>
                  <w:lang w:val="en-US"/>
                </w:rPr>
                <w:t xml:space="preserve">Blewitt, J., 2015. </w:t>
              </w:r>
              <w:r>
                <w:rPr>
                  <w:i/>
                  <w:iCs/>
                  <w:noProof/>
                  <w:lang w:val="en-US"/>
                </w:rPr>
                <w:t xml:space="preserve">Understanding Sustainable Development. </w:t>
              </w:r>
              <w:r>
                <w:rPr>
                  <w:noProof/>
                  <w:lang w:val="en-US"/>
                </w:rPr>
                <w:t>Second edition ed. Oxford : Routledge .</w:t>
              </w:r>
            </w:p>
            <w:p w14:paraId="5283AFEE" w14:textId="06182426" w:rsidR="00F97332" w:rsidRDefault="00F97332" w:rsidP="000A58C7">
              <w:r>
                <w:rPr>
                  <w:b/>
                  <w:bCs/>
                  <w:noProof/>
                </w:rPr>
                <w:fldChar w:fldCharType="end"/>
              </w:r>
            </w:p>
          </w:sdtContent>
        </w:sdt>
      </w:sdtContent>
    </w:sdt>
    <w:p w14:paraId="32330BAB" w14:textId="7F8EB476" w:rsidR="00906103" w:rsidRPr="00D75341" w:rsidRDefault="00906103" w:rsidP="00D75341">
      <w:pPr>
        <w:rPr>
          <w:rFonts w:ascii="Arial" w:hAnsi="Arial" w:cs="Arial"/>
          <w:sz w:val="24"/>
          <w:szCs w:val="24"/>
        </w:rPr>
      </w:pPr>
    </w:p>
    <w:sectPr w:rsidR="00906103" w:rsidRPr="00D75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341"/>
    <w:rsid w:val="00010195"/>
    <w:rsid w:val="000A58C7"/>
    <w:rsid w:val="000D77BE"/>
    <w:rsid w:val="001A6D0A"/>
    <w:rsid w:val="001D0A1E"/>
    <w:rsid w:val="0039302C"/>
    <w:rsid w:val="00536AAE"/>
    <w:rsid w:val="005A3EC0"/>
    <w:rsid w:val="00647907"/>
    <w:rsid w:val="006B07DC"/>
    <w:rsid w:val="00706B83"/>
    <w:rsid w:val="007E02F5"/>
    <w:rsid w:val="008F3AF3"/>
    <w:rsid w:val="00906103"/>
    <w:rsid w:val="00A745E8"/>
    <w:rsid w:val="00B76B71"/>
    <w:rsid w:val="00BE2E21"/>
    <w:rsid w:val="00BE3766"/>
    <w:rsid w:val="00C37538"/>
    <w:rsid w:val="00CE7D35"/>
    <w:rsid w:val="00D75341"/>
    <w:rsid w:val="00D8542F"/>
    <w:rsid w:val="00E309AD"/>
    <w:rsid w:val="00E67563"/>
    <w:rsid w:val="00E90AB2"/>
    <w:rsid w:val="00E95A39"/>
    <w:rsid w:val="00EE6DA4"/>
    <w:rsid w:val="00F462EE"/>
    <w:rsid w:val="00F779D9"/>
    <w:rsid w:val="00F9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B453"/>
  <w15:chartTrackingRefBased/>
  <w15:docId w15:val="{D88D7BE4-6900-4EED-9543-2309A9CB2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3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3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97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756871">
      <w:bodyDiv w:val="1"/>
      <w:marLeft w:val="0"/>
      <w:marRight w:val="0"/>
      <w:marTop w:val="0"/>
      <w:marBottom w:val="0"/>
      <w:divBdr>
        <w:top w:val="none" w:sz="0" w:space="0" w:color="auto"/>
        <w:left w:val="none" w:sz="0" w:space="0" w:color="auto"/>
        <w:bottom w:val="none" w:sz="0" w:space="0" w:color="auto"/>
        <w:right w:val="none" w:sz="0" w:space="0" w:color="auto"/>
      </w:divBdr>
    </w:div>
    <w:div w:id="392049061">
      <w:bodyDiv w:val="1"/>
      <w:marLeft w:val="0"/>
      <w:marRight w:val="0"/>
      <w:marTop w:val="0"/>
      <w:marBottom w:val="0"/>
      <w:divBdr>
        <w:top w:val="none" w:sz="0" w:space="0" w:color="auto"/>
        <w:left w:val="none" w:sz="0" w:space="0" w:color="auto"/>
        <w:bottom w:val="none" w:sz="0" w:space="0" w:color="auto"/>
        <w:right w:val="none" w:sz="0" w:space="0" w:color="auto"/>
      </w:divBdr>
    </w:div>
    <w:div w:id="553665649">
      <w:bodyDiv w:val="1"/>
      <w:marLeft w:val="0"/>
      <w:marRight w:val="0"/>
      <w:marTop w:val="0"/>
      <w:marBottom w:val="0"/>
      <w:divBdr>
        <w:top w:val="none" w:sz="0" w:space="0" w:color="auto"/>
        <w:left w:val="none" w:sz="0" w:space="0" w:color="auto"/>
        <w:bottom w:val="none" w:sz="0" w:space="0" w:color="auto"/>
        <w:right w:val="none" w:sz="0" w:space="0" w:color="auto"/>
      </w:divBdr>
    </w:div>
    <w:div w:id="631716368">
      <w:bodyDiv w:val="1"/>
      <w:marLeft w:val="0"/>
      <w:marRight w:val="0"/>
      <w:marTop w:val="0"/>
      <w:marBottom w:val="0"/>
      <w:divBdr>
        <w:top w:val="none" w:sz="0" w:space="0" w:color="auto"/>
        <w:left w:val="none" w:sz="0" w:space="0" w:color="auto"/>
        <w:bottom w:val="none" w:sz="0" w:space="0" w:color="auto"/>
        <w:right w:val="none" w:sz="0" w:space="0" w:color="auto"/>
      </w:divBdr>
    </w:div>
    <w:div w:id="748232278">
      <w:bodyDiv w:val="1"/>
      <w:marLeft w:val="0"/>
      <w:marRight w:val="0"/>
      <w:marTop w:val="0"/>
      <w:marBottom w:val="0"/>
      <w:divBdr>
        <w:top w:val="none" w:sz="0" w:space="0" w:color="auto"/>
        <w:left w:val="none" w:sz="0" w:space="0" w:color="auto"/>
        <w:bottom w:val="none" w:sz="0" w:space="0" w:color="auto"/>
        <w:right w:val="none" w:sz="0" w:space="0" w:color="auto"/>
      </w:divBdr>
    </w:div>
    <w:div w:id="855922569">
      <w:bodyDiv w:val="1"/>
      <w:marLeft w:val="0"/>
      <w:marRight w:val="0"/>
      <w:marTop w:val="0"/>
      <w:marBottom w:val="0"/>
      <w:divBdr>
        <w:top w:val="none" w:sz="0" w:space="0" w:color="auto"/>
        <w:left w:val="none" w:sz="0" w:space="0" w:color="auto"/>
        <w:bottom w:val="none" w:sz="0" w:space="0" w:color="auto"/>
        <w:right w:val="none" w:sz="0" w:space="0" w:color="auto"/>
      </w:divBdr>
    </w:div>
    <w:div w:id="861816756">
      <w:bodyDiv w:val="1"/>
      <w:marLeft w:val="0"/>
      <w:marRight w:val="0"/>
      <w:marTop w:val="0"/>
      <w:marBottom w:val="0"/>
      <w:divBdr>
        <w:top w:val="none" w:sz="0" w:space="0" w:color="auto"/>
        <w:left w:val="none" w:sz="0" w:space="0" w:color="auto"/>
        <w:bottom w:val="none" w:sz="0" w:space="0" w:color="auto"/>
        <w:right w:val="none" w:sz="0" w:space="0" w:color="auto"/>
      </w:divBdr>
    </w:div>
    <w:div w:id="1717506870">
      <w:bodyDiv w:val="1"/>
      <w:marLeft w:val="0"/>
      <w:marRight w:val="0"/>
      <w:marTop w:val="0"/>
      <w:marBottom w:val="0"/>
      <w:divBdr>
        <w:top w:val="none" w:sz="0" w:space="0" w:color="auto"/>
        <w:left w:val="none" w:sz="0" w:space="0" w:color="auto"/>
        <w:bottom w:val="none" w:sz="0" w:space="0" w:color="auto"/>
        <w:right w:val="none" w:sz="0" w:space="0" w:color="auto"/>
      </w:divBdr>
    </w:div>
    <w:div w:id="1804615508">
      <w:bodyDiv w:val="1"/>
      <w:marLeft w:val="0"/>
      <w:marRight w:val="0"/>
      <w:marTop w:val="0"/>
      <w:marBottom w:val="0"/>
      <w:divBdr>
        <w:top w:val="none" w:sz="0" w:space="0" w:color="auto"/>
        <w:left w:val="none" w:sz="0" w:space="0" w:color="auto"/>
        <w:bottom w:val="none" w:sz="0" w:space="0" w:color="auto"/>
        <w:right w:val="none" w:sz="0" w:space="0" w:color="auto"/>
      </w:divBdr>
    </w:div>
    <w:div w:id="184670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Ril14</b:Tag>
    <b:SourceType>Book</b:SourceType>
    <b:Guid>{9BD8F783-8BDD-4D12-B2D7-44F195606718}</b:Guid>
    <b:Title>Industrial and Commercial Building</b:Title>
    <b:Year>2014</b:Year>
    <b:Author>
      <b:Author>
        <b:NameList>
          <b:Person>
            <b:Last>A</b:Last>
            <b:First>Riley,</b:First>
            <b:Middle>M Cotgrave</b:Middle>
          </b:Person>
        </b:NameList>
      </b:Author>
    </b:Author>
    <b:City>Basingstoke</b:City>
    <b:Publisher>Palgrave Macmillan</b:Publisher>
    <b:Edition>Third edition</b:Edition>
    <b:RefOrder>2</b:RefOrder>
  </b:Source>
  <b:Source>
    <b:Tag>Joh15</b:Tag>
    <b:SourceType>Book</b:SourceType>
    <b:Guid>{0260E2B4-5508-4E60-BA7D-05BCED07352B}</b:Guid>
    <b:Author>
      <b:Author>
        <b:NameList>
          <b:Person>
            <b:Last>Blewitt</b:Last>
            <b:First>John</b:First>
          </b:Person>
        </b:NameList>
      </b:Author>
    </b:Author>
    <b:Title>Understanding Sustainable Development </b:Title>
    <b:Year>2015</b:Year>
    <b:City>Oxford </b:City>
    <b:Publisher>Routledge </b:Publisher>
    <b:Edition>Second edition </b:Edition>
    <b:RefOrder>1</b:RefOrder>
  </b:Source>
</b:Sources>
</file>

<file path=customXml/itemProps1.xml><?xml version="1.0" encoding="utf-8"?>
<ds:datastoreItem xmlns:ds="http://schemas.openxmlformats.org/officeDocument/2006/customXml" ds:itemID="{89DEBF15-6490-402E-B9DA-0886BD0B4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728</Words>
  <Characters>4154</Characters>
  <Application>Microsoft Office Word</Application>
  <DocSecurity>0</DocSecurity>
  <Lines>34</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26</cp:revision>
  <dcterms:created xsi:type="dcterms:W3CDTF">2021-04-19T12:46:00Z</dcterms:created>
  <dcterms:modified xsi:type="dcterms:W3CDTF">2021-04-26T14:22:00Z</dcterms:modified>
</cp:coreProperties>
</file>