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header2.xml" ContentType="application/vnd.openxmlformats-officedocument.wordprocessingml.header+xml"/>
  <Override PartName="/word/media/image9.png" ContentType="image/png"/>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header2.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FFFFFF"/>
  <w:body>
    <w:p>
      <w:pPr>
        <w:pStyle w:val="Heading1"/>
        <w:rPr>
          <w:lang w:val="en-GB"/>
        </w:rPr>
      </w:pPr>
      <w:r>
        <w:rPr>
          <w:lang w:val="en-GB"/>
        </w:rPr>
      </w:r>
      <w:bookmarkStart w:id="0" w:name="_apt3obv5j626"/>
      <w:bookmarkStart w:id="1" w:name="_apt3obv5j626"/>
      <w:bookmarkEnd w:id="1"/>
    </w:p>
    <w:p>
      <w:pPr>
        <w:pStyle w:val="Heading1"/>
        <w:rPr>
          <w:lang w:val="en-GB"/>
        </w:rPr>
      </w:pPr>
      <w:r>
        <w:rPr>
          <w:lang w:val="en-GB"/>
        </w:rPr>
      </w:r>
    </w:p>
    <w:p>
      <w:pPr>
        <w:pStyle w:val="Heading1"/>
        <w:rPr>
          <w:lang w:val="en-GB"/>
        </w:rPr>
      </w:pPr>
      <w:r>
        <w:rPr>
          <w:lang w:val="en-GB"/>
        </w:rPr>
      </w:r>
    </w:p>
    <w:p>
      <w:pPr>
        <w:pStyle w:val="Normal"/>
        <w:rPr>
          <w:lang w:val="en-GB"/>
        </w:rPr>
      </w:pPr>
      <w:r>
        <w:rPr>
          <w:lang w:val="en-GB"/>
        </w:rPr>
      </w:r>
    </w:p>
    <w:p>
      <w:pPr>
        <w:pStyle w:val="Normal"/>
        <w:rPr>
          <w:lang w:val="en-GB"/>
        </w:rPr>
      </w:pPr>
      <w:r>
        <w:rPr>
          <w:lang w:val="en-GB"/>
        </w:rPr>
        <w:t xml:space="preserve">                                                          </w:t>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jc w:val="center"/>
        <w:rPr/>
      </w:pPr>
      <w:r>
        <w:rPr/>
        <w:t>Name of the student: Alexandru Baractaru</w:t>
      </w:r>
    </w:p>
    <w:p>
      <w:pPr>
        <w:pStyle w:val="Normal"/>
        <w:jc w:val="center"/>
        <w:rPr/>
      </w:pPr>
      <w:r>
        <w:rPr/>
        <w:t>Student’s ID:  2129397</w:t>
      </w:r>
    </w:p>
    <w:p>
      <w:pPr>
        <w:pStyle w:val="Normal"/>
        <w:spacing w:lineRule="auto" w:line="259"/>
        <w:jc w:val="center"/>
        <w:rPr>
          <w:lang w:val="en-GB"/>
        </w:rPr>
      </w:pPr>
      <w:r>
        <w:rPr>
          <w:lang w:val="en-GB"/>
        </w:rPr>
        <w:t>Module code: LCBB500</w:t>
      </w:r>
      <w:r>
        <w:rPr>
          <w:lang w:val="en-GB"/>
        </w:rPr>
        <w:t>0</w:t>
      </w:r>
    </w:p>
    <w:p>
      <w:pPr>
        <w:pStyle w:val="Normal"/>
        <w:rPr>
          <w:lang w:val="en-GB"/>
        </w:rPr>
      </w:pPr>
      <w:r>
        <w:rPr>
          <w:lang w:val="en-GB"/>
        </w:rPr>
      </w:r>
    </w:p>
    <w:p>
      <w:pPr>
        <w:pStyle w:val="Normal"/>
        <w:jc w:val="center"/>
        <w:rPr>
          <w:b/>
          <w:b/>
          <w:sz w:val="32"/>
          <w:szCs w:val="32"/>
          <w:lang w:val="en-GB"/>
        </w:rPr>
      </w:pPr>
      <w:r>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sdt>
      <w:sdtPr>
        <w:docPartObj>
          <w:docPartGallery w:val="Table of Contents"/>
          <w:docPartUnique w:val="true"/>
        </w:docPartObj>
      </w:sdtPr>
      <w:sdtContent>
        <w:p>
          <w:pPr>
            <w:pStyle w:val="TOCHeading"/>
            <w:jc w:val="center"/>
            <w:rPr>
              <w:rFonts w:ascii="Times New Roman" w:hAnsi="Times New Roman" w:cs="Times New Roman"/>
              <w:b/>
              <w:b/>
              <w:color w:val="auto"/>
              <w:sz w:val="28"/>
              <w:szCs w:val="28"/>
            </w:rPr>
          </w:pPr>
          <w:r>
            <w:rPr>
              <w:rFonts w:cs="Times New Roman" w:ascii="Times New Roman" w:hAnsi="Times New Roman"/>
              <w:b/>
              <w:color w:val="auto"/>
              <w:sz w:val="28"/>
              <w:szCs w:val="28"/>
            </w:rPr>
            <w:t>Table of Contents</w:t>
          </w:r>
        </w:p>
        <w:p>
          <w:pPr>
            <w:pStyle w:val="Contents1"/>
            <w:tabs>
              <w:tab w:val="clear" w:pos="720"/>
              <w:tab w:val="right" w:pos="9350" w:leader="dot"/>
            </w:tabs>
            <w:rPr>
              <w:rFonts w:ascii="Cambria" w:hAnsi="Cambria" w:eastAsia="" w:cs="" w:asciiTheme="minorHAnsi" w:cstheme="minorBidi" w:eastAsiaTheme="minorEastAsia" w:hAnsiTheme="minorHAnsi"/>
              <w:sz w:val="22"/>
              <w:szCs w:val="22"/>
              <w:lang w:val="en-GB"/>
            </w:rPr>
          </w:pPr>
          <w:r>
            <w:fldChar w:fldCharType="begin"/>
          </w:r>
          <w:r>
            <w:rPr>
              <w:webHidden/>
              <w:rStyle w:val="IndexLink"/>
            </w:rPr>
            <w:instrText> TOC \z \o "1-3" \u \h</w:instrText>
          </w:r>
          <w:r>
            <w:rPr>
              <w:webHidden/>
              <w:rStyle w:val="IndexLink"/>
            </w:rPr>
            <w:fldChar w:fldCharType="separate"/>
          </w:r>
          <w:hyperlink w:anchor="_Toc161944337">
            <w:r>
              <w:rPr>
                <w:webHidden/>
                <w:rStyle w:val="IndexLink"/>
                <w:lang w:val="en-GB"/>
              </w:rPr>
              <w:t>Introduction</w:t>
            </w:r>
            <w:r>
              <w:rPr>
                <w:webHidden/>
              </w:rPr>
              <w:fldChar w:fldCharType="begin"/>
            </w:r>
            <w:r>
              <w:rPr>
                <w:webHidden/>
              </w:rPr>
              <w:instrText>PAGEREF _Toc161944337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38">
            <w:r>
              <w:rPr>
                <w:webHidden/>
                <w:rStyle w:val="IndexLink"/>
                <w:lang w:val="en-GB"/>
              </w:rPr>
              <w:t>Part-1</w:t>
            </w:r>
            <w:r>
              <w:rPr>
                <w:webHidden/>
              </w:rPr>
              <w:fldChar w:fldCharType="begin"/>
            </w:r>
            <w:r>
              <w:rPr>
                <w:webHidden/>
              </w:rPr>
              <w:instrText>PAGEREF _Toc161944338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39">
            <w:r>
              <w:rPr>
                <w:webHidden/>
                <w:rStyle w:val="IndexLink"/>
                <w:lang w:val="en-GB"/>
              </w:rPr>
              <w:t>Data Pre-Processing and Data Transformation</w:t>
            </w:r>
            <w:r>
              <w:rPr>
                <w:webHidden/>
              </w:rPr>
              <w:fldChar w:fldCharType="begin"/>
            </w:r>
            <w:r>
              <w:rPr>
                <w:webHidden/>
              </w:rPr>
              <w:instrText>PAGEREF _Toc161944339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0">
            <w:r>
              <w:rPr>
                <w:webHidden/>
                <w:rStyle w:val="IndexLink"/>
                <w:lang w:val="en-GB"/>
              </w:rPr>
              <w:t>Data Analysis</w:t>
            </w:r>
            <w:r>
              <w:rPr>
                <w:webHidden/>
              </w:rPr>
              <w:fldChar w:fldCharType="begin"/>
            </w:r>
            <w:r>
              <w:rPr>
                <w:webHidden/>
              </w:rPr>
              <w:instrText>PAGEREF _Toc161944340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1">
            <w:r>
              <w:rPr>
                <w:webHidden/>
                <w:rStyle w:val="IndexLink"/>
                <w:lang w:val="en-GB"/>
              </w:rPr>
              <w:t>Data Visualisation</w:t>
            </w:r>
            <w:r>
              <w:rPr>
                <w:webHidden/>
              </w:rPr>
              <w:fldChar w:fldCharType="begin"/>
            </w:r>
            <w:r>
              <w:rPr>
                <w:webHidden/>
              </w:rPr>
              <w:instrText>PAGEREF _Toc161944341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2">
            <w:r>
              <w:rPr>
                <w:webHidden/>
                <w:rStyle w:val="IndexLink"/>
                <w:lang w:val="en-GB"/>
              </w:rPr>
              <w:t>Part-2</w:t>
            </w:r>
            <w:r>
              <w:rPr>
                <w:webHidden/>
              </w:rPr>
              <w:fldChar w:fldCharType="begin"/>
            </w:r>
            <w:r>
              <w:rPr>
                <w:webHidden/>
              </w:rPr>
              <w:instrText>PAGEREF _Toc161944342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3">
            <w:r>
              <w:rPr>
                <w:webHidden/>
                <w:rStyle w:val="IndexLink"/>
                <w:lang w:val="en-GB"/>
              </w:rPr>
              <w:t>1. Number of male and Female Students</w:t>
            </w:r>
            <w:r>
              <w:rPr>
                <w:webHidden/>
              </w:rPr>
              <w:fldChar w:fldCharType="begin"/>
            </w:r>
            <w:r>
              <w:rPr>
                <w:webHidden/>
              </w:rPr>
              <w:instrText>PAGEREF _Toc161944343 \h</w:instrText>
            </w:r>
            <w:r>
              <w:rPr>
                <w:webHidden/>
              </w:rPr>
              <w:fldChar w:fldCharType="separate"/>
            </w:r>
            <w:r>
              <w:rPr>
                <w:rStyle w:val="IndexLink"/>
                <w:vanish w:val="false"/>
              </w:rPr>
              <w:tab/>
              <w:t>11</w:t>
            </w:r>
            <w:r>
              <w:rPr>
                <w:webHidden/>
              </w:rPr>
              <w:fldChar w:fldCharType="end"/>
            </w:r>
          </w:hyperlink>
        </w:p>
        <w:p>
          <w:pPr>
            <w:pStyle w:val="Contents2"/>
            <w:tabs>
              <w:tab w:val="clear" w:pos="720"/>
              <w:tab w:val="left" w:pos="660" w:leader="none"/>
              <w:tab w:val="right" w:pos="9350" w:leader="dot"/>
            </w:tabs>
            <w:rPr>
              <w:rFonts w:ascii="Cambria" w:hAnsi="Cambria" w:eastAsia="" w:cs="" w:asciiTheme="minorHAnsi" w:cstheme="minorBidi" w:eastAsiaTheme="minorEastAsia" w:hAnsiTheme="minorHAnsi"/>
              <w:sz w:val="22"/>
              <w:szCs w:val="22"/>
              <w:lang w:val="en-GB"/>
            </w:rPr>
          </w:pPr>
          <w:hyperlink w:anchor="_Toc161944344">
            <w:r>
              <w:rPr>
                <w:webHidden/>
                <w:rStyle w:val="IndexLink"/>
                <w:lang w:val="en-GB"/>
              </w:rPr>
              <w:t>2.</w:t>
            </w:r>
            <w:r>
              <w:rPr>
                <w:rStyle w:val="IndexLink"/>
                <w:rFonts w:eastAsia="" w:cs="" w:ascii="Cambria" w:hAnsi="Cambria" w:asciiTheme="minorHAnsi" w:cstheme="minorBidi" w:eastAsiaTheme="minorEastAsia" w:hAnsiTheme="minorHAnsi"/>
                <w:sz w:val="22"/>
                <w:szCs w:val="22"/>
                <w:lang w:val="en-GB"/>
              </w:rPr>
              <w:tab/>
            </w:r>
            <w:r>
              <w:rPr>
                <w:rStyle w:val="IndexLink"/>
                <w:lang w:val="en-GB"/>
              </w:rPr>
              <w:t>Number of students who qualify or do not qualify for reduced/ free lunch</w:t>
            </w:r>
            <w:r>
              <w:rPr>
                <w:webHidden/>
              </w:rPr>
              <w:fldChar w:fldCharType="begin"/>
            </w:r>
            <w:r>
              <w:rPr>
                <w:webHidden/>
              </w:rPr>
              <w:instrText>PAGEREF _Toc161944344 \h</w:instrText>
            </w:r>
            <w:r>
              <w:rPr>
                <w:webHidden/>
              </w:rPr>
              <w:fldChar w:fldCharType="separate"/>
            </w:r>
            <w:r>
              <w:rPr>
                <w:rStyle w:val="IndexLink"/>
                <w:vanish w:val="false"/>
              </w:rPr>
              <w:tab/>
              <w:t>12</w:t>
            </w:r>
            <w:r>
              <w:rPr>
                <w:webHidden/>
              </w:rPr>
              <w:fldChar w:fldCharType="end"/>
            </w:r>
          </w:hyperlink>
        </w:p>
        <w:p>
          <w:pPr>
            <w:pStyle w:val="Contents2"/>
            <w:tabs>
              <w:tab w:val="clear" w:pos="720"/>
              <w:tab w:val="left" w:pos="660" w:leader="none"/>
              <w:tab w:val="right" w:pos="9350" w:leader="dot"/>
            </w:tabs>
            <w:rPr>
              <w:rFonts w:ascii="Cambria" w:hAnsi="Cambria" w:eastAsia="" w:cs="" w:asciiTheme="minorHAnsi" w:cstheme="minorBidi" w:eastAsiaTheme="minorEastAsia" w:hAnsiTheme="minorHAnsi"/>
              <w:sz w:val="22"/>
              <w:szCs w:val="22"/>
              <w:lang w:val="en-GB"/>
            </w:rPr>
          </w:pPr>
          <w:hyperlink w:anchor="_Toc161944345">
            <w:r>
              <w:rPr>
                <w:webHidden/>
                <w:rStyle w:val="IndexLink"/>
                <w:lang w:val="en-GB"/>
              </w:rPr>
              <w:t>3.</w:t>
            </w:r>
            <w:r>
              <w:rPr>
                <w:rStyle w:val="IndexLink"/>
                <w:rFonts w:eastAsia="" w:cs="" w:ascii="Cambria" w:hAnsi="Cambria" w:asciiTheme="minorHAnsi" w:cstheme="minorBidi" w:eastAsiaTheme="minorEastAsia" w:hAnsiTheme="minorHAnsi"/>
                <w:sz w:val="22"/>
                <w:szCs w:val="22"/>
                <w:lang w:val="en-GB"/>
              </w:rPr>
              <w:tab/>
            </w:r>
            <w:r>
              <w:rPr>
                <w:rStyle w:val="IndexLink"/>
                <w:lang w:val="en-GB"/>
              </w:rPr>
              <w:t>Mean and Median number of students who qualify and do not qualify for free/reduced lunch</w:t>
            </w:r>
            <w:r>
              <w:rPr>
                <w:webHidden/>
              </w:rPr>
              <w:fldChar w:fldCharType="begin"/>
            </w:r>
            <w:r>
              <w:rPr>
                <w:webHidden/>
              </w:rPr>
              <w:instrText>PAGEREF _Toc161944345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6">
            <w:r>
              <w:rPr>
                <w:webHidden/>
                <w:rStyle w:val="IndexLink"/>
                <w:lang w:val="en-GB"/>
              </w:rPr>
              <w:t>4. K-means Clustering (SPSS)</w:t>
            </w:r>
            <w:r>
              <w:rPr>
                <w:webHidden/>
              </w:rPr>
              <w:fldChar w:fldCharType="begin"/>
            </w:r>
            <w:r>
              <w:rPr>
                <w:webHidden/>
              </w:rPr>
              <w:instrText>PAGEREF _Toc161944346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7">
            <w:r>
              <w:rPr>
                <w:webHidden/>
                <w:rStyle w:val="IndexLink"/>
                <w:lang w:val="en-GB"/>
              </w:rPr>
              <w:t>5. Advantages and Disadvantages</w:t>
            </w:r>
            <w:r>
              <w:rPr>
                <w:webHidden/>
              </w:rPr>
              <w:fldChar w:fldCharType="begin"/>
            </w:r>
            <w:r>
              <w:rPr>
                <w:webHidden/>
              </w:rPr>
              <w:instrText>PAGEREF _Toc161944347 \h</w:instrText>
            </w:r>
            <w:r>
              <w:rPr>
                <w:webHidden/>
              </w:rPr>
              <w:fldChar w:fldCharType="separate"/>
            </w:r>
            <w:r>
              <w:rPr>
                <w:rStyle w:val="IndexLink"/>
                <w:vanish w:val="false"/>
              </w:rPr>
              <w:tab/>
              <w:t>17</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8">
            <w:r>
              <w:rPr>
                <w:webHidden/>
                <w:rStyle w:val="IndexLink"/>
                <w:lang w:val="en-GB"/>
              </w:rPr>
              <w:t>Conclusion</w:t>
            </w:r>
            <w:r>
              <w:rPr>
                <w:webHidden/>
              </w:rPr>
              <w:fldChar w:fldCharType="begin"/>
            </w:r>
            <w:r>
              <w:rPr>
                <w:webHidden/>
              </w:rPr>
              <w:instrText>PAGEREF _Toc161944348 \h</w:instrText>
            </w:r>
            <w:r>
              <w:rPr>
                <w:webHidden/>
              </w:rPr>
              <w:fldChar w:fldCharType="separate"/>
            </w:r>
            <w:r>
              <w:rPr>
                <w:rStyle w:val="IndexLink"/>
                <w:vanish w:val="false"/>
              </w:rPr>
              <w:tab/>
              <w:t>18</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sz w:val="22"/>
              <w:szCs w:val="22"/>
              <w:lang w:val="en-GB"/>
            </w:rPr>
          </w:pPr>
          <w:hyperlink w:anchor="_Toc161944349">
            <w:r>
              <w:rPr>
                <w:webHidden/>
                <w:rStyle w:val="IndexLink"/>
                <w:lang w:val="en-GB"/>
              </w:rPr>
              <w:t>References</w:t>
            </w:r>
            <w:r>
              <w:rPr>
                <w:webHidden/>
              </w:rPr>
              <w:fldChar w:fldCharType="begin"/>
            </w:r>
            <w:r>
              <w:rPr>
                <w:webHidden/>
              </w:rPr>
              <w:instrText>PAGEREF _Toc161944349 \h</w:instrText>
            </w:r>
            <w:r>
              <w:rPr>
                <w:webHidden/>
              </w:rPr>
              <w:fldChar w:fldCharType="separate"/>
            </w:r>
            <w:r>
              <w:rPr>
                <w:rStyle w:val="IndexLink"/>
                <w:vanish w:val="false"/>
              </w:rPr>
              <w:tab/>
              <w:t>19</w:t>
            </w:r>
            <w:r>
              <w:rPr>
                <w:webHidden/>
              </w:rPr>
              <w:fldChar w:fldCharType="end"/>
            </w:r>
          </w:hyperlink>
        </w:p>
        <w:p>
          <w:pPr>
            <w:pStyle w:val="Normal"/>
            <w:rPr/>
          </w:pPr>
          <w:r>
            <w:rPr/>
          </w:r>
          <w:r>
            <w:rPr/>
            <w:fldChar w:fldCharType="end"/>
          </w:r>
        </w:p>
      </w:sdtContent>
    </w:sdt>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Heading1"/>
        <w:rPr>
          <w:lang w:val="en-GB"/>
        </w:rPr>
      </w:pPr>
      <w:bookmarkStart w:id="2" w:name="_Toc161944337"/>
      <w:r>
        <w:rPr>
          <w:lang w:val="en-GB"/>
        </w:rPr>
        <w:t>Introduction</w:t>
      </w:r>
      <w:bookmarkEnd w:id="2"/>
    </w:p>
    <w:p>
      <w:pPr>
        <w:pStyle w:val="Normal"/>
        <w:rPr>
          <w:lang w:val="en-GB"/>
        </w:rPr>
      </w:pPr>
      <w:r>
        <w:rPr>
          <w:lang w:val="en-GB"/>
        </w:rPr>
        <w:t>The present report is going to emphasise the different perspectives of data handling and business intelligence. The Part 1 section consists of a business development process by sales trends, most purchased products, profitable segment customers, and the areas of improvement. The Second part of this report will discuss a survey containing school students’ data. In this section, male and female students, the mean and median of the qualified and not qualified students for lunch will be analysed by SPSS.</w:t>
      </w:r>
    </w:p>
    <w:p>
      <w:pPr>
        <w:pStyle w:val="Heading1"/>
        <w:rPr>
          <w:lang w:val="en-GB"/>
        </w:rPr>
      </w:pPr>
      <w:bookmarkStart w:id="3" w:name="_Toc161944338"/>
      <w:bookmarkStart w:id="4" w:name="_g1cn7cfnipha"/>
      <w:bookmarkEnd w:id="4"/>
      <w:r>
        <w:rPr>
          <w:lang w:val="en-GB"/>
        </w:rPr>
        <w:t>Part-1</w:t>
      </w:r>
      <w:bookmarkEnd w:id="3"/>
    </w:p>
    <w:p>
      <w:pPr>
        <w:pStyle w:val="Heading2"/>
        <w:rPr>
          <w:lang w:val="en-GB"/>
        </w:rPr>
      </w:pPr>
      <w:bookmarkStart w:id="5" w:name="_Toc161944339"/>
      <w:bookmarkStart w:id="6" w:name="_fz6qebfrrv5q"/>
      <w:bookmarkEnd w:id="6"/>
      <w:r>
        <w:rPr>
          <w:lang w:val="en-GB"/>
        </w:rPr>
        <w:t>Data Pre-Processing and Data Transformation</w:t>
      </w:r>
      <w:bookmarkEnd w:id="5"/>
    </w:p>
    <w:p>
      <w:pPr>
        <w:pStyle w:val="Normal"/>
        <w:rPr>
          <w:lang w:val="en-GB"/>
        </w:rPr>
      </w:pPr>
      <w:r>
        <w:rPr>
          <w:lang w:val="en-GB"/>
        </w:rPr>
        <w:t xml:space="preserve">According to Nambiar and Mundra (2022), data transformation is an important step before performing data analysis operations. The main objective of data transformation is to find missing values and outliers present in the dataset. However, there are many blank fields repetition of the records, and spelling mistakes present in the raw dataset which are required to be modified before performing data analysis operations (Sufi, 2023). In the UK-based e-commerce dataset, there is product sales information which contains the date of the sale, name of the products, selling price, and quantity of the products sold. Customer ID, transaction ID, and name of the country where the selling options are taking place. The year of the data is 2019. It is seen that there are data entry mistakes where months are entered in terms of text format as well as in terms of MM-DD-YYYY format. In order to perform the data analysis operation all fields must be converted into a single format. For instance, the sales record is inserted for the month of November in the format of “ 9/11/2019’ which is converted into “November”- textual format. On the other hand data sales records are inserted for the month of ‘January’ as well as “1/12/2019”. These two are combined into a single textual format “January” for the simplicity of the analysis. This task is performed with all other fields associated with the month. It helps to find the sales trend with respect to the month. The blank fields and missing data fields are omitted from the main data source and they are treated as outliers. </w:t>
      </w:r>
    </w:p>
    <w:p>
      <w:pPr>
        <w:pStyle w:val="Normal"/>
        <w:rPr>
          <w:b/>
          <w:b/>
          <w:lang w:val="en-GB"/>
        </w:rPr>
      </w:pPr>
      <w:r>
        <w:rPr>
          <w:b/>
          <w:lang w:val="en-GB"/>
        </w:rPr>
      </w:r>
    </w:p>
    <w:p>
      <w:pPr>
        <w:pStyle w:val="Normal"/>
        <w:rPr>
          <w:b/>
          <w:b/>
          <w:lang w:val="en-GB"/>
        </w:rPr>
      </w:pPr>
      <w:r>
        <w:rPr>
          <w:b/>
          <w:lang w:val="en-GB"/>
        </w:rPr>
      </w:r>
    </w:p>
    <w:p>
      <w:pPr>
        <w:pStyle w:val="Normal"/>
        <w:rPr>
          <w:b/>
          <w:b/>
          <w:lang w:val="en-GB"/>
        </w:rPr>
      </w:pPr>
      <w:r>
        <w:rPr>
          <w:b/>
          <w:lang w:val="en-GB"/>
        </w:rPr>
      </w:r>
    </w:p>
    <w:p>
      <w:pPr>
        <w:pStyle w:val="Normal"/>
        <w:rPr>
          <w:b/>
          <w:b/>
          <w:lang w:val="en-GB"/>
        </w:rPr>
      </w:pPr>
      <w:r>
        <w:rPr>
          <w:b/>
          <w:lang w:val="en-GB"/>
        </w:rPr>
      </w:r>
    </w:p>
    <w:p>
      <w:pPr>
        <w:pStyle w:val="Normal"/>
        <w:rPr>
          <w:b/>
          <w:b/>
          <w:lang w:val="en-GB"/>
        </w:rPr>
      </w:pPr>
      <w:r>
        <w:rPr>
          <w:b/>
          <w:lang w:val="en-GB"/>
        </w:rPr>
      </w:r>
    </w:p>
    <w:p>
      <w:pPr>
        <w:pStyle w:val="Normal"/>
        <w:rPr>
          <w:lang w:val="en-GB"/>
        </w:rPr>
      </w:pPr>
      <w:r>
        <w:rPr>
          <w:b/>
          <w:lang w:val="en-GB"/>
        </w:rPr>
        <w:t>Data Transformation Tools</w:t>
      </w:r>
      <w:r>
        <w:rPr>
          <w:lang w:val="en-GB"/>
        </w:rPr>
        <w:t xml:space="preserve">: Excel Filter Option and conditional format option. </w:t>
      </w:r>
    </w:p>
    <w:p>
      <w:pPr>
        <w:pStyle w:val="Heading2"/>
        <w:rPr>
          <w:lang w:val="en-GB"/>
        </w:rPr>
      </w:pPr>
      <w:bookmarkStart w:id="7" w:name="_Toc161944340"/>
      <w:bookmarkStart w:id="8" w:name="_fm6xf9pb2fyl"/>
      <w:bookmarkEnd w:id="8"/>
      <w:r>
        <w:rPr>
          <w:lang w:val="en-GB"/>
        </w:rPr>
        <w:t>Data Analysis</w:t>
      </w:r>
      <w:bookmarkEnd w:id="7"/>
      <w:r>
        <w:rPr>
          <w:lang w:val="en-GB"/>
        </w:rPr>
        <w:t xml:space="preserve"> </w:t>
      </w:r>
    </w:p>
    <w:p>
      <w:pPr>
        <w:pStyle w:val="Normal"/>
        <w:rPr>
          <w:b/>
          <w:b/>
          <w:lang w:val="en-GB"/>
        </w:rPr>
      </w:pPr>
      <w:r>
        <w:rPr>
          <w:b/>
          <w:lang w:val="en-GB"/>
        </w:rPr>
        <w:t xml:space="preserve">Descriptive Statistics </w:t>
      </w:r>
    </w:p>
    <w:tbl>
      <w:tblPr>
        <w:tblStyle w:val="TableGrid"/>
        <w:tblW w:w="3434" w:type="dxa"/>
        <w:jc w:val="center"/>
        <w:tblInd w:w="0" w:type="dxa"/>
        <w:tblCellMar>
          <w:top w:w="0" w:type="dxa"/>
          <w:left w:w="108" w:type="dxa"/>
          <w:bottom w:w="0" w:type="dxa"/>
          <w:right w:w="108" w:type="dxa"/>
        </w:tblCellMar>
        <w:tblLook w:firstRow="1" w:noVBand="1" w:lastRow="0" w:firstColumn="1" w:lastColumn="0" w:noHBand="0" w:val="04a0"/>
      </w:tblPr>
      <w:tblGrid>
        <w:gridCol w:w="1642"/>
        <w:gridCol w:w="896"/>
        <w:gridCol w:w="896"/>
      </w:tblGrid>
      <w:tr>
        <w:trPr/>
        <w:tc>
          <w:tcPr>
            <w:tcW w:w="1642" w:type="dxa"/>
            <w:tcBorders/>
            <w:shd w:fill="auto" w:val="clear"/>
          </w:tcPr>
          <w:p>
            <w:pPr>
              <w:pStyle w:val="Normal"/>
              <w:spacing w:lineRule="auto" w:line="240"/>
              <w:rPr>
                <w:b/>
                <w:b/>
                <w:sz w:val="16"/>
                <w:szCs w:val="16"/>
                <w:lang w:val="en-GB"/>
              </w:rPr>
            </w:pPr>
            <w:r>
              <w:rPr>
                <w:b/>
                <w:sz w:val="16"/>
                <w:szCs w:val="16"/>
                <w:lang w:val="en-GB"/>
              </w:rPr>
              <w:t>Descriptive Statistics</w:t>
            </w:r>
          </w:p>
        </w:tc>
        <w:tc>
          <w:tcPr>
            <w:tcW w:w="896" w:type="dxa"/>
            <w:tcBorders/>
            <w:shd w:fill="auto" w:val="clear"/>
          </w:tcPr>
          <w:p>
            <w:pPr>
              <w:pStyle w:val="Normal"/>
              <w:spacing w:lineRule="auto" w:line="240"/>
              <w:rPr>
                <w:b/>
                <w:b/>
                <w:sz w:val="16"/>
                <w:szCs w:val="16"/>
                <w:lang w:val="en-GB"/>
              </w:rPr>
            </w:pPr>
            <w:r>
              <w:rPr>
                <w:b/>
                <w:sz w:val="16"/>
                <w:szCs w:val="16"/>
                <w:lang w:val="en-GB"/>
              </w:rPr>
              <w:t>Price</w:t>
            </w:r>
          </w:p>
        </w:tc>
        <w:tc>
          <w:tcPr>
            <w:tcW w:w="896" w:type="dxa"/>
            <w:tcBorders/>
            <w:shd w:fill="auto" w:val="clear"/>
          </w:tcPr>
          <w:p>
            <w:pPr>
              <w:pStyle w:val="Normal"/>
              <w:spacing w:lineRule="auto" w:line="240"/>
              <w:rPr>
                <w:b/>
                <w:b/>
                <w:sz w:val="16"/>
                <w:szCs w:val="16"/>
                <w:lang w:val="en-GB"/>
              </w:rPr>
            </w:pPr>
            <w:r>
              <w:rPr>
                <w:b/>
                <w:sz w:val="16"/>
                <w:szCs w:val="16"/>
                <w:lang w:val="en-GB"/>
              </w:rPr>
              <w:t>Quantity</w:t>
            </w:r>
          </w:p>
        </w:tc>
      </w:tr>
      <w:tr>
        <w:trPr/>
        <w:tc>
          <w:tcPr>
            <w:tcW w:w="1642" w:type="dxa"/>
            <w:tcBorders/>
            <w:shd w:fill="auto" w:val="clear"/>
          </w:tcPr>
          <w:p>
            <w:pPr>
              <w:pStyle w:val="Normal"/>
              <w:spacing w:lineRule="auto" w:line="240"/>
              <w:rPr>
                <w:sz w:val="16"/>
                <w:szCs w:val="16"/>
                <w:lang w:val="en-GB"/>
              </w:rPr>
            </w:pPr>
            <w:r>
              <w:rPr>
                <w:sz w:val="16"/>
                <w:szCs w:val="16"/>
                <w:lang w:val="en-GB"/>
              </w:rPr>
              <w:t>Mean</w:t>
            </w:r>
          </w:p>
        </w:tc>
        <w:tc>
          <w:tcPr>
            <w:tcW w:w="896" w:type="dxa"/>
            <w:tcBorders/>
            <w:shd w:fill="auto" w:val="clear"/>
          </w:tcPr>
          <w:p>
            <w:pPr>
              <w:pStyle w:val="Normal"/>
              <w:spacing w:lineRule="auto" w:line="240"/>
              <w:rPr>
                <w:sz w:val="16"/>
                <w:szCs w:val="16"/>
                <w:lang w:val="en-GB"/>
              </w:rPr>
            </w:pPr>
            <w:r>
              <w:rPr>
                <w:sz w:val="16"/>
                <w:szCs w:val="16"/>
                <w:lang w:val="en-GB"/>
              </w:rPr>
              <w:t>8.01</w:t>
            </w:r>
          </w:p>
        </w:tc>
        <w:tc>
          <w:tcPr>
            <w:tcW w:w="896" w:type="dxa"/>
            <w:tcBorders/>
            <w:shd w:fill="auto" w:val="clear"/>
          </w:tcPr>
          <w:p>
            <w:pPr>
              <w:pStyle w:val="Normal"/>
              <w:spacing w:lineRule="auto" w:line="240"/>
              <w:rPr>
                <w:sz w:val="16"/>
                <w:szCs w:val="16"/>
                <w:lang w:val="en-GB"/>
              </w:rPr>
            </w:pPr>
            <w:r>
              <w:rPr>
                <w:sz w:val="16"/>
                <w:szCs w:val="16"/>
                <w:lang w:val="en-GB"/>
              </w:rPr>
              <w:t>8.45</w:t>
            </w:r>
          </w:p>
        </w:tc>
      </w:tr>
      <w:tr>
        <w:trPr/>
        <w:tc>
          <w:tcPr>
            <w:tcW w:w="1642" w:type="dxa"/>
            <w:tcBorders/>
            <w:shd w:fill="auto" w:val="clear"/>
          </w:tcPr>
          <w:p>
            <w:pPr>
              <w:pStyle w:val="Normal"/>
              <w:spacing w:lineRule="auto" w:line="240"/>
              <w:rPr>
                <w:sz w:val="16"/>
                <w:szCs w:val="16"/>
                <w:lang w:val="en-GB"/>
              </w:rPr>
            </w:pPr>
            <w:r>
              <w:rPr>
                <w:sz w:val="16"/>
                <w:szCs w:val="16"/>
                <w:lang w:val="en-GB"/>
              </w:rPr>
              <w:t>Standard Error</w:t>
            </w:r>
          </w:p>
        </w:tc>
        <w:tc>
          <w:tcPr>
            <w:tcW w:w="896" w:type="dxa"/>
            <w:tcBorders/>
            <w:shd w:fill="auto" w:val="clear"/>
          </w:tcPr>
          <w:p>
            <w:pPr>
              <w:pStyle w:val="Normal"/>
              <w:spacing w:lineRule="auto" w:line="240"/>
              <w:rPr>
                <w:sz w:val="16"/>
                <w:szCs w:val="16"/>
                <w:lang w:val="en-GB"/>
              </w:rPr>
            </w:pPr>
            <w:r>
              <w:rPr>
                <w:sz w:val="16"/>
                <w:szCs w:val="16"/>
                <w:lang w:val="en-GB"/>
              </w:rPr>
              <w:t>0.01</w:t>
            </w:r>
          </w:p>
        </w:tc>
        <w:tc>
          <w:tcPr>
            <w:tcW w:w="896" w:type="dxa"/>
            <w:tcBorders/>
            <w:shd w:fill="auto" w:val="clear"/>
          </w:tcPr>
          <w:p>
            <w:pPr>
              <w:pStyle w:val="Normal"/>
              <w:spacing w:lineRule="auto" w:line="240"/>
              <w:rPr>
                <w:sz w:val="16"/>
                <w:szCs w:val="16"/>
                <w:lang w:val="en-GB"/>
              </w:rPr>
            </w:pPr>
            <w:r>
              <w:rPr>
                <w:sz w:val="16"/>
                <w:szCs w:val="16"/>
                <w:lang w:val="en-GB"/>
              </w:rPr>
              <w:t>1.76</w:t>
            </w:r>
          </w:p>
        </w:tc>
      </w:tr>
      <w:tr>
        <w:trPr/>
        <w:tc>
          <w:tcPr>
            <w:tcW w:w="1642" w:type="dxa"/>
            <w:tcBorders/>
            <w:shd w:fill="auto" w:val="clear"/>
          </w:tcPr>
          <w:p>
            <w:pPr>
              <w:pStyle w:val="Normal"/>
              <w:spacing w:lineRule="auto" w:line="240"/>
              <w:rPr>
                <w:sz w:val="16"/>
                <w:szCs w:val="16"/>
                <w:lang w:val="en-GB"/>
              </w:rPr>
            </w:pPr>
            <w:r>
              <w:rPr>
                <w:sz w:val="16"/>
                <w:szCs w:val="16"/>
                <w:lang w:val="en-GB"/>
              </w:rPr>
              <w:t>Median</w:t>
            </w:r>
          </w:p>
        </w:tc>
        <w:tc>
          <w:tcPr>
            <w:tcW w:w="896" w:type="dxa"/>
            <w:tcBorders/>
            <w:shd w:fill="auto" w:val="clear"/>
          </w:tcPr>
          <w:p>
            <w:pPr>
              <w:pStyle w:val="Normal"/>
              <w:spacing w:lineRule="auto" w:line="240"/>
              <w:rPr>
                <w:sz w:val="16"/>
                <w:szCs w:val="16"/>
                <w:lang w:val="en-GB"/>
              </w:rPr>
            </w:pPr>
            <w:r>
              <w:rPr>
                <w:sz w:val="16"/>
                <w:szCs w:val="16"/>
                <w:lang w:val="en-GB"/>
              </w:rPr>
              <w:t>6.19</w:t>
            </w:r>
          </w:p>
        </w:tc>
        <w:tc>
          <w:tcPr>
            <w:tcW w:w="896" w:type="dxa"/>
            <w:tcBorders/>
            <w:shd w:fill="auto" w:val="clear"/>
          </w:tcPr>
          <w:p>
            <w:pPr>
              <w:pStyle w:val="Normal"/>
              <w:spacing w:lineRule="auto" w:line="240"/>
              <w:rPr>
                <w:sz w:val="16"/>
                <w:szCs w:val="16"/>
                <w:lang w:val="en-GB"/>
              </w:rPr>
            </w:pPr>
            <w:r>
              <w:rPr>
                <w:sz w:val="16"/>
                <w:szCs w:val="16"/>
                <w:lang w:val="en-GB"/>
              </w:rPr>
              <w:t>3.00</w:t>
            </w:r>
          </w:p>
        </w:tc>
      </w:tr>
      <w:tr>
        <w:trPr/>
        <w:tc>
          <w:tcPr>
            <w:tcW w:w="1642" w:type="dxa"/>
            <w:tcBorders/>
            <w:shd w:fill="auto" w:val="clear"/>
          </w:tcPr>
          <w:p>
            <w:pPr>
              <w:pStyle w:val="Normal"/>
              <w:spacing w:lineRule="auto" w:line="240"/>
              <w:rPr>
                <w:sz w:val="16"/>
                <w:szCs w:val="16"/>
                <w:lang w:val="en-GB"/>
              </w:rPr>
            </w:pPr>
            <w:r>
              <w:rPr>
                <w:sz w:val="16"/>
                <w:szCs w:val="16"/>
                <w:lang w:val="en-GB"/>
              </w:rPr>
              <w:t>Mode</w:t>
            </w:r>
          </w:p>
        </w:tc>
        <w:tc>
          <w:tcPr>
            <w:tcW w:w="896" w:type="dxa"/>
            <w:tcBorders/>
            <w:shd w:fill="auto" w:val="clear"/>
          </w:tcPr>
          <w:p>
            <w:pPr>
              <w:pStyle w:val="Normal"/>
              <w:spacing w:lineRule="auto" w:line="240"/>
              <w:rPr>
                <w:sz w:val="16"/>
                <w:szCs w:val="16"/>
                <w:lang w:val="en-GB"/>
              </w:rPr>
            </w:pPr>
            <w:r>
              <w:rPr>
                <w:sz w:val="16"/>
                <w:szCs w:val="16"/>
                <w:lang w:val="en-GB"/>
              </w:rPr>
              <w:t>6.19</w:t>
            </w:r>
          </w:p>
        </w:tc>
        <w:tc>
          <w:tcPr>
            <w:tcW w:w="896" w:type="dxa"/>
            <w:tcBorders/>
            <w:shd w:fill="auto" w:val="clear"/>
          </w:tcPr>
          <w:p>
            <w:pPr>
              <w:pStyle w:val="Normal"/>
              <w:spacing w:lineRule="auto" w:line="240"/>
              <w:rPr>
                <w:sz w:val="16"/>
                <w:szCs w:val="16"/>
                <w:lang w:val="en-GB"/>
              </w:rPr>
            </w:pPr>
            <w:r>
              <w:rPr>
                <w:sz w:val="16"/>
                <w:szCs w:val="16"/>
                <w:lang w:val="en-GB"/>
              </w:rPr>
              <w:t>1.00</w:t>
            </w:r>
          </w:p>
        </w:tc>
      </w:tr>
      <w:tr>
        <w:trPr/>
        <w:tc>
          <w:tcPr>
            <w:tcW w:w="1642" w:type="dxa"/>
            <w:tcBorders/>
            <w:shd w:fill="auto" w:val="clear"/>
          </w:tcPr>
          <w:p>
            <w:pPr>
              <w:pStyle w:val="Normal"/>
              <w:spacing w:lineRule="auto" w:line="240"/>
              <w:rPr>
                <w:sz w:val="16"/>
                <w:szCs w:val="16"/>
                <w:lang w:val="en-GB"/>
              </w:rPr>
            </w:pPr>
            <w:r>
              <w:rPr>
                <w:sz w:val="16"/>
                <w:szCs w:val="16"/>
                <w:lang w:val="en-GB"/>
              </w:rPr>
              <w:t>Standard Deviation</w:t>
            </w:r>
          </w:p>
        </w:tc>
        <w:tc>
          <w:tcPr>
            <w:tcW w:w="896" w:type="dxa"/>
            <w:tcBorders/>
            <w:shd w:fill="auto" w:val="clear"/>
          </w:tcPr>
          <w:p>
            <w:pPr>
              <w:pStyle w:val="Normal"/>
              <w:spacing w:lineRule="auto" w:line="240"/>
              <w:rPr>
                <w:sz w:val="16"/>
                <w:szCs w:val="16"/>
                <w:lang w:val="en-GB"/>
              </w:rPr>
            </w:pPr>
            <w:r>
              <w:rPr>
                <w:sz w:val="16"/>
                <w:szCs w:val="16"/>
                <w:lang w:val="en-GB"/>
              </w:rPr>
              <w:t>3.46</w:t>
            </w:r>
          </w:p>
        </w:tc>
        <w:tc>
          <w:tcPr>
            <w:tcW w:w="896" w:type="dxa"/>
            <w:tcBorders/>
            <w:shd w:fill="auto" w:val="clear"/>
          </w:tcPr>
          <w:p>
            <w:pPr>
              <w:pStyle w:val="Normal"/>
              <w:spacing w:lineRule="auto" w:line="240"/>
              <w:rPr>
                <w:sz w:val="16"/>
                <w:szCs w:val="16"/>
                <w:lang w:val="en-GB"/>
              </w:rPr>
            </w:pPr>
            <w:r>
              <w:rPr>
                <w:sz w:val="16"/>
                <w:szCs w:val="16"/>
                <w:lang w:val="en-GB"/>
              </w:rPr>
              <w:t>450.99</w:t>
            </w:r>
          </w:p>
        </w:tc>
      </w:tr>
      <w:tr>
        <w:trPr/>
        <w:tc>
          <w:tcPr>
            <w:tcW w:w="1642" w:type="dxa"/>
            <w:tcBorders/>
            <w:shd w:fill="auto" w:val="clear"/>
          </w:tcPr>
          <w:p>
            <w:pPr>
              <w:pStyle w:val="Normal"/>
              <w:spacing w:lineRule="auto" w:line="240"/>
              <w:rPr>
                <w:sz w:val="16"/>
                <w:szCs w:val="16"/>
                <w:lang w:val="en-GB"/>
              </w:rPr>
            </w:pPr>
            <w:r>
              <w:rPr>
                <w:sz w:val="16"/>
                <w:szCs w:val="16"/>
                <w:lang w:val="en-GB"/>
              </w:rPr>
              <w:t>Sample Variance</w:t>
            </w:r>
          </w:p>
        </w:tc>
        <w:tc>
          <w:tcPr>
            <w:tcW w:w="896" w:type="dxa"/>
            <w:tcBorders/>
            <w:shd w:fill="auto" w:val="clear"/>
          </w:tcPr>
          <w:p>
            <w:pPr>
              <w:pStyle w:val="Normal"/>
              <w:spacing w:lineRule="auto" w:line="240"/>
              <w:rPr>
                <w:sz w:val="16"/>
                <w:szCs w:val="16"/>
                <w:lang w:val="en-GB"/>
              </w:rPr>
            </w:pPr>
            <w:r>
              <w:rPr>
                <w:sz w:val="16"/>
                <w:szCs w:val="16"/>
                <w:lang w:val="en-GB"/>
              </w:rPr>
              <w:t>11.95</w:t>
            </w:r>
          </w:p>
        </w:tc>
        <w:tc>
          <w:tcPr>
            <w:tcW w:w="896" w:type="dxa"/>
            <w:tcBorders/>
            <w:shd w:fill="auto" w:val="clear"/>
          </w:tcPr>
          <w:p>
            <w:pPr>
              <w:pStyle w:val="Normal"/>
              <w:spacing w:lineRule="auto" w:line="240"/>
              <w:rPr>
                <w:sz w:val="16"/>
                <w:szCs w:val="16"/>
                <w:lang w:val="en-GB"/>
              </w:rPr>
            </w:pPr>
            <w:r>
              <w:rPr>
                <w:sz w:val="16"/>
                <w:szCs w:val="16"/>
                <w:lang w:val="en-GB"/>
              </w:rPr>
              <w:t>203391.17</w:t>
            </w:r>
          </w:p>
        </w:tc>
      </w:tr>
      <w:tr>
        <w:trPr/>
        <w:tc>
          <w:tcPr>
            <w:tcW w:w="1642" w:type="dxa"/>
            <w:tcBorders/>
            <w:shd w:fill="auto" w:val="clear"/>
          </w:tcPr>
          <w:p>
            <w:pPr>
              <w:pStyle w:val="Normal"/>
              <w:spacing w:lineRule="auto" w:line="240"/>
              <w:rPr>
                <w:sz w:val="16"/>
                <w:szCs w:val="16"/>
                <w:lang w:val="en-GB"/>
              </w:rPr>
            </w:pPr>
            <w:r>
              <w:rPr>
                <w:sz w:val="16"/>
                <w:szCs w:val="16"/>
                <w:lang w:val="en-GB"/>
              </w:rPr>
              <w:t>Kurtosis</w:t>
            </w:r>
          </w:p>
        </w:tc>
        <w:tc>
          <w:tcPr>
            <w:tcW w:w="896" w:type="dxa"/>
            <w:tcBorders/>
            <w:shd w:fill="auto" w:val="clear"/>
          </w:tcPr>
          <w:p>
            <w:pPr>
              <w:pStyle w:val="Normal"/>
              <w:spacing w:lineRule="auto" w:line="240"/>
              <w:rPr>
                <w:sz w:val="16"/>
                <w:szCs w:val="16"/>
                <w:lang w:val="en-GB"/>
              </w:rPr>
            </w:pPr>
            <w:r>
              <w:rPr>
                <w:sz w:val="16"/>
                <w:szCs w:val="16"/>
                <w:lang w:val="en-GB"/>
              </w:rPr>
              <w:t>198.38</w:t>
            </w:r>
          </w:p>
        </w:tc>
        <w:tc>
          <w:tcPr>
            <w:tcW w:w="896" w:type="dxa"/>
            <w:tcBorders/>
            <w:shd w:fill="auto" w:val="clear"/>
          </w:tcPr>
          <w:p>
            <w:pPr>
              <w:pStyle w:val="Normal"/>
              <w:spacing w:lineRule="auto" w:line="240"/>
              <w:rPr>
                <w:sz w:val="16"/>
                <w:szCs w:val="16"/>
                <w:lang w:val="en-GB"/>
              </w:rPr>
            </w:pPr>
            <w:r>
              <w:rPr>
                <w:sz w:val="16"/>
                <w:szCs w:val="16"/>
                <w:lang w:val="en-GB"/>
              </w:rPr>
              <w:t>31758.16</w:t>
            </w:r>
          </w:p>
        </w:tc>
      </w:tr>
      <w:tr>
        <w:trPr/>
        <w:tc>
          <w:tcPr>
            <w:tcW w:w="1642" w:type="dxa"/>
            <w:tcBorders/>
            <w:shd w:fill="auto" w:val="clear"/>
          </w:tcPr>
          <w:p>
            <w:pPr>
              <w:pStyle w:val="Normal"/>
              <w:spacing w:lineRule="auto" w:line="240"/>
              <w:rPr>
                <w:sz w:val="16"/>
                <w:szCs w:val="16"/>
                <w:lang w:val="en-GB"/>
              </w:rPr>
            </w:pPr>
            <w:r>
              <w:rPr>
                <w:sz w:val="16"/>
                <w:szCs w:val="16"/>
                <w:lang w:val="en-GB"/>
              </w:rPr>
              <w:t>Skewness</w:t>
            </w:r>
          </w:p>
        </w:tc>
        <w:tc>
          <w:tcPr>
            <w:tcW w:w="896" w:type="dxa"/>
            <w:tcBorders/>
            <w:shd w:fill="auto" w:val="clear"/>
          </w:tcPr>
          <w:p>
            <w:pPr>
              <w:pStyle w:val="Normal"/>
              <w:spacing w:lineRule="auto" w:line="240"/>
              <w:rPr>
                <w:sz w:val="16"/>
                <w:szCs w:val="16"/>
                <w:lang w:val="en-GB"/>
              </w:rPr>
            </w:pPr>
            <w:r>
              <w:rPr>
                <w:sz w:val="16"/>
                <w:szCs w:val="16"/>
                <w:lang w:val="en-GB"/>
              </w:rPr>
              <w:t>6.16</w:t>
            </w:r>
          </w:p>
        </w:tc>
        <w:tc>
          <w:tcPr>
            <w:tcW w:w="896" w:type="dxa"/>
            <w:tcBorders/>
            <w:shd w:fill="auto" w:val="clear"/>
          </w:tcPr>
          <w:p>
            <w:pPr>
              <w:pStyle w:val="Normal"/>
              <w:spacing w:lineRule="auto" w:line="240"/>
              <w:rPr>
                <w:sz w:val="16"/>
                <w:szCs w:val="16"/>
                <w:lang w:val="en-GB"/>
              </w:rPr>
            </w:pPr>
            <w:r>
              <w:rPr>
                <w:sz w:val="16"/>
                <w:szCs w:val="16"/>
                <w:lang w:val="en-GB"/>
              </w:rPr>
              <w:t>0.28</w:t>
            </w:r>
          </w:p>
        </w:tc>
      </w:tr>
      <w:tr>
        <w:trPr/>
        <w:tc>
          <w:tcPr>
            <w:tcW w:w="1642" w:type="dxa"/>
            <w:tcBorders/>
            <w:shd w:fill="auto" w:val="clear"/>
          </w:tcPr>
          <w:p>
            <w:pPr>
              <w:pStyle w:val="Normal"/>
              <w:spacing w:lineRule="auto" w:line="240"/>
              <w:rPr>
                <w:sz w:val="16"/>
                <w:szCs w:val="16"/>
                <w:lang w:val="en-GB"/>
              </w:rPr>
            </w:pPr>
            <w:r>
              <w:rPr>
                <w:sz w:val="16"/>
                <w:szCs w:val="16"/>
                <w:lang w:val="en-GB"/>
              </w:rPr>
              <w:t>Range</w:t>
            </w:r>
          </w:p>
        </w:tc>
        <w:tc>
          <w:tcPr>
            <w:tcW w:w="896" w:type="dxa"/>
            <w:tcBorders/>
            <w:shd w:fill="auto" w:val="clear"/>
          </w:tcPr>
          <w:p>
            <w:pPr>
              <w:pStyle w:val="Normal"/>
              <w:spacing w:lineRule="auto" w:line="240"/>
              <w:rPr>
                <w:sz w:val="16"/>
                <w:szCs w:val="16"/>
                <w:lang w:val="en-GB"/>
              </w:rPr>
            </w:pPr>
            <w:r>
              <w:rPr>
                <w:sz w:val="16"/>
                <w:szCs w:val="16"/>
                <w:lang w:val="en-GB"/>
              </w:rPr>
              <w:t>174.24</w:t>
            </w:r>
          </w:p>
        </w:tc>
        <w:tc>
          <w:tcPr>
            <w:tcW w:w="896" w:type="dxa"/>
            <w:tcBorders/>
            <w:shd w:fill="auto" w:val="clear"/>
          </w:tcPr>
          <w:p>
            <w:pPr>
              <w:pStyle w:val="Normal"/>
              <w:spacing w:lineRule="auto" w:line="240"/>
              <w:rPr>
                <w:sz w:val="16"/>
                <w:szCs w:val="16"/>
                <w:lang w:val="en-GB"/>
              </w:rPr>
            </w:pPr>
            <w:r>
              <w:rPr>
                <w:sz w:val="16"/>
                <w:szCs w:val="16"/>
                <w:lang w:val="en-GB"/>
              </w:rPr>
              <w:t>161990.00</w:t>
            </w:r>
          </w:p>
        </w:tc>
      </w:tr>
      <w:tr>
        <w:trPr/>
        <w:tc>
          <w:tcPr>
            <w:tcW w:w="1642" w:type="dxa"/>
            <w:tcBorders/>
            <w:shd w:fill="auto" w:val="clear"/>
          </w:tcPr>
          <w:p>
            <w:pPr>
              <w:pStyle w:val="Normal"/>
              <w:spacing w:lineRule="auto" w:line="240"/>
              <w:rPr>
                <w:sz w:val="16"/>
                <w:szCs w:val="16"/>
                <w:lang w:val="en-GB"/>
              </w:rPr>
            </w:pPr>
            <w:r>
              <w:rPr>
                <w:sz w:val="16"/>
                <w:szCs w:val="16"/>
                <w:lang w:val="en-GB"/>
              </w:rPr>
              <w:t>Minimum</w:t>
            </w:r>
          </w:p>
        </w:tc>
        <w:tc>
          <w:tcPr>
            <w:tcW w:w="896" w:type="dxa"/>
            <w:tcBorders/>
            <w:shd w:fill="auto" w:val="clear"/>
          </w:tcPr>
          <w:p>
            <w:pPr>
              <w:pStyle w:val="Normal"/>
              <w:spacing w:lineRule="auto" w:line="240"/>
              <w:rPr>
                <w:sz w:val="16"/>
                <w:szCs w:val="16"/>
                <w:lang w:val="en-GB"/>
              </w:rPr>
            </w:pPr>
            <w:r>
              <w:rPr>
                <w:sz w:val="16"/>
                <w:szCs w:val="16"/>
                <w:lang w:val="en-GB"/>
              </w:rPr>
              <w:t>5.13</w:t>
            </w:r>
          </w:p>
        </w:tc>
        <w:tc>
          <w:tcPr>
            <w:tcW w:w="896" w:type="dxa"/>
            <w:tcBorders/>
            <w:shd w:fill="auto" w:val="clear"/>
          </w:tcPr>
          <w:p>
            <w:pPr>
              <w:pStyle w:val="Normal"/>
              <w:spacing w:lineRule="auto" w:line="240"/>
              <w:rPr>
                <w:sz w:val="16"/>
                <w:szCs w:val="16"/>
                <w:lang w:val="en-GB"/>
              </w:rPr>
            </w:pPr>
            <w:r>
              <w:rPr>
                <w:sz w:val="16"/>
                <w:szCs w:val="16"/>
                <w:lang w:val="en-GB"/>
              </w:rPr>
              <w:t>-80995.00</w:t>
            </w:r>
          </w:p>
        </w:tc>
      </w:tr>
      <w:tr>
        <w:trPr/>
        <w:tc>
          <w:tcPr>
            <w:tcW w:w="1642" w:type="dxa"/>
            <w:tcBorders/>
            <w:shd w:fill="auto" w:val="clear"/>
          </w:tcPr>
          <w:p>
            <w:pPr>
              <w:pStyle w:val="Normal"/>
              <w:spacing w:lineRule="auto" w:line="240"/>
              <w:rPr>
                <w:sz w:val="16"/>
                <w:szCs w:val="16"/>
                <w:lang w:val="en-GB"/>
              </w:rPr>
            </w:pPr>
            <w:r>
              <w:rPr>
                <w:sz w:val="16"/>
                <w:szCs w:val="16"/>
                <w:lang w:val="en-GB"/>
              </w:rPr>
              <w:t>Maximum</w:t>
            </w:r>
          </w:p>
        </w:tc>
        <w:tc>
          <w:tcPr>
            <w:tcW w:w="896" w:type="dxa"/>
            <w:tcBorders/>
            <w:shd w:fill="auto" w:val="clear"/>
          </w:tcPr>
          <w:p>
            <w:pPr>
              <w:pStyle w:val="Normal"/>
              <w:spacing w:lineRule="auto" w:line="240"/>
              <w:rPr>
                <w:sz w:val="16"/>
                <w:szCs w:val="16"/>
                <w:lang w:val="en-GB"/>
              </w:rPr>
            </w:pPr>
            <w:r>
              <w:rPr>
                <w:sz w:val="16"/>
                <w:szCs w:val="16"/>
                <w:lang w:val="en-GB"/>
              </w:rPr>
              <w:t>179.37</w:t>
            </w:r>
          </w:p>
        </w:tc>
        <w:tc>
          <w:tcPr>
            <w:tcW w:w="896" w:type="dxa"/>
            <w:tcBorders/>
            <w:shd w:fill="auto" w:val="clear"/>
          </w:tcPr>
          <w:p>
            <w:pPr>
              <w:pStyle w:val="Normal"/>
              <w:spacing w:lineRule="auto" w:line="240"/>
              <w:rPr>
                <w:sz w:val="16"/>
                <w:szCs w:val="16"/>
                <w:lang w:val="en-GB"/>
              </w:rPr>
            </w:pPr>
            <w:r>
              <w:rPr>
                <w:sz w:val="16"/>
                <w:szCs w:val="16"/>
                <w:lang w:val="en-GB"/>
              </w:rPr>
              <w:t>80995.00</w:t>
            </w:r>
          </w:p>
        </w:tc>
      </w:tr>
      <w:tr>
        <w:trPr/>
        <w:tc>
          <w:tcPr>
            <w:tcW w:w="1642" w:type="dxa"/>
            <w:tcBorders/>
            <w:shd w:fill="auto" w:val="clear"/>
          </w:tcPr>
          <w:p>
            <w:pPr>
              <w:pStyle w:val="Normal"/>
              <w:spacing w:lineRule="auto" w:line="240"/>
              <w:rPr>
                <w:sz w:val="16"/>
                <w:szCs w:val="16"/>
                <w:lang w:val="en-GB"/>
              </w:rPr>
            </w:pPr>
            <w:r>
              <w:rPr>
                <w:sz w:val="16"/>
                <w:szCs w:val="16"/>
                <w:lang w:val="en-GB"/>
              </w:rPr>
              <w:t>Sum</w:t>
            </w:r>
          </w:p>
        </w:tc>
        <w:tc>
          <w:tcPr>
            <w:tcW w:w="896" w:type="dxa"/>
            <w:tcBorders/>
            <w:shd w:fill="auto" w:val="clear"/>
          </w:tcPr>
          <w:p>
            <w:pPr>
              <w:pStyle w:val="Normal"/>
              <w:spacing w:lineRule="auto" w:line="240"/>
              <w:rPr>
                <w:sz w:val="16"/>
                <w:szCs w:val="16"/>
                <w:lang w:val="en-GB"/>
              </w:rPr>
            </w:pPr>
            <w:r>
              <w:rPr>
                <w:sz w:val="16"/>
                <w:szCs w:val="16"/>
                <w:lang w:val="en-GB"/>
              </w:rPr>
              <w:t>524879.89</w:t>
            </w:r>
          </w:p>
        </w:tc>
        <w:tc>
          <w:tcPr>
            <w:tcW w:w="896" w:type="dxa"/>
            <w:tcBorders/>
            <w:shd w:fill="auto" w:val="clear"/>
          </w:tcPr>
          <w:p>
            <w:pPr>
              <w:pStyle w:val="Normal"/>
              <w:spacing w:lineRule="auto" w:line="240"/>
              <w:rPr>
                <w:sz w:val="16"/>
                <w:szCs w:val="16"/>
                <w:lang w:val="en-GB"/>
              </w:rPr>
            </w:pPr>
            <w:r>
              <w:rPr>
                <w:sz w:val="16"/>
                <w:szCs w:val="16"/>
                <w:lang w:val="en-GB"/>
              </w:rPr>
              <w:t>553873.00</w:t>
            </w:r>
          </w:p>
        </w:tc>
      </w:tr>
      <w:tr>
        <w:trPr/>
        <w:tc>
          <w:tcPr>
            <w:tcW w:w="1642" w:type="dxa"/>
            <w:tcBorders/>
            <w:shd w:fill="auto" w:val="clear"/>
          </w:tcPr>
          <w:p>
            <w:pPr>
              <w:pStyle w:val="Normal"/>
              <w:spacing w:lineRule="auto" w:line="240"/>
              <w:rPr>
                <w:sz w:val="16"/>
                <w:szCs w:val="16"/>
                <w:lang w:val="en-GB"/>
              </w:rPr>
            </w:pPr>
            <w:r>
              <w:rPr>
                <w:sz w:val="16"/>
                <w:szCs w:val="16"/>
                <w:lang w:val="en-GB"/>
              </w:rPr>
              <w:t>Count</w:t>
            </w:r>
          </w:p>
        </w:tc>
        <w:tc>
          <w:tcPr>
            <w:tcW w:w="896" w:type="dxa"/>
            <w:tcBorders/>
            <w:shd w:fill="auto" w:val="clear"/>
          </w:tcPr>
          <w:p>
            <w:pPr>
              <w:pStyle w:val="Normal"/>
              <w:spacing w:lineRule="auto" w:line="240"/>
              <w:rPr>
                <w:sz w:val="16"/>
                <w:szCs w:val="16"/>
                <w:lang w:val="en-GB"/>
              </w:rPr>
            </w:pPr>
            <w:r>
              <w:rPr>
                <w:sz w:val="16"/>
                <w:szCs w:val="16"/>
                <w:lang w:val="en-GB"/>
              </w:rPr>
              <w:t>65535.00</w:t>
            </w:r>
          </w:p>
        </w:tc>
        <w:tc>
          <w:tcPr>
            <w:tcW w:w="896" w:type="dxa"/>
            <w:tcBorders/>
            <w:shd w:fill="auto" w:val="clear"/>
          </w:tcPr>
          <w:p>
            <w:pPr>
              <w:pStyle w:val="Normal"/>
              <w:spacing w:lineRule="auto" w:line="240"/>
              <w:rPr>
                <w:sz w:val="16"/>
                <w:szCs w:val="16"/>
                <w:lang w:val="en-GB"/>
              </w:rPr>
            </w:pPr>
            <w:r>
              <w:rPr>
                <w:sz w:val="16"/>
                <w:szCs w:val="16"/>
                <w:lang w:val="en-GB"/>
              </w:rPr>
              <w:t>65535.00</w:t>
            </w:r>
          </w:p>
        </w:tc>
      </w:tr>
    </w:tbl>
    <w:p>
      <w:pPr>
        <w:pStyle w:val="Normal"/>
        <w:rPr>
          <w:b/>
          <w:b/>
          <w:lang w:val="en-GB"/>
        </w:rPr>
      </w:pPr>
      <w:r>
        <w:rPr>
          <w:b/>
          <w:lang w:val="en-GB"/>
        </w:rPr>
      </w:r>
    </w:p>
    <w:p>
      <w:pPr>
        <w:pStyle w:val="Normal"/>
        <w:jc w:val="center"/>
        <w:rPr>
          <w:b/>
          <w:b/>
          <w:lang w:val="en-GB"/>
        </w:rPr>
      </w:pPr>
      <w:r>
        <w:rPr>
          <w:b/>
          <w:lang w:val="en-GB"/>
        </w:rPr>
        <w:t xml:space="preserve">Table-1: Descriptive Statistics </w:t>
      </w:r>
    </w:p>
    <w:p>
      <w:pPr>
        <w:pStyle w:val="Normal"/>
        <w:jc w:val="center"/>
        <w:rPr>
          <w:lang w:val="en-GB"/>
        </w:rPr>
      </w:pPr>
      <w:r>
        <w:rPr>
          <w:lang w:val="en-GB"/>
        </w:rPr>
        <w:t>(Source: Self-Created)</w:t>
      </w:r>
    </w:p>
    <w:p>
      <w:pPr>
        <w:pStyle w:val="Normal"/>
        <w:rPr>
          <w:lang w:val="en-GB"/>
        </w:rPr>
      </w:pPr>
      <w:r>
        <w:rPr>
          <w:lang w:val="en-GB"/>
        </w:rPr>
        <w:t xml:space="preserve">The standard error (SE) value for the price data is 0.01 and that for the quantity is 1.76. Hence, price data is a better sample from the population than the quantity data as it contains less SE value. The price data for the company is less dispersive with respect to the central mean tendency (SD: 3.46) than the quantity data (SD: 450.99). The value of the skewness ensures the orientation of the data with respect to the central mean. For instance, the skewness of the price data is +6.16 which means it is right-sided with respect to the central mean. The value of the skewness for price data is 0.28 and it is also right side orientation. However, as the value of quantity data has the least value and is almost equal to zero (0.28), the data is more normally distributed than the price data. </w:t>
      </w:r>
    </w:p>
    <w:p>
      <w:pPr>
        <w:pStyle w:val="Heading2"/>
        <w:rPr>
          <w:lang w:val="en-GB"/>
        </w:rPr>
      </w:pPr>
      <w:bookmarkStart w:id="9" w:name="_Toc161944341"/>
      <w:bookmarkStart w:id="10" w:name="_c6ca2ic29bq2"/>
      <w:bookmarkEnd w:id="10"/>
      <w:r>
        <w:rPr>
          <w:lang w:val="en-GB"/>
        </w:rPr>
        <w:t>Data Visualisation</w:t>
      </w:r>
      <w:bookmarkEnd w:id="9"/>
    </w:p>
    <w:p>
      <w:pPr>
        <w:pStyle w:val="Normal"/>
        <w:numPr>
          <w:ilvl w:val="0"/>
          <w:numId w:val="5"/>
        </w:numPr>
        <w:rPr>
          <w:b/>
          <w:b/>
          <w:i/>
          <w:i/>
          <w:lang w:val="en-GB"/>
        </w:rPr>
      </w:pPr>
      <w:r>
        <w:rPr>
          <w:b/>
          <w:i/>
          <w:lang w:val="en-GB"/>
        </w:rPr>
        <w:t>Chart-1: Sales Trend Over the Month</w:t>
      </w:r>
    </w:p>
    <w:p>
      <w:pPr>
        <w:pStyle w:val="Normal"/>
        <w:rPr>
          <w:lang w:val="en-GB"/>
        </w:rPr>
      </w:pPr>
      <w:r>
        <w:rPr>
          <w:lang w:val="en-GB"/>
        </w:rPr>
        <w:t xml:space="preserve">Type of chart: Line Chart </w:t>
      </w:r>
    </w:p>
    <w:p>
      <w:pPr>
        <w:pStyle w:val="Normal"/>
        <w:rPr>
          <w:lang w:val="en-GB"/>
        </w:rPr>
      </w:pPr>
      <w:r>
        <w:rPr>
          <w:lang w:val="en-GB"/>
        </w:rPr>
        <w:t>Excel Function: Pivot Table</w:t>
      </w:r>
    </w:p>
    <w:p>
      <w:pPr>
        <w:pStyle w:val="Normal"/>
        <w:rPr>
          <w:lang w:val="en-GB"/>
        </w:rPr>
      </w:pPr>
      <w:r>
        <w:rPr>
          <w:lang w:val="en-GB"/>
        </w:rPr>
        <w:t>Year: 2019</w:t>
      </w:r>
    </w:p>
    <w:p>
      <w:pPr>
        <w:pStyle w:val="Normal"/>
        <w:rPr>
          <w:lang w:val="en-GB"/>
        </w:rPr>
      </w:pPr>
      <w:r>
        <w:rPr>
          <w:lang w:val="en-GB"/>
        </w:rPr>
        <w:t xml:space="preserve">Maximum Sales Trending Month: November </w:t>
      </w:r>
    </w:p>
    <w:p>
      <w:pPr>
        <w:pStyle w:val="Normal"/>
        <w:rPr>
          <w:lang w:val="en-GB"/>
        </w:rPr>
      </w:pPr>
      <w:r>
        <w:rPr>
          <w:lang w:val="en-GB"/>
        </w:rPr>
        <w:t xml:space="preserve">Minimum Sales Trending Month: April </w:t>
      </w:r>
    </w:p>
    <w:p>
      <w:pPr>
        <w:pStyle w:val="Normal"/>
        <w:rPr>
          <w:lang w:val="en-GB"/>
        </w:rPr>
      </w:pPr>
      <w:r>
        <w:rPr>
          <w:lang w:val="en-GB"/>
        </w:rPr>
        <w:t>Maximum product quantity and sum value: 3, 24,753</w:t>
      </w:r>
    </w:p>
    <w:p>
      <w:pPr>
        <w:pStyle w:val="Normal"/>
        <w:rPr>
          <w:lang w:val="en-GB"/>
        </w:rPr>
      </w:pPr>
      <w:r>
        <w:rPr>
          <w:lang w:val="en-GB"/>
        </w:rPr>
        <w:t>Minimum product quantity and sum value: 12,381</w:t>
      </w:r>
    </w:p>
    <w:p>
      <w:pPr>
        <w:pStyle w:val="Normal"/>
        <w:rPr>
          <w:lang w:val="en-GB"/>
        </w:rPr>
      </w:pPr>
      <w:r>
        <w:rPr/>
        <w:drawing>
          <wp:inline distT="0" distB="0" distL="0" distR="0">
            <wp:extent cx="5943600" cy="2857500"/>
            <wp:effectExtent l="0" t="0" r="0" b="0"/>
            <wp:docPr id="1" name="image8.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8.png" descr=""/>
                    <pic:cNvPicPr>
                      <a:picLocks noChangeAspect="1" noChangeArrowheads="1"/>
                    </pic:cNvPicPr>
                  </pic:nvPicPr>
                  <pic:blipFill>
                    <a:blip r:embed="rId2"/>
                    <a:stretch>
                      <a:fillRect/>
                    </a:stretch>
                  </pic:blipFill>
                  <pic:spPr bwMode="auto">
                    <a:xfrm>
                      <a:off x="0" y="0"/>
                      <a:ext cx="5943600" cy="2857500"/>
                    </a:xfrm>
                    <a:prstGeom prst="rect">
                      <a:avLst/>
                    </a:prstGeom>
                    <a:ln w="12700">
                      <a:solidFill>
                        <a:srgbClr val="000000"/>
                      </a:solidFill>
                    </a:ln>
                  </pic:spPr>
                </pic:pic>
              </a:graphicData>
            </a:graphic>
          </wp:inline>
        </w:drawing>
      </w:r>
    </w:p>
    <w:p>
      <w:pPr>
        <w:pStyle w:val="Normal"/>
        <w:jc w:val="center"/>
        <w:rPr>
          <w:b/>
          <w:b/>
          <w:lang w:val="en-GB"/>
        </w:rPr>
      </w:pPr>
      <w:r>
        <w:rPr>
          <w:b/>
          <w:lang w:val="en-GB"/>
        </w:rPr>
        <w:t>Figure 1: Sales trend over the month</w:t>
      </w:r>
    </w:p>
    <w:p>
      <w:pPr>
        <w:pStyle w:val="Normal"/>
        <w:jc w:val="center"/>
        <w:rPr>
          <w:lang w:val="en-GB"/>
        </w:rPr>
      </w:pPr>
      <w:r>
        <w:rPr>
          <w:lang w:val="en-GB"/>
        </w:rPr>
        <w:t>(Source: Self-Created)</w:t>
      </w:r>
    </w:p>
    <w:p>
      <w:pPr>
        <w:pStyle w:val="Normal"/>
        <w:rPr>
          <w:lang w:val="en-GB"/>
        </w:rPr>
      </w:pPr>
      <w:r>
        <w:rPr>
          <w:lang w:val="en-GB"/>
        </w:rPr>
        <w:t xml:space="preserve">In the figure-1 it is seen that the sales trend is maximum for the month of November having a quantity of the product sold at 3, 24,753. However, in the month of April, there is a minimum sale trend having a product quantity value of 12,381. Hence, it can be stated that for the UK-based online e-commerce, the sales trend is quite lower at the beginning of the year. On the other hand, the company has a good sales trend during the end of the year. The maximum sales revenue as well as operating profit for the company can be earned during the end of the year whereas at the beginning of the year, the company cannot earn a sufficient amount of revenue and profit with respect to the operating cost. </w:t>
      </w:r>
    </w:p>
    <w:p>
      <w:pPr>
        <w:pStyle w:val="Normal"/>
        <w:numPr>
          <w:ilvl w:val="0"/>
          <w:numId w:val="5"/>
        </w:numPr>
        <w:rPr>
          <w:b/>
          <w:b/>
          <w:i/>
          <w:i/>
          <w:lang w:val="en-GB"/>
        </w:rPr>
      </w:pPr>
      <w:r>
        <w:rPr>
          <w:b/>
          <w:i/>
          <w:lang w:val="en-GB"/>
        </w:rPr>
        <w:t xml:space="preserve">Chart-2:  Most Frequency Purchased Product </w:t>
      </w:r>
    </w:p>
    <w:p>
      <w:pPr>
        <w:pStyle w:val="Normal"/>
        <w:rPr>
          <w:lang w:val="en-GB"/>
        </w:rPr>
      </w:pPr>
      <w:r>
        <w:rPr>
          <w:lang w:val="en-GB"/>
        </w:rPr>
        <w:t>Type of chart: Radar Graph</w:t>
      </w:r>
    </w:p>
    <w:p>
      <w:pPr>
        <w:pStyle w:val="Normal"/>
        <w:rPr>
          <w:lang w:val="en-GB"/>
        </w:rPr>
      </w:pPr>
      <w:r>
        <w:rPr>
          <w:lang w:val="en-GB"/>
        </w:rPr>
        <w:t xml:space="preserve">Excel Function: Excel Pivot Table </w:t>
      </w:r>
    </w:p>
    <w:p>
      <w:pPr>
        <w:pStyle w:val="Normal"/>
        <w:rPr>
          <w:lang w:val="en-GB"/>
        </w:rPr>
      </w:pPr>
      <w:r>
        <w:rPr>
          <w:lang w:val="en-GB"/>
        </w:rPr>
        <w:t xml:space="preserve">Filter Option: Top 10 purchased products. </w:t>
      </w:r>
    </w:p>
    <w:p>
      <w:pPr>
        <w:pStyle w:val="Normal"/>
        <w:rPr>
          <w:lang w:val="en-GB"/>
        </w:rPr>
      </w:pPr>
      <w:r>
        <w:rPr>
          <w:lang w:val="en-GB"/>
        </w:rPr>
        <w:t>Year: 2019</w:t>
      </w:r>
    </w:p>
    <w:p>
      <w:pPr>
        <w:pStyle w:val="Normal"/>
        <w:rPr>
          <w:lang w:val="en-GB"/>
        </w:rPr>
      </w:pPr>
      <w:r>
        <w:rPr>
          <w:lang w:val="en-GB"/>
        </w:rPr>
        <w:t>Most frequently Purchased products</w:t>
      </w:r>
    </w:p>
    <w:p>
      <w:pPr>
        <w:pStyle w:val="Normal"/>
        <w:numPr>
          <w:ilvl w:val="0"/>
          <w:numId w:val="6"/>
        </w:numPr>
        <w:rPr>
          <w:lang w:val="en-GB"/>
        </w:rPr>
      </w:pPr>
      <w:r>
        <w:rPr>
          <w:lang w:val="en-GB"/>
        </w:rPr>
        <w:t>“</w:t>
      </w:r>
      <w:r>
        <w:rPr>
          <w:lang w:val="en-GB"/>
        </w:rPr>
        <w:t>Hot Water Bottle Keep Calm”</w:t>
      </w:r>
    </w:p>
    <w:p>
      <w:pPr>
        <w:pStyle w:val="Normal"/>
        <w:numPr>
          <w:ilvl w:val="0"/>
          <w:numId w:val="6"/>
        </w:numPr>
        <w:rPr>
          <w:lang w:val="en-GB"/>
        </w:rPr>
      </w:pPr>
      <w:r>
        <w:rPr>
          <w:lang w:val="en-GB"/>
        </w:rPr>
        <w:t>“</w:t>
      </w:r>
      <w:r>
        <w:rPr>
          <w:lang w:val="en-GB"/>
        </w:rPr>
        <w:t>Paper Chain Kit 50’S Christmas”</w:t>
      </w:r>
    </w:p>
    <w:p>
      <w:pPr>
        <w:pStyle w:val="Normal"/>
        <w:numPr>
          <w:ilvl w:val="0"/>
          <w:numId w:val="6"/>
        </w:numPr>
        <w:rPr>
          <w:lang w:val="en-GB"/>
        </w:rPr>
      </w:pPr>
      <w:r>
        <w:rPr>
          <w:lang w:val="en-GB"/>
        </w:rPr>
        <w:t>“</w:t>
      </w:r>
      <w:r>
        <w:rPr>
          <w:lang w:val="en-GB"/>
        </w:rPr>
        <w:t xml:space="preserve">Rabbit Night Light” </w:t>
      </w:r>
    </w:p>
    <w:p>
      <w:pPr>
        <w:pStyle w:val="Normal"/>
        <w:rPr>
          <w:lang w:val="en-GB"/>
        </w:rPr>
      </w:pPr>
      <w:r>
        <w:rPr/>
        <w:drawing>
          <wp:inline distT="0" distB="0" distL="0" distR="0">
            <wp:extent cx="5943600" cy="2768600"/>
            <wp:effectExtent l="0" t="0" r="0" b="0"/>
            <wp:docPr id="2"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png" descr=""/>
                    <pic:cNvPicPr>
                      <a:picLocks noChangeAspect="1" noChangeArrowheads="1"/>
                    </pic:cNvPicPr>
                  </pic:nvPicPr>
                  <pic:blipFill>
                    <a:blip r:embed="rId3"/>
                    <a:stretch>
                      <a:fillRect/>
                    </a:stretch>
                  </pic:blipFill>
                  <pic:spPr bwMode="auto">
                    <a:xfrm>
                      <a:off x="0" y="0"/>
                      <a:ext cx="5943600" cy="2768600"/>
                    </a:xfrm>
                    <a:prstGeom prst="rect">
                      <a:avLst/>
                    </a:prstGeom>
                    <a:ln w="12700">
                      <a:solidFill>
                        <a:srgbClr val="000000"/>
                      </a:solidFill>
                    </a:ln>
                  </pic:spPr>
                </pic:pic>
              </a:graphicData>
            </a:graphic>
          </wp:inline>
        </w:drawing>
      </w:r>
    </w:p>
    <w:p>
      <w:pPr>
        <w:pStyle w:val="Normal"/>
        <w:jc w:val="center"/>
        <w:rPr>
          <w:b/>
          <w:b/>
          <w:lang w:val="en-GB"/>
        </w:rPr>
      </w:pPr>
      <w:r>
        <w:rPr>
          <w:b/>
          <w:lang w:val="en-GB"/>
        </w:rPr>
        <w:t xml:space="preserve">Figure 2: Most Frequency Purchased Product </w:t>
      </w:r>
    </w:p>
    <w:p>
      <w:pPr>
        <w:pStyle w:val="Normal"/>
        <w:jc w:val="center"/>
        <w:rPr>
          <w:lang w:val="en-GB"/>
        </w:rPr>
      </w:pPr>
      <w:r>
        <w:rPr>
          <w:lang w:val="en-GB"/>
        </w:rPr>
        <w:t>(Source: Self-Created)</w:t>
      </w:r>
    </w:p>
    <w:p>
      <w:pPr>
        <w:pStyle w:val="Normal"/>
        <w:rPr>
          <w:lang w:val="en-GB"/>
        </w:rPr>
      </w:pPr>
      <w:r>
        <w:rPr>
          <w:lang w:val="en-GB"/>
        </w:rPr>
        <w:t>In Figure 2, it is evaluated that in the top 10 list for the company, there are a total of three major product segments which helps the company to earn a maximum amount of sales revenue. Those products are Hot Water Bottle Keep Calm (2161)” Paper Chain Kit 50’S Christmas (2746)”, and “Rabbit Night Light (2876)”. It can also be evaluated that during the time of Christmas, the sales revenue for the company increases in terms of gifts (2746) and home decor (2876). These are the major product segments which bring the highest revenue for the company.</w:t>
      </w:r>
    </w:p>
    <w:p>
      <w:pPr>
        <w:pStyle w:val="Normal"/>
        <w:numPr>
          <w:ilvl w:val="0"/>
          <w:numId w:val="5"/>
        </w:numPr>
        <w:rPr>
          <w:b/>
          <w:b/>
          <w:i/>
          <w:i/>
          <w:lang w:val="en-GB"/>
        </w:rPr>
      </w:pPr>
      <w:r>
        <w:rPr>
          <w:b/>
          <w:i/>
          <w:lang w:val="en-GB"/>
        </w:rPr>
        <w:t>Chart-3:  Product Purchased Per Transaction</w:t>
      </w:r>
    </w:p>
    <w:p>
      <w:pPr>
        <w:pStyle w:val="Normal"/>
        <w:rPr>
          <w:lang w:val="en-GB"/>
        </w:rPr>
      </w:pPr>
      <w:r>
        <w:rPr>
          <w:lang w:val="en-GB"/>
        </w:rPr>
        <w:t>Type of chart: Line Chart</w:t>
      </w:r>
    </w:p>
    <w:p>
      <w:pPr>
        <w:pStyle w:val="Normal"/>
        <w:rPr>
          <w:lang w:val="en-GB"/>
        </w:rPr>
      </w:pPr>
      <w:r>
        <w:rPr>
          <w:lang w:val="en-GB"/>
        </w:rPr>
        <w:t xml:space="preserve">Excel Function: Excel Pivot Table </w:t>
      </w:r>
    </w:p>
    <w:p>
      <w:pPr>
        <w:pStyle w:val="Normal"/>
        <w:rPr>
          <w:lang w:val="en-GB"/>
        </w:rPr>
      </w:pPr>
      <w:r>
        <w:rPr>
          <w:lang w:val="en-GB"/>
        </w:rPr>
        <w:t>Filter Option: Top 10 purchased products and transactions.</w:t>
      </w:r>
    </w:p>
    <w:p>
      <w:pPr>
        <w:pStyle w:val="Normal"/>
        <w:rPr>
          <w:b/>
          <w:b/>
          <w:i/>
          <w:i/>
          <w:lang w:val="en-GB"/>
        </w:rPr>
      </w:pPr>
      <w:r>
        <w:rPr>
          <w:lang w:val="en-GB"/>
        </w:rPr>
        <w:t>Year: 2019</w:t>
      </w:r>
    </w:p>
    <w:p>
      <w:pPr>
        <w:pStyle w:val="Normal"/>
        <w:rPr>
          <w:lang w:val="en-GB"/>
        </w:rPr>
      </w:pPr>
      <w:r>
        <w:rPr/>
        <w:drawing>
          <wp:inline distT="0" distB="0" distL="0" distR="0">
            <wp:extent cx="5943600" cy="2019300"/>
            <wp:effectExtent l="0" t="0" r="0" b="0"/>
            <wp:docPr id="3"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png" descr=""/>
                    <pic:cNvPicPr>
                      <a:picLocks noChangeAspect="1" noChangeArrowheads="1"/>
                    </pic:cNvPicPr>
                  </pic:nvPicPr>
                  <pic:blipFill>
                    <a:blip r:embed="rId4"/>
                    <a:stretch>
                      <a:fillRect/>
                    </a:stretch>
                  </pic:blipFill>
                  <pic:spPr bwMode="auto">
                    <a:xfrm>
                      <a:off x="0" y="0"/>
                      <a:ext cx="5943600" cy="2019300"/>
                    </a:xfrm>
                    <a:prstGeom prst="rect">
                      <a:avLst/>
                    </a:prstGeom>
                    <a:ln w="12700">
                      <a:solidFill>
                        <a:srgbClr val="000000"/>
                      </a:solidFill>
                    </a:ln>
                  </pic:spPr>
                </pic:pic>
              </a:graphicData>
            </a:graphic>
          </wp:inline>
        </w:drawing>
      </w:r>
    </w:p>
    <w:p>
      <w:pPr>
        <w:pStyle w:val="Normal"/>
        <w:jc w:val="center"/>
        <w:rPr>
          <w:b/>
          <w:b/>
          <w:lang w:val="en-GB"/>
        </w:rPr>
      </w:pPr>
      <w:r>
        <w:rPr>
          <w:b/>
          <w:lang w:val="en-GB"/>
        </w:rPr>
        <w:t>Figure 3: Product Purchased Per Transaction</w:t>
      </w:r>
    </w:p>
    <w:p>
      <w:pPr>
        <w:pStyle w:val="Normal"/>
        <w:jc w:val="center"/>
        <w:rPr>
          <w:lang w:val="en-GB"/>
        </w:rPr>
      </w:pPr>
      <w:r>
        <w:rPr>
          <w:lang w:val="en-GB"/>
        </w:rPr>
        <w:t>(Source: Self-Created)</w:t>
      </w:r>
    </w:p>
    <w:p>
      <w:pPr>
        <w:pStyle w:val="Normal"/>
        <w:rPr>
          <w:lang w:val="en-GB"/>
        </w:rPr>
      </w:pPr>
      <w:r>
        <w:rPr>
          <w:lang w:val="en-GB"/>
        </w:rPr>
        <w:t xml:space="preserve">The above graphical representation in Figure 3 shows that there are three major segments of the transaction ID which are associated with product purchased per transaction. For instance, the number of products purchased with the Transaction ID “581219” is 747 which is the maximum in the top 10 list. The number of the products purchased with the Transaction ID “581492” is 730 and the Transaction ID “580729” are 720. </w:t>
      </w:r>
    </w:p>
    <w:p>
      <w:pPr>
        <w:pStyle w:val="Normal"/>
        <w:numPr>
          <w:ilvl w:val="0"/>
          <w:numId w:val="5"/>
        </w:numPr>
        <w:rPr>
          <w:b/>
          <w:b/>
          <w:i/>
          <w:i/>
          <w:lang w:val="en-GB"/>
        </w:rPr>
      </w:pPr>
      <w:r>
        <w:rPr>
          <w:b/>
          <w:i/>
          <w:lang w:val="en-GB"/>
        </w:rPr>
        <w:t xml:space="preserve">Chart-4:  Most Profitable Segment of Customers </w:t>
      </w:r>
    </w:p>
    <w:p>
      <w:pPr>
        <w:pStyle w:val="Normal"/>
        <w:rPr>
          <w:lang w:val="en-GB"/>
        </w:rPr>
      </w:pPr>
      <w:r>
        <w:rPr>
          <w:lang w:val="en-GB"/>
        </w:rPr>
        <w:t>Type of chart: Bar Graph</w:t>
      </w:r>
    </w:p>
    <w:p>
      <w:pPr>
        <w:pStyle w:val="Normal"/>
        <w:rPr>
          <w:lang w:val="en-GB"/>
        </w:rPr>
      </w:pPr>
      <w:r>
        <w:rPr>
          <w:lang w:val="en-GB"/>
        </w:rPr>
        <w:t xml:space="preserve">Excel Function: Excel Pivot Table </w:t>
      </w:r>
    </w:p>
    <w:p>
      <w:pPr>
        <w:pStyle w:val="Normal"/>
        <w:rPr>
          <w:lang w:val="en-GB"/>
        </w:rPr>
      </w:pPr>
      <w:r>
        <w:rPr>
          <w:lang w:val="en-GB"/>
        </w:rPr>
        <w:t>Filter Option: Top 10 purchased products and transactions.</w:t>
      </w:r>
    </w:p>
    <w:p>
      <w:pPr>
        <w:pStyle w:val="Normal"/>
        <w:rPr>
          <w:lang w:val="en-GB"/>
        </w:rPr>
      </w:pPr>
      <w:r>
        <w:rPr>
          <w:lang w:val="en-GB"/>
        </w:rPr>
        <w:t>Year: 2019</w:t>
      </w:r>
    </w:p>
    <w:p>
      <w:pPr>
        <w:pStyle w:val="Normal"/>
        <w:rPr>
          <w:lang w:val="en-GB"/>
        </w:rPr>
      </w:pPr>
      <w:r>
        <w:rPr/>
        <w:drawing>
          <wp:inline distT="0" distB="0" distL="0" distR="0">
            <wp:extent cx="5943600" cy="2768600"/>
            <wp:effectExtent l="0" t="0" r="0" b="0"/>
            <wp:docPr id="4"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6.png" descr=""/>
                    <pic:cNvPicPr>
                      <a:picLocks noChangeAspect="1" noChangeArrowheads="1"/>
                    </pic:cNvPicPr>
                  </pic:nvPicPr>
                  <pic:blipFill>
                    <a:blip r:embed="rId5"/>
                    <a:stretch>
                      <a:fillRect/>
                    </a:stretch>
                  </pic:blipFill>
                  <pic:spPr bwMode="auto">
                    <a:xfrm>
                      <a:off x="0" y="0"/>
                      <a:ext cx="5943600" cy="2768600"/>
                    </a:xfrm>
                    <a:prstGeom prst="rect">
                      <a:avLst/>
                    </a:prstGeom>
                  </pic:spPr>
                </pic:pic>
              </a:graphicData>
            </a:graphic>
          </wp:inline>
        </w:drawing>
      </w:r>
    </w:p>
    <w:p>
      <w:pPr>
        <w:pStyle w:val="Normal"/>
        <w:jc w:val="center"/>
        <w:rPr>
          <w:b/>
          <w:b/>
          <w:lang w:val="en-GB"/>
        </w:rPr>
      </w:pPr>
      <w:r>
        <w:rPr>
          <w:b/>
          <w:lang w:val="en-GB"/>
        </w:rPr>
        <w:t xml:space="preserve">Figure 4: Most Profitable Segment of Customers </w:t>
      </w:r>
    </w:p>
    <w:p>
      <w:pPr>
        <w:pStyle w:val="Normal"/>
        <w:jc w:val="center"/>
        <w:rPr>
          <w:lang w:val="en-GB"/>
        </w:rPr>
      </w:pPr>
      <w:r>
        <w:rPr>
          <w:lang w:val="en-GB"/>
        </w:rPr>
        <w:t>(Source: Self-Created)</w:t>
      </w:r>
    </w:p>
    <w:p>
      <w:pPr>
        <w:pStyle w:val="Normal"/>
        <w:rPr>
          <w:lang w:val="en-GB"/>
        </w:rPr>
      </w:pPr>
      <w:r>
        <w:rPr>
          <w:lang w:val="en-GB"/>
        </w:rPr>
        <w:t xml:space="preserve">It is seen from the figure that the company sells “Paper Chain Kit 50’S Christmas’ at a higher level and earns a total revenue of GBP 2745.4 for the year 2019. Moreover, “Paper Chain Kit Vintage Christmas” has sold with a total revenue of GBP 1995.41. The “Rabbit Night Light” products have sold with a total revenue of GBP 2875.65 which is the maximum. The products named “Hot Water Bottle Tea and Sympathy” have been sold with a revenue of GBP 2161.00. The total revenue earned by selling the “Cream Hanging Heart T-light Holder” is GBP 1643.19 and that for the “Hand Warmer Owl Design” is GBP 1572.26. However, by selling the “Popcorn Holder” the company earns a total of GBP 1555.81 in revenue. It means that the company has two major product segments retail and home decor which help to earn a considerable amount of revenue. </w:t>
      </w:r>
    </w:p>
    <w:p>
      <w:pPr>
        <w:pStyle w:val="Normal"/>
        <w:rPr>
          <w:lang w:val="en-GB"/>
        </w:rPr>
      </w:pPr>
      <w:r>
        <w:rPr/>
        <w:drawing>
          <wp:inline distT="0" distB="0" distL="0" distR="0">
            <wp:extent cx="5943600" cy="3035300"/>
            <wp:effectExtent l="0" t="0" r="0" b="0"/>
            <wp:docPr id="5"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png" descr=""/>
                    <pic:cNvPicPr>
                      <a:picLocks noChangeAspect="1" noChangeArrowheads="1"/>
                    </pic:cNvPicPr>
                  </pic:nvPicPr>
                  <pic:blipFill>
                    <a:blip r:embed="rId6"/>
                    <a:stretch>
                      <a:fillRect/>
                    </a:stretch>
                  </pic:blipFill>
                  <pic:spPr bwMode="auto">
                    <a:xfrm>
                      <a:off x="0" y="0"/>
                      <a:ext cx="5943600" cy="3035300"/>
                    </a:xfrm>
                    <a:prstGeom prst="rect">
                      <a:avLst/>
                    </a:prstGeom>
                    <a:ln w="12700">
                      <a:solidFill>
                        <a:srgbClr val="000000"/>
                      </a:solidFill>
                    </a:ln>
                  </pic:spPr>
                </pic:pic>
              </a:graphicData>
            </a:graphic>
          </wp:inline>
        </w:drawing>
      </w:r>
    </w:p>
    <w:p>
      <w:pPr>
        <w:pStyle w:val="Normal"/>
        <w:jc w:val="center"/>
        <w:rPr>
          <w:b/>
          <w:b/>
          <w:lang w:val="en-GB"/>
        </w:rPr>
      </w:pPr>
      <w:r>
        <w:rPr>
          <w:b/>
          <w:lang w:val="en-GB"/>
        </w:rPr>
        <w:t>Figure 5: Country-Wise Segmentation</w:t>
      </w:r>
    </w:p>
    <w:p>
      <w:pPr>
        <w:pStyle w:val="Normal"/>
        <w:jc w:val="center"/>
        <w:rPr>
          <w:lang w:val="en-GB"/>
        </w:rPr>
      </w:pPr>
      <w:r>
        <w:rPr>
          <w:lang w:val="en-GB"/>
        </w:rPr>
        <w:t>(Source: Self-Created)</w:t>
      </w:r>
    </w:p>
    <w:p>
      <w:pPr>
        <w:pStyle w:val="Normal"/>
        <w:rPr>
          <w:lang w:val="en-GB"/>
        </w:rPr>
      </w:pPr>
      <w:r>
        <w:rPr>
          <w:lang w:val="en-GB"/>
        </w:rPr>
        <w:t xml:space="preserve">The maximum customers for the company belong to the country of the United Kingdom which helps to generate revenue of GBP 4, 75,276.8. The revenue generated from the countries EIRE, France, Germany, and Austria is GBP 7263.28, GBP 7893.22, GBP 7369.25, and GBP 7937.83 respectively. It means for the company the most profitable segment for the customers is situated in the United Kingdom. </w:t>
      </w:r>
    </w:p>
    <w:p>
      <w:pPr>
        <w:pStyle w:val="Normal"/>
        <w:rPr>
          <w:lang w:val="en-GB"/>
        </w:rPr>
      </w:pPr>
      <w:r>
        <w:rPr>
          <w:lang w:val="en-GB"/>
        </w:rPr>
      </w:r>
    </w:p>
    <w:p>
      <w:pPr>
        <w:pStyle w:val="Normal"/>
        <w:numPr>
          <w:ilvl w:val="0"/>
          <w:numId w:val="5"/>
        </w:numPr>
        <w:rPr>
          <w:b/>
          <w:b/>
          <w:lang w:val="en-GB"/>
        </w:rPr>
      </w:pPr>
      <w:r>
        <w:rPr>
          <w:b/>
          <w:lang w:val="en-GB"/>
        </w:rPr>
        <w:t>Proposed Business Strategies to Gain More Profit</w:t>
      </w:r>
    </w:p>
    <w:p>
      <w:pPr>
        <w:pStyle w:val="Normal"/>
        <w:rPr>
          <w:lang w:val="en-GB"/>
        </w:rPr>
      </w:pPr>
      <w:r>
        <w:rPr>
          <w:lang w:val="en-GB"/>
        </w:rPr>
        <w:t>The UK-based e-commerce business can increase its revenue and profit generation in a large amount if it continues its business in the United Kingdom. As is seen from the above analysis the maximum revenue (GBP 4, 75,276.8) is generated only from the United Kingdom than the other countries. Moreover, the least amount (appendix-1) of revenue generation is seen in Australia (GBP 49.52), Sweden (GBP 90.42), and the Czech Republic (GBP 23.52). Hence, the company is required to shut down its business in those countries and should invest that capital in the United Kingdom unit. It is evident that the integration of new innovations and technology enhances the business output to a greater extent (Malenkov</w:t>
      </w:r>
      <w:r>
        <w:rPr>
          <w:i/>
          <w:lang w:val="en-GB"/>
        </w:rPr>
        <w:t xml:space="preserve"> et al</w:t>
      </w:r>
      <w:r>
        <w:rPr>
          <w:lang w:val="en-GB"/>
        </w:rPr>
        <w:t xml:space="preserve">., 2021). Moreover, it is also seen that this company has a strong point in retail and home decor commodities which help them to earn more revenue. In spite of investing more in those countries is not a good idea for the company as they generate a low amount of revenue. Hence, the company needs to invest more in those countries where the maximum amount of revenue is generated. </w:t>
      </w:r>
    </w:p>
    <w:p>
      <w:pPr>
        <w:pStyle w:val="Normal"/>
        <w:rPr>
          <w:b/>
          <w:b/>
          <w:lang w:val="en-GB"/>
        </w:rPr>
      </w:pPr>
      <w:r>
        <w:rPr>
          <w:b/>
          <w:lang w:val="en-GB"/>
        </w:rPr>
        <w:t xml:space="preserve">Environmental Sustainable Approach </w:t>
      </w:r>
    </w:p>
    <w:p>
      <w:pPr>
        <w:pStyle w:val="Normal"/>
        <w:rPr>
          <w:lang w:val="en-GB"/>
        </w:rPr>
      </w:pPr>
      <w:r>
        <w:rPr>
          <w:lang w:val="en-GB"/>
        </w:rPr>
        <w:t xml:space="preserve">The company has a good segment in stationary products which are useful for children for educational purposes. For instance, by selling “Paper Chain Kit 50’S Christmas’, the company warns a total of GBP 2745.4 for the year 2019. Moreover, by selling “Rabbit Night Light” the company also earns a higher amount of revenue of GBP 2875.65. Hence, the company may adopt the sustainable approach in bottle components with less carbon footprint data. It enhances the company’s perspective in two ways. Firstly, the eco-friendly product saves the environment from carbon pollutants and it is evident that customers always prefer such businesses that provide emphasis on environmentally sustainable features (Shubbar </w:t>
      </w:r>
      <w:r>
        <w:rPr>
          <w:i/>
          <w:lang w:val="en-GB"/>
        </w:rPr>
        <w:t>et al</w:t>
      </w:r>
      <w:r>
        <w:rPr>
          <w:lang w:val="en-GB"/>
        </w:rPr>
        <w:t xml:space="preserve">., 2021). Thus, a larger number of customers can be enlisted with the business.  However, it also encourages the “NetZero’ for business which is an essential class by the government of the UK (Hodgkin and Rutter, 2021). </w:t>
      </w:r>
    </w:p>
    <w:p>
      <w:pPr>
        <w:pStyle w:val="Normal"/>
        <w:rPr>
          <w:b/>
          <w:b/>
          <w:lang w:val="en-GB"/>
        </w:rPr>
      </w:pPr>
      <w:r>
        <w:rPr>
          <w:b/>
          <w:lang w:val="en-GB"/>
        </w:rPr>
        <w:t xml:space="preserve">Safe Transactions for customers </w:t>
      </w:r>
    </w:p>
    <w:p>
      <w:pPr>
        <w:pStyle w:val="Normal"/>
        <w:rPr>
          <w:lang w:val="en-GB"/>
        </w:rPr>
      </w:pPr>
      <w:r>
        <w:rPr>
          <w:lang w:val="en-GB"/>
        </w:rPr>
        <w:t xml:space="preserve">It is also desirable to keep the transaction safe for the customer without any online breaches. In most cases, customers prefer to buy commodities from online retail stores by initiating online transactions (Kleisiari </w:t>
      </w:r>
      <w:r>
        <w:rPr>
          <w:i/>
          <w:lang w:val="en-GB"/>
        </w:rPr>
        <w:t>et al</w:t>
      </w:r>
      <w:r>
        <w:rPr>
          <w:lang w:val="en-GB"/>
        </w:rPr>
        <w:t xml:space="preserve">., 2021). It is quite challenging to secure customers’ information in online mediums from malware attacks (Summerlin and Powell, 2022). A smoother payment gateway can help customers to feel safe while they disburse the amount after purchasing the products. </w:t>
      </w:r>
    </w:p>
    <w:p>
      <w:pPr>
        <w:pStyle w:val="Normal"/>
        <w:rPr>
          <w:b/>
          <w:b/>
          <w:lang w:val="en-GB"/>
        </w:rPr>
      </w:pPr>
      <w:r>
        <w:rPr>
          <w:b/>
          <w:lang w:val="en-GB"/>
        </w:rPr>
        <w:t>Digital Promotion</w:t>
      </w:r>
    </w:p>
    <w:p>
      <w:pPr>
        <w:pStyle w:val="Normal"/>
        <w:rPr>
          <w:lang w:val="en-GB"/>
        </w:rPr>
      </w:pPr>
      <w:r>
        <w:rPr>
          <w:lang w:val="en-GB"/>
        </w:rPr>
        <w:t>Digital Promotion by online platforms like Google AdSense, Meta, and X (former twitter) in the United Kingdom can help the company to grab more customers’ attention. Customers can read the product reviews and ratings about a particular product before initiating the purchase actions. In this case, the company needs to be aware to reduce the spam attack and false comments on the product review (Đurđević</w:t>
      </w:r>
      <w:r>
        <w:rPr>
          <w:i/>
          <w:lang w:val="en-GB"/>
        </w:rPr>
        <w:t xml:space="preserve"> et al</w:t>
      </w:r>
      <w:r>
        <w:rPr>
          <w:lang w:val="en-GB"/>
        </w:rPr>
        <w:t>., 2022.). Unnecessary reviews can deprive customers of buying the products. It is also seen from the analysis that the company is currently engaged with a large variety of products. Hence, the integration of a digital catalogue for the customers is a beneficial point for the company. In this case, Big Data Analytics tools and Artificial intelligence (AI) can be used (Thayyib</w:t>
      </w:r>
      <w:r>
        <w:rPr>
          <w:i/>
          <w:lang w:val="en-GB"/>
        </w:rPr>
        <w:t xml:space="preserve"> et al.</w:t>
      </w:r>
      <w:r>
        <w:rPr>
          <w:lang w:val="en-GB"/>
        </w:rPr>
        <w:t xml:space="preserve">, 2023). The AI helps to generate customers’ tailored products to display in front of them based on their past search history. Hence, customers do not need to search for their desired product by investing a large amount of time. </w:t>
      </w:r>
    </w:p>
    <w:p>
      <w:pPr>
        <w:pStyle w:val="Normal"/>
        <w:rPr>
          <w:b/>
          <w:b/>
          <w:lang w:val="en-GB"/>
        </w:rPr>
      </w:pPr>
      <w:r>
        <w:rPr>
          <w:b/>
          <w:lang w:val="en-GB"/>
        </w:rPr>
        <w:t>Suppliers and Distributors for the company</w:t>
      </w:r>
    </w:p>
    <w:p>
      <w:pPr>
        <w:pStyle w:val="Normal"/>
        <w:rPr>
          <w:lang w:val="en-GB"/>
        </w:rPr>
      </w:pPr>
      <w:r>
        <w:rPr>
          <w:lang w:val="en-GB"/>
        </w:rPr>
        <w:t xml:space="preserve">The cost and procedures associated with international suppliers and distributors are more complex than the local place. However, from the above analysis, it is seen that the highest amount of revenue generation has taken place in the United Kingdom for the company. On the other hand Australia, the Czech Republic, and Sweden have the least domain for the company for earning revenue. Hence, if the company stops investing in those countries then it would be profitable for the company. The high amount of paperwork and high cost are associated with international logistics movement (Debnath </w:t>
      </w:r>
      <w:r>
        <w:rPr>
          <w:i/>
          <w:lang w:val="en-GB"/>
        </w:rPr>
        <w:t>et al.</w:t>
      </w:r>
      <w:r>
        <w:rPr>
          <w:lang w:val="en-GB"/>
        </w:rPr>
        <w:t xml:space="preserve">, 2023). On the other hand, the company can invest that capital in its own place United Kingdom to bring more innovation to its existing products. </w:t>
      </w:r>
    </w:p>
    <w:p>
      <w:pPr>
        <w:pStyle w:val="Normal"/>
        <w:rPr>
          <w:b/>
          <w:b/>
          <w:lang w:val="en-GB"/>
        </w:rPr>
      </w:pPr>
      <w:r>
        <w:rPr>
          <w:b/>
          <w:lang w:val="en-GB"/>
        </w:rPr>
        <w:t>Pre-sales and Post-sales Service</w:t>
      </w:r>
    </w:p>
    <w:p>
      <w:pPr>
        <w:pStyle w:val="Normal"/>
        <w:rPr>
          <w:lang w:val="en-GB"/>
        </w:rPr>
      </w:pPr>
      <w:r>
        <w:rPr>
          <w:lang w:val="en-GB"/>
        </w:rPr>
        <w:t xml:space="preserve">It is discussed that the implementation of digital social media in product promotions plays an important role in displaying the products to the targeted customers. However, customers read the product description and importance along with the reviews of other customers who bought the same products earlier (Wu and Lu, 2023). However, the company should enhance its post-sales service in order to mitigate customers’ queries. During peak time (November), a large amount of customers come with their queries and in this case, AI-operated Chabot can initially solve the customer's queries with their canned responses (Pei </w:t>
      </w:r>
      <w:r>
        <w:rPr>
          <w:i/>
          <w:lang w:val="en-GB"/>
        </w:rPr>
        <w:t>et al</w:t>
      </w:r>
      <w:r>
        <w:rPr>
          <w:lang w:val="en-GB"/>
        </w:rPr>
        <w:t xml:space="preserve">., 2021). A business model with good pre-sales and post-sales service can attract more numbers of customers and AI Chabot can reduce the operating time while handling a large amount of customers’ queries. </w:t>
      </w:r>
    </w:p>
    <w:p>
      <w:pPr>
        <w:pStyle w:val="Heading1"/>
        <w:rPr>
          <w:lang w:val="en-GB"/>
        </w:rPr>
      </w:pPr>
      <w:bookmarkStart w:id="11" w:name="_Toc161944342"/>
      <w:bookmarkStart w:id="12" w:name="_foo44fu3xthg"/>
      <w:bookmarkEnd w:id="12"/>
      <w:r>
        <w:rPr>
          <w:lang w:val="en-GB"/>
        </w:rPr>
        <w:t>Part-2</w:t>
      </w:r>
      <w:bookmarkEnd w:id="11"/>
    </w:p>
    <w:p>
      <w:pPr>
        <w:pStyle w:val="Heading2"/>
        <w:rPr>
          <w:lang w:val="en-GB"/>
        </w:rPr>
      </w:pPr>
      <w:bookmarkStart w:id="13" w:name="_Toc161944343"/>
      <w:r>
        <w:rPr>
          <w:lang w:val="en-GB"/>
        </w:rPr>
        <w:t>1. Number of male and Female Students</w:t>
      </w:r>
      <w:bookmarkEnd w:id="13"/>
    </w:p>
    <w:p>
      <w:pPr>
        <w:pStyle w:val="Normal"/>
        <w:rPr>
          <w:lang w:val="en-GB"/>
        </w:rPr>
      </w:pPr>
      <w:r>
        <w:rPr>
          <w:lang w:val="en-GB"/>
        </w:rPr>
        <w:t>Number of male students: 1056</w:t>
      </w:r>
    </w:p>
    <w:p>
      <w:pPr>
        <w:pStyle w:val="Normal"/>
        <w:rPr>
          <w:lang w:val="en-GB"/>
        </w:rPr>
      </w:pPr>
      <w:r>
        <w:rPr>
          <w:lang w:val="en-GB"/>
        </w:rPr>
        <w:t>Number of Female Students: 1077</w:t>
      </w:r>
    </w:p>
    <w:tbl>
      <w:tblPr>
        <w:tblStyle w:val="a0"/>
        <w:tblW w:w="7200" w:type="dxa"/>
        <w:jc w:val="center"/>
        <w:tblInd w:w="0" w:type="dxa"/>
        <w:tblCellMar>
          <w:top w:w="0" w:type="dxa"/>
          <w:left w:w="0" w:type="dxa"/>
          <w:bottom w:w="0" w:type="dxa"/>
          <w:right w:w="0" w:type="dxa"/>
        </w:tblCellMar>
        <w:tblLook w:firstRow="0" w:noVBand="1" w:lastRow="0" w:firstColumn="0" w:lastColumn="0" w:noHBand="1" w:val="0600"/>
      </w:tblPr>
      <w:tblGrid>
        <w:gridCol w:w="779"/>
        <w:gridCol w:w="990"/>
        <w:gridCol w:w="1244"/>
        <w:gridCol w:w="1"/>
        <w:gridCol w:w="1109"/>
        <w:gridCol w:w="1"/>
        <w:gridCol w:w="1499"/>
        <w:gridCol w:w="1576"/>
      </w:tblGrid>
      <w:tr>
        <w:trPr>
          <w:trHeight w:val="315" w:hRule="atLeast"/>
        </w:trPr>
        <w:tc>
          <w:tcPr>
            <w:tcW w:w="7199" w:type="dxa"/>
            <w:gridSpan w:val="8"/>
            <w:tcBorders/>
            <w:shd w:color="auto" w:fill="FFFFFF" w:val="clear"/>
          </w:tcPr>
          <w:p>
            <w:pPr>
              <w:pStyle w:val="Normal"/>
              <w:spacing w:lineRule="auto" w:line="348"/>
              <w:ind w:left="60" w:right="60" w:hanging="0"/>
              <w:jc w:val="center"/>
              <w:rPr>
                <w:b/>
                <w:b/>
                <w:color w:val="010205"/>
                <w:sz w:val="16"/>
                <w:szCs w:val="16"/>
                <w:lang w:val="en-GB"/>
              </w:rPr>
            </w:pPr>
            <w:r>
              <w:rPr>
                <w:b/>
                <w:color w:val="010205"/>
                <w:sz w:val="16"/>
                <w:szCs w:val="16"/>
                <w:lang w:val="en-GB"/>
              </w:rPr>
              <w:t>Gender</w:t>
            </w:r>
          </w:p>
        </w:tc>
      </w:tr>
      <w:tr>
        <w:trPr>
          <w:trHeight w:val="330" w:hRule="atLeast"/>
        </w:trPr>
        <w:tc>
          <w:tcPr>
            <w:tcW w:w="1769" w:type="dxa"/>
            <w:gridSpan w:val="2"/>
            <w:tcBorders>
              <w:bottom w:val="single" w:sz="8" w:space="0" w:color="152935"/>
            </w:tcBorders>
            <w:shd w:color="auto" w:fill="FFFFFF" w:val="clear"/>
            <w:vAlign w:val="bottom"/>
          </w:tcPr>
          <w:p>
            <w:pPr>
              <w:pStyle w:val="Normal"/>
              <w:spacing w:lineRule="auto" w:line="276" w:before="240" w:after="0"/>
              <w:rPr>
                <w:sz w:val="16"/>
                <w:szCs w:val="16"/>
                <w:lang w:val="en-GB"/>
              </w:rPr>
            </w:pPr>
            <w:r>
              <w:rPr>
                <w:sz w:val="16"/>
                <w:szCs w:val="16"/>
                <w:lang w:val="en-GB"/>
              </w:rPr>
              <w:t xml:space="preserve"> </w:t>
            </w:r>
          </w:p>
        </w:tc>
        <w:tc>
          <w:tcPr>
            <w:tcW w:w="1245" w:type="dxa"/>
            <w:gridSpan w:val="2"/>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Frequency</w:t>
            </w:r>
          </w:p>
        </w:tc>
        <w:tc>
          <w:tcPr>
            <w:tcW w:w="1110" w:type="dxa"/>
            <w:gridSpan w:val="2"/>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Percent</w:t>
            </w:r>
          </w:p>
        </w:tc>
        <w:tc>
          <w:tcPr>
            <w:tcW w:w="1499"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Valid Percent</w:t>
            </w:r>
          </w:p>
        </w:tc>
        <w:tc>
          <w:tcPr>
            <w:tcW w:w="1576" w:type="dxa"/>
            <w:tcBorders>
              <w:bottom w:val="single" w:sz="8" w:space="0" w:color="152935"/>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Cumulative Percent</w:t>
            </w:r>
          </w:p>
        </w:tc>
      </w:tr>
      <w:tr>
        <w:trPr>
          <w:trHeight w:val="345" w:hRule="atLeast"/>
        </w:trPr>
        <w:tc>
          <w:tcPr>
            <w:tcW w:w="779" w:type="dxa"/>
            <w:vMerge w:val="restart"/>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Valid</w:t>
            </w:r>
          </w:p>
        </w:tc>
        <w:tc>
          <w:tcPr>
            <w:tcW w:w="99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Female</w:t>
            </w:r>
          </w:p>
        </w:tc>
        <w:tc>
          <w:tcPr>
            <w:tcW w:w="124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1077</w:t>
            </w:r>
          </w:p>
        </w:tc>
        <w:tc>
          <w:tcPr>
            <w:tcW w:w="1110"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50.5</w:t>
            </w:r>
          </w:p>
        </w:tc>
        <w:tc>
          <w:tcPr>
            <w:tcW w:w="1500"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50.5</w:t>
            </w:r>
          </w:p>
        </w:tc>
        <w:tc>
          <w:tcPr>
            <w:tcW w:w="157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50.5</w:t>
            </w:r>
          </w:p>
        </w:tc>
      </w:tr>
      <w:tr>
        <w:trPr>
          <w:trHeight w:val="345" w:hRule="atLeast"/>
        </w:trPr>
        <w:tc>
          <w:tcPr>
            <w:tcW w:w="779" w:type="dxa"/>
            <w:vMerge w:val="continue"/>
            <w:tcBorders>
              <w:bottom w:val="single" w:sz="8" w:space="0" w:color="152935"/>
            </w:tcBorders>
            <w:shd w:color="auto" w:fill="auto" w:val="clear"/>
            <w:tcMar>
              <w:top w:w="100" w:type="dxa"/>
              <w:left w:w="100" w:type="dxa"/>
              <w:bottom w:w="100" w:type="dxa"/>
              <w:right w:w="100" w:type="dxa"/>
            </w:tcMar>
          </w:tcPr>
          <w:p>
            <w:pPr>
              <w:pStyle w:val="Normal"/>
              <w:rPr>
                <w:lang w:val="en-GB"/>
              </w:rPr>
            </w:pPr>
            <w:r>
              <w:rPr>
                <w:lang w:val="en-GB"/>
              </w:rPr>
            </w:r>
          </w:p>
        </w:tc>
        <w:tc>
          <w:tcPr>
            <w:tcW w:w="99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Male</w:t>
            </w:r>
          </w:p>
        </w:tc>
        <w:tc>
          <w:tcPr>
            <w:tcW w:w="124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1056</w:t>
            </w:r>
          </w:p>
        </w:tc>
        <w:tc>
          <w:tcPr>
            <w:tcW w:w="1110"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49.5</w:t>
            </w:r>
          </w:p>
        </w:tc>
        <w:tc>
          <w:tcPr>
            <w:tcW w:w="1500"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49.5</w:t>
            </w:r>
          </w:p>
        </w:tc>
        <w:tc>
          <w:tcPr>
            <w:tcW w:w="157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100.0</w:t>
            </w:r>
          </w:p>
        </w:tc>
      </w:tr>
      <w:tr>
        <w:trPr>
          <w:trHeight w:val="345" w:hRule="atLeast"/>
        </w:trPr>
        <w:tc>
          <w:tcPr>
            <w:tcW w:w="779" w:type="dxa"/>
            <w:vMerge w:val="continue"/>
            <w:tcBorders>
              <w:bottom w:val="single" w:sz="8" w:space="0" w:color="152935"/>
            </w:tcBorders>
            <w:shd w:color="auto" w:fill="auto" w:val="clear"/>
            <w:tcMar>
              <w:top w:w="100" w:type="dxa"/>
              <w:left w:w="100" w:type="dxa"/>
              <w:bottom w:w="100" w:type="dxa"/>
              <w:right w:w="100" w:type="dxa"/>
            </w:tcMar>
          </w:tcPr>
          <w:p>
            <w:pPr>
              <w:pStyle w:val="Normal"/>
              <w:rPr>
                <w:lang w:val="en-GB"/>
              </w:rPr>
            </w:pPr>
            <w:r>
              <w:rPr>
                <w:lang w:val="en-GB"/>
              </w:rPr>
            </w:r>
          </w:p>
        </w:tc>
        <w:tc>
          <w:tcPr>
            <w:tcW w:w="990" w:type="dxa"/>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Total</w:t>
            </w:r>
          </w:p>
        </w:tc>
        <w:tc>
          <w:tcPr>
            <w:tcW w:w="1244"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2133</w:t>
            </w:r>
          </w:p>
        </w:tc>
        <w:tc>
          <w:tcPr>
            <w:tcW w:w="1110" w:type="dxa"/>
            <w:gridSpan w:val="2"/>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100.0</w:t>
            </w:r>
          </w:p>
        </w:tc>
        <w:tc>
          <w:tcPr>
            <w:tcW w:w="1500" w:type="dxa"/>
            <w:gridSpan w:val="2"/>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100.0</w:t>
            </w:r>
          </w:p>
        </w:tc>
        <w:tc>
          <w:tcPr>
            <w:tcW w:w="1576" w:type="dxa"/>
            <w:tcBorders>
              <w:bottom w:val="single" w:sz="8" w:space="0" w:color="152935"/>
            </w:tcBorders>
            <w:shd w:color="auto" w:fill="FFFFFF" w:val="clear"/>
          </w:tcPr>
          <w:p>
            <w:pPr>
              <w:pStyle w:val="Normal"/>
              <w:spacing w:lineRule="auto" w:line="276" w:before="240" w:after="0"/>
              <w:rPr>
                <w:sz w:val="16"/>
                <w:szCs w:val="16"/>
                <w:lang w:val="en-GB"/>
              </w:rPr>
            </w:pPr>
            <w:r>
              <w:rPr>
                <w:sz w:val="16"/>
                <w:szCs w:val="16"/>
                <w:lang w:val="en-GB"/>
              </w:rPr>
              <w:t xml:space="preserve"> </w:t>
            </w:r>
          </w:p>
        </w:tc>
      </w:tr>
    </w:tbl>
    <w:p>
      <w:pPr>
        <w:pStyle w:val="Normal"/>
        <w:rPr>
          <w:lang w:val="en-GB"/>
        </w:rPr>
      </w:pPr>
      <w:r>
        <w:rPr>
          <w:lang w:val="en-GB"/>
        </w:rPr>
      </w:r>
    </w:p>
    <w:p>
      <w:pPr>
        <w:pStyle w:val="Normal"/>
        <w:jc w:val="center"/>
        <w:rPr>
          <w:b/>
          <w:b/>
          <w:lang w:val="en-GB"/>
        </w:rPr>
      </w:pPr>
      <w:r>
        <w:rPr>
          <w:b/>
          <w:lang w:val="en-GB"/>
        </w:rPr>
        <w:t>Table 2:  Number of male and Female Students</w:t>
      </w:r>
    </w:p>
    <w:p>
      <w:pPr>
        <w:pStyle w:val="Normal"/>
        <w:jc w:val="center"/>
        <w:rPr>
          <w:lang w:val="en-GB"/>
        </w:rPr>
      </w:pPr>
      <w:r>
        <w:rPr>
          <w:lang w:val="en-GB"/>
        </w:rPr>
        <w:t>(Source: Self-Created)</w:t>
      </w:r>
    </w:p>
    <w:p>
      <w:pPr>
        <w:pStyle w:val="Normal"/>
        <w:rPr>
          <w:lang w:val="en-GB"/>
        </w:rPr>
      </w:pPr>
      <w:r>
        <w:rPr/>
        <w:drawing>
          <wp:inline distT="0" distB="0" distL="0" distR="0">
            <wp:extent cx="5943600" cy="3492500"/>
            <wp:effectExtent l="0" t="0" r="0" b="0"/>
            <wp:docPr id="6" name="image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png" descr=""/>
                    <pic:cNvPicPr>
                      <a:picLocks noChangeAspect="1" noChangeArrowheads="1"/>
                    </pic:cNvPicPr>
                  </pic:nvPicPr>
                  <pic:blipFill>
                    <a:blip r:embed="rId7"/>
                    <a:stretch>
                      <a:fillRect/>
                    </a:stretch>
                  </pic:blipFill>
                  <pic:spPr bwMode="auto">
                    <a:xfrm>
                      <a:off x="0" y="0"/>
                      <a:ext cx="5943600" cy="3492500"/>
                    </a:xfrm>
                    <a:prstGeom prst="rect">
                      <a:avLst/>
                    </a:prstGeom>
                  </pic:spPr>
                </pic:pic>
              </a:graphicData>
            </a:graphic>
          </wp:inline>
        </w:drawing>
      </w:r>
    </w:p>
    <w:p>
      <w:pPr>
        <w:pStyle w:val="Normal"/>
        <w:jc w:val="center"/>
        <w:rPr>
          <w:b/>
          <w:b/>
          <w:lang w:val="en-GB"/>
        </w:rPr>
      </w:pPr>
      <w:r>
        <w:rPr>
          <w:b/>
          <w:lang w:val="en-GB"/>
        </w:rPr>
        <w:t>Figure 7: Number of male and Female Students</w:t>
      </w:r>
    </w:p>
    <w:p>
      <w:pPr>
        <w:pStyle w:val="Normal"/>
        <w:jc w:val="center"/>
        <w:rPr>
          <w:lang w:val="en-GB"/>
        </w:rPr>
      </w:pPr>
      <w:r>
        <w:rPr>
          <w:lang w:val="en-GB"/>
        </w:rPr>
        <w:t>(Source: Self-Created)</w:t>
      </w:r>
    </w:p>
    <w:p>
      <w:pPr>
        <w:pStyle w:val="Heading2"/>
        <w:numPr>
          <w:ilvl w:val="0"/>
          <w:numId w:val="7"/>
        </w:numPr>
        <w:rPr>
          <w:lang w:val="en-GB"/>
        </w:rPr>
      </w:pPr>
      <w:bookmarkStart w:id="14" w:name="_Toc161944344"/>
      <w:r>
        <w:rPr>
          <w:lang w:val="en-GB"/>
        </w:rPr>
        <w:t>Number of students who qualify or do not qualify for reduced/ free lunch</w:t>
      </w:r>
      <w:bookmarkEnd w:id="14"/>
      <w:r>
        <w:rPr>
          <w:lang w:val="en-GB"/>
        </w:rPr>
        <w:t xml:space="preserve"> </w:t>
      </w:r>
    </w:p>
    <w:p>
      <w:pPr>
        <w:pStyle w:val="Normal"/>
        <w:rPr>
          <w:lang w:val="en-GB"/>
        </w:rPr>
      </w:pPr>
      <w:r>
        <w:rPr>
          <w:lang w:val="en-GB"/>
        </w:rPr>
      </w:r>
    </w:p>
    <w:tbl>
      <w:tblPr>
        <w:tblStyle w:val="a1"/>
        <w:tblW w:w="6386" w:type="dxa"/>
        <w:jc w:val="center"/>
        <w:tblInd w:w="0" w:type="dxa"/>
        <w:tblCellMar>
          <w:top w:w="0" w:type="dxa"/>
          <w:left w:w="0" w:type="dxa"/>
          <w:bottom w:w="0" w:type="dxa"/>
          <w:right w:w="0" w:type="dxa"/>
        </w:tblCellMar>
        <w:tblLook w:firstRow="0" w:noVBand="1" w:lastRow="0" w:firstColumn="0" w:lastColumn="0" w:noHBand="1" w:val="0600"/>
      </w:tblPr>
      <w:tblGrid>
        <w:gridCol w:w="475"/>
        <w:gridCol w:w="2071"/>
        <w:gridCol w:w="806"/>
        <w:gridCol w:w="620"/>
        <w:gridCol w:w="1015"/>
        <w:gridCol w:w="1"/>
        <w:gridCol w:w="1397"/>
      </w:tblGrid>
      <w:tr>
        <w:trPr>
          <w:trHeight w:val="315" w:hRule="atLeast"/>
        </w:trPr>
        <w:tc>
          <w:tcPr>
            <w:tcW w:w="6385" w:type="dxa"/>
            <w:gridSpan w:val="7"/>
            <w:tcBorders/>
            <w:shd w:color="auto" w:fill="FFFFFF" w:val="clear"/>
          </w:tcPr>
          <w:p>
            <w:pPr>
              <w:pStyle w:val="Normal"/>
              <w:spacing w:lineRule="auto" w:line="348"/>
              <w:ind w:left="60" w:right="60" w:hanging="0"/>
              <w:jc w:val="center"/>
              <w:rPr>
                <w:b/>
                <w:b/>
                <w:color w:val="010205"/>
                <w:sz w:val="16"/>
                <w:szCs w:val="16"/>
                <w:lang w:val="en-GB"/>
              </w:rPr>
            </w:pPr>
            <w:r>
              <w:rPr>
                <w:b/>
                <w:color w:val="010205"/>
                <w:sz w:val="16"/>
                <w:szCs w:val="16"/>
                <w:lang w:val="en-GB"/>
              </w:rPr>
              <w:t>Lunch</w:t>
            </w:r>
          </w:p>
        </w:tc>
      </w:tr>
      <w:tr>
        <w:trPr>
          <w:trHeight w:val="330" w:hRule="atLeast"/>
        </w:trPr>
        <w:tc>
          <w:tcPr>
            <w:tcW w:w="2546" w:type="dxa"/>
            <w:gridSpan w:val="2"/>
            <w:tcBorders>
              <w:bottom w:val="single" w:sz="8" w:space="0" w:color="152935"/>
            </w:tcBorders>
            <w:shd w:color="auto" w:fill="FFFFFF" w:val="clear"/>
            <w:vAlign w:val="bottom"/>
          </w:tcPr>
          <w:p>
            <w:pPr>
              <w:pStyle w:val="Normal"/>
              <w:spacing w:lineRule="auto" w:line="276" w:before="240" w:after="0"/>
              <w:rPr>
                <w:sz w:val="16"/>
                <w:szCs w:val="16"/>
                <w:lang w:val="en-GB"/>
              </w:rPr>
            </w:pPr>
            <w:r>
              <w:rPr>
                <w:sz w:val="16"/>
                <w:szCs w:val="16"/>
                <w:lang w:val="en-GB"/>
              </w:rPr>
              <w:t xml:space="preserve"> </w:t>
            </w:r>
          </w:p>
        </w:tc>
        <w:tc>
          <w:tcPr>
            <w:tcW w:w="806"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Frequency</w:t>
            </w:r>
          </w:p>
        </w:tc>
        <w:tc>
          <w:tcPr>
            <w:tcW w:w="620"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Percent</w:t>
            </w:r>
          </w:p>
        </w:tc>
        <w:tc>
          <w:tcPr>
            <w:tcW w:w="1016" w:type="dxa"/>
            <w:gridSpan w:val="2"/>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Valid Percent</w:t>
            </w:r>
          </w:p>
        </w:tc>
        <w:tc>
          <w:tcPr>
            <w:tcW w:w="1397" w:type="dxa"/>
            <w:tcBorders>
              <w:bottom w:val="single" w:sz="8" w:space="0" w:color="152935"/>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Cumulative Percent</w:t>
            </w:r>
          </w:p>
        </w:tc>
      </w:tr>
      <w:tr>
        <w:trPr>
          <w:trHeight w:val="345" w:hRule="atLeast"/>
        </w:trPr>
        <w:tc>
          <w:tcPr>
            <w:tcW w:w="475" w:type="dxa"/>
            <w:vMerge w:val="restart"/>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Valid</w:t>
            </w:r>
          </w:p>
        </w:tc>
        <w:tc>
          <w:tcPr>
            <w:tcW w:w="2071"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Do not Qualify</w:t>
            </w:r>
          </w:p>
        </w:tc>
        <w:tc>
          <w:tcPr>
            <w:tcW w:w="80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1215</w:t>
            </w:r>
          </w:p>
        </w:tc>
        <w:tc>
          <w:tcPr>
            <w:tcW w:w="620"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57.0</w:t>
            </w:r>
          </w:p>
        </w:tc>
        <w:tc>
          <w:tcPr>
            <w:tcW w:w="101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57.0</w:t>
            </w:r>
          </w:p>
        </w:tc>
        <w:tc>
          <w:tcPr>
            <w:tcW w:w="1398"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57.0</w:t>
            </w:r>
          </w:p>
        </w:tc>
      </w:tr>
      <w:tr>
        <w:trPr>
          <w:trHeight w:val="345" w:hRule="atLeast"/>
        </w:trPr>
        <w:tc>
          <w:tcPr>
            <w:tcW w:w="475" w:type="dxa"/>
            <w:vMerge w:val="continue"/>
            <w:tcBorders>
              <w:bottom w:val="single" w:sz="8" w:space="0" w:color="152935"/>
            </w:tcBorders>
            <w:shd w:color="auto" w:fill="auto" w:val="clear"/>
            <w:tcMar>
              <w:top w:w="100" w:type="dxa"/>
              <w:left w:w="100" w:type="dxa"/>
              <w:bottom w:w="100" w:type="dxa"/>
              <w:right w:w="100" w:type="dxa"/>
            </w:tcMar>
          </w:tcPr>
          <w:p>
            <w:pPr>
              <w:pStyle w:val="Normal"/>
              <w:rPr>
                <w:lang w:val="en-GB"/>
              </w:rPr>
            </w:pPr>
            <w:r>
              <w:rPr>
                <w:lang w:val="en-GB"/>
              </w:rPr>
            </w:r>
          </w:p>
        </w:tc>
        <w:tc>
          <w:tcPr>
            <w:tcW w:w="2071"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Qualify for reduced/free lunch</w:t>
            </w:r>
          </w:p>
        </w:tc>
        <w:tc>
          <w:tcPr>
            <w:tcW w:w="80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918</w:t>
            </w:r>
          </w:p>
        </w:tc>
        <w:tc>
          <w:tcPr>
            <w:tcW w:w="620"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43.0</w:t>
            </w:r>
          </w:p>
        </w:tc>
        <w:tc>
          <w:tcPr>
            <w:tcW w:w="101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43.0</w:t>
            </w:r>
          </w:p>
        </w:tc>
        <w:tc>
          <w:tcPr>
            <w:tcW w:w="1398"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100.0</w:t>
            </w:r>
          </w:p>
        </w:tc>
      </w:tr>
      <w:tr>
        <w:trPr>
          <w:trHeight w:val="345" w:hRule="atLeast"/>
        </w:trPr>
        <w:tc>
          <w:tcPr>
            <w:tcW w:w="475" w:type="dxa"/>
            <w:vMerge w:val="continue"/>
            <w:tcBorders>
              <w:bottom w:val="single" w:sz="8" w:space="0" w:color="152935"/>
            </w:tcBorders>
            <w:shd w:color="auto" w:fill="auto" w:val="clear"/>
            <w:tcMar>
              <w:top w:w="100" w:type="dxa"/>
              <w:left w:w="100" w:type="dxa"/>
              <w:bottom w:w="100" w:type="dxa"/>
              <w:right w:w="100" w:type="dxa"/>
            </w:tcMar>
          </w:tcPr>
          <w:p>
            <w:pPr>
              <w:pStyle w:val="Normal"/>
              <w:rPr>
                <w:lang w:val="en-GB"/>
              </w:rPr>
            </w:pPr>
            <w:r>
              <w:rPr>
                <w:lang w:val="en-GB"/>
              </w:rPr>
            </w:r>
          </w:p>
        </w:tc>
        <w:tc>
          <w:tcPr>
            <w:tcW w:w="2071" w:type="dxa"/>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Total</w:t>
            </w:r>
          </w:p>
        </w:tc>
        <w:tc>
          <w:tcPr>
            <w:tcW w:w="806"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2133</w:t>
            </w:r>
          </w:p>
        </w:tc>
        <w:tc>
          <w:tcPr>
            <w:tcW w:w="620"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100.0</w:t>
            </w:r>
          </w:p>
        </w:tc>
        <w:tc>
          <w:tcPr>
            <w:tcW w:w="1015"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100.0</w:t>
            </w:r>
          </w:p>
        </w:tc>
        <w:tc>
          <w:tcPr>
            <w:tcW w:w="1398" w:type="dxa"/>
            <w:gridSpan w:val="2"/>
            <w:tcBorders>
              <w:bottom w:val="single" w:sz="8" w:space="0" w:color="152935"/>
            </w:tcBorders>
            <w:shd w:color="auto" w:fill="FFFFFF" w:val="clear"/>
          </w:tcPr>
          <w:p>
            <w:pPr>
              <w:pStyle w:val="Normal"/>
              <w:spacing w:lineRule="auto" w:line="276" w:before="240" w:after="0"/>
              <w:rPr>
                <w:sz w:val="16"/>
                <w:szCs w:val="16"/>
                <w:lang w:val="en-GB"/>
              </w:rPr>
            </w:pPr>
            <w:r>
              <w:rPr>
                <w:sz w:val="16"/>
                <w:szCs w:val="16"/>
                <w:lang w:val="en-GB"/>
              </w:rPr>
              <w:t xml:space="preserve"> </w:t>
            </w:r>
          </w:p>
        </w:tc>
      </w:tr>
    </w:tbl>
    <w:p>
      <w:pPr>
        <w:pStyle w:val="Normal"/>
        <w:rPr>
          <w:lang w:val="en-GB"/>
        </w:rPr>
      </w:pPr>
      <w:r>
        <w:rPr>
          <w:lang w:val="en-GB"/>
        </w:rPr>
      </w:r>
    </w:p>
    <w:p>
      <w:pPr>
        <w:pStyle w:val="Normal"/>
        <w:jc w:val="center"/>
        <w:rPr>
          <w:b/>
          <w:b/>
          <w:lang w:val="en-GB"/>
        </w:rPr>
      </w:pPr>
      <w:r>
        <w:rPr>
          <w:b/>
          <w:lang w:val="en-GB"/>
        </w:rPr>
        <w:t xml:space="preserve">Table 2: Number of students who qualify or do not qualify for reduced/ free lunch </w:t>
      </w:r>
    </w:p>
    <w:p>
      <w:pPr>
        <w:pStyle w:val="Normal"/>
        <w:jc w:val="center"/>
        <w:rPr>
          <w:lang w:val="en-GB"/>
        </w:rPr>
      </w:pPr>
      <w:r>
        <w:rPr>
          <w:lang w:val="en-GB"/>
        </w:rPr>
        <w:t>(Source: Self-Created)</w:t>
      </w:r>
    </w:p>
    <w:p>
      <w:pPr>
        <w:pStyle w:val="Normal"/>
        <w:rPr>
          <w:lang w:val="en-GB"/>
        </w:rPr>
      </w:pPr>
      <w:r>
        <w:rPr/>
        <w:drawing>
          <wp:inline distT="0" distB="0" distL="0" distR="0">
            <wp:extent cx="5943600" cy="3492500"/>
            <wp:effectExtent l="0" t="0" r="0" b="0"/>
            <wp:docPr id="7" name="image7.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png" descr=""/>
                    <pic:cNvPicPr>
                      <a:picLocks noChangeAspect="1" noChangeArrowheads="1"/>
                    </pic:cNvPicPr>
                  </pic:nvPicPr>
                  <pic:blipFill>
                    <a:blip r:embed="rId8"/>
                    <a:stretch>
                      <a:fillRect/>
                    </a:stretch>
                  </pic:blipFill>
                  <pic:spPr bwMode="auto">
                    <a:xfrm>
                      <a:off x="0" y="0"/>
                      <a:ext cx="5943600" cy="3492500"/>
                    </a:xfrm>
                    <a:prstGeom prst="rect">
                      <a:avLst/>
                    </a:prstGeom>
                    <a:ln w="12700">
                      <a:solidFill>
                        <a:srgbClr val="000000"/>
                      </a:solidFill>
                    </a:ln>
                  </pic:spPr>
                </pic:pic>
              </a:graphicData>
            </a:graphic>
          </wp:inline>
        </w:drawing>
      </w:r>
    </w:p>
    <w:p>
      <w:pPr>
        <w:pStyle w:val="Normal"/>
        <w:jc w:val="center"/>
        <w:rPr>
          <w:b/>
          <w:b/>
          <w:lang w:val="en-GB"/>
        </w:rPr>
      </w:pPr>
      <w:r>
        <w:rPr>
          <w:b/>
          <w:lang w:val="en-GB"/>
        </w:rPr>
        <w:t>Figure 7: Bar Graph for qualify and do not qualify for lunch students</w:t>
      </w:r>
    </w:p>
    <w:p>
      <w:pPr>
        <w:pStyle w:val="Normal"/>
        <w:jc w:val="center"/>
        <w:rPr>
          <w:lang w:val="en-GB"/>
        </w:rPr>
      </w:pPr>
      <w:r>
        <w:rPr>
          <w:lang w:val="en-GB"/>
        </w:rPr>
        <w:t>(Source: Self-Created)</w:t>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Normal"/>
        <w:rPr>
          <w:lang w:val="en-GB"/>
        </w:rPr>
      </w:pPr>
      <w:r>
        <w:rPr>
          <w:lang w:val="en-GB"/>
        </w:rPr>
      </w:r>
    </w:p>
    <w:p>
      <w:pPr>
        <w:pStyle w:val="Heading2"/>
        <w:numPr>
          <w:ilvl w:val="0"/>
          <w:numId w:val="7"/>
        </w:numPr>
        <w:rPr>
          <w:lang w:val="en-GB"/>
        </w:rPr>
      </w:pPr>
      <w:bookmarkStart w:id="15" w:name="_Toc161944345"/>
      <w:r>
        <w:rPr>
          <w:lang w:val="en-GB"/>
        </w:rPr>
        <w:t>Mean and Median number of students who qualify and do not qualify for free/reduced lunch</w:t>
      </w:r>
      <w:bookmarkEnd w:id="15"/>
    </w:p>
    <w:tbl>
      <w:tblPr>
        <w:tblStyle w:val="a2"/>
        <w:tblW w:w="4800" w:type="dxa"/>
        <w:jc w:val="center"/>
        <w:tblInd w:w="0" w:type="dxa"/>
        <w:tblCellMar>
          <w:top w:w="0" w:type="dxa"/>
          <w:left w:w="0" w:type="dxa"/>
          <w:bottom w:w="0" w:type="dxa"/>
          <w:right w:w="0" w:type="dxa"/>
        </w:tblCellMar>
        <w:tblLook w:firstRow="0" w:noVBand="1" w:lastRow="0" w:firstColumn="0" w:lastColumn="0" w:noHBand="1" w:val="0600"/>
      </w:tblPr>
      <w:tblGrid>
        <w:gridCol w:w="734"/>
        <w:gridCol w:w="945"/>
        <w:gridCol w:w="1034"/>
        <w:gridCol w:w="1"/>
        <w:gridCol w:w="1049"/>
        <w:gridCol w:w="1"/>
        <w:gridCol w:w="1036"/>
      </w:tblGrid>
      <w:tr>
        <w:trPr>
          <w:trHeight w:val="315" w:hRule="atLeast"/>
        </w:trPr>
        <w:tc>
          <w:tcPr>
            <w:tcW w:w="4800" w:type="dxa"/>
            <w:gridSpan w:val="7"/>
            <w:tcBorders/>
            <w:shd w:color="auto" w:fill="FFFFFF" w:val="clear"/>
          </w:tcPr>
          <w:p>
            <w:pPr>
              <w:pStyle w:val="Normal"/>
              <w:spacing w:lineRule="auto" w:line="348"/>
              <w:ind w:left="60" w:right="60" w:hanging="0"/>
              <w:jc w:val="center"/>
              <w:rPr>
                <w:b/>
                <w:b/>
                <w:color w:val="010205"/>
                <w:sz w:val="16"/>
                <w:szCs w:val="16"/>
                <w:lang w:val="en-GB"/>
              </w:rPr>
            </w:pPr>
            <w:r>
              <w:rPr>
                <w:b/>
                <w:color w:val="010205"/>
                <w:sz w:val="16"/>
                <w:szCs w:val="16"/>
                <w:lang w:val="en-GB"/>
              </w:rPr>
              <w:t>Statistics</w:t>
            </w:r>
          </w:p>
        </w:tc>
      </w:tr>
      <w:tr>
        <w:trPr>
          <w:trHeight w:val="330" w:hRule="atLeast"/>
        </w:trPr>
        <w:tc>
          <w:tcPr>
            <w:tcW w:w="1679" w:type="dxa"/>
            <w:gridSpan w:val="2"/>
            <w:tcBorders>
              <w:bottom w:val="single" w:sz="8" w:space="0" w:color="152935"/>
            </w:tcBorders>
            <w:shd w:color="auto" w:fill="FFFFFF" w:val="clear"/>
            <w:vAlign w:val="bottom"/>
          </w:tcPr>
          <w:p>
            <w:pPr>
              <w:pStyle w:val="Normal"/>
              <w:spacing w:lineRule="auto" w:line="276" w:before="240" w:after="0"/>
              <w:rPr>
                <w:sz w:val="16"/>
                <w:szCs w:val="16"/>
                <w:lang w:val="en-GB"/>
              </w:rPr>
            </w:pPr>
            <w:r>
              <w:rPr>
                <w:sz w:val="16"/>
                <w:szCs w:val="16"/>
                <w:lang w:val="en-GB"/>
              </w:rPr>
              <w:t xml:space="preserve"> </w:t>
            </w:r>
          </w:p>
        </w:tc>
        <w:tc>
          <w:tcPr>
            <w:tcW w:w="1035" w:type="dxa"/>
            <w:gridSpan w:val="2"/>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Lunch</w:t>
            </w:r>
          </w:p>
        </w:tc>
        <w:tc>
          <w:tcPr>
            <w:tcW w:w="1050" w:type="dxa"/>
            <w:gridSpan w:val="2"/>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Pre-test</w:t>
            </w:r>
          </w:p>
        </w:tc>
        <w:tc>
          <w:tcPr>
            <w:tcW w:w="1036" w:type="dxa"/>
            <w:tcBorders>
              <w:bottom w:val="single" w:sz="8" w:space="0" w:color="152935"/>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Post-test</w:t>
            </w:r>
          </w:p>
        </w:tc>
      </w:tr>
      <w:tr>
        <w:trPr>
          <w:trHeight w:val="345" w:hRule="atLeast"/>
        </w:trPr>
        <w:tc>
          <w:tcPr>
            <w:tcW w:w="734" w:type="dxa"/>
            <w:vMerge w:val="restart"/>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N</w:t>
            </w:r>
          </w:p>
        </w:tc>
        <w:tc>
          <w:tcPr>
            <w:tcW w:w="945"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Valid</w:t>
            </w:r>
          </w:p>
        </w:tc>
        <w:tc>
          <w:tcPr>
            <w:tcW w:w="103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2133</w:t>
            </w:r>
          </w:p>
        </w:tc>
        <w:tc>
          <w:tcPr>
            <w:tcW w:w="1050"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2133</w:t>
            </w:r>
          </w:p>
        </w:tc>
        <w:tc>
          <w:tcPr>
            <w:tcW w:w="1037"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2133</w:t>
            </w:r>
          </w:p>
        </w:tc>
      </w:tr>
      <w:tr>
        <w:trPr>
          <w:trHeight w:val="345" w:hRule="atLeast"/>
        </w:trPr>
        <w:tc>
          <w:tcPr>
            <w:tcW w:w="734" w:type="dxa"/>
            <w:vMerge w:val="continue"/>
            <w:tcBorders>
              <w:bottom w:val="single" w:sz="8" w:space="0" w:color="AEAEAE"/>
            </w:tcBorders>
            <w:shd w:color="auto" w:fill="auto" w:val="clear"/>
            <w:tcMar>
              <w:top w:w="100" w:type="dxa"/>
              <w:left w:w="100" w:type="dxa"/>
              <w:bottom w:w="100" w:type="dxa"/>
              <w:right w:w="100" w:type="dxa"/>
            </w:tcMar>
          </w:tcPr>
          <w:p>
            <w:pPr>
              <w:pStyle w:val="Normal"/>
              <w:rPr>
                <w:lang w:val="en-GB"/>
              </w:rPr>
            </w:pPr>
            <w:r>
              <w:rPr>
                <w:lang w:val="en-GB"/>
              </w:rPr>
            </w:r>
          </w:p>
        </w:tc>
        <w:tc>
          <w:tcPr>
            <w:tcW w:w="945"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Missing</w:t>
            </w:r>
          </w:p>
        </w:tc>
        <w:tc>
          <w:tcPr>
            <w:tcW w:w="103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w:t>
            </w:r>
          </w:p>
        </w:tc>
        <w:tc>
          <w:tcPr>
            <w:tcW w:w="1050"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w:t>
            </w:r>
          </w:p>
        </w:tc>
        <w:tc>
          <w:tcPr>
            <w:tcW w:w="1037"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w:t>
            </w:r>
          </w:p>
        </w:tc>
      </w:tr>
      <w:tr>
        <w:trPr>
          <w:trHeight w:val="345" w:hRule="atLeast"/>
        </w:trPr>
        <w:tc>
          <w:tcPr>
            <w:tcW w:w="1679" w:type="dxa"/>
            <w:gridSpan w:val="2"/>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Mean</w:t>
            </w:r>
          </w:p>
        </w:tc>
        <w:tc>
          <w:tcPr>
            <w:tcW w:w="1035"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1.43</w:t>
            </w:r>
          </w:p>
        </w:tc>
        <w:tc>
          <w:tcPr>
            <w:tcW w:w="1050"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54.96</w:t>
            </w:r>
          </w:p>
        </w:tc>
        <w:tc>
          <w:tcPr>
            <w:tcW w:w="103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67.10</w:t>
            </w:r>
          </w:p>
        </w:tc>
      </w:tr>
      <w:tr>
        <w:trPr>
          <w:trHeight w:val="345" w:hRule="atLeast"/>
        </w:trPr>
        <w:tc>
          <w:tcPr>
            <w:tcW w:w="1679" w:type="dxa"/>
            <w:gridSpan w:val="2"/>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Median</w:t>
            </w:r>
          </w:p>
        </w:tc>
        <w:tc>
          <w:tcPr>
            <w:tcW w:w="1035" w:type="dxa"/>
            <w:gridSpan w:val="2"/>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1.00</w:t>
            </w:r>
          </w:p>
        </w:tc>
        <w:tc>
          <w:tcPr>
            <w:tcW w:w="1050" w:type="dxa"/>
            <w:gridSpan w:val="2"/>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56.00</w:t>
            </w:r>
          </w:p>
        </w:tc>
        <w:tc>
          <w:tcPr>
            <w:tcW w:w="1036" w:type="dxa"/>
            <w:tcBorders>
              <w:bottom w:val="single" w:sz="8" w:space="0" w:color="152935"/>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68.00</w:t>
            </w:r>
          </w:p>
        </w:tc>
      </w:tr>
    </w:tbl>
    <w:p>
      <w:pPr>
        <w:pStyle w:val="Normal"/>
        <w:rPr>
          <w:lang w:val="en-GB"/>
        </w:rPr>
      </w:pPr>
      <w:r>
        <w:rPr>
          <w:lang w:val="en-GB"/>
        </w:rPr>
      </w:r>
    </w:p>
    <w:p>
      <w:pPr>
        <w:pStyle w:val="Normal"/>
        <w:jc w:val="center"/>
        <w:rPr>
          <w:b/>
          <w:b/>
          <w:lang w:val="en-GB"/>
        </w:rPr>
      </w:pPr>
      <w:r>
        <w:rPr>
          <w:b/>
          <w:lang w:val="en-GB"/>
        </w:rPr>
        <w:t>Table 3: Mean and Median value of qualified and not qualified students</w:t>
      </w:r>
    </w:p>
    <w:p>
      <w:pPr>
        <w:pStyle w:val="Normal"/>
        <w:jc w:val="center"/>
        <w:rPr>
          <w:lang w:val="en-GB"/>
        </w:rPr>
      </w:pPr>
      <w:r>
        <w:rPr>
          <w:lang w:val="en-GB"/>
        </w:rPr>
        <w:t>(Source: Self-Created)</w:t>
      </w:r>
    </w:p>
    <w:p>
      <w:pPr>
        <w:pStyle w:val="Heading2"/>
        <w:rPr>
          <w:lang w:val="en-GB"/>
        </w:rPr>
      </w:pPr>
      <w:bookmarkStart w:id="16" w:name="_Toc161944346"/>
      <w:r>
        <w:rPr>
          <w:lang w:val="en-GB"/>
        </w:rPr>
        <w:t>4. K-means Clustering (SPSS)</w:t>
      </w:r>
      <w:bookmarkEnd w:id="16"/>
    </w:p>
    <w:p>
      <w:pPr>
        <w:pStyle w:val="Normal"/>
        <w:rPr>
          <w:lang w:val="en-GB"/>
        </w:rPr>
      </w:pPr>
      <w:r>
        <w:rPr>
          <w:lang w:val="en-GB"/>
        </w:rPr>
        <w:t>Number of the Clusters: 2.</w:t>
      </w:r>
    </w:p>
    <w:p>
      <w:pPr>
        <w:pStyle w:val="Normal"/>
        <w:rPr>
          <w:lang w:val="en-GB"/>
        </w:rPr>
      </w:pPr>
      <w:r>
        <w:rPr>
          <w:lang w:val="en-GB"/>
        </w:rPr>
        <w:t>Number of iterations: 10</w:t>
      </w:r>
    </w:p>
    <w:p>
      <w:pPr>
        <w:pStyle w:val="Normal"/>
        <w:rPr>
          <w:lang w:val="en-GB"/>
        </w:rPr>
      </w:pPr>
      <w:r>
        <w:rPr>
          <w:lang w:val="en-GB"/>
        </w:rPr>
        <w:t>Cluster-1: Lower Pre-test and Post-Test Score and higher “Lunch” Z-score.</w:t>
      </w:r>
    </w:p>
    <w:p>
      <w:pPr>
        <w:pStyle w:val="Normal"/>
        <w:rPr>
          <w:lang w:val="en-GB"/>
        </w:rPr>
      </w:pPr>
      <w:r>
        <w:rPr>
          <w:lang w:val="en-GB"/>
        </w:rPr>
        <w:t>Cluster-2: Higher Pre-test and Post-test Score and Lower “Lunch” Z-score.</w:t>
      </w:r>
    </w:p>
    <w:tbl>
      <w:tblPr>
        <w:tblStyle w:val="a3"/>
        <w:tblW w:w="4860" w:type="dxa"/>
        <w:jc w:val="center"/>
        <w:tblInd w:w="0" w:type="dxa"/>
        <w:tblCellMar>
          <w:top w:w="0" w:type="dxa"/>
          <w:left w:w="0" w:type="dxa"/>
          <w:bottom w:w="0" w:type="dxa"/>
          <w:right w:w="0" w:type="dxa"/>
        </w:tblCellMar>
        <w:tblLook w:firstRow="0" w:noVBand="1" w:lastRow="0" w:firstColumn="0" w:lastColumn="0" w:noHBand="1" w:val="0600"/>
      </w:tblPr>
      <w:tblGrid>
        <w:gridCol w:w="2609"/>
        <w:gridCol w:w="1125"/>
        <w:gridCol w:w="1126"/>
      </w:tblGrid>
      <w:tr>
        <w:trPr>
          <w:trHeight w:val="315" w:hRule="atLeast"/>
        </w:trPr>
        <w:tc>
          <w:tcPr>
            <w:tcW w:w="4860" w:type="dxa"/>
            <w:gridSpan w:val="3"/>
            <w:tcBorders/>
            <w:shd w:color="auto" w:fill="FFFFFF" w:val="clear"/>
          </w:tcPr>
          <w:p>
            <w:pPr>
              <w:pStyle w:val="Normal"/>
              <w:spacing w:lineRule="auto" w:line="348"/>
              <w:ind w:left="60" w:right="60" w:hanging="0"/>
              <w:jc w:val="center"/>
              <w:rPr>
                <w:b/>
                <w:b/>
                <w:color w:val="010205"/>
                <w:sz w:val="16"/>
                <w:szCs w:val="16"/>
                <w:lang w:val="en-GB"/>
              </w:rPr>
            </w:pPr>
            <w:r>
              <w:rPr>
                <w:b/>
                <w:color w:val="010205"/>
                <w:sz w:val="16"/>
                <w:szCs w:val="16"/>
                <w:lang w:val="en-GB"/>
              </w:rPr>
              <w:t>Initial Cluster Centres</w:t>
            </w:r>
          </w:p>
        </w:tc>
      </w:tr>
      <w:tr>
        <w:trPr>
          <w:trHeight w:val="315" w:hRule="atLeast"/>
        </w:trPr>
        <w:tc>
          <w:tcPr>
            <w:tcW w:w="2609" w:type="dxa"/>
            <w:vMerge w:val="restart"/>
            <w:tcBorders/>
            <w:shd w:color="auto" w:fill="FFFFFF" w:val="clear"/>
            <w:vAlign w:val="bottom"/>
          </w:tcPr>
          <w:p>
            <w:pPr>
              <w:pStyle w:val="Normal"/>
              <w:spacing w:lineRule="auto" w:line="276" w:before="240" w:after="0"/>
              <w:rPr>
                <w:sz w:val="16"/>
                <w:szCs w:val="16"/>
                <w:lang w:val="en-GB"/>
              </w:rPr>
            </w:pPr>
            <w:r>
              <w:rPr>
                <w:sz w:val="16"/>
                <w:szCs w:val="16"/>
                <w:lang w:val="en-GB"/>
              </w:rPr>
              <w:t xml:space="preserve"> </w:t>
            </w:r>
          </w:p>
        </w:tc>
        <w:tc>
          <w:tcPr>
            <w:tcW w:w="2251" w:type="dxa"/>
            <w:gridSpan w:val="2"/>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Cluster</w:t>
            </w:r>
          </w:p>
        </w:tc>
      </w:tr>
      <w:tr>
        <w:trPr>
          <w:trHeight w:val="330" w:hRule="atLeast"/>
        </w:trPr>
        <w:tc>
          <w:tcPr>
            <w:tcW w:w="2609" w:type="dxa"/>
            <w:vMerge w:val="continue"/>
            <w:tcBorders/>
            <w:shd w:color="auto" w:fill="auto" w:val="clear"/>
            <w:tcMar>
              <w:top w:w="100" w:type="dxa"/>
              <w:left w:w="100" w:type="dxa"/>
              <w:bottom w:w="100" w:type="dxa"/>
              <w:right w:w="100" w:type="dxa"/>
            </w:tcMar>
          </w:tcPr>
          <w:p>
            <w:pPr>
              <w:pStyle w:val="Normal"/>
              <w:rPr>
                <w:lang w:val="en-GB"/>
              </w:rPr>
            </w:pPr>
            <w:r>
              <w:rPr>
                <w:lang w:val="en-GB"/>
              </w:rPr>
            </w:r>
          </w:p>
        </w:tc>
        <w:tc>
          <w:tcPr>
            <w:tcW w:w="1125"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1</w:t>
            </w:r>
          </w:p>
        </w:tc>
        <w:tc>
          <w:tcPr>
            <w:tcW w:w="1126" w:type="dxa"/>
            <w:tcBorders>
              <w:bottom w:val="single" w:sz="8" w:space="0" w:color="152935"/>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2</w:t>
            </w:r>
          </w:p>
        </w:tc>
      </w:tr>
      <w:tr>
        <w:trPr>
          <w:trHeight w:val="345" w:hRule="atLeast"/>
        </w:trPr>
        <w:tc>
          <w:tcPr>
            <w:tcW w:w="2609" w:type="dxa"/>
            <w:tcBorders>
              <w:top w:val="single" w:sz="8" w:space="0" w:color="152935"/>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Zscore(School_setting)</w:t>
            </w:r>
          </w:p>
        </w:tc>
        <w:tc>
          <w:tcPr>
            <w:tcW w:w="112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1.02624</w:t>
            </w:r>
          </w:p>
        </w:tc>
        <w:tc>
          <w:tcPr>
            <w:tcW w:w="112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1.02624</w:t>
            </w:r>
          </w:p>
        </w:tc>
      </w:tr>
      <w:tr>
        <w:trPr>
          <w:trHeight w:val="345" w:hRule="atLeast"/>
        </w:trPr>
        <w:tc>
          <w:tcPr>
            <w:tcW w:w="260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Zscore(School_type)</w:t>
            </w:r>
          </w:p>
        </w:tc>
        <w:tc>
          <w:tcPr>
            <w:tcW w:w="112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.59003</w:t>
            </w:r>
          </w:p>
        </w:tc>
        <w:tc>
          <w:tcPr>
            <w:tcW w:w="112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-1.69405</w:t>
            </w:r>
          </w:p>
        </w:tc>
      </w:tr>
      <w:tr>
        <w:trPr>
          <w:trHeight w:val="345" w:hRule="atLeast"/>
        </w:trPr>
        <w:tc>
          <w:tcPr>
            <w:tcW w:w="260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Zscore(Teaching_method)</w:t>
            </w:r>
          </w:p>
        </w:tc>
        <w:tc>
          <w:tcPr>
            <w:tcW w:w="112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.74382</w:t>
            </w:r>
          </w:p>
        </w:tc>
        <w:tc>
          <w:tcPr>
            <w:tcW w:w="112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-1.34378</w:t>
            </w:r>
          </w:p>
        </w:tc>
      </w:tr>
      <w:tr>
        <w:trPr>
          <w:trHeight w:val="345" w:hRule="atLeast"/>
        </w:trPr>
        <w:tc>
          <w:tcPr>
            <w:tcW w:w="260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Zscore(Student_No)</w:t>
            </w:r>
          </w:p>
        </w:tc>
        <w:tc>
          <w:tcPr>
            <w:tcW w:w="112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1.23046</w:t>
            </w:r>
          </w:p>
        </w:tc>
        <w:tc>
          <w:tcPr>
            <w:tcW w:w="112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-1.37070</w:t>
            </w:r>
          </w:p>
        </w:tc>
      </w:tr>
      <w:tr>
        <w:trPr>
          <w:trHeight w:val="345" w:hRule="atLeast"/>
        </w:trPr>
        <w:tc>
          <w:tcPr>
            <w:tcW w:w="260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Zscore(Lunch)</w:t>
            </w:r>
          </w:p>
        </w:tc>
        <w:tc>
          <w:tcPr>
            <w:tcW w:w="112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1.15018</w:t>
            </w:r>
          </w:p>
        </w:tc>
        <w:tc>
          <w:tcPr>
            <w:tcW w:w="112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-.86902</w:t>
            </w:r>
          </w:p>
        </w:tc>
      </w:tr>
      <w:tr>
        <w:trPr>
          <w:trHeight w:val="345" w:hRule="atLeast"/>
        </w:trPr>
        <w:tc>
          <w:tcPr>
            <w:tcW w:w="260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Zscore(Pretest)</w:t>
            </w:r>
          </w:p>
        </w:tc>
        <w:tc>
          <w:tcPr>
            <w:tcW w:w="112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-2.35609</w:t>
            </w:r>
          </w:p>
        </w:tc>
        <w:tc>
          <w:tcPr>
            <w:tcW w:w="112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2.80497</w:t>
            </w:r>
          </w:p>
        </w:tc>
      </w:tr>
      <w:tr>
        <w:trPr>
          <w:trHeight w:val="345" w:hRule="atLeast"/>
        </w:trPr>
        <w:tc>
          <w:tcPr>
            <w:tcW w:w="2609" w:type="dxa"/>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Zscore(Posttest)</w:t>
            </w:r>
          </w:p>
        </w:tc>
        <w:tc>
          <w:tcPr>
            <w:tcW w:w="1125"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-2.29518</w:t>
            </w:r>
          </w:p>
        </w:tc>
        <w:tc>
          <w:tcPr>
            <w:tcW w:w="1126" w:type="dxa"/>
            <w:tcBorders>
              <w:bottom w:val="single" w:sz="8" w:space="0" w:color="152935"/>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2.35206</w:t>
            </w:r>
          </w:p>
        </w:tc>
      </w:tr>
    </w:tbl>
    <w:p>
      <w:pPr>
        <w:pStyle w:val="Normal"/>
        <w:spacing w:lineRule="auto" w:line="434" w:before="240" w:after="0"/>
        <w:rPr>
          <w:sz w:val="16"/>
          <w:szCs w:val="16"/>
          <w:lang w:val="en-GB"/>
        </w:rPr>
      </w:pPr>
      <w:r>
        <w:rPr>
          <w:sz w:val="16"/>
          <w:szCs w:val="16"/>
          <w:lang w:val="en-GB"/>
        </w:rPr>
      </w:r>
    </w:p>
    <w:p>
      <w:pPr>
        <w:pStyle w:val="Normal"/>
        <w:spacing w:lineRule="auto" w:line="434" w:before="240" w:after="0"/>
        <w:rPr>
          <w:sz w:val="16"/>
          <w:szCs w:val="16"/>
          <w:lang w:val="en-GB"/>
        </w:rPr>
      </w:pPr>
      <w:r>
        <w:rPr>
          <w:sz w:val="16"/>
          <w:szCs w:val="16"/>
          <w:lang w:val="en-GB"/>
        </w:rPr>
      </w:r>
    </w:p>
    <w:tbl>
      <w:tblPr>
        <w:tblStyle w:val="a4"/>
        <w:tblW w:w="3750" w:type="dxa"/>
        <w:jc w:val="center"/>
        <w:tblInd w:w="0" w:type="dxa"/>
        <w:tblCellMar>
          <w:top w:w="0" w:type="dxa"/>
          <w:left w:w="0" w:type="dxa"/>
          <w:bottom w:w="0" w:type="dxa"/>
          <w:right w:w="0" w:type="dxa"/>
        </w:tblCellMar>
        <w:tblLook w:firstRow="0" w:noVBand="1" w:lastRow="0" w:firstColumn="0" w:lastColumn="0" w:noHBand="1" w:val="0600"/>
      </w:tblPr>
      <w:tblGrid>
        <w:gridCol w:w="1019"/>
        <w:gridCol w:w="1365"/>
        <w:gridCol w:w="1366"/>
      </w:tblGrid>
      <w:tr>
        <w:trPr>
          <w:trHeight w:val="390" w:hRule="atLeast"/>
        </w:trPr>
        <w:tc>
          <w:tcPr>
            <w:tcW w:w="3750" w:type="dxa"/>
            <w:gridSpan w:val="3"/>
            <w:tcBorders/>
            <w:shd w:color="auto" w:fill="FFFFFF" w:val="clear"/>
          </w:tcPr>
          <w:p>
            <w:pPr>
              <w:pStyle w:val="Normal"/>
              <w:spacing w:lineRule="auto" w:line="348"/>
              <w:ind w:left="60" w:right="60" w:hanging="0"/>
              <w:jc w:val="center"/>
              <w:rPr>
                <w:b/>
                <w:b/>
                <w:color w:val="010205"/>
                <w:sz w:val="16"/>
                <w:szCs w:val="16"/>
                <w:vertAlign w:val="superscript"/>
                <w:lang w:val="en-GB"/>
              </w:rPr>
            </w:pPr>
            <w:r>
              <w:rPr>
                <w:b/>
                <w:color w:val="010205"/>
                <w:sz w:val="16"/>
                <w:szCs w:val="16"/>
                <w:lang w:val="en-GB"/>
              </w:rPr>
              <w:t>Iteration History</w:t>
            </w:r>
            <w:r>
              <w:rPr>
                <w:b/>
                <w:color w:val="010205"/>
                <w:sz w:val="16"/>
                <w:szCs w:val="16"/>
                <w:vertAlign w:val="superscript"/>
                <w:lang w:val="en-GB"/>
              </w:rPr>
              <w:t>a</w:t>
            </w:r>
          </w:p>
        </w:tc>
      </w:tr>
      <w:tr>
        <w:trPr>
          <w:trHeight w:val="315" w:hRule="atLeast"/>
        </w:trPr>
        <w:tc>
          <w:tcPr>
            <w:tcW w:w="1019" w:type="dxa"/>
            <w:vMerge w:val="restart"/>
            <w:tcBorders/>
            <w:shd w:color="auto" w:fill="FFFFFF" w:val="clear"/>
            <w:vAlign w:val="bottom"/>
          </w:tcPr>
          <w:p>
            <w:pPr>
              <w:pStyle w:val="Normal"/>
              <w:spacing w:lineRule="auto" w:line="348"/>
              <w:ind w:left="60" w:right="60" w:hanging="0"/>
              <w:rPr>
                <w:color w:val="264A60"/>
                <w:sz w:val="16"/>
                <w:szCs w:val="16"/>
                <w:lang w:val="en-GB"/>
              </w:rPr>
            </w:pPr>
            <w:r>
              <w:rPr>
                <w:color w:val="264A60"/>
                <w:sz w:val="16"/>
                <w:szCs w:val="16"/>
                <w:lang w:val="en-GB"/>
              </w:rPr>
              <w:t>Iteration</w:t>
            </w:r>
          </w:p>
        </w:tc>
        <w:tc>
          <w:tcPr>
            <w:tcW w:w="2731" w:type="dxa"/>
            <w:gridSpan w:val="2"/>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Change in Cluster Centres</w:t>
            </w:r>
          </w:p>
        </w:tc>
      </w:tr>
      <w:tr>
        <w:trPr>
          <w:trHeight w:val="330" w:hRule="atLeast"/>
        </w:trPr>
        <w:tc>
          <w:tcPr>
            <w:tcW w:w="1019" w:type="dxa"/>
            <w:vMerge w:val="continue"/>
            <w:tcBorders/>
            <w:shd w:color="auto" w:fill="auto" w:val="clear"/>
            <w:tcMar>
              <w:top w:w="100" w:type="dxa"/>
              <w:left w:w="100" w:type="dxa"/>
              <w:bottom w:w="100" w:type="dxa"/>
              <w:right w:w="100" w:type="dxa"/>
            </w:tcMar>
          </w:tcPr>
          <w:p>
            <w:pPr>
              <w:pStyle w:val="Normal"/>
              <w:rPr>
                <w:lang w:val="en-GB"/>
              </w:rPr>
            </w:pPr>
            <w:r>
              <w:rPr>
                <w:lang w:val="en-GB"/>
              </w:rPr>
            </w:r>
          </w:p>
        </w:tc>
        <w:tc>
          <w:tcPr>
            <w:tcW w:w="1365"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1</w:t>
            </w:r>
          </w:p>
        </w:tc>
        <w:tc>
          <w:tcPr>
            <w:tcW w:w="1366" w:type="dxa"/>
            <w:tcBorders>
              <w:bottom w:val="single" w:sz="8" w:space="0" w:color="152935"/>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2</w:t>
            </w:r>
          </w:p>
        </w:tc>
      </w:tr>
      <w:tr>
        <w:trPr>
          <w:trHeight w:val="345" w:hRule="atLeast"/>
        </w:trPr>
        <w:tc>
          <w:tcPr>
            <w:tcW w:w="1019" w:type="dxa"/>
            <w:tcBorders>
              <w:top w:val="single" w:sz="8" w:space="0" w:color="152935"/>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1</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2.759</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3.116</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2</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.135</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.146</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3</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.066</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.070</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4</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.033</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.035</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5</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.039</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.040</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6</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.018</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.018</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7</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.013</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.013</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8</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.015</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.015</w:t>
            </w:r>
          </w:p>
        </w:tc>
      </w:tr>
      <w:tr>
        <w:trPr>
          <w:trHeight w:val="345" w:hRule="atLeast"/>
        </w:trPr>
        <w:tc>
          <w:tcPr>
            <w:tcW w:w="1019"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9</w:t>
            </w:r>
          </w:p>
        </w:tc>
        <w:tc>
          <w:tcPr>
            <w:tcW w:w="136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.012</w:t>
            </w:r>
          </w:p>
        </w:tc>
        <w:tc>
          <w:tcPr>
            <w:tcW w:w="136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.012</w:t>
            </w:r>
          </w:p>
        </w:tc>
      </w:tr>
      <w:tr>
        <w:trPr>
          <w:trHeight w:val="345" w:hRule="atLeast"/>
        </w:trPr>
        <w:tc>
          <w:tcPr>
            <w:tcW w:w="1019" w:type="dxa"/>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10</w:t>
            </w:r>
          </w:p>
        </w:tc>
        <w:tc>
          <w:tcPr>
            <w:tcW w:w="1365"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.027</w:t>
            </w:r>
          </w:p>
        </w:tc>
        <w:tc>
          <w:tcPr>
            <w:tcW w:w="1366" w:type="dxa"/>
            <w:tcBorders>
              <w:bottom w:val="single" w:sz="8" w:space="0" w:color="152935"/>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.026</w:t>
            </w:r>
          </w:p>
        </w:tc>
      </w:tr>
      <w:tr>
        <w:trPr>
          <w:trHeight w:val="1605" w:hRule="atLeast"/>
        </w:trPr>
        <w:tc>
          <w:tcPr>
            <w:tcW w:w="3750" w:type="dxa"/>
            <w:gridSpan w:val="3"/>
            <w:tcBorders/>
            <w:shd w:color="auto" w:fill="FFFFFF" w:val="clear"/>
          </w:tcPr>
          <w:p>
            <w:pPr>
              <w:pStyle w:val="Normal"/>
              <w:spacing w:lineRule="auto" w:line="348"/>
              <w:ind w:left="60" w:right="60" w:hanging="0"/>
              <w:rPr>
                <w:color w:val="010205"/>
                <w:sz w:val="16"/>
                <w:szCs w:val="16"/>
                <w:lang w:val="en-GB"/>
              </w:rPr>
            </w:pPr>
            <w:r>
              <w:rPr>
                <w:color w:val="010205"/>
                <w:sz w:val="16"/>
                <w:szCs w:val="16"/>
                <w:lang w:val="en-GB"/>
              </w:rPr>
              <w:t>a. Iterations stopped because the maximum number of iterations was performed. Iterations failed to converge. The maximum absolute coordinate change for any centre is .016. The current iteration is 10. The minimum distance between nitial centres is 8.286.</w:t>
            </w:r>
          </w:p>
        </w:tc>
      </w:tr>
    </w:tbl>
    <w:p>
      <w:pPr>
        <w:pStyle w:val="Normal"/>
        <w:spacing w:lineRule="auto" w:line="434" w:before="240" w:after="0"/>
        <w:rPr>
          <w:sz w:val="16"/>
          <w:szCs w:val="16"/>
          <w:lang w:val="en-GB"/>
        </w:rPr>
      </w:pPr>
      <w:r>
        <w:rPr>
          <w:sz w:val="16"/>
          <w:szCs w:val="16"/>
          <w:lang w:val="en-GB"/>
        </w:rPr>
      </w:r>
    </w:p>
    <w:tbl>
      <w:tblPr>
        <w:tblStyle w:val="a5"/>
        <w:tblW w:w="2985" w:type="dxa"/>
        <w:jc w:val="center"/>
        <w:tblInd w:w="0" w:type="dxa"/>
        <w:tblCellMar>
          <w:top w:w="0" w:type="dxa"/>
          <w:left w:w="0" w:type="dxa"/>
          <w:bottom w:w="0" w:type="dxa"/>
          <w:right w:w="0" w:type="dxa"/>
        </w:tblCellMar>
        <w:tblLook w:firstRow="0" w:noVBand="1" w:lastRow="0" w:firstColumn="0" w:lastColumn="0" w:noHBand="1" w:val="0600"/>
      </w:tblPr>
      <w:tblGrid>
        <w:gridCol w:w="989"/>
        <w:gridCol w:w="810"/>
        <w:gridCol w:w="1186"/>
      </w:tblGrid>
      <w:tr>
        <w:trPr>
          <w:trHeight w:val="315" w:hRule="atLeast"/>
        </w:trPr>
        <w:tc>
          <w:tcPr>
            <w:tcW w:w="2985" w:type="dxa"/>
            <w:gridSpan w:val="3"/>
            <w:tcBorders/>
            <w:shd w:color="auto" w:fill="FFFFFF" w:val="clear"/>
          </w:tcPr>
          <w:p>
            <w:pPr>
              <w:pStyle w:val="Normal"/>
              <w:spacing w:lineRule="auto" w:line="348"/>
              <w:ind w:left="60" w:right="60" w:hanging="0"/>
              <w:jc w:val="center"/>
              <w:rPr>
                <w:b/>
                <w:b/>
                <w:color w:val="010205"/>
                <w:sz w:val="16"/>
                <w:szCs w:val="16"/>
                <w:lang w:val="en-GB"/>
              </w:rPr>
            </w:pPr>
            <w:r>
              <w:rPr>
                <w:b/>
                <w:color w:val="010205"/>
                <w:sz w:val="16"/>
                <w:szCs w:val="16"/>
                <w:lang w:val="en-GB"/>
              </w:rPr>
              <w:t>Number of Cases in each Cluster</w:t>
            </w:r>
          </w:p>
        </w:tc>
      </w:tr>
      <w:tr>
        <w:trPr>
          <w:trHeight w:val="330" w:hRule="atLeast"/>
        </w:trPr>
        <w:tc>
          <w:tcPr>
            <w:tcW w:w="989" w:type="dxa"/>
            <w:vMerge w:val="restart"/>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Cluster</w:t>
            </w:r>
          </w:p>
        </w:tc>
        <w:tc>
          <w:tcPr>
            <w:tcW w:w="81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1</w:t>
            </w:r>
          </w:p>
        </w:tc>
        <w:tc>
          <w:tcPr>
            <w:tcW w:w="118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1034.000</w:t>
            </w:r>
          </w:p>
        </w:tc>
      </w:tr>
      <w:tr>
        <w:trPr>
          <w:trHeight w:val="345" w:hRule="atLeast"/>
        </w:trPr>
        <w:tc>
          <w:tcPr>
            <w:tcW w:w="989" w:type="dxa"/>
            <w:vMerge w:val="continue"/>
            <w:tcBorders>
              <w:bottom w:val="single" w:sz="8" w:space="0" w:color="AEAEAE"/>
            </w:tcBorders>
            <w:shd w:color="auto" w:fill="auto" w:val="clear"/>
            <w:tcMar>
              <w:top w:w="100" w:type="dxa"/>
              <w:left w:w="100" w:type="dxa"/>
              <w:bottom w:w="100" w:type="dxa"/>
              <w:right w:w="100" w:type="dxa"/>
            </w:tcMar>
          </w:tcPr>
          <w:p>
            <w:pPr>
              <w:pStyle w:val="Normal"/>
              <w:spacing w:lineRule="auto" w:line="434" w:before="240" w:after="0"/>
              <w:rPr>
                <w:sz w:val="16"/>
                <w:szCs w:val="16"/>
                <w:lang w:val="en-GB"/>
              </w:rPr>
            </w:pPr>
            <w:r>
              <w:rPr>
                <w:sz w:val="16"/>
                <w:szCs w:val="16"/>
                <w:lang w:val="en-GB"/>
              </w:rPr>
            </w:r>
          </w:p>
        </w:tc>
        <w:tc>
          <w:tcPr>
            <w:tcW w:w="81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2</w:t>
            </w:r>
          </w:p>
        </w:tc>
        <w:tc>
          <w:tcPr>
            <w:tcW w:w="118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1099.000</w:t>
            </w:r>
          </w:p>
        </w:tc>
      </w:tr>
      <w:tr>
        <w:trPr>
          <w:trHeight w:val="345" w:hRule="atLeast"/>
        </w:trPr>
        <w:tc>
          <w:tcPr>
            <w:tcW w:w="1799" w:type="dxa"/>
            <w:gridSpan w:val="2"/>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Valid</w:t>
            </w:r>
          </w:p>
        </w:tc>
        <w:tc>
          <w:tcPr>
            <w:tcW w:w="118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2133.000</w:t>
            </w:r>
          </w:p>
        </w:tc>
      </w:tr>
      <w:tr>
        <w:trPr>
          <w:trHeight w:val="345" w:hRule="atLeast"/>
        </w:trPr>
        <w:tc>
          <w:tcPr>
            <w:tcW w:w="1799" w:type="dxa"/>
            <w:gridSpan w:val="2"/>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Missing</w:t>
            </w:r>
          </w:p>
        </w:tc>
        <w:tc>
          <w:tcPr>
            <w:tcW w:w="1186" w:type="dxa"/>
            <w:tcBorders>
              <w:bottom w:val="single" w:sz="8" w:space="0" w:color="152935"/>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bl>
    <w:p>
      <w:pPr>
        <w:pStyle w:val="Normal"/>
        <w:spacing w:lineRule="auto" w:line="434" w:before="240" w:after="0"/>
        <w:rPr>
          <w:sz w:val="16"/>
          <w:szCs w:val="16"/>
          <w:lang w:val="en-GB"/>
        </w:rPr>
      </w:pPr>
      <w:r>
        <w:rPr>
          <w:sz w:val="16"/>
          <w:szCs w:val="16"/>
          <w:lang w:val="en-GB"/>
        </w:rPr>
      </w:r>
    </w:p>
    <w:tbl>
      <w:tblPr>
        <w:tblStyle w:val="a6"/>
        <w:tblW w:w="4800" w:type="dxa"/>
        <w:jc w:val="center"/>
        <w:tblInd w:w="0" w:type="dxa"/>
        <w:tblCellMar>
          <w:top w:w="0" w:type="dxa"/>
          <w:left w:w="0" w:type="dxa"/>
          <w:bottom w:w="0" w:type="dxa"/>
          <w:right w:w="0" w:type="dxa"/>
        </w:tblCellMar>
        <w:tblLook w:firstRow="0" w:noVBand="1" w:lastRow="0" w:firstColumn="0" w:lastColumn="0" w:noHBand="1" w:val="0600"/>
      </w:tblPr>
      <w:tblGrid>
        <w:gridCol w:w="2610"/>
        <w:gridCol w:w="1094"/>
        <w:gridCol w:w="1096"/>
      </w:tblGrid>
      <w:tr>
        <w:trPr>
          <w:trHeight w:val="315" w:hRule="atLeast"/>
        </w:trPr>
        <w:tc>
          <w:tcPr>
            <w:tcW w:w="4800" w:type="dxa"/>
            <w:gridSpan w:val="3"/>
            <w:tcBorders/>
            <w:shd w:color="auto" w:fill="FFFFFF" w:val="clear"/>
          </w:tcPr>
          <w:p>
            <w:pPr>
              <w:pStyle w:val="Normal"/>
              <w:spacing w:lineRule="auto" w:line="348"/>
              <w:ind w:left="60" w:right="60" w:hanging="0"/>
              <w:jc w:val="center"/>
              <w:rPr>
                <w:b/>
                <w:b/>
                <w:color w:val="010205"/>
                <w:sz w:val="16"/>
                <w:szCs w:val="16"/>
                <w:lang w:val="en-GB"/>
              </w:rPr>
            </w:pPr>
            <w:r>
              <w:rPr>
                <w:b/>
                <w:color w:val="010205"/>
                <w:sz w:val="16"/>
                <w:szCs w:val="16"/>
                <w:lang w:val="en-GB"/>
              </w:rPr>
              <w:t>Final Cluster Centres</w:t>
            </w:r>
          </w:p>
        </w:tc>
      </w:tr>
      <w:tr>
        <w:trPr>
          <w:trHeight w:val="315" w:hRule="atLeast"/>
        </w:trPr>
        <w:tc>
          <w:tcPr>
            <w:tcW w:w="2610" w:type="dxa"/>
            <w:vMerge w:val="restart"/>
            <w:tcBorders/>
            <w:shd w:color="auto" w:fill="FFFFFF" w:val="clear"/>
            <w:vAlign w:val="bottom"/>
          </w:tcPr>
          <w:p>
            <w:pPr>
              <w:pStyle w:val="Normal"/>
              <w:spacing w:lineRule="auto" w:line="276" w:before="240" w:after="0"/>
              <w:rPr>
                <w:sz w:val="16"/>
                <w:szCs w:val="16"/>
                <w:lang w:val="en-GB"/>
              </w:rPr>
            </w:pPr>
            <w:r>
              <w:rPr>
                <w:sz w:val="16"/>
                <w:szCs w:val="16"/>
                <w:lang w:val="en-GB"/>
              </w:rPr>
              <w:t xml:space="preserve"> </w:t>
            </w:r>
          </w:p>
        </w:tc>
        <w:tc>
          <w:tcPr>
            <w:tcW w:w="2190" w:type="dxa"/>
            <w:gridSpan w:val="2"/>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Cluster</w:t>
            </w:r>
          </w:p>
        </w:tc>
      </w:tr>
      <w:tr>
        <w:trPr>
          <w:trHeight w:val="330" w:hRule="atLeast"/>
        </w:trPr>
        <w:tc>
          <w:tcPr>
            <w:tcW w:w="2610" w:type="dxa"/>
            <w:vMerge w:val="continue"/>
            <w:tcBorders/>
            <w:shd w:color="auto" w:fill="auto" w:val="clear"/>
            <w:tcMar>
              <w:top w:w="100" w:type="dxa"/>
              <w:left w:w="100" w:type="dxa"/>
              <w:bottom w:w="100" w:type="dxa"/>
              <w:right w:w="100" w:type="dxa"/>
            </w:tcMar>
          </w:tcPr>
          <w:p>
            <w:pPr>
              <w:pStyle w:val="Normal"/>
              <w:rPr>
                <w:lang w:val="en-GB"/>
              </w:rPr>
            </w:pPr>
            <w:r>
              <w:rPr>
                <w:lang w:val="en-GB"/>
              </w:rPr>
            </w:r>
          </w:p>
        </w:tc>
        <w:tc>
          <w:tcPr>
            <w:tcW w:w="1094"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1</w:t>
            </w:r>
          </w:p>
        </w:tc>
        <w:tc>
          <w:tcPr>
            <w:tcW w:w="1096" w:type="dxa"/>
            <w:tcBorders>
              <w:bottom w:val="single" w:sz="8" w:space="0" w:color="152935"/>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2</w:t>
            </w:r>
          </w:p>
        </w:tc>
      </w:tr>
      <w:tr>
        <w:trPr>
          <w:trHeight w:val="345" w:hRule="atLeast"/>
        </w:trPr>
        <w:tc>
          <w:tcPr>
            <w:tcW w:w="2610" w:type="dxa"/>
            <w:tcBorders>
              <w:top w:val="single" w:sz="8" w:space="0" w:color="152935"/>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Zscore(School_setting)</w:t>
            </w:r>
          </w:p>
        </w:tc>
        <w:tc>
          <w:tcPr>
            <w:tcW w:w="109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.31326</w:t>
            </w:r>
          </w:p>
        </w:tc>
        <w:tc>
          <w:tcPr>
            <w:tcW w:w="109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-.29474</w:t>
            </w:r>
          </w:p>
        </w:tc>
      </w:tr>
      <w:tr>
        <w:trPr>
          <w:trHeight w:val="345" w:hRule="atLeast"/>
        </w:trPr>
        <w:tc>
          <w:tcPr>
            <w:tcW w:w="261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Zscore(School_type)</w:t>
            </w:r>
          </w:p>
        </w:tc>
        <w:tc>
          <w:tcPr>
            <w:tcW w:w="109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.47737</w:t>
            </w:r>
          </w:p>
        </w:tc>
        <w:tc>
          <w:tcPr>
            <w:tcW w:w="109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-.44913</w:t>
            </w:r>
          </w:p>
        </w:tc>
      </w:tr>
      <w:tr>
        <w:trPr>
          <w:trHeight w:val="345" w:hRule="atLeast"/>
        </w:trPr>
        <w:tc>
          <w:tcPr>
            <w:tcW w:w="261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Zscore(Teaching_method)</w:t>
            </w:r>
          </w:p>
        </w:tc>
        <w:tc>
          <w:tcPr>
            <w:tcW w:w="109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.21486</w:t>
            </w:r>
          </w:p>
        </w:tc>
        <w:tc>
          <w:tcPr>
            <w:tcW w:w="109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-.20215</w:t>
            </w:r>
          </w:p>
        </w:tc>
      </w:tr>
      <w:tr>
        <w:trPr>
          <w:trHeight w:val="345" w:hRule="atLeast"/>
        </w:trPr>
        <w:tc>
          <w:tcPr>
            <w:tcW w:w="261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Zscore(Student_No)</w:t>
            </w:r>
          </w:p>
        </w:tc>
        <w:tc>
          <w:tcPr>
            <w:tcW w:w="109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.69326</w:t>
            </w:r>
          </w:p>
        </w:tc>
        <w:tc>
          <w:tcPr>
            <w:tcW w:w="109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-.65225</w:t>
            </w:r>
          </w:p>
        </w:tc>
      </w:tr>
      <w:tr>
        <w:trPr>
          <w:trHeight w:val="345" w:hRule="atLeast"/>
        </w:trPr>
        <w:tc>
          <w:tcPr>
            <w:tcW w:w="261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Zscore(Lunch)</w:t>
            </w:r>
          </w:p>
        </w:tc>
        <w:tc>
          <w:tcPr>
            <w:tcW w:w="109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.63659</w:t>
            </w:r>
          </w:p>
        </w:tc>
        <w:tc>
          <w:tcPr>
            <w:tcW w:w="109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-.59894</w:t>
            </w:r>
          </w:p>
        </w:tc>
      </w:tr>
      <w:tr>
        <w:trPr>
          <w:trHeight w:val="345" w:hRule="atLeast"/>
        </w:trPr>
        <w:tc>
          <w:tcPr>
            <w:tcW w:w="2610"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Zscore(Pretest)</w:t>
            </w:r>
          </w:p>
        </w:tc>
        <w:tc>
          <w:tcPr>
            <w:tcW w:w="1094"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-.77341</w:t>
            </w:r>
          </w:p>
        </w:tc>
        <w:tc>
          <w:tcPr>
            <w:tcW w:w="1096" w:type="dxa"/>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.72766</w:t>
            </w:r>
          </w:p>
        </w:tc>
      </w:tr>
      <w:tr>
        <w:trPr>
          <w:trHeight w:val="345" w:hRule="atLeast"/>
        </w:trPr>
        <w:tc>
          <w:tcPr>
            <w:tcW w:w="2610" w:type="dxa"/>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Zscore(Posttest)</w:t>
            </w:r>
          </w:p>
        </w:tc>
        <w:tc>
          <w:tcPr>
            <w:tcW w:w="1094"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-.78477</w:t>
            </w:r>
          </w:p>
        </w:tc>
        <w:tc>
          <w:tcPr>
            <w:tcW w:w="1096" w:type="dxa"/>
            <w:tcBorders>
              <w:bottom w:val="single" w:sz="8" w:space="0" w:color="152935"/>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.73836</w:t>
            </w:r>
          </w:p>
        </w:tc>
      </w:tr>
    </w:tbl>
    <w:p>
      <w:pPr>
        <w:pStyle w:val="Normal"/>
        <w:spacing w:lineRule="auto" w:line="434" w:before="240" w:after="0"/>
        <w:jc w:val="center"/>
        <w:rPr>
          <w:b/>
          <w:b/>
          <w:lang w:val="en-GB"/>
        </w:rPr>
      </w:pPr>
      <w:r>
        <w:rPr>
          <w:sz w:val="16"/>
          <w:szCs w:val="16"/>
          <w:lang w:val="en-GB"/>
        </w:rPr>
        <w:t xml:space="preserve"> </w:t>
      </w:r>
      <w:r>
        <w:rPr>
          <w:b/>
          <w:lang w:val="en-GB"/>
        </w:rPr>
        <w:t>Table 4:  K-mean Clustering Table and Results</w:t>
      </w:r>
    </w:p>
    <w:p>
      <w:pPr>
        <w:pStyle w:val="Normal"/>
        <w:jc w:val="center"/>
        <w:rPr>
          <w:lang w:val="en-GB"/>
        </w:rPr>
      </w:pPr>
      <w:r>
        <w:rPr>
          <w:lang w:val="en-GB"/>
        </w:rPr>
        <w:t>(Source: Self-Created)</w:t>
      </w:r>
    </w:p>
    <w:p>
      <w:pPr>
        <w:pStyle w:val="Normal"/>
        <w:jc w:val="center"/>
        <w:rPr>
          <w:lang w:val="en-GB"/>
        </w:rPr>
      </w:pPr>
      <w:r>
        <w:rPr>
          <w:lang w:val="en-GB"/>
        </w:rPr>
      </w:r>
    </w:p>
    <w:p>
      <w:pPr>
        <w:pStyle w:val="Normal"/>
        <w:jc w:val="center"/>
        <w:rPr>
          <w:lang w:val="en-GB"/>
        </w:rPr>
      </w:pPr>
      <w:r>
        <w:rPr>
          <w:lang w:val="en-GB"/>
        </w:rPr>
      </w:r>
    </w:p>
    <w:p>
      <w:pPr>
        <w:pStyle w:val="Normal"/>
        <w:jc w:val="center"/>
        <w:rPr>
          <w:sz w:val="16"/>
          <w:szCs w:val="16"/>
          <w:lang w:val="en-GB"/>
        </w:rPr>
      </w:pPr>
      <w:r>
        <w:rPr>
          <w:sz w:val="16"/>
          <w:szCs w:val="16"/>
          <w:lang w:val="en-GB"/>
        </w:rPr>
      </w:r>
    </w:p>
    <w:tbl>
      <w:tblPr>
        <w:tblStyle w:val="a7"/>
        <w:tblW w:w="9360" w:type="dxa"/>
        <w:jc w:val="center"/>
        <w:tblInd w:w="0" w:type="dxa"/>
        <w:tblCellMar>
          <w:top w:w="0" w:type="dxa"/>
          <w:left w:w="0" w:type="dxa"/>
          <w:bottom w:w="0" w:type="dxa"/>
          <w:right w:w="0" w:type="dxa"/>
        </w:tblCellMar>
        <w:tblLook w:firstRow="0" w:noVBand="1" w:lastRow="0" w:firstColumn="0" w:lastColumn="0" w:noHBand="1" w:val="0600"/>
      </w:tblPr>
      <w:tblGrid>
        <w:gridCol w:w="3147"/>
        <w:gridCol w:w="1519"/>
        <w:gridCol w:w="475"/>
        <w:gridCol w:w="1"/>
        <w:gridCol w:w="1427"/>
        <w:gridCol w:w="796"/>
        <w:gridCol w:w="2"/>
        <w:gridCol w:w="1279"/>
        <w:gridCol w:w="2"/>
        <w:gridCol w:w="711"/>
      </w:tblGrid>
      <w:tr>
        <w:trPr>
          <w:trHeight w:val="315" w:hRule="atLeast"/>
        </w:trPr>
        <w:tc>
          <w:tcPr>
            <w:tcW w:w="9359" w:type="dxa"/>
            <w:gridSpan w:val="10"/>
            <w:tcBorders/>
            <w:shd w:color="auto" w:fill="FFFFFF" w:val="clear"/>
          </w:tcPr>
          <w:p>
            <w:pPr>
              <w:pStyle w:val="Normal"/>
              <w:spacing w:lineRule="auto" w:line="348"/>
              <w:ind w:left="60" w:right="60" w:hanging="0"/>
              <w:jc w:val="center"/>
              <w:rPr>
                <w:b/>
                <w:b/>
                <w:color w:val="010205"/>
                <w:sz w:val="16"/>
                <w:szCs w:val="16"/>
                <w:lang w:val="en-GB"/>
              </w:rPr>
            </w:pPr>
            <w:r>
              <w:rPr>
                <w:b/>
                <w:color w:val="010205"/>
                <w:sz w:val="16"/>
                <w:szCs w:val="16"/>
                <w:lang w:val="en-GB"/>
              </w:rPr>
              <w:t>ANOVA</w:t>
            </w:r>
          </w:p>
        </w:tc>
      </w:tr>
      <w:tr>
        <w:trPr>
          <w:trHeight w:val="315" w:hRule="atLeast"/>
        </w:trPr>
        <w:tc>
          <w:tcPr>
            <w:tcW w:w="3147" w:type="dxa"/>
            <w:vMerge w:val="restart"/>
            <w:tcBorders/>
            <w:shd w:color="auto" w:fill="FFFFFF" w:val="clear"/>
            <w:vAlign w:val="bottom"/>
          </w:tcPr>
          <w:p>
            <w:pPr>
              <w:pStyle w:val="Normal"/>
              <w:spacing w:lineRule="auto" w:line="276" w:before="240" w:after="0"/>
              <w:rPr>
                <w:sz w:val="16"/>
                <w:szCs w:val="16"/>
                <w:lang w:val="en-GB"/>
              </w:rPr>
            </w:pPr>
            <w:r>
              <w:rPr>
                <w:sz w:val="16"/>
                <w:szCs w:val="16"/>
                <w:lang w:val="en-GB"/>
              </w:rPr>
              <w:t xml:space="preserve"> </w:t>
            </w:r>
          </w:p>
        </w:tc>
        <w:tc>
          <w:tcPr>
            <w:tcW w:w="1995" w:type="dxa"/>
            <w:gridSpan w:val="3"/>
            <w:tcBorders>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Cluster</w:t>
            </w:r>
          </w:p>
        </w:tc>
        <w:tc>
          <w:tcPr>
            <w:tcW w:w="2225" w:type="dxa"/>
            <w:gridSpan w:val="3"/>
            <w:tcBorders>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Error</w:t>
            </w:r>
          </w:p>
        </w:tc>
        <w:tc>
          <w:tcPr>
            <w:tcW w:w="1281" w:type="dxa"/>
            <w:gridSpan w:val="2"/>
            <w:tcBorders>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F</w:t>
            </w:r>
          </w:p>
        </w:tc>
        <w:tc>
          <w:tcPr>
            <w:tcW w:w="711" w:type="dxa"/>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Sig.</w:t>
            </w:r>
          </w:p>
        </w:tc>
      </w:tr>
      <w:tr>
        <w:trPr>
          <w:trHeight w:val="330" w:hRule="atLeast"/>
        </w:trPr>
        <w:tc>
          <w:tcPr>
            <w:tcW w:w="3147" w:type="dxa"/>
            <w:vMerge w:val="continue"/>
            <w:tcBorders/>
            <w:shd w:color="auto" w:fill="auto" w:val="clear"/>
            <w:tcMar>
              <w:top w:w="100" w:type="dxa"/>
              <w:left w:w="100" w:type="dxa"/>
              <w:bottom w:w="100" w:type="dxa"/>
              <w:right w:w="100" w:type="dxa"/>
            </w:tcMar>
          </w:tcPr>
          <w:p>
            <w:pPr>
              <w:pStyle w:val="Normal"/>
              <w:rPr>
                <w:lang w:val="en-GB"/>
              </w:rPr>
            </w:pPr>
            <w:r>
              <w:rPr>
                <w:lang w:val="en-GB"/>
              </w:rPr>
            </w:r>
          </w:p>
        </w:tc>
        <w:tc>
          <w:tcPr>
            <w:tcW w:w="1519"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Mean Square</w:t>
            </w:r>
          </w:p>
        </w:tc>
        <w:tc>
          <w:tcPr>
            <w:tcW w:w="475"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df</w:t>
            </w:r>
          </w:p>
        </w:tc>
        <w:tc>
          <w:tcPr>
            <w:tcW w:w="1428" w:type="dxa"/>
            <w:gridSpan w:val="2"/>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Mean Square</w:t>
            </w:r>
          </w:p>
        </w:tc>
        <w:tc>
          <w:tcPr>
            <w:tcW w:w="796" w:type="dxa"/>
            <w:tcBorders>
              <w:bottom w:val="single" w:sz="8" w:space="0" w:color="152935"/>
              <w:right w:val="single" w:sz="8" w:space="0" w:color="E0E0E0"/>
            </w:tcBorders>
            <w:shd w:color="auto" w:fill="FFFFFF" w:val="clear"/>
            <w:vAlign w:val="bottom"/>
          </w:tcPr>
          <w:p>
            <w:pPr>
              <w:pStyle w:val="Normal"/>
              <w:spacing w:lineRule="auto" w:line="348"/>
              <w:ind w:left="60" w:right="60" w:hanging="0"/>
              <w:jc w:val="center"/>
              <w:rPr>
                <w:color w:val="264A60"/>
                <w:sz w:val="16"/>
                <w:szCs w:val="16"/>
                <w:lang w:val="en-GB"/>
              </w:rPr>
            </w:pPr>
            <w:r>
              <w:rPr>
                <w:color w:val="264A60"/>
                <w:sz w:val="16"/>
                <w:szCs w:val="16"/>
                <w:lang w:val="en-GB"/>
              </w:rPr>
              <w:t>df</w:t>
            </w:r>
          </w:p>
        </w:tc>
        <w:tc>
          <w:tcPr>
            <w:tcW w:w="1281" w:type="dxa"/>
            <w:gridSpan w:val="2"/>
            <w:tcBorders>
              <w:right w:val="single" w:sz="8" w:space="0" w:color="E0E0E0"/>
            </w:tcBorders>
            <w:shd w:color="auto" w:fill="auto" w:val="clear"/>
            <w:tcMar>
              <w:top w:w="100" w:type="dxa"/>
              <w:left w:w="100" w:type="dxa"/>
              <w:bottom w:w="100" w:type="dxa"/>
              <w:right w:w="100" w:type="dxa"/>
            </w:tcMar>
          </w:tcPr>
          <w:p>
            <w:pPr>
              <w:pStyle w:val="Normal"/>
              <w:rPr>
                <w:lang w:val="en-GB"/>
              </w:rPr>
            </w:pPr>
            <w:r>
              <w:rPr>
                <w:lang w:val="en-GB"/>
              </w:rPr>
            </w:r>
          </w:p>
        </w:tc>
        <w:tc>
          <w:tcPr>
            <w:tcW w:w="713" w:type="dxa"/>
            <w:gridSpan w:val="2"/>
            <w:tcBorders/>
            <w:shd w:color="auto" w:fill="auto" w:val="clear"/>
            <w:tcMar>
              <w:top w:w="100" w:type="dxa"/>
              <w:left w:w="100" w:type="dxa"/>
              <w:bottom w:w="100" w:type="dxa"/>
              <w:right w:w="100" w:type="dxa"/>
            </w:tcMar>
          </w:tcPr>
          <w:p>
            <w:pPr>
              <w:pStyle w:val="Normal"/>
              <w:rPr>
                <w:lang w:val="en-GB"/>
              </w:rPr>
            </w:pPr>
            <w:r>
              <w:rPr>
                <w:lang w:val="en-GB"/>
              </w:rPr>
            </w:r>
          </w:p>
        </w:tc>
      </w:tr>
      <w:tr>
        <w:trPr>
          <w:trHeight w:val="345" w:hRule="atLeast"/>
        </w:trPr>
        <w:tc>
          <w:tcPr>
            <w:tcW w:w="3147" w:type="dxa"/>
            <w:tcBorders>
              <w:top w:val="single" w:sz="8" w:space="0" w:color="152935"/>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Zscore(School_setting)</w:t>
            </w:r>
          </w:p>
        </w:tc>
        <w:tc>
          <w:tcPr>
            <w:tcW w:w="1519"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196.939</w:t>
            </w:r>
          </w:p>
        </w:tc>
        <w:tc>
          <w:tcPr>
            <w:tcW w:w="47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w:t>
            </w:r>
          </w:p>
        </w:tc>
        <w:tc>
          <w:tcPr>
            <w:tcW w:w="1428"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.908</w:t>
            </w:r>
          </w:p>
        </w:tc>
        <w:tc>
          <w:tcPr>
            <w:tcW w:w="79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2131</w:t>
            </w:r>
          </w:p>
        </w:tc>
        <w:tc>
          <w:tcPr>
            <w:tcW w:w="1281" w:type="dxa"/>
            <w:gridSpan w:val="2"/>
            <w:tcBorders>
              <w:top w:val="single" w:sz="8" w:space="0" w:color="152935"/>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216.881</w:t>
            </w:r>
          </w:p>
        </w:tc>
        <w:tc>
          <w:tcPr>
            <w:tcW w:w="713" w:type="dxa"/>
            <w:gridSpan w:val="2"/>
            <w:tcBorders>
              <w:top w:val="single" w:sz="8" w:space="0" w:color="152935"/>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r>
        <w:trPr>
          <w:trHeight w:val="345" w:hRule="atLeast"/>
        </w:trPr>
        <w:tc>
          <w:tcPr>
            <w:tcW w:w="3147"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Zscore(School_type)</w:t>
            </w:r>
          </w:p>
        </w:tc>
        <w:tc>
          <w:tcPr>
            <w:tcW w:w="1519"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457.320</w:t>
            </w:r>
          </w:p>
        </w:tc>
        <w:tc>
          <w:tcPr>
            <w:tcW w:w="47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w:t>
            </w:r>
          </w:p>
        </w:tc>
        <w:tc>
          <w:tcPr>
            <w:tcW w:w="1428"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.786</w:t>
            </w:r>
          </w:p>
        </w:tc>
        <w:tc>
          <w:tcPr>
            <w:tcW w:w="79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2131</w:t>
            </w:r>
          </w:p>
        </w:tc>
        <w:tc>
          <w:tcPr>
            <w:tcW w:w="1281"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581.932</w:t>
            </w:r>
          </w:p>
        </w:tc>
        <w:tc>
          <w:tcPr>
            <w:tcW w:w="713"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r>
        <w:trPr>
          <w:trHeight w:val="345" w:hRule="atLeast"/>
        </w:trPr>
        <w:tc>
          <w:tcPr>
            <w:tcW w:w="3147"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Zscore(Teaching_method)</w:t>
            </w:r>
          </w:p>
        </w:tc>
        <w:tc>
          <w:tcPr>
            <w:tcW w:w="1519"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92.643</w:t>
            </w:r>
          </w:p>
        </w:tc>
        <w:tc>
          <w:tcPr>
            <w:tcW w:w="47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w:t>
            </w:r>
          </w:p>
        </w:tc>
        <w:tc>
          <w:tcPr>
            <w:tcW w:w="1428"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.957</w:t>
            </w:r>
          </w:p>
        </w:tc>
        <w:tc>
          <w:tcPr>
            <w:tcW w:w="79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2131</w:t>
            </w:r>
          </w:p>
        </w:tc>
        <w:tc>
          <w:tcPr>
            <w:tcW w:w="1281"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96.806</w:t>
            </w:r>
          </w:p>
        </w:tc>
        <w:tc>
          <w:tcPr>
            <w:tcW w:w="713"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r>
        <w:trPr>
          <w:trHeight w:val="345" w:hRule="atLeast"/>
        </w:trPr>
        <w:tc>
          <w:tcPr>
            <w:tcW w:w="3147"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Zscore(Student_No)</w:t>
            </w:r>
          </w:p>
        </w:tc>
        <w:tc>
          <w:tcPr>
            <w:tcW w:w="1519"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964.500</w:t>
            </w:r>
          </w:p>
        </w:tc>
        <w:tc>
          <w:tcPr>
            <w:tcW w:w="47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w:t>
            </w:r>
          </w:p>
        </w:tc>
        <w:tc>
          <w:tcPr>
            <w:tcW w:w="1428"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.548</w:t>
            </w:r>
          </w:p>
        </w:tc>
        <w:tc>
          <w:tcPr>
            <w:tcW w:w="79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2131</w:t>
            </w:r>
          </w:p>
        </w:tc>
        <w:tc>
          <w:tcPr>
            <w:tcW w:w="1281"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1760.470</w:t>
            </w:r>
          </w:p>
        </w:tc>
        <w:tc>
          <w:tcPr>
            <w:tcW w:w="713"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r>
        <w:trPr>
          <w:trHeight w:val="345" w:hRule="atLeast"/>
        </w:trPr>
        <w:tc>
          <w:tcPr>
            <w:tcW w:w="3147"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Zscore(Lunch)</w:t>
            </w:r>
          </w:p>
        </w:tc>
        <w:tc>
          <w:tcPr>
            <w:tcW w:w="1519"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813.267</w:t>
            </w:r>
          </w:p>
        </w:tc>
        <w:tc>
          <w:tcPr>
            <w:tcW w:w="47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w:t>
            </w:r>
          </w:p>
        </w:tc>
        <w:tc>
          <w:tcPr>
            <w:tcW w:w="1428"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.619</w:t>
            </w:r>
          </w:p>
        </w:tc>
        <w:tc>
          <w:tcPr>
            <w:tcW w:w="79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2131</w:t>
            </w:r>
          </w:p>
        </w:tc>
        <w:tc>
          <w:tcPr>
            <w:tcW w:w="1281"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1314.195</w:t>
            </w:r>
          </w:p>
        </w:tc>
        <w:tc>
          <w:tcPr>
            <w:tcW w:w="713"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r>
        <w:trPr>
          <w:trHeight w:val="345" w:hRule="atLeast"/>
        </w:trPr>
        <w:tc>
          <w:tcPr>
            <w:tcW w:w="3147" w:type="dxa"/>
            <w:tcBorders>
              <w:bottom w:val="single" w:sz="8" w:space="0" w:color="AEAEAE"/>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Zscore(Pretest)</w:t>
            </w:r>
          </w:p>
        </w:tc>
        <w:tc>
          <w:tcPr>
            <w:tcW w:w="1519"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1200.407</w:t>
            </w:r>
          </w:p>
        </w:tc>
        <w:tc>
          <w:tcPr>
            <w:tcW w:w="475"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w:t>
            </w:r>
          </w:p>
        </w:tc>
        <w:tc>
          <w:tcPr>
            <w:tcW w:w="1428"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.437</w:t>
            </w:r>
          </w:p>
        </w:tc>
        <w:tc>
          <w:tcPr>
            <w:tcW w:w="796" w:type="dxa"/>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2131</w:t>
            </w:r>
          </w:p>
        </w:tc>
        <w:tc>
          <w:tcPr>
            <w:tcW w:w="1281" w:type="dxa"/>
            <w:gridSpan w:val="2"/>
            <w:tcBorders>
              <w:bottom w:val="single" w:sz="8" w:space="0" w:color="AEAEAE"/>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2745.905</w:t>
            </w:r>
          </w:p>
        </w:tc>
        <w:tc>
          <w:tcPr>
            <w:tcW w:w="713" w:type="dxa"/>
            <w:gridSpan w:val="2"/>
            <w:tcBorders>
              <w:bottom w:val="single" w:sz="8" w:space="0" w:color="AEAEAE"/>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r>
        <w:trPr>
          <w:trHeight w:val="345" w:hRule="atLeast"/>
        </w:trPr>
        <w:tc>
          <w:tcPr>
            <w:tcW w:w="3147" w:type="dxa"/>
            <w:tcBorders>
              <w:bottom w:val="single" w:sz="8" w:space="0" w:color="152935"/>
            </w:tcBorders>
            <w:shd w:color="auto" w:fill="E0E0E0" w:val="clear"/>
          </w:tcPr>
          <w:p>
            <w:pPr>
              <w:pStyle w:val="Normal"/>
              <w:spacing w:lineRule="auto" w:line="348"/>
              <w:ind w:left="60" w:right="60" w:hanging="0"/>
              <w:rPr>
                <w:color w:val="264A60"/>
                <w:sz w:val="16"/>
                <w:szCs w:val="16"/>
                <w:lang w:val="en-GB"/>
              </w:rPr>
            </w:pPr>
            <w:r>
              <w:rPr>
                <w:color w:val="264A60"/>
                <w:sz w:val="16"/>
                <w:szCs w:val="16"/>
                <w:lang w:val="en-GB"/>
              </w:rPr>
              <w:t>Zscore(Posttest)</w:t>
            </w:r>
          </w:p>
        </w:tc>
        <w:tc>
          <w:tcPr>
            <w:tcW w:w="1519"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1235.958</w:t>
            </w:r>
          </w:p>
        </w:tc>
        <w:tc>
          <w:tcPr>
            <w:tcW w:w="475"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1</w:t>
            </w:r>
          </w:p>
        </w:tc>
        <w:tc>
          <w:tcPr>
            <w:tcW w:w="1428" w:type="dxa"/>
            <w:gridSpan w:val="2"/>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.420</w:t>
            </w:r>
          </w:p>
        </w:tc>
        <w:tc>
          <w:tcPr>
            <w:tcW w:w="796" w:type="dxa"/>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2131</w:t>
            </w:r>
          </w:p>
        </w:tc>
        <w:tc>
          <w:tcPr>
            <w:tcW w:w="1281" w:type="dxa"/>
            <w:gridSpan w:val="2"/>
            <w:tcBorders>
              <w:bottom w:val="single" w:sz="8" w:space="0" w:color="152935"/>
              <w:right w:val="single" w:sz="8" w:space="0" w:color="E0E0E0"/>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2939.400</w:t>
            </w:r>
          </w:p>
        </w:tc>
        <w:tc>
          <w:tcPr>
            <w:tcW w:w="713" w:type="dxa"/>
            <w:gridSpan w:val="2"/>
            <w:tcBorders>
              <w:bottom w:val="single" w:sz="8" w:space="0" w:color="152935"/>
            </w:tcBorders>
            <w:shd w:color="auto" w:fill="FFFFFF" w:val="clear"/>
          </w:tcPr>
          <w:p>
            <w:pPr>
              <w:pStyle w:val="Normal"/>
              <w:spacing w:lineRule="auto" w:line="348"/>
              <w:ind w:left="60" w:right="60" w:hanging="0"/>
              <w:jc w:val="right"/>
              <w:rPr>
                <w:color w:val="010205"/>
                <w:sz w:val="16"/>
                <w:szCs w:val="16"/>
                <w:lang w:val="en-GB"/>
              </w:rPr>
            </w:pPr>
            <w:r>
              <w:rPr>
                <w:color w:val="010205"/>
                <w:sz w:val="16"/>
                <w:szCs w:val="16"/>
                <w:lang w:val="en-GB"/>
              </w:rPr>
              <w:t>.000</w:t>
            </w:r>
          </w:p>
        </w:tc>
      </w:tr>
      <w:tr>
        <w:trPr>
          <w:trHeight w:val="975" w:hRule="atLeast"/>
        </w:trPr>
        <w:tc>
          <w:tcPr>
            <w:tcW w:w="9359" w:type="dxa"/>
            <w:gridSpan w:val="10"/>
            <w:tcBorders/>
            <w:shd w:color="auto" w:fill="FFFFFF" w:val="clear"/>
          </w:tcPr>
          <w:p>
            <w:pPr>
              <w:pStyle w:val="Normal"/>
              <w:spacing w:lineRule="auto" w:line="348"/>
              <w:ind w:left="60" w:right="60" w:hanging="0"/>
              <w:rPr>
                <w:color w:val="010205"/>
                <w:sz w:val="16"/>
                <w:szCs w:val="16"/>
                <w:lang w:val="en-GB"/>
              </w:rPr>
            </w:pPr>
            <w:r>
              <w:rPr>
                <w:color w:val="010205"/>
                <w:sz w:val="16"/>
                <w:szCs w:val="16"/>
                <w:lang w:val="en-GB"/>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pPr>
        <w:pStyle w:val="Normal"/>
        <w:spacing w:lineRule="auto" w:line="434" w:before="240" w:after="0"/>
        <w:jc w:val="center"/>
        <w:rPr>
          <w:b/>
          <w:b/>
          <w:lang w:val="en-GB"/>
        </w:rPr>
      </w:pPr>
      <w:r>
        <w:rPr>
          <w:sz w:val="16"/>
          <w:szCs w:val="16"/>
          <w:lang w:val="en-GB"/>
        </w:rPr>
        <w:t xml:space="preserve"> </w:t>
      </w:r>
      <w:r>
        <w:rPr>
          <w:b/>
          <w:lang w:val="en-GB"/>
        </w:rPr>
        <w:t>Table 5:  ANOVA Results</w:t>
      </w:r>
    </w:p>
    <w:p>
      <w:pPr>
        <w:pStyle w:val="Normal"/>
        <w:jc w:val="center"/>
        <w:rPr>
          <w:lang w:val="en-GB"/>
        </w:rPr>
      </w:pPr>
      <w:r>
        <w:rPr>
          <w:lang w:val="en-GB"/>
        </w:rPr>
        <w:t>(Source: Self-Created)</w:t>
      </w:r>
    </w:p>
    <w:p>
      <w:pPr>
        <w:pStyle w:val="Normal"/>
        <w:rPr>
          <w:lang w:val="en-GB"/>
        </w:rPr>
      </w:pPr>
      <w:r>
        <w:rPr>
          <w:lang w:val="en-GB"/>
        </w:rPr>
        <w:t xml:space="preserve">The level of confidence is 95% and hence, the level of significance is 5% or 0.05. Hence, variables are statistically significant if the p-value (sig. value) is less than 0.05. It is seen from the ANOVA table that school setting, type of school, teaching, method, student numbers, lunch, and pre-test &amp; post-test scores are statically significant (p-value &lt; 0.05). </w:t>
      </w:r>
    </w:p>
    <w:p>
      <w:pPr>
        <w:pStyle w:val="Normal"/>
        <w:rPr>
          <w:lang w:val="en-GB"/>
        </w:rPr>
      </w:pPr>
      <w:r>
        <w:rPr/>
        <w:drawing>
          <wp:inline distT="0" distB="0" distL="0" distR="0">
            <wp:extent cx="5943600" cy="3492500"/>
            <wp:effectExtent l="0" t="0" r="0" b="0"/>
            <wp:docPr id="8"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png" descr=""/>
                    <pic:cNvPicPr>
                      <a:picLocks noChangeAspect="1" noChangeArrowheads="1"/>
                    </pic:cNvPicPr>
                  </pic:nvPicPr>
                  <pic:blipFill>
                    <a:blip r:embed="rId9"/>
                    <a:stretch>
                      <a:fillRect/>
                    </a:stretch>
                  </pic:blipFill>
                  <pic:spPr bwMode="auto">
                    <a:xfrm>
                      <a:off x="0" y="0"/>
                      <a:ext cx="5943600" cy="3492500"/>
                    </a:xfrm>
                    <a:prstGeom prst="rect">
                      <a:avLst/>
                    </a:prstGeom>
                    <a:ln w="12700">
                      <a:solidFill>
                        <a:srgbClr val="000000"/>
                      </a:solidFill>
                    </a:ln>
                  </pic:spPr>
                </pic:pic>
              </a:graphicData>
            </a:graphic>
          </wp:inline>
        </w:drawing>
      </w:r>
    </w:p>
    <w:p>
      <w:pPr>
        <w:pStyle w:val="Normal"/>
        <w:jc w:val="center"/>
        <w:rPr>
          <w:b/>
          <w:b/>
          <w:lang w:val="en-GB"/>
        </w:rPr>
      </w:pPr>
      <w:r>
        <w:rPr>
          <w:b/>
          <w:lang w:val="en-GB"/>
        </w:rPr>
        <w:t>Figure 8: K-mean Cluster Results</w:t>
      </w:r>
    </w:p>
    <w:p>
      <w:pPr>
        <w:pStyle w:val="Normal"/>
        <w:jc w:val="center"/>
        <w:rPr>
          <w:lang w:val="en-GB"/>
        </w:rPr>
      </w:pPr>
      <w:r>
        <w:rPr>
          <w:lang w:val="en-GB"/>
        </w:rPr>
        <w:t>(Source: Self-Created)</w:t>
      </w:r>
    </w:p>
    <w:p>
      <w:pPr>
        <w:pStyle w:val="Normal"/>
        <w:rPr>
          <w:lang w:val="en-GB"/>
        </w:rPr>
      </w:pPr>
      <w:r>
        <w:rPr>
          <w:lang w:val="en-GB"/>
        </w:rPr>
        <w:t xml:space="preserve">There are two clusters made by means of SPSS. It is clear from the final cluster centres that two different segments are made depending on the pre-test and post-test results for reduced/free lunch for the students. In cluster-1, this is the segment of the students who have high Z-scores for lunch with negative Z-score pre-test and post-test scores. In the cluster, this is the segment of the students who have positive z-scores of pre-test and post-test scores but with negative lunch Z-scores. </w:t>
      </w:r>
    </w:p>
    <w:p>
      <w:pPr>
        <w:pStyle w:val="Heading2"/>
        <w:rPr>
          <w:lang w:val="en-GB"/>
        </w:rPr>
      </w:pPr>
      <w:bookmarkStart w:id="17" w:name="_Toc161944347"/>
      <w:bookmarkStart w:id="18" w:name="_qvk1xpq2ug0c"/>
      <w:bookmarkEnd w:id="18"/>
      <w:r>
        <w:rPr>
          <w:lang w:val="en-GB"/>
        </w:rPr>
        <w:t>5. Advantages and Disadvantages</w:t>
      </w:r>
      <w:bookmarkEnd w:id="17"/>
    </w:p>
    <w:p>
      <w:pPr>
        <w:pStyle w:val="Normal"/>
        <w:rPr>
          <w:b/>
          <w:b/>
          <w:lang w:val="en-GB"/>
        </w:rPr>
      </w:pPr>
      <w:r>
        <w:rPr>
          <w:b/>
          <w:lang w:val="en-GB"/>
        </w:rPr>
        <w:t>Advantages of using SPSS</w:t>
      </w:r>
    </w:p>
    <w:p>
      <w:pPr>
        <w:pStyle w:val="Normal"/>
        <w:numPr>
          <w:ilvl w:val="0"/>
          <w:numId w:val="3"/>
        </w:numPr>
        <w:rPr>
          <w:lang w:val="en-GB"/>
        </w:rPr>
      </w:pPr>
      <w:r>
        <w:rPr>
          <w:lang w:val="en-GB"/>
        </w:rPr>
        <w:t xml:space="preserve">SPSS has a user-friendly interface that allows users to efficiently perform data handling tasks such as data entry, data cleaning, and data analysis. </w:t>
      </w:r>
    </w:p>
    <w:p>
      <w:pPr>
        <w:pStyle w:val="Normal"/>
        <w:numPr>
          <w:ilvl w:val="0"/>
          <w:numId w:val="3"/>
        </w:numPr>
        <w:rPr>
          <w:lang w:val="en-GB"/>
        </w:rPr>
      </w:pPr>
      <w:r>
        <w:rPr>
          <w:lang w:val="en-GB"/>
        </w:rPr>
        <w:t xml:space="preserve">SPSS gives users tools to apply methods to data in different ways (Bany </w:t>
      </w:r>
      <w:r>
        <w:rPr>
          <w:i/>
          <w:lang w:val="en-GB"/>
        </w:rPr>
        <w:t>et al</w:t>
      </w:r>
      <w:r>
        <w:rPr>
          <w:lang w:val="en-GB"/>
        </w:rPr>
        <w:t xml:space="preserve">., 2022). This software can do regression analysis, factoring chi-square test to predict variables and create new variables by selecting or merging the existing value. </w:t>
      </w:r>
    </w:p>
    <w:p>
      <w:pPr>
        <w:pStyle w:val="Normal"/>
        <w:numPr>
          <w:ilvl w:val="0"/>
          <w:numId w:val="3"/>
        </w:numPr>
        <w:rPr>
          <w:lang w:val="en-GB"/>
        </w:rPr>
      </w:pPr>
      <w:r>
        <w:rPr>
          <w:lang w:val="en-GB"/>
        </w:rPr>
        <w:t xml:space="preserve">SPSS is a package of program that allows users to conduct different types of analysis such as t-tests, ANOVA tests, etc. </w:t>
      </w:r>
    </w:p>
    <w:p>
      <w:pPr>
        <w:pStyle w:val="Normal"/>
        <w:numPr>
          <w:ilvl w:val="0"/>
          <w:numId w:val="3"/>
        </w:numPr>
        <w:rPr>
          <w:lang w:val="en-GB"/>
        </w:rPr>
      </w:pPr>
      <w:r>
        <w:rPr>
          <w:lang w:val="en-GB"/>
        </w:rPr>
        <w:t xml:space="preserve">It also has the function that generating procedures of complex statistics such as factor and cluster analysis. </w:t>
      </w:r>
    </w:p>
    <w:p>
      <w:pPr>
        <w:pStyle w:val="Normal"/>
        <w:rPr>
          <w:b/>
          <w:b/>
          <w:lang w:val="en-GB"/>
        </w:rPr>
      </w:pPr>
      <w:r>
        <w:rPr>
          <w:b/>
          <w:lang w:val="en-GB"/>
        </w:rPr>
        <w:t>Disadvantages of using SPSS</w:t>
      </w:r>
    </w:p>
    <w:p>
      <w:pPr>
        <w:pStyle w:val="Normal"/>
        <w:numPr>
          <w:ilvl w:val="0"/>
          <w:numId w:val="1"/>
        </w:numPr>
        <w:rPr>
          <w:lang w:val="en-GB"/>
        </w:rPr>
      </w:pPr>
      <w:r>
        <w:rPr>
          <w:lang w:val="en-GB"/>
        </w:rPr>
        <w:t>SPSS may lack flexibility and sophistication over other tools like R or Python. Users with intricate or specific analyses may feel depleted of some functions and offers from software like SPSS.</w:t>
      </w:r>
    </w:p>
    <w:p>
      <w:pPr>
        <w:pStyle w:val="Normal"/>
        <w:numPr>
          <w:ilvl w:val="0"/>
          <w:numId w:val="1"/>
        </w:numPr>
        <w:rPr>
          <w:lang w:val="en-GB"/>
        </w:rPr>
      </w:pPr>
      <w:r>
        <w:rPr>
          <w:lang w:val="en-GB"/>
        </w:rPr>
        <w:t xml:space="preserve">SPSS can be used in the stage of decreasing sample size due to the necessity of more output data or requiring extensive sources. </w:t>
      </w:r>
    </w:p>
    <w:p>
      <w:pPr>
        <w:pStyle w:val="Normal"/>
        <w:rPr>
          <w:b/>
          <w:b/>
          <w:lang w:val="en-GB"/>
        </w:rPr>
      </w:pPr>
      <w:r>
        <w:rPr>
          <w:b/>
          <w:lang w:val="en-GB"/>
        </w:rPr>
        <w:t>Advantages of using Excel</w:t>
      </w:r>
    </w:p>
    <w:p>
      <w:pPr>
        <w:pStyle w:val="Normal"/>
        <w:numPr>
          <w:ilvl w:val="0"/>
          <w:numId w:val="2"/>
        </w:numPr>
        <w:rPr>
          <w:lang w:val="en-GB"/>
        </w:rPr>
      </w:pPr>
      <w:r>
        <w:rPr>
          <w:lang w:val="en-GB"/>
        </w:rPr>
        <w:t>Excel is a very user-friendly interface and allows users to perform various tasks like calculation, data analysis, and charting.</w:t>
      </w:r>
    </w:p>
    <w:p>
      <w:pPr>
        <w:pStyle w:val="Normal"/>
        <w:numPr>
          <w:ilvl w:val="0"/>
          <w:numId w:val="2"/>
        </w:numPr>
        <w:rPr>
          <w:lang w:val="en-GB"/>
        </w:rPr>
      </w:pPr>
      <w:r>
        <w:rPr>
          <w:lang w:val="en-GB"/>
        </w:rPr>
        <w:t xml:space="preserve">Excel gives powerful tools to users for data analysis, including formulas, functions, pivot tables, and charts, assisting in comprehensive data interpretation (Ullah </w:t>
      </w:r>
      <w:r>
        <w:rPr>
          <w:i/>
          <w:lang w:val="en-GB"/>
        </w:rPr>
        <w:t>et al</w:t>
      </w:r>
      <w:r>
        <w:rPr>
          <w:lang w:val="en-GB"/>
        </w:rPr>
        <w:t xml:space="preserve">., 2022). </w:t>
      </w:r>
    </w:p>
    <w:p>
      <w:pPr>
        <w:pStyle w:val="Normal"/>
        <w:numPr>
          <w:ilvl w:val="0"/>
          <w:numId w:val="2"/>
        </w:numPr>
        <w:rPr>
          <w:lang w:val="en-GB"/>
        </w:rPr>
      </w:pPr>
      <w:r>
        <w:rPr>
          <w:lang w:val="en-GB"/>
        </w:rPr>
        <w:t xml:space="preserve">It provides various charting options and helps the users to represent data for better understanding and visual presentation. </w:t>
      </w:r>
    </w:p>
    <w:p>
      <w:pPr>
        <w:pStyle w:val="Normal"/>
        <w:rPr>
          <w:b/>
          <w:b/>
          <w:lang w:val="en-GB"/>
        </w:rPr>
      </w:pPr>
      <w:r>
        <w:rPr>
          <w:b/>
          <w:lang w:val="en-GB"/>
        </w:rPr>
        <w:t>Disadvantages of using Excel</w:t>
      </w:r>
    </w:p>
    <w:p>
      <w:pPr>
        <w:pStyle w:val="Normal"/>
        <w:numPr>
          <w:ilvl w:val="0"/>
          <w:numId w:val="4"/>
        </w:numPr>
        <w:rPr>
          <w:lang w:val="en-GB"/>
        </w:rPr>
      </w:pPr>
      <w:r>
        <w:rPr>
          <w:lang w:val="en-GB"/>
        </w:rPr>
        <w:t>The flexibility of Excel is limited in the context of handling large sets of data, thus performance and data integrity issues are common.</w:t>
      </w:r>
    </w:p>
    <w:p>
      <w:pPr>
        <w:pStyle w:val="Normal"/>
        <w:numPr>
          <w:ilvl w:val="0"/>
          <w:numId w:val="4"/>
        </w:numPr>
        <w:rPr>
          <w:lang w:val="en-GB"/>
        </w:rPr>
      </w:pPr>
      <w:r>
        <w:rPr>
          <w:lang w:val="en-GB"/>
        </w:rPr>
        <w:t>Multiple versions of this could create inaccurate output, especially in a spreadsheet whose processes are quite complicated.</w:t>
      </w:r>
    </w:p>
    <w:p>
      <w:pPr>
        <w:pStyle w:val="Normal"/>
        <w:numPr>
          <w:ilvl w:val="0"/>
          <w:numId w:val="4"/>
        </w:numPr>
        <w:rPr>
          <w:lang w:val="en-GB"/>
        </w:rPr>
      </w:pPr>
      <w:r>
        <w:rPr>
          <w:lang w:val="en-GB"/>
        </w:rPr>
        <w:t>Excel file risks such as lacking robust security features may have no protection against unauthorised access, data breaches, or data corruption.</w:t>
      </w:r>
    </w:p>
    <w:p>
      <w:pPr>
        <w:pStyle w:val="Heading1"/>
        <w:rPr>
          <w:lang w:val="en-GB"/>
        </w:rPr>
      </w:pPr>
      <w:bookmarkStart w:id="19" w:name="_Toc161944348"/>
      <w:bookmarkStart w:id="20" w:name="_7aapt7jki6p7"/>
      <w:bookmarkEnd w:id="20"/>
      <w:r>
        <w:rPr>
          <w:lang w:val="en-GB"/>
        </w:rPr>
        <w:t>Conclusion</w:t>
      </w:r>
      <w:bookmarkEnd w:id="19"/>
    </w:p>
    <w:p>
      <w:pPr>
        <w:pStyle w:val="Normal"/>
        <w:rPr>
          <w:lang w:val="en-GB"/>
        </w:rPr>
      </w:pPr>
      <w:r>
        <w:rPr>
          <w:lang w:val="en-GB"/>
        </w:rPr>
        <w:t xml:space="preserve">This report analyses the various directions such as sales trends, and most purchased products by Excel smoothly. Different aspects of school datasets also be analysed such as frequency table, ANOVA test, and clustering by SPSS software. </w:t>
      </w:r>
    </w:p>
    <w:p>
      <w:pPr>
        <w:pStyle w:val="Heading1"/>
        <w:rPr>
          <w:lang w:val="en-GB"/>
        </w:rPr>
      </w:pPr>
      <w:r>
        <w:rPr>
          <w:lang w:val="en-GB"/>
        </w:rPr>
      </w:r>
      <w:bookmarkStart w:id="21" w:name="_50thfvhbaioq"/>
      <w:bookmarkStart w:id="22" w:name="_50thfvhbaioq"/>
      <w:bookmarkEnd w:id="22"/>
    </w:p>
    <w:p>
      <w:pPr>
        <w:pStyle w:val="Heading1"/>
        <w:rPr>
          <w:lang w:val="en-GB"/>
        </w:rPr>
      </w:pPr>
      <w:r>
        <w:rPr>
          <w:lang w:val="en-GB"/>
        </w:rPr>
      </w:r>
    </w:p>
    <w:p>
      <w:pPr>
        <w:pStyle w:val="Normal"/>
        <w:rPr>
          <w:b/>
          <w:b/>
          <w:sz w:val="28"/>
          <w:szCs w:val="28"/>
          <w:lang w:val="en-GB"/>
        </w:rPr>
      </w:pPr>
      <w:r>
        <w:rPr>
          <w:b/>
          <w:sz w:val="28"/>
          <w:szCs w:val="28"/>
          <w:lang w:val="en-GB"/>
        </w:rPr>
      </w:r>
      <w:r>
        <w:br w:type="page"/>
      </w:r>
    </w:p>
    <w:p>
      <w:pPr>
        <w:pStyle w:val="Heading1"/>
        <w:rPr>
          <w:lang w:val="en-GB"/>
        </w:rPr>
      </w:pPr>
      <w:bookmarkStart w:id="23" w:name="_Toc161944349"/>
      <w:r>
        <w:rPr>
          <w:lang w:val="en-GB"/>
        </w:rPr>
        <w:t>References</w:t>
      </w:r>
      <w:bookmarkEnd w:id="23"/>
      <w:r>
        <w:rPr>
          <w:lang w:val="en-GB"/>
        </w:rPr>
        <w:t xml:space="preserve"> </w:t>
      </w:r>
    </w:p>
    <w:p>
      <w:pPr>
        <w:pStyle w:val="Normal"/>
        <w:rPr>
          <w:lang w:val="en-GB"/>
        </w:rPr>
      </w:pPr>
      <w:r>
        <w:rPr>
          <w:lang w:val="en-GB"/>
        </w:rPr>
        <w:t>Bany Mohammad, A., Al-Okaily, M., Al-Majali, M. and Masa’deh, R.E., 2022. Business intelligence and analytics (BIA) usage in the banking industry sector: an application of the TOE framework. Journal of Open Innovation: Technology, Market, and Complexity, 8(4), p.189.</w:t>
      </w:r>
    </w:p>
    <w:p>
      <w:pPr>
        <w:pStyle w:val="Normal"/>
        <w:rPr>
          <w:lang w:val="en-GB"/>
        </w:rPr>
      </w:pPr>
      <w:r>
        <w:rPr>
          <w:lang w:val="en-GB"/>
        </w:rPr>
        <w:t>Debnath, M., Mazumder, S.K., Hossain, M.B., Garai, A. and Illes, C.B., 2023. Optimal Base-Stock Inventory-Management Policies of Cement Retailers under Supply-Side Disruptions. Mathematics, 11(18), p.3971.</w:t>
      </w:r>
    </w:p>
    <w:p>
      <w:pPr>
        <w:pStyle w:val="Normal"/>
        <w:rPr>
          <w:lang w:val="en-GB"/>
        </w:rPr>
      </w:pPr>
      <w:r>
        <w:rPr>
          <w:lang w:val="en-GB"/>
        </w:rPr>
        <w:t>Đurđević, N., Labus, A., Barać, D., Radenković, M. and Despotović-Zrakić, M., 2022. An approach to assessing shopper acceptance of beacon triggered promotions in smart retail. Sustainability, 14(6), p.3256.</w:t>
      </w:r>
    </w:p>
    <w:p>
      <w:pPr>
        <w:pStyle w:val="Normal"/>
        <w:rPr>
          <w:lang w:val="en-GB"/>
        </w:rPr>
      </w:pPr>
      <w:r>
        <w:rPr>
          <w:lang w:val="en-GB"/>
        </w:rPr>
        <w:t>Hodgkin, R. and Rutter, J., 2021. Net zero and the tax system.</w:t>
      </w:r>
    </w:p>
    <w:p>
      <w:pPr>
        <w:pStyle w:val="Normal"/>
        <w:rPr>
          <w:lang w:val="en-GB"/>
        </w:rPr>
      </w:pPr>
      <w:r>
        <w:rPr>
          <w:lang w:val="en-GB"/>
        </w:rPr>
        <w:t>Kleisiari, C., Duquenne, M.N. and Vlontzos, G., 2021. E-Commerce in the Retail Chain Store Market: An Alternative or a Main Trend?. Sustainability, 13(8), p.4392.</w:t>
      </w:r>
    </w:p>
    <w:p>
      <w:pPr>
        <w:pStyle w:val="Normal"/>
        <w:rPr>
          <w:lang w:val="en-GB"/>
        </w:rPr>
      </w:pPr>
      <w:r>
        <w:rPr>
          <w:lang w:val="en-GB"/>
        </w:rPr>
        <w:t>Malenkov, Y., Kapustina, I., Kudryavtseva, G., Shishkin, V.V. and Shishkin, V.I., 2021. Digitalization and strategic transformation of retail chain stores: Trends, impacts, prospects. Journal of Open Innovation: Technology, Market, and Complexity, 7(2), p.108.</w:t>
      </w:r>
    </w:p>
    <w:p>
      <w:pPr>
        <w:pStyle w:val="Normal"/>
        <w:rPr>
          <w:lang w:val="en-GB"/>
        </w:rPr>
      </w:pPr>
      <w:r>
        <w:rPr>
          <w:lang w:val="en-GB"/>
        </w:rPr>
        <w:t>Nambiar, A. and Mundra, D., 2022. An overview of data warehouse and data lake in modern enterprise data management. Big data and cognitive computing, 6(4), p.132.</w:t>
      </w:r>
    </w:p>
    <w:p>
      <w:pPr>
        <w:pStyle w:val="Normal"/>
        <w:rPr>
          <w:lang w:val="en-GB"/>
        </w:rPr>
      </w:pPr>
      <w:r>
        <w:rPr>
          <w:lang w:val="en-GB"/>
        </w:rPr>
        <w:t>Pei, Y., Xie, M., Yang, Q., Liao, Y. and Wu, Y., 2021. Effect of consumer strategic behavior on online presale strategy. Sustainability, 13(19), p.10936.</w:t>
      </w:r>
    </w:p>
    <w:p>
      <w:pPr>
        <w:pStyle w:val="Normal"/>
        <w:rPr>
          <w:lang w:val="en-GB"/>
        </w:rPr>
      </w:pPr>
      <w:r>
        <w:rPr>
          <w:lang w:val="en-GB"/>
        </w:rPr>
        <w:t>Shubbar, A., Nasr, M., Falah, M. and Al-Khafaji, Z., 2021. Towards net zero carbon economy: Improving the sustainability of existing industrial infrastructures in the UK. Energies, 14(18), p.5896.</w:t>
      </w:r>
    </w:p>
    <w:p>
      <w:pPr>
        <w:pStyle w:val="Normal"/>
        <w:rPr>
          <w:lang w:val="en-GB"/>
        </w:rPr>
      </w:pPr>
      <w:r>
        <w:rPr>
          <w:lang w:val="en-GB"/>
        </w:rPr>
        <w:t>Sufi, F., 2023. Algorithms in low-code-no-code for research applications: a practical review. Algorithms, 16(2), p.108.</w:t>
      </w:r>
    </w:p>
    <w:p>
      <w:pPr>
        <w:pStyle w:val="Normal"/>
        <w:rPr>
          <w:lang w:val="en-GB"/>
        </w:rPr>
      </w:pPr>
      <w:r>
        <w:rPr>
          <w:lang w:val="en-GB"/>
        </w:rPr>
        <w:t>Summerlin, R. and Powell, W., 2022. Effect of interactivity level and price on online purchase intention. Journal of Theoretical and Applied Electronic Commerce Research, 17(2), pp.652-668.</w:t>
      </w:r>
    </w:p>
    <w:p>
      <w:pPr>
        <w:pStyle w:val="Normal"/>
        <w:rPr>
          <w:lang w:val="en-GB"/>
        </w:rPr>
      </w:pPr>
      <w:r>
        <w:rPr>
          <w:lang w:val="en-GB"/>
        </w:rPr>
        <w:t>Thayyib, P.V., Mamilla, R., Khan, M., Fatima, H., Asim, M., Anwar, I., Shamsudheen, M.K. and Khan, M.A., 2023. State-of-the-art of artificial intelligence and big data analytics reviews in five different domains: a bibliometric summary. Sustainability, 15(5), p.4026.</w:t>
      </w:r>
    </w:p>
    <w:p>
      <w:pPr>
        <w:pStyle w:val="Normal"/>
        <w:rPr>
          <w:lang w:val="en-GB"/>
        </w:rPr>
      </w:pPr>
      <w:r>
        <w:rPr>
          <w:lang w:val="en-GB"/>
        </w:rPr>
        <w:t>Ullah, R., Asghar, I. and Griffiths, M.G., 2022. An integrated methodology for bibliometric analysis: a case study of internet of things in healthcare applications. Sensors, 23(1), p.67.</w:t>
      </w:r>
    </w:p>
    <w:p>
      <w:pPr>
        <w:pStyle w:val="Normal"/>
        <w:rPr>
          <w:lang w:val="en-GB"/>
        </w:rPr>
      </w:pPr>
      <w:r>
        <w:rPr>
          <w:lang w:val="en-GB"/>
        </w:rPr>
        <w:t>Wu, D. and Lu, X., 2023. Optimal Return Policy of Competitive Retailers’ Pre-Sale Products Based on Strategic Consumer Behavior. Sustainability, 15(2), p.1341.</w:t>
      </w:r>
    </w:p>
    <w:p>
      <w:pPr>
        <w:pStyle w:val="Normal"/>
        <w:rPr>
          <w:lang w:val="en-GB"/>
        </w:rPr>
      </w:pPr>
      <w:r>
        <w:rPr>
          <w:lang w:val="en-GB"/>
        </w:rPr>
      </w:r>
    </w:p>
    <w:p>
      <w:pPr>
        <w:pStyle w:val="Normal"/>
        <w:rPr>
          <w:b/>
          <w:b/>
          <w:lang w:val="en-GB"/>
        </w:rPr>
      </w:pPr>
      <w:r>
        <w:rPr>
          <w:b/>
          <w:lang w:val="en-GB"/>
        </w:rPr>
      </w:r>
    </w:p>
    <w:p>
      <w:pPr>
        <w:pStyle w:val="Normal"/>
        <w:rPr/>
      </w:pPr>
      <w:r>
        <w:rPr/>
      </w:r>
    </w:p>
    <w:sectPr>
      <w:headerReference w:type="default" r:id="rId10"/>
      <w:headerReference w:type="first" r:id="rId11"/>
      <w:footerReference w:type="default" r:id="rId12"/>
      <w:type w:val="nextPage"/>
      <w:pgSz w:w="12240" w:h="15840"/>
      <w:pgMar w:left="1440" w:right="1440" w:header="720" w:top="1440" w:footer="720" w:bottom="1440" w:gutter="0"/>
      <w:pgBorders w:display="allPages" w:offsetFrom="page">
        <w:top w:val="single" w:sz="4" w:space="24" w:color="000000"/>
        <w:left w:val="single" w:sz="4" w:space="24" w:color="000000"/>
        <w:bottom w:val="single" w:sz="4" w:space="24" w:color="000000"/>
        <w:right w:val="single" w:sz="4" w:space="24" w:color="000000"/>
      </w:pgBorders>
      <w:pgNumType w:start="1" w:fmt="decimal"/>
      <w:formProt w:val="false"/>
      <w:titlePg/>
      <w:textDirection w:val="lrTb"/>
      <w:docGrid w:type="default" w:linePitch="326"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Calibri">
    <w:charset w:val="00"/>
    <w:family w:val="roman"/>
    <w:pitch w:val="variable"/>
  </w:font>
  <w:font w:name="Cambria">
    <w:charset w:val="00"/>
    <w:family w:val="roman"/>
    <w:pitch w:val="variable"/>
  </w:font>
  <w:font w:name="Wingdings">
    <w:charset w:val="02"/>
    <w:family w:val="auto"/>
    <w:pitch w:val="default"/>
  </w:font>
  <w:font w:name="Wingdings 2">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744633550"/>
    </w:sdtPr>
    <w:sdtContent>
      <w:p>
        <w:pPr>
          <w:pStyle w:val="Footer"/>
          <w:jc w:val="right"/>
          <w:rPr>
            <w:sz w:val="22"/>
            <w:szCs w:val="22"/>
          </w:rPr>
        </w:pPr>
        <w:r>
          <w:rPr>
            <w:sz w:val="22"/>
            <w:szCs w:val="22"/>
          </w:rPr>
          <w:t xml:space="preserve">Page </w:t>
        </w:r>
        <w:r>
          <w:rPr>
            <w:bCs/>
            <w:sz w:val="22"/>
            <w:szCs w:val="22"/>
          </w:rPr>
          <w:fldChar w:fldCharType="begin"/>
        </w:r>
        <w:r>
          <w:rPr>
            <w:sz w:val="22"/>
            <w:szCs w:val="22"/>
            <w:bCs/>
          </w:rPr>
          <w:instrText> PAGE </w:instrText>
        </w:r>
        <w:r>
          <w:rPr>
            <w:sz w:val="22"/>
            <w:szCs w:val="22"/>
            <w:bCs/>
          </w:rPr>
          <w:fldChar w:fldCharType="separate"/>
        </w:r>
        <w:r>
          <w:rPr>
            <w:sz w:val="22"/>
            <w:szCs w:val="22"/>
            <w:bCs/>
          </w:rPr>
          <w:t>19</w:t>
        </w:r>
        <w:r>
          <w:rPr>
            <w:sz w:val="22"/>
            <w:szCs w:val="22"/>
            <w:bCs/>
          </w:rPr>
          <w:fldChar w:fldCharType="end"/>
        </w:r>
        <w:r>
          <w:rPr>
            <w:sz w:val="22"/>
            <w:szCs w:val="22"/>
          </w:rPr>
          <w:t xml:space="preserve"> of </w:t>
        </w:r>
        <w:r>
          <w:rPr>
            <w:bCs/>
            <w:sz w:val="22"/>
            <w:szCs w:val="22"/>
          </w:rPr>
          <w:fldChar w:fldCharType="begin"/>
        </w:r>
        <w:r>
          <w:rPr>
            <w:sz w:val="22"/>
            <w:szCs w:val="22"/>
            <w:bCs/>
          </w:rPr>
          <w:instrText> NUMPAGES </w:instrText>
        </w:r>
        <w:r>
          <w:rPr>
            <w:sz w:val="22"/>
            <w:szCs w:val="22"/>
            <w:bCs/>
          </w:rPr>
          <w:fldChar w:fldCharType="separate"/>
        </w:r>
        <w:r>
          <w:rPr>
            <w:sz w:val="22"/>
            <w:szCs w:val="22"/>
            <w:bCs/>
          </w:rPr>
          <w:t>19</w:t>
        </w:r>
        <w:r>
          <w:rPr>
            <w:sz w:val="22"/>
            <w:szCs w:val="22"/>
            <w:bCs/>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drawing>
        <wp:inline distT="0" distB="0" distL="0" distR="0">
          <wp:extent cx="1809750" cy="830580"/>
          <wp:effectExtent l="0" t="0" r="0" b="0"/>
          <wp:docPr id="9"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descr=""/>
                  <pic:cNvPicPr>
                    <a:picLocks noChangeAspect="1" noChangeArrowheads="1"/>
                  </pic:cNvPicPr>
                </pic:nvPicPr>
                <pic:blipFill>
                  <a:blip r:embed="rId1"/>
                  <a:stretch>
                    <a:fillRect/>
                  </a:stretch>
                </pic:blipFill>
                <pic:spPr bwMode="auto">
                  <a:xfrm>
                    <a:off x="0" y="0"/>
                    <a:ext cx="1809750" cy="830580"/>
                  </a:xfrm>
                  <a:prstGeom prst="rect">
                    <a:avLst/>
                  </a:prstGeom>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b/>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7">
    <w:lvl w:ilvl="0">
      <w:start w:val="2"/>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120"/>
  <w:displayBackgroundShap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sz w:val="24"/>
        <w:szCs w:val="24"/>
        <w:lang w:val="en" w:eastAsia="en-GB"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360"/>
      <w:jc w:val="both"/>
    </w:pPr>
    <w:rPr>
      <w:rFonts w:ascii="Times New Roman" w:hAnsi="Times New Roman" w:eastAsia="Times New Roman" w:cs="Times New Roman"/>
      <w:color w:val="auto"/>
      <w:kern w:val="0"/>
      <w:sz w:val="24"/>
      <w:szCs w:val="24"/>
      <w:lang w:val="en" w:eastAsia="en-GB" w:bidi="ar-SA"/>
    </w:rPr>
  </w:style>
  <w:style w:type="paragraph" w:styleId="Heading1">
    <w:name w:val="Heading 1"/>
    <w:basedOn w:val="Normal"/>
    <w:next w:val="Normal"/>
    <w:qFormat/>
    <w:pPr>
      <w:keepNext w:val="true"/>
      <w:keepLines/>
      <w:outlineLvl w:val="0"/>
    </w:pPr>
    <w:rPr>
      <w:b/>
      <w:sz w:val="28"/>
      <w:szCs w:val="28"/>
    </w:rPr>
  </w:style>
  <w:style w:type="paragraph" w:styleId="Heading2">
    <w:name w:val="Heading 2"/>
    <w:basedOn w:val="Normal"/>
    <w:next w:val="Normal"/>
    <w:qFormat/>
    <w:pPr>
      <w:keepNext w:val="true"/>
      <w:keepLines/>
      <w:outlineLvl w:val="1"/>
    </w:pPr>
    <w:rPr>
      <w:b/>
    </w:rPr>
  </w:style>
  <w:style w:type="paragraph" w:styleId="Heading3">
    <w:name w:val="Heading 3"/>
    <w:basedOn w:val="Normal"/>
    <w:next w:val="Normal"/>
    <w:qFormat/>
    <w:pPr>
      <w:keepNext w:val="true"/>
      <w:keepLines/>
      <w:spacing w:before="320" w:after="80"/>
      <w:outlineLvl w:val="2"/>
    </w:pPr>
    <w:rPr>
      <w:color w:val="434343"/>
      <w:sz w:val="28"/>
      <w:szCs w:val="28"/>
    </w:rPr>
  </w:style>
  <w:style w:type="paragraph" w:styleId="Heading4">
    <w:name w:val="Heading 4"/>
    <w:basedOn w:val="Normal"/>
    <w:next w:val="Normal"/>
    <w:qFormat/>
    <w:pPr>
      <w:keepNext w:val="true"/>
      <w:keepLines/>
      <w:spacing w:before="280" w:after="80"/>
      <w:outlineLvl w:val="3"/>
    </w:pPr>
    <w:rPr>
      <w:color w:val="666666"/>
    </w:rPr>
  </w:style>
  <w:style w:type="paragraph" w:styleId="Heading5">
    <w:name w:val="Heading 5"/>
    <w:basedOn w:val="Normal"/>
    <w:next w:val="Normal"/>
    <w:qFormat/>
    <w:pPr>
      <w:keepNext w:val="true"/>
      <w:keepLines/>
      <w:spacing w:before="240" w:after="80"/>
      <w:outlineLvl w:val="4"/>
    </w:pPr>
    <w:rPr>
      <w:color w:val="666666"/>
      <w:sz w:val="22"/>
      <w:szCs w:val="22"/>
    </w:rPr>
  </w:style>
  <w:style w:type="paragraph" w:styleId="Heading6">
    <w:name w:val="Heading 6"/>
    <w:basedOn w:val="Normal"/>
    <w:next w:val="Normal"/>
    <w:qFormat/>
    <w:pPr>
      <w:keepNext w:val="true"/>
      <w:keepLines/>
      <w:spacing w:before="240" w:after="80"/>
      <w:outlineLvl w:val="5"/>
    </w:pPr>
    <w:rPr>
      <w:i/>
      <w:color w:val="666666"/>
      <w:sz w:val="22"/>
      <w:szCs w:val="22"/>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9e030e"/>
    <w:rPr>
      <w:color w:val="0000FF" w:themeColor="hyperlink"/>
      <w:u w:val="single"/>
    </w:rPr>
  </w:style>
  <w:style w:type="character" w:styleId="HeaderChar" w:customStyle="1">
    <w:name w:val="Header Char"/>
    <w:basedOn w:val="DefaultParagraphFont"/>
    <w:link w:val="Header"/>
    <w:uiPriority w:val="99"/>
    <w:qFormat/>
    <w:rsid w:val="00ff0dcc"/>
    <w:rPr/>
  </w:style>
  <w:style w:type="character" w:styleId="FooterChar" w:customStyle="1">
    <w:name w:val="Footer Char"/>
    <w:basedOn w:val="DefaultParagraphFont"/>
    <w:link w:val="Footer"/>
    <w:uiPriority w:val="99"/>
    <w:qFormat/>
    <w:rsid w:val="00ff0dcc"/>
    <w:rPr/>
  </w:style>
  <w:style w:type="character" w:styleId="ListLabel1">
    <w:name w:val="ListLabel 1"/>
    <w:qFormat/>
    <w:rPr>
      <w:u w:val="none"/>
    </w:rPr>
  </w:style>
  <w:style w:type="character" w:styleId="ListLabel2">
    <w:name w:val="ListLabel 2"/>
    <w:qFormat/>
    <w:rPr>
      <w:u w:val="none"/>
    </w:rPr>
  </w:style>
  <w:style w:type="character" w:styleId="ListLabel3">
    <w:name w:val="ListLabel 3"/>
    <w:qFormat/>
    <w:rPr>
      <w:u w:val="none"/>
    </w:rPr>
  </w:style>
  <w:style w:type="character" w:styleId="ListLabel4">
    <w:name w:val="ListLabel 4"/>
    <w:qFormat/>
    <w:rPr>
      <w:u w:val="none"/>
    </w:rPr>
  </w:style>
  <w:style w:type="character" w:styleId="ListLabel5">
    <w:name w:val="ListLabel 5"/>
    <w:qFormat/>
    <w:rPr>
      <w:u w:val="none"/>
    </w:rPr>
  </w:style>
  <w:style w:type="character" w:styleId="ListLabel6">
    <w:name w:val="ListLabel 6"/>
    <w:qFormat/>
    <w:rPr>
      <w:u w:val="none"/>
    </w:rPr>
  </w:style>
  <w:style w:type="character" w:styleId="ListLabel7">
    <w:name w:val="ListLabel 7"/>
    <w:qFormat/>
    <w:rPr>
      <w:u w:val="none"/>
    </w:rPr>
  </w:style>
  <w:style w:type="character" w:styleId="ListLabel8">
    <w:name w:val="ListLabel 8"/>
    <w:qFormat/>
    <w:rPr>
      <w:u w:val="none"/>
    </w:rPr>
  </w:style>
  <w:style w:type="character" w:styleId="ListLabel9">
    <w:name w:val="ListLabel 9"/>
    <w:qFormat/>
    <w:rPr>
      <w:u w:val="none"/>
    </w:rPr>
  </w:style>
  <w:style w:type="character" w:styleId="ListLabel10">
    <w:name w:val="ListLabel 10"/>
    <w:qFormat/>
    <w:rPr>
      <w:u w:val="none"/>
    </w:rPr>
  </w:style>
  <w:style w:type="character" w:styleId="ListLabel11">
    <w:name w:val="ListLabel 11"/>
    <w:qFormat/>
    <w:rPr>
      <w:u w:val="none"/>
    </w:rPr>
  </w:style>
  <w:style w:type="character" w:styleId="ListLabel12">
    <w:name w:val="ListLabel 12"/>
    <w:qFormat/>
    <w:rPr>
      <w:u w:val="none"/>
    </w:rPr>
  </w:style>
  <w:style w:type="character" w:styleId="ListLabel13">
    <w:name w:val="ListLabel 13"/>
    <w:qFormat/>
    <w:rPr>
      <w:u w:val="none"/>
    </w:rPr>
  </w:style>
  <w:style w:type="character" w:styleId="ListLabel14">
    <w:name w:val="ListLabel 14"/>
    <w:qFormat/>
    <w:rPr>
      <w:u w:val="none"/>
    </w:rPr>
  </w:style>
  <w:style w:type="character" w:styleId="ListLabel15">
    <w:name w:val="ListLabel 15"/>
    <w:qFormat/>
    <w:rPr>
      <w:u w:val="none"/>
    </w:rPr>
  </w:style>
  <w:style w:type="character" w:styleId="ListLabel16">
    <w:name w:val="ListLabel 16"/>
    <w:qFormat/>
    <w:rPr>
      <w:u w:val="none"/>
    </w:rPr>
  </w:style>
  <w:style w:type="character" w:styleId="ListLabel17">
    <w:name w:val="ListLabel 17"/>
    <w:qFormat/>
    <w:rPr>
      <w:u w:val="none"/>
    </w:rPr>
  </w:style>
  <w:style w:type="character" w:styleId="ListLabel18">
    <w:name w:val="ListLabel 18"/>
    <w:qFormat/>
    <w:rPr>
      <w:u w:val="none"/>
    </w:rPr>
  </w:style>
  <w:style w:type="character" w:styleId="ListLabel19">
    <w:name w:val="ListLabel 19"/>
    <w:qFormat/>
    <w:rPr>
      <w:u w:val="none"/>
    </w:rPr>
  </w:style>
  <w:style w:type="character" w:styleId="ListLabel20">
    <w:name w:val="ListLabel 20"/>
    <w:qFormat/>
    <w:rPr>
      <w:u w:val="none"/>
    </w:rPr>
  </w:style>
  <w:style w:type="character" w:styleId="ListLabel21">
    <w:name w:val="ListLabel 21"/>
    <w:qFormat/>
    <w:rPr>
      <w:u w:val="none"/>
    </w:rPr>
  </w:style>
  <w:style w:type="character" w:styleId="ListLabel22">
    <w:name w:val="ListLabel 22"/>
    <w:qFormat/>
    <w:rPr>
      <w:u w:val="none"/>
    </w:rPr>
  </w:style>
  <w:style w:type="character" w:styleId="ListLabel23">
    <w:name w:val="ListLabel 23"/>
    <w:qFormat/>
    <w:rPr>
      <w:u w:val="none"/>
    </w:rPr>
  </w:style>
  <w:style w:type="character" w:styleId="ListLabel24">
    <w:name w:val="ListLabel 24"/>
    <w:qFormat/>
    <w:rPr>
      <w:u w:val="none"/>
    </w:rPr>
  </w:style>
  <w:style w:type="character" w:styleId="ListLabel25">
    <w:name w:val="ListLabel 25"/>
    <w:qFormat/>
    <w:rPr>
      <w:u w:val="none"/>
    </w:rPr>
  </w:style>
  <w:style w:type="character" w:styleId="ListLabel26">
    <w:name w:val="ListLabel 26"/>
    <w:qFormat/>
    <w:rPr>
      <w:u w:val="none"/>
    </w:rPr>
  </w:style>
  <w:style w:type="character" w:styleId="ListLabel27">
    <w:name w:val="ListLabel 27"/>
    <w:qFormat/>
    <w:rPr>
      <w:u w:val="none"/>
    </w:rPr>
  </w:style>
  <w:style w:type="character" w:styleId="ListLabel28">
    <w:name w:val="ListLabel 28"/>
    <w:qFormat/>
    <w:rPr>
      <w:u w:val="none"/>
    </w:rPr>
  </w:style>
  <w:style w:type="character" w:styleId="ListLabel29">
    <w:name w:val="ListLabel 29"/>
    <w:qFormat/>
    <w:rPr>
      <w:u w:val="none"/>
    </w:rPr>
  </w:style>
  <w:style w:type="character" w:styleId="ListLabel30">
    <w:name w:val="ListLabel 30"/>
    <w:qFormat/>
    <w:rPr>
      <w:u w:val="none"/>
    </w:rPr>
  </w:style>
  <w:style w:type="character" w:styleId="ListLabel31">
    <w:name w:val="ListLabel 31"/>
    <w:qFormat/>
    <w:rPr>
      <w:u w:val="none"/>
    </w:rPr>
  </w:style>
  <w:style w:type="character" w:styleId="ListLabel32">
    <w:name w:val="ListLabel 32"/>
    <w:qFormat/>
    <w:rPr>
      <w:u w:val="none"/>
    </w:rPr>
  </w:style>
  <w:style w:type="character" w:styleId="ListLabel33">
    <w:name w:val="ListLabel 33"/>
    <w:qFormat/>
    <w:rPr>
      <w:u w:val="none"/>
    </w:rPr>
  </w:style>
  <w:style w:type="character" w:styleId="ListLabel34">
    <w:name w:val="ListLabel 34"/>
    <w:qFormat/>
    <w:rPr>
      <w:u w:val="none"/>
    </w:rPr>
  </w:style>
  <w:style w:type="character" w:styleId="ListLabel35">
    <w:name w:val="ListLabel 35"/>
    <w:qFormat/>
    <w:rPr>
      <w:u w:val="none"/>
    </w:rPr>
  </w:style>
  <w:style w:type="character" w:styleId="ListLabel36">
    <w:name w:val="ListLabel 36"/>
    <w:qFormat/>
    <w:rPr>
      <w:u w:val="none"/>
    </w:rPr>
  </w:style>
  <w:style w:type="character" w:styleId="ListLabel37">
    <w:name w:val="ListLabel 37"/>
    <w:qFormat/>
    <w:rPr>
      <w:u w:val="none"/>
    </w:rPr>
  </w:style>
  <w:style w:type="character" w:styleId="ListLabel38">
    <w:name w:val="ListLabel 38"/>
    <w:qFormat/>
    <w:rPr>
      <w:u w:val="none"/>
    </w:rPr>
  </w:style>
  <w:style w:type="character" w:styleId="ListLabel39">
    <w:name w:val="ListLabel 39"/>
    <w:qFormat/>
    <w:rPr>
      <w:u w:val="none"/>
    </w:rPr>
  </w:style>
  <w:style w:type="character" w:styleId="ListLabel40">
    <w:name w:val="ListLabel 40"/>
    <w:qFormat/>
    <w:rPr>
      <w:u w:val="none"/>
    </w:rPr>
  </w:style>
  <w:style w:type="character" w:styleId="ListLabel41">
    <w:name w:val="ListLabel 41"/>
    <w:qFormat/>
    <w:rPr>
      <w:u w:val="none"/>
    </w:rPr>
  </w:style>
  <w:style w:type="character" w:styleId="ListLabel42">
    <w:name w:val="ListLabel 42"/>
    <w:qFormat/>
    <w:rPr>
      <w:u w:val="none"/>
    </w:rPr>
  </w:style>
  <w:style w:type="character" w:styleId="ListLabel43">
    <w:name w:val="ListLabel 43"/>
    <w:qFormat/>
    <w:rPr>
      <w:u w:val="none"/>
    </w:rPr>
  </w:style>
  <w:style w:type="character" w:styleId="ListLabel44">
    <w:name w:val="ListLabel 44"/>
    <w:qFormat/>
    <w:rPr>
      <w:u w:val="none"/>
    </w:rPr>
  </w:style>
  <w:style w:type="character" w:styleId="ListLabel45">
    <w:name w:val="ListLabel 45"/>
    <w:qFormat/>
    <w:rPr>
      <w:u w:val="none"/>
    </w:rPr>
  </w:style>
  <w:style w:type="character" w:styleId="ListLabel46">
    <w:name w:val="ListLabel 46"/>
    <w:qFormat/>
    <w:rPr>
      <w:b/>
      <w:u w:val="none"/>
    </w:rPr>
  </w:style>
  <w:style w:type="character" w:styleId="ListLabel47">
    <w:name w:val="ListLabel 47"/>
    <w:qFormat/>
    <w:rPr>
      <w:u w:val="none"/>
    </w:rPr>
  </w:style>
  <w:style w:type="character" w:styleId="ListLabel48">
    <w:name w:val="ListLabel 48"/>
    <w:qFormat/>
    <w:rPr>
      <w:u w:val="none"/>
    </w:rPr>
  </w:style>
  <w:style w:type="character" w:styleId="ListLabel49">
    <w:name w:val="ListLabel 49"/>
    <w:qFormat/>
    <w:rPr>
      <w:u w:val="none"/>
    </w:rPr>
  </w:style>
  <w:style w:type="character" w:styleId="ListLabel50">
    <w:name w:val="ListLabel 50"/>
    <w:qFormat/>
    <w:rPr>
      <w:u w:val="none"/>
    </w:rPr>
  </w:style>
  <w:style w:type="character" w:styleId="ListLabel51">
    <w:name w:val="ListLabel 51"/>
    <w:qFormat/>
    <w:rPr>
      <w:u w:val="none"/>
    </w:rPr>
  </w:style>
  <w:style w:type="character" w:styleId="ListLabel52">
    <w:name w:val="ListLabel 52"/>
    <w:qFormat/>
    <w:rPr>
      <w:u w:val="none"/>
    </w:rPr>
  </w:style>
  <w:style w:type="character" w:styleId="ListLabel53">
    <w:name w:val="ListLabel 53"/>
    <w:qFormat/>
    <w:rPr>
      <w:u w:val="none"/>
    </w:rPr>
  </w:style>
  <w:style w:type="character" w:styleId="ListLabel54">
    <w:name w:val="ListLabel 54"/>
    <w:qFormat/>
    <w:rPr>
      <w:u w:val="none"/>
    </w:rPr>
  </w:style>
  <w:style w:type="character" w:styleId="ListLabel55">
    <w:name w:val="ListLabel 55"/>
    <w:qFormat/>
    <w:rPr>
      <w:u w:val="none"/>
    </w:rPr>
  </w:style>
  <w:style w:type="character" w:styleId="ListLabel56">
    <w:name w:val="ListLabel 56"/>
    <w:qFormat/>
    <w:rPr>
      <w:u w:val="none"/>
    </w:rPr>
  </w:style>
  <w:style w:type="character" w:styleId="ListLabel57">
    <w:name w:val="ListLabel 57"/>
    <w:qFormat/>
    <w:rPr>
      <w:u w:val="none"/>
    </w:rPr>
  </w:style>
  <w:style w:type="character" w:styleId="ListLabel58">
    <w:name w:val="ListLabel 58"/>
    <w:qFormat/>
    <w:rPr>
      <w:u w:val="none"/>
    </w:rPr>
  </w:style>
  <w:style w:type="character" w:styleId="ListLabel59">
    <w:name w:val="ListLabel 59"/>
    <w:qFormat/>
    <w:rPr>
      <w:u w:val="none"/>
    </w:rPr>
  </w:style>
  <w:style w:type="character" w:styleId="ListLabel60">
    <w:name w:val="ListLabel 60"/>
    <w:qFormat/>
    <w:rPr>
      <w:u w:val="none"/>
    </w:rPr>
  </w:style>
  <w:style w:type="character" w:styleId="ListLabel61">
    <w:name w:val="ListLabel 61"/>
    <w:qFormat/>
    <w:rPr>
      <w:u w:val="none"/>
    </w:rPr>
  </w:style>
  <w:style w:type="character" w:styleId="ListLabel62">
    <w:name w:val="ListLabel 62"/>
    <w:qFormat/>
    <w:rPr>
      <w:u w:val="none"/>
    </w:rPr>
  </w:style>
  <w:style w:type="character" w:styleId="ListLabel63">
    <w:name w:val="ListLabel 63"/>
    <w:qFormat/>
    <w:rPr>
      <w:u w:val="non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qFormat/>
    <w:pPr>
      <w:keepNext w:val="true"/>
      <w:keepLines/>
      <w:spacing w:before="0" w:after="60"/>
    </w:pPr>
    <w:rPr>
      <w:sz w:val="52"/>
      <w:szCs w:val="52"/>
    </w:rPr>
  </w:style>
  <w:style w:type="paragraph" w:styleId="Subtitle">
    <w:name w:val="Subtitle"/>
    <w:basedOn w:val="Normal"/>
    <w:next w:val="Normal"/>
    <w:qFormat/>
    <w:pPr>
      <w:keepNext w:val="true"/>
      <w:keepLines/>
      <w:spacing w:before="0" w:after="320"/>
    </w:pPr>
    <w:rPr>
      <w:rFonts w:ascii="Arial" w:hAnsi="Arial" w:eastAsia="Arial" w:cs="Arial"/>
      <w:color w:val="666666"/>
      <w:sz w:val="30"/>
      <w:szCs w:val="30"/>
    </w:rPr>
  </w:style>
  <w:style w:type="paragraph" w:styleId="TOCHeading">
    <w:name w:val="TOC Heading"/>
    <w:basedOn w:val="Heading1"/>
    <w:next w:val="Normal"/>
    <w:uiPriority w:val="39"/>
    <w:unhideWhenUsed/>
    <w:qFormat/>
    <w:rsid w:val="009e030e"/>
    <w:pPr>
      <w:spacing w:lineRule="auto" w:line="259" w:before="240" w:after="0"/>
      <w:jc w:val="left"/>
    </w:pPr>
    <w:rPr>
      <w:rFonts w:ascii="Calibri" w:hAnsi="Calibri" w:eastAsia="" w:cs="" w:asciiTheme="majorHAnsi" w:cstheme="majorBidi" w:eastAsiaTheme="majorEastAsia" w:hAnsiTheme="majorHAnsi"/>
      <w:b w:val="false"/>
      <w:color w:val="365F91" w:themeColor="accent1" w:themeShade="bf"/>
      <w:sz w:val="32"/>
      <w:szCs w:val="32"/>
      <w:lang w:val="en-US" w:eastAsia="en-US"/>
    </w:rPr>
  </w:style>
  <w:style w:type="paragraph" w:styleId="Contents1">
    <w:name w:val="TOC 1"/>
    <w:basedOn w:val="Normal"/>
    <w:next w:val="Normal"/>
    <w:autoRedefine/>
    <w:uiPriority w:val="39"/>
    <w:unhideWhenUsed/>
    <w:rsid w:val="009e030e"/>
    <w:pPr>
      <w:spacing w:before="0" w:after="100"/>
    </w:pPr>
    <w:rPr/>
  </w:style>
  <w:style w:type="paragraph" w:styleId="Contents2">
    <w:name w:val="TOC 2"/>
    <w:basedOn w:val="Normal"/>
    <w:next w:val="Normal"/>
    <w:autoRedefine/>
    <w:uiPriority w:val="39"/>
    <w:unhideWhenUsed/>
    <w:rsid w:val="009e030e"/>
    <w:pPr>
      <w:spacing w:before="0" w:after="100"/>
      <w:ind w:left="240" w:hanging="0"/>
    </w:pPr>
    <w:rPr/>
  </w:style>
  <w:style w:type="paragraph" w:styleId="Header">
    <w:name w:val="Header"/>
    <w:basedOn w:val="Normal"/>
    <w:link w:val="HeaderChar"/>
    <w:uiPriority w:val="99"/>
    <w:unhideWhenUsed/>
    <w:rsid w:val="00ff0dcc"/>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ff0dcc"/>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1403a8"/>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Relationship Id="rId17" Type="http://schemas.openxmlformats.org/officeDocument/2006/relationships/customXml" Target="../customXml/item1.xml"/>
</Relationships>
</file>

<file path=word/_rels/header2.xml.rels><?xml version="1.0" encoding="UTF-8"?>
<Relationships xmlns="http://schemas.openxmlformats.org/package/2006/relationships"><Relationship Id="rId1"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0AE47-C356-4799-8306-151D0E196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Application>Neat_Office/6.2.8.2$Windows_x86 LibreOffice_project/</Application>
  <Pages>19</Pages>
  <Words>3535</Words>
  <Characters>18959</Characters>
  <CharactersWithSpaces>22130</CharactersWithSpaces>
  <Paragraphs>423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2024-03-25T07:15:00Z</dcterms:created>
  <dc:creator/>
  <dc:description/>
  <dc:language>en-GB</dc:language>
  <cp:lastModifiedBy/>
  <dcterms:modified xsi:type="dcterms:W3CDTF">2024-04-24T22:43:37Z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