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6A0F9624" w14:textId="77777777" w:rsidR="00CE2BE9" w:rsidRDefault="00CE2BE9" w:rsidP="005D3F07">
            <w:pPr>
              <w:overflowPunct/>
              <w:autoSpaceDE/>
              <w:autoSpaceDN/>
              <w:adjustRightInd/>
              <w:ind w:right="-957"/>
              <w:textAlignment w:val="auto"/>
              <w:rPr>
                <w:rFonts w:ascii="Times New Roman" w:hAnsi="Times New Roman" w:cs="Times New Roman"/>
                <w:b/>
                <w:color w:val="auto"/>
                <w:sz w:val="48"/>
              </w:rPr>
            </w:pPr>
          </w:p>
          <w:p w14:paraId="5D185A54" w14:textId="58266577" w:rsidR="00CE2BE9" w:rsidRDefault="00CE2BE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Jackie Crouch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6E6C529F" w14:textId="77777777" w:rsidR="00CE2BE9" w:rsidRDefault="00CE2BE9" w:rsidP="005D3F07">
            <w:pPr>
              <w:overflowPunct/>
              <w:autoSpaceDE/>
              <w:autoSpaceDN/>
              <w:adjustRightInd/>
              <w:ind w:right="-957"/>
              <w:textAlignment w:val="auto"/>
              <w:rPr>
                <w:rFonts w:ascii="Times New Roman" w:hAnsi="Times New Roman" w:cs="Times New Roman"/>
                <w:b/>
                <w:color w:val="auto"/>
                <w:sz w:val="48"/>
              </w:rPr>
            </w:pPr>
          </w:p>
          <w:p w14:paraId="44E8C79A" w14:textId="1051D46A" w:rsidR="00CE2BE9" w:rsidRDefault="00CE2BE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Jackiecrch@hotmail.co.uk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BB7C4B7" w14:textId="77777777" w:rsidR="00CE2BE9" w:rsidRDefault="00CE2BE9" w:rsidP="005D3F07">
            <w:pPr>
              <w:overflowPunct/>
              <w:autoSpaceDE/>
              <w:autoSpaceDN/>
              <w:adjustRightInd/>
              <w:ind w:right="-957"/>
              <w:textAlignment w:val="auto"/>
              <w:rPr>
                <w:rFonts w:ascii="Times New Roman" w:hAnsi="Times New Roman" w:cs="Times New Roman"/>
                <w:b/>
                <w:color w:val="auto"/>
                <w:sz w:val="48"/>
              </w:rPr>
            </w:pPr>
          </w:p>
          <w:p w14:paraId="1D29F854" w14:textId="70D57AF9" w:rsidR="00CE2BE9" w:rsidRPr="005D3F07" w:rsidRDefault="00CE2BE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2422204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7B2D0757" w14:textId="77777777" w:rsidR="00CE2BE9" w:rsidRPr="00154268" w:rsidRDefault="00CE2BE9" w:rsidP="00CE2BE9">
            <w:pPr>
              <w:rPr>
                <w:rFonts w:asciiTheme="minorHAnsi" w:hAnsiTheme="minorHAnsi" w:cstheme="minorHAnsi"/>
                <w:sz w:val="24"/>
                <w:szCs w:val="24"/>
              </w:rPr>
            </w:pPr>
            <w:r w:rsidRPr="00154268">
              <w:rPr>
                <w:rFonts w:asciiTheme="minorHAnsi" w:hAnsiTheme="minorHAnsi" w:cstheme="minorHAnsi"/>
                <w:sz w:val="24"/>
                <w:szCs w:val="24"/>
              </w:rPr>
              <w:t>Safeguarding children involves actions to promote their welfare and protect them from harm, abuse, and neglect. While my practice focuses on adults, social workers must understand the legal and policy framework to identify risks early and implement interventions (Horwath, 2018).</w:t>
            </w:r>
          </w:p>
          <w:p w14:paraId="097F8C7F" w14:textId="77777777" w:rsidR="00CE2BE9" w:rsidRPr="00154268" w:rsidRDefault="00CE2BE9" w:rsidP="00CE2BE9">
            <w:pPr>
              <w:rPr>
                <w:rFonts w:asciiTheme="minorHAnsi" w:hAnsiTheme="minorHAnsi" w:cstheme="minorHAnsi"/>
                <w:sz w:val="24"/>
                <w:szCs w:val="24"/>
              </w:rPr>
            </w:pPr>
            <w:r w:rsidRPr="00154268">
              <w:rPr>
                <w:rFonts w:asciiTheme="minorHAnsi" w:hAnsiTheme="minorHAnsi" w:cstheme="minorHAnsi"/>
                <w:sz w:val="24"/>
                <w:szCs w:val="24"/>
              </w:rPr>
              <w:t xml:space="preserve">Two key laws, the Children Act 1989 and the Children Act 2004, form the foundation of child safeguarding in the UK. The 1989 Act clarified that a child’s welfare should always come first when making decisions about their lives (HM Government, 1989). It also assigned local </w:t>
            </w:r>
            <w:proofErr w:type="gramStart"/>
            <w:r w:rsidRPr="00154268">
              <w:rPr>
                <w:rFonts w:asciiTheme="minorHAnsi" w:hAnsiTheme="minorHAnsi" w:cstheme="minorHAnsi"/>
                <w:sz w:val="24"/>
                <w:szCs w:val="24"/>
              </w:rPr>
              <w:t>authorities</w:t>
            </w:r>
            <w:proofErr w:type="gramEnd"/>
            <w:r w:rsidRPr="00154268">
              <w:rPr>
                <w:rFonts w:asciiTheme="minorHAnsi" w:hAnsiTheme="minorHAnsi" w:cstheme="minorHAnsi"/>
                <w:sz w:val="24"/>
                <w:szCs w:val="24"/>
              </w:rPr>
              <w:t xml:space="preserve"> clear responsibilities to investigate concerns about serious harm (Section 47) and to provide additional support to children in need (Section 17). The 2004 Act built upon this by introducing the “Every Child Matters” initiative and ensuring different agencies collaborate to protect and promote children's safety and well-being (HM Government, 2004).</w:t>
            </w:r>
          </w:p>
          <w:p w14:paraId="7D3D8939" w14:textId="77777777" w:rsidR="00CE2BE9" w:rsidRPr="00154268" w:rsidRDefault="00CE2BE9" w:rsidP="00CE2BE9">
            <w:pPr>
              <w:rPr>
                <w:rFonts w:asciiTheme="minorHAnsi" w:hAnsiTheme="minorHAnsi" w:cstheme="minorHAnsi"/>
                <w:sz w:val="24"/>
                <w:szCs w:val="24"/>
              </w:rPr>
            </w:pPr>
            <w:r w:rsidRPr="00154268">
              <w:rPr>
                <w:rFonts w:asciiTheme="minorHAnsi" w:hAnsiTheme="minorHAnsi" w:cstheme="minorHAnsi"/>
                <w:sz w:val="24"/>
                <w:szCs w:val="24"/>
              </w:rPr>
              <w:t>The Children and Social Work Act 2017 is also very important because it encouraged local authorities and their partners to work more closely together and to take their corporate parenting responsibilities seriously (HM Government, 2017). Additionally, the guidance “Working Together to Safeguard Children” (2018) sets out what all organisations and professionals should do. It focuses on helping children early, ensuring different agencies cooperate, and sharing information so nothing is missed (HM Government, 2018).</w:t>
            </w:r>
          </w:p>
          <w:p w14:paraId="3CC64C8A" w14:textId="77777777" w:rsidR="00CE2BE9" w:rsidRPr="00154268" w:rsidRDefault="00CE2BE9" w:rsidP="00CE2BE9">
            <w:pPr>
              <w:rPr>
                <w:rFonts w:asciiTheme="minorHAnsi" w:hAnsiTheme="minorHAnsi" w:cstheme="minorHAnsi"/>
                <w:sz w:val="24"/>
                <w:szCs w:val="24"/>
              </w:rPr>
            </w:pPr>
            <w:r w:rsidRPr="00154268">
              <w:rPr>
                <w:rFonts w:asciiTheme="minorHAnsi" w:hAnsiTheme="minorHAnsi" w:cstheme="minorHAnsi"/>
                <w:sz w:val="24"/>
                <w:szCs w:val="24"/>
              </w:rPr>
              <w:t>Across the UK, policies emphasise the importance of simple ways to report concerns, robust training for professionals, and—most importantly—ensuring children are genuinely listened to when decisions affecting them are made. The United Nations Convention on the Rights of the Child (UNCRC), which the UK has ratified, strongly supports these principles by stating that every child has the right to be protected from harm and to have their best interests prioritised (UNICEF, 1989).</w:t>
            </w:r>
          </w:p>
          <w:p w14:paraId="1E731523" w14:textId="77777777" w:rsidR="00CE2BE9" w:rsidRPr="00154268" w:rsidRDefault="00CE2BE9" w:rsidP="00CE2BE9">
            <w:pPr>
              <w:rPr>
                <w:rFonts w:asciiTheme="minorHAnsi" w:hAnsiTheme="minorHAnsi" w:cstheme="minorHAnsi"/>
                <w:sz w:val="24"/>
                <w:szCs w:val="24"/>
              </w:rPr>
            </w:pPr>
            <w:r w:rsidRPr="00154268">
              <w:rPr>
                <w:rFonts w:asciiTheme="minorHAnsi" w:hAnsiTheme="minorHAnsi" w:cstheme="minorHAnsi"/>
                <w:sz w:val="24"/>
                <w:szCs w:val="24"/>
              </w:rPr>
              <w:t>Locally, safeguarding children is a collective effort. Partnerships between health services, police, schools, and social care coordinate our response to concerns. These groups establish clear protocols and develop training so everyone knows exactly what their responsibilities are (Local Government Association, 2021). One example is the use of “threshold documents,” which assist staff in deciding when a situation should move from early help to full child protection procedures.</w:t>
            </w:r>
          </w:p>
          <w:p w14:paraId="3FFEB2BC" w14:textId="77777777" w:rsidR="00CE2BE9" w:rsidRPr="00154268" w:rsidRDefault="00CE2BE9" w:rsidP="00CE2BE9">
            <w:pPr>
              <w:rPr>
                <w:rFonts w:asciiTheme="minorHAnsi" w:hAnsiTheme="minorHAnsi" w:cstheme="minorHAnsi"/>
                <w:sz w:val="24"/>
                <w:szCs w:val="24"/>
              </w:rPr>
            </w:pPr>
            <w:r w:rsidRPr="00154268">
              <w:rPr>
                <w:rFonts w:asciiTheme="minorHAnsi" w:hAnsiTheme="minorHAnsi" w:cstheme="minorHAnsi"/>
                <w:sz w:val="24"/>
                <w:szCs w:val="24"/>
              </w:rPr>
              <w:lastRenderedPageBreak/>
              <w:t>Within organisations, having the appropriate policies and procedures makes safeguarding effective in daily activities. Items such as whistleblowing policies, transparent reporting lines, codes of conduct, and thorough hiring practices all contribute to fostering a safe environment for children (NSPCC, 2022). Regular training enables staff to identify warning signs early. Safeguarding leads are typically the go-to individuals for advice and ensure that any concerns are quickly reported to the appropriate authorities.</w:t>
            </w:r>
          </w:p>
          <w:p w14:paraId="291BBA07" w14:textId="77777777" w:rsidR="00CE2BE9" w:rsidRPr="00154268" w:rsidRDefault="00CE2BE9" w:rsidP="00CE2BE9">
            <w:pPr>
              <w:rPr>
                <w:rFonts w:asciiTheme="minorHAnsi" w:hAnsiTheme="minorHAnsi" w:cstheme="minorHAnsi"/>
                <w:sz w:val="24"/>
                <w:szCs w:val="24"/>
              </w:rPr>
            </w:pPr>
            <w:r w:rsidRPr="00154268">
              <w:rPr>
                <w:rFonts w:asciiTheme="minorHAnsi" w:hAnsiTheme="minorHAnsi" w:cstheme="minorHAnsi"/>
                <w:sz w:val="24"/>
                <w:szCs w:val="24"/>
              </w:rPr>
              <w:t>In practice, safeguarding children involves recognising a range of risks, from neglect, physical and emotional abuse, to modern slavery, exploitation, and online abuse. The rise of contextual safeguarding approaches has also underlined the importance of considering risks beyond the family home, such as in schools and communities (Firmin, 2020).</w:t>
            </w:r>
          </w:p>
          <w:p w14:paraId="27BC6F51" w14:textId="77777777" w:rsidR="00CE2BE9" w:rsidRPr="00154268" w:rsidRDefault="00CE2BE9" w:rsidP="00CE2BE9">
            <w:pPr>
              <w:rPr>
                <w:rFonts w:asciiTheme="minorHAnsi" w:hAnsiTheme="minorHAnsi" w:cstheme="minorHAnsi"/>
                <w:sz w:val="24"/>
                <w:szCs w:val="24"/>
              </w:rPr>
            </w:pPr>
            <w:r w:rsidRPr="00154268">
              <w:rPr>
                <w:rFonts w:asciiTheme="minorHAnsi" w:hAnsiTheme="minorHAnsi" w:cstheme="minorHAnsi"/>
                <w:sz w:val="24"/>
                <w:szCs w:val="24"/>
              </w:rPr>
              <w:t>Although I primarily work with adults, I occasionally encounter situations where children are involved, such as when the adults I support are parents or caregivers. Issues such as substance use, mental health problems, or domestic violence can put children at risk. That’s why it’s so essential for me to stay up to date with the relevant laws and procedures, so I can act quickly and appropriately whenever concerns about a child’s safety come up.</w:t>
            </w:r>
          </w:p>
          <w:p w14:paraId="030748ED" w14:textId="77777777" w:rsidR="00CE2BE9" w:rsidRPr="00154268" w:rsidRDefault="00CE2BE9" w:rsidP="00CE2BE9">
            <w:pPr>
              <w:rPr>
                <w:rFonts w:asciiTheme="minorHAnsi" w:hAnsiTheme="minorHAnsi" w:cstheme="minorHAnsi"/>
                <w:sz w:val="24"/>
                <w:szCs w:val="24"/>
              </w:rPr>
            </w:pPr>
          </w:p>
          <w:p w14:paraId="6D8CB8AF" w14:textId="2FB36725" w:rsidR="00FC0334" w:rsidRPr="00CE2BE9" w:rsidRDefault="00CE2BE9" w:rsidP="00FF7EBB">
            <w:pPr>
              <w:jc w:val="both"/>
              <w:rPr>
                <w:b/>
                <w:bCs/>
                <w:sz w:val="24"/>
                <w:szCs w:val="24"/>
              </w:rPr>
            </w:pPr>
            <w:r w:rsidRPr="00CE2BE9">
              <w:rPr>
                <w:b/>
                <w:bCs/>
                <w:sz w:val="24"/>
                <w:szCs w:val="24"/>
              </w:rPr>
              <w:t>Word Count: 544</w:t>
            </w: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4384B62" w14:textId="77777777" w:rsidR="00CE2BE9" w:rsidRPr="000C10D6" w:rsidRDefault="00CE2BE9" w:rsidP="00CE2BE9">
            <w:pPr>
              <w:rPr>
                <w:rFonts w:asciiTheme="minorHAnsi" w:hAnsiTheme="minorHAnsi" w:cstheme="minorHAnsi"/>
                <w:sz w:val="24"/>
                <w:szCs w:val="24"/>
              </w:rPr>
            </w:pPr>
            <w:r w:rsidRPr="000C10D6">
              <w:rPr>
                <w:rFonts w:asciiTheme="minorHAnsi" w:hAnsiTheme="minorHAnsi" w:cstheme="minorHAnsi"/>
                <w:sz w:val="24"/>
                <w:szCs w:val="24"/>
              </w:rPr>
              <w:t>Safeguarding adults and children share the same overarching goal: to prevent harm and protect vulnerable individuals. However, there are fundamental differences in principles, legislation, and practice approaches, reflecting the different legal status and developmental needs of adults and children (</w:t>
            </w:r>
            <w:proofErr w:type="spellStart"/>
            <w:r w:rsidRPr="000C10D6">
              <w:rPr>
                <w:rFonts w:asciiTheme="minorHAnsi" w:hAnsiTheme="minorHAnsi" w:cstheme="minorHAnsi"/>
                <w:sz w:val="24"/>
                <w:szCs w:val="24"/>
              </w:rPr>
              <w:t>Braye</w:t>
            </w:r>
            <w:proofErr w:type="spellEnd"/>
            <w:r w:rsidRPr="000C10D6">
              <w:rPr>
                <w:rFonts w:asciiTheme="minorHAnsi" w:hAnsiTheme="minorHAnsi" w:cstheme="minorHAnsi"/>
                <w:sz w:val="24"/>
                <w:szCs w:val="24"/>
              </w:rPr>
              <w:t xml:space="preserve"> and Preston-Shoot, 2016).</w:t>
            </w:r>
          </w:p>
          <w:p w14:paraId="2EB0E224" w14:textId="77777777" w:rsidR="00CE2BE9" w:rsidRPr="000C10D6" w:rsidRDefault="00CE2BE9" w:rsidP="00CE2BE9">
            <w:pPr>
              <w:rPr>
                <w:rFonts w:asciiTheme="minorHAnsi" w:hAnsiTheme="minorHAnsi" w:cstheme="minorHAnsi"/>
                <w:sz w:val="24"/>
                <w:szCs w:val="24"/>
              </w:rPr>
            </w:pPr>
            <w:r w:rsidRPr="000C10D6">
              <w:rPr>
                <w:rFonts w:asciiTheme="minorHAnsi" w:hAnsiTheme="minorHAnsi" w:cstheme="minorHAnsi"/>
                <w:sz w:val="24"/>
                <w:szCs w:val="24"/>
              </w:rPr>
              <w:t>The most significant difference lies in the concept of consent and autonomy. Adults are presumed to have capacity and the right to make their own choices, even if those choices appear unwise. This principle is highlighted in the Mental Capacity Act 2005, which provides a framework for assessing capacity and making decisions in a person’s best interests if they lack capacity (HM Government, 2005). In adult safeguarding, interventions often strike a balance between protection and respect for individual autonomy. For example, an adult at risk may choose to remain in an abusive relationship</w:t>
            </w:r>
            <w:r w:rsidRPr="00154268">
              <w:rPr>
                <w:rFonts w:asciiTheme="minorHAnsi" w:hAnsiTheme="minorHAnsi" w:cstheme="minorHAnsi"/>
                <w:sz w:val="24"/>
                <w:szCs w:val="24"/>
              </w:rPr>
              <w:t>.</w:t>
            </w:r>
            <w:r w:rsidRPr="000C10D6">
              <w:rPr>
                <w:rFonts w:asciiTheme="minorHAnsi" w:hAnsiTheme="minorHAnsi" w:cstheme="minorHAnsi"/>
                <w:sz w:val="24"/>
                <w:szCs w:val="24"/>
              </w:rPr>
              <w:t xml:space="preserve"> </w:t>
            </w:r>
            <w:r w:rsidRPr="00154268">
              <w:rPr>
                <w:rFonts w:asciiTheme="minorHAnsi" w:hAnsiTheme="minorHAnsi" w:cstheme="minorHAnsi"/>
                <w:sz w:val="24"/>
                <w:szCs w:val="24"/>
              </w:rPr>
              <w:t>U</w:t>
            </w:r>
            <w:r w:rsidRPr="000C10D6">
              <w:rPr>
                <w:rFonts w:asciiTheme="minorHAnsi" w:hAnsiTheme="minorHAnsi" w:cstheme="minorHAnsi"/>
                <w:sz w:val="24"/>
                <w:szCs w:val="24"/>
              </w:rPr>
              <w:t>nless they lack capacity or there are wider risks (such as safeguarding others), professionals may need to respect this decision (Preston-Shoot, 2017).</w:t>
            </w:r>
          </w:p>
          <w:p w14:paraId="52E05C5D" w14:textId="77777777" w:rsidR="00CE2BE9" w:rsidRPr="000C10D6" w:rsidRDefault="00CE2BE9" w:rsidP="00CE2BE9">
            <w:pPr>
              <w:rPr>
                <w:rFonts w:asciiTheme="minorHAnsi" w:hAnsiTheme="minorHAnsi" w:cstheme="minorHAnsi"/>
                <w:sz w:val="24"/>
                <w:szCs w:val="24"/>
              </w:rPr>
            </w:pPr>
            <w:r w:rsidRPr="000C10D6">
              <w:rPr>
                <w:rFonts w:asciiTheme="minorHAnsi" w:hAnsiTheme="minorHAnsi" w:cstheme="minorHAnsi"/>
                <w:sz w:val="24"/>
                <w:szCs w:val="24"/>
              </w:rPr>
              <w:lastRenderedPageBreak/>
              <w:t>In contrast, safeguarding children prioritises the welfare and best interests of the child above all else. The Children Act 1989 makes clear that the child’s welfare is paramount. Unlike adults, children are not presumed to have full decision-making capacity, and professionals and agencies have a duty to intervene when children are at risk, regardless of parental consent (HM Government, 1989). A child’s right to protection overrides parental wishes if there is evidence of significant harm.</w:t>
            </w:r>
          </w:p>
          <w:p w14:paraId="04443B19" w14:textId="77777777" w:rsidR="00CE2BE9" w:rsidRPr="000C10D6" w:rsidRDefault="00CE2BE9" w:rsidP="00CE2BE9">
            <w:pPr>
              <w:rPr>
                <w:rFonts w:asciiTheme="minorHAnsi" w:hAnsiTheme="minorHAnsi" w:cstheme="minorHAnsi"/>
                <w:sz w:val="24"/>
                <w:szCs w:val="24"/>
              </w:rPr>
            </w:pPr>
            <w:r w:rsidRPr="000C10D6">
              <w:rPr>
                <w:rFonts w:asciiTheme="minorHAnsi" w:hAnsiTheme="minorHAnsi" w:cstheme="minorHAnsi"/>
                <w:sz w:val="24"/>
                <w:szCs w:val="24"/>
              </w:rPr>
              <w:t xml:space="preserve">The focus of assessment and intervention </w:t>
            </w:r>
            <w:r w:rsidRPr="00154268">
              <w:rPr>
                <w:rFonts w:asciiTheme="minorHAnsi" w:hAnsiTheme="minorHAnsi" w:cstheme="minorHAnsi"/>
                <w:sz w:val="24"/>
                <w:szCs w:val="24"/>
              </w:rPr>
              <w:t>also</w:t>
            </w:r>
            <w:r w:rsidRPr="000C10D6">
              <w:rPr>
                <w:rFonts w:asciiTheme="minorHAnsi" w:hAnsiTheme="minorHAnsi" w:cstheme="minorHAnsi"/>
                <w:sz w:val="24"/>
                <w:szCs w:val="24"/>
              </w:rPr>
              <w:t xml:space="preserve"> </w:t>
            </w:r>
            <w:r w:rsidRPr="00154268">
              <w:rPr>
                <w:rFonts w:asciiTheme="minorHAnsi" w:hAnsiTheme="minorHAnsi" w:cstheme="minorHAnsi"/>
                <w:sz w:val="24"/>
                <w:szCs w:val="24"/>
              </w:rPr>
              <w:t>differs</w:t>
            </w:r>
            <w:r w:rsidRPr="000C10D6">
              <w:rPr>
                <w:rFonts w:asciiTheme="minorHAnsi" w:hAnsiTheme="minorHAnsi" w:cstheme="minorHAnsi"/>
                <w:sz w:val="24"/>
                <w:szCs w:val="24"/>
              </w:rPr>
              <w:t xml:space="preserve">. In children’s safeguarding, emphasis is placed on interventions that often involve whole-family approaches </w:t>
            </w:r>
            <w:r w:rsidRPr="00154268">
              <w:rPr>
                <w:rFonts w:asciiTheme="minorHAnsi" w:hAnsiTheme="minorHAnsi" w:cstheme="minorHAnsi"/>
                <w:sz w:val="24"/>
                <w:szCs w:val="24"/>
              </w:rPr>
              <w:t>to</w:t>
            </w:r>
            <w:r w:rsidRPr="000C10D6">
              <w:rPr>
                <w:rFonts w:asciiTheme="minorHAnsi" w:hAnsiTheme="minorHAnsi" w:cstheme="minorHAnsi"/>
                <w:sz w:val="24"/>
                <w:szCs w:val="24"/>
              </w:rPr>
              <w:t xml:space="preserve"> </w:t>
            </w:r>
            <w:r w:rsidRPr="00154268">
              <w:rPr>
                <w:rFonts w:asciiTheme="minorHAnsi" w:hAnsiTheme="minorHAnsi" w:cstheme="minorHAnsi"/>
                <w:sz w:val="24"/>
                <w:szCs w:val="24"/>
              </w:rPr>
              <w:t>support</w:t>
            </w:r>
            <w:r w:rsidRPr="000C10D6">
              <w:rPr>
                <w:rFonts w:asciiTheme="minorHAnsi" w:hAnsiTheme="minorHAnsi" w:cstheme="minorHAnsi"/>
                <w:sz w:val="24"/>
                <w:szCs w:val="24"/>
              </w:rPr>
              <w:t xml:space="preserve"> parents </w:t>
            </w:r>
            <w:r w:rsidRPr="00154268">
              <w:rPr>
                <w:rFonts w:asciiTheme="minorHAnsi" w:hAnsiTheme="minorHAnsi" w:cstheme="minorHAnsi"/>
                <w:sz w:val="24"/>
                <w:szCs w:val="24"/>
              </w:rPr>
              <w:t>in</w:t>
            </w:r>
            <w:r w:rsidRPr="000C10D6">
              <w:rPr>
                <w:rFonts w:asciiTheme="minorHAnsi" w:hAnsiTheme="minorHAnsi" w:cstheme="minorHAnsi"/>
                <w:sz w:val="24"/>
                <w:szCs w:val="24"/>
              </w:rPr>
              <w:t xml:space="preserve"> provid</w:t>
            </w:r>
            <w:r w:rsidRPr="00154268">
              <w:rPr>
                <w:rFonts w:asciiTheme="minorHAnsi" w:hAnsiTheme="minorHAnsi" w:cstheme="minorHAnsi"/>
                <w:sz w:val="24"/>
                <w:szCs w:val="24"/>
              </w:rPr>
              <w:t>ing</w:t>
            </w:r>
            <w:r w:rsidRPr="000C10D6">
              <w:rPr>
                <w:rFonts w:asciiTheme="minorHAnsi" w:hAnsiTheme="minorHAnsi" w:cstheme="minorHAnsi"/>
                <w:sz w:val="24"/>
                <w:szCs w:val="24"/>
              </w:rPr>
              <w:t xml:space="preserve"> safe and nurturing care (Horwath, 2018). By contrast, adult safeguarding frequently centres on the individual adult and their vulnerabilities, though family and carers are considered.</w:t>
            </w:r>
          </w:p>
          <w:p w14:paraId="489BE35B" w14:textId="77777777" w:rsidR="00CE2BE9" w:rsidRPr="000C10D6" w:rsidRDefault="00CE2BE9" w:rsidP="00CE2BE9">
            <w:pPr>
              <w:rPr>
                <w:rFonts w:asciiTheme="minorHAnsi" w:hAnsiTheme="minorHAnsi" w:cstheme="minorHAnsi"/>
                <w:sz w:val="24"/>
                <w:szCs w:val="24"/>
              </w:rPr>
            </w:pPr>
            <w:r w:rsidRPr="000C10D6">
              <w:rPr>
                <w:rFonts w:asciiTheme="minorHAnsi" w:hAnsiTheme="minorHAnsi" w:cstheme="minorHAnsi"/>
                <w:sz w:val="24"/>
                <w:szCs w:val="24"/>
              </w:rPr>
              <w:t>There are also differences in the legal frameworks guiding practice. Children’s safeguarding is underpinned by the Children Act and Working Together to Safeguard Children guidance</w:t>
            </w:r>
            <w:r w:rsidRPr="00154268">
              <w:rPr>
                <w:rFonts w:asciiTheme="minorHAnsi" w:hAnsiTheme="minorHAnsi" w:cstheme="minorHAnsi"/>
                <w:sz w:val="24"/>
                <w:szCs w:val="24"/>
              </w:rPr>
              <w:t>.</w:t>
            </w:r>
            <w:r w:rsidRPr="000C10D6">
              <w:rPr>
                <w:rFonts w:asciiTheme="minorHAnsi" w:hAnsiTheme="minorHAnsi" w:cstheme="minorHAnsi"/>
                <w:sz w:val="24"/>
                <w:szCs w:val="24"/>
              </w:rPr>
              <w:t xml:space="preserve"> </w:t>
            </w:r>
            <w:r w:rsidRPr="00154268">
              <w:rPr>
                <w:rFonts w:asciiTheme="minorHAnsi" w:hAnsiTheme="minorHAnsi" w:cstheme="minorHAnsi"/>
                <w:sz w:val="24"/>
                <w:szCs w:val="24"/>
              </w:rPr>
              <w:t>In contrast,</w:t>
            </w:r>
            <w:r w:rsidRPr="000C10D6">
              <w:rPr>
                <w:rFonts w:asciiTheme="minorHAnsi" w:hAnsiTheme="minorHAnsi" w:cstheme="minorHAnsi"/>
                <w:sz w:val="24"/>
                <w:szCs w:val="24"/>
              </w:rPr>
              <w:t xml:space="preserve"> adult safeguarding is shaped by the Care Act 2014, which introduced statutory duties for local authorities to make safeguarding enquiries and established Safeguarding Adults Boards (HM Government, 2014).</w:t>
            </w:r>
          </w:p>
          <w:p w14:paraId="1F6DF985" w14:textId="77777777" w:rsidR="00CE2BE9" w:rsidRPr="000C10D6" w:rsidRDefault="00CE2BE9" w:rsidP="00CE2BE9">
            <w:pPr>
              <w:rPr>
                <w:rFonts w:asciiTheme="minorHAnsi" w:hAnsiTheme="minorHAnsi" w:cstheme="minorHAnsi"/>
                <w:sz w:val="24"/>
                <w:szCs w:val="24"/>
              </w:rPr>
            </w:pPr>
            <w:r w:rsidRPr="000C10D6">
              <w:rPr>
                <w:rFonts w:asciiTheme="minorHAnsi" w:hAnsiTheme="minorHAnsi" w:cstheme="minorHAnsi"/>
                <w:sz w:val="24"/>
                <w:szCs w:val="24"/>
              </w:rPr>
              <w:t xml:space="preserve">Despite these differences, there are </w:t>
            </w:r>
            <w:r w:rsidRPr="00154268">
              <w:rPr>
                <w:rFonts w:asciiTheme="minorHAnsi" w:hAnsiTheme="minorHAnsi" w:cstheme="minorHAnsi"/>
                <w:sz w:val="24"/>
                <w:szCs w:val="24"/>
              </w:rPr>
              <w:t>signific</w:t>
            </w:r>
            <w:r w:rsidRPr="000C10D6">
              <w:rPr>
                <w:rFonts w:asciiTheme="minorHAnsi" w:hAnsiTheme="minorHAnsi" w:cstheme="minorHAnsi"/>
                <w:sz w:val="24"/>
                <w:szCs w:val="24"/>
              </w:rPr>
              <w:t>ant similarities. Both require a multi-agency approach, effective information sharing, and vigilance to early warning signs. Both also recognise that safeguarding is everyone’s responsibility, regardless of role or sector (NSPCC, 2022).</w:t>
            </w:r>
          </w:p>
          <w:p w14:paraId="590A2687" w14:textId="77777777" w:rsidR="00CE2BE9" w:rsidRPr="000C10D6" w:rsidRDefault="00CE2BE9" w:rsidP="00CE2BE9">
            <w:pPr>
              <w:rPr>
                <w:rFonts w:asciiTheme="minorHAnsi" w:hAnsiTheme="minorHAnsi" w:cstheme="minorHAnsi"/>
                <w:sz w:val="24"/>
                <w:szCs w:val="24"/>
              </w:rPr>
            </w:pPr>
            <w:r w:rsidRPr="000C10D6">
              <w:rPr>
                <w:rFonts w:asciiTheme="minorHAnsi" w:hAnsiTheme="minorHAnsi" w:cstheme="minorHAnsi"/>
                <w:sz w:val="24"/>
                <w:szCs w:val="24"/>
              </w:rPr>
              <w:t>Reflecting on these distinctions underscores the importance of tailoring safeguarding approaches to the unique needs and rights of each individual. With children, professional responsibility to protect often outweighs other considerations, while with adults, safeguarding practice must strike a careful balance between protection and autonomy. Understanding these differences is crucial for effective, ethical practice across both fields.</w:t>
            </w:r>
          </w:p>
          <w:p w14:paraId="49D10EF9" w14:textId="77777777" w:rsidR="00CE2BE9" w:rsidRDefault="00CE2BE9" w:rsidP="00FC0334">
            <w:pPr>
              <w:jc w:val="both"/>
              <w:rPr>
                <w:sz w:val="24"/>
                <w:szCs w:val="24"/>
              </w:rPr>
            </w:pPr>
          </w:p>
          <w:p w14:paraId="3071514F" w14:textId="189B2BAB" w:rsidR="00CE2BE9" w:rsidRPr="00CE2BE9" w:rsidRDefault="00CE2BE9" w:rsidP="00FC0334">
            <w:pPr>
              <w:jc w:val="both"/>
              <w:rPr>
                <w:b/>
                <w:bCs/>
                <w:sz w:val="24"/>
                <w:szCs w:val="24"/>
              </w:rPr>
            </w:pPr>
            <w:r w:rsidRPr="00CE2BE9">
              <w:rPr>
                <w:b/>
                <w:bCs/>
                <w:sz w:val="24"/>
                <w:szCs w:val="24"/>
              </w:rPr>
              <w:t>Word Count:</w:t>
            </w:r>
            <w:r>
              <w:rPr>
                <w:b/>
                <w:bCs/>
                <w:sz w:val="24"/>
                <w:szCs w:val="24"/>
              </w:rPr>
              <w:t xml:space="preserve"> 431</w:t>
            </w: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0E933" w14:textId="77777777" w:rsidR="004B3C58" w:rsidRDefault="004B3C58">
      <w:r>
        <w:separator/>
      </w:r>
    </w:p>
  </w:endnote>
  <w:endnote w:type="continuationSeparator" w:id="0">
    <w:p w14:paraId="61FC3752" w14:textId="77777777" w:rsidR="004B3C58" w:rsidRDefault="004B3C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43F34" w14:textId="77777777" w:rsidR="004B3C58" w:rsidRDefault="004B3C58">
      <w:r>
        <w:separator/>
      </w:r>
    </w:p>
  </w:footnote>
  <w:footnote w:type="continuationSeparator" w:id="0">
    <w:p w14:paraId="35F457B0" w14:textId="77777777" w:rsidR="004B3C58" w:rsidRDefault="004B3C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6473"/>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3C58"/>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2BE9"/>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1218</Words>
  <Characters>6943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Microsoft Office User</cp:lastModifiedBy>
  <cp:revision>2</cp:revision>
  <cp:lastPrinted>2020-02-11T19:20:00Z</cp:lastPrinted>
  <dcterms:created xsi:type="dcterms:W3CDTF">2025-10-07T15:16:00Z</dcterms:created>
  <dcterms:modified xsi:type="dcterms:W3CDTF">2025-10-07T15:16:00Z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