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49839" w14:textId="77777777" w:rsidR="0048376F" w:rsidRDefault="0048376F" w:rsidP="0077502C">
      <w:pPr>
        <w:spacing w:line="480" w:lineRule="auto"/>
        <w:jc w:val="center"/>
        <w:rPr>
          <w:rFonts w:ascii="Times New Roman" w:hAnsi="Times New Roman" w:cs="Times New Roman"/>
          <w:b/>
          <w:sz w:val="24"/>
          <w:szCs w:val="24"/>
          <w:u w:val="single"/>
        </w:rPr>
      </w:pPr>
    </w:p>
    <w:p w14:paraId="6029A742" w14:textId="0BA2C906" w:rsidR="0048376F" w:rsidRDefault="00D54F0D" w:rsidP="0077502C">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Renu miah</w:t>
      </w:r>
    </w:p>
    <w:p w14:paraId="438A672A" w14:textId="77777777" w:rsidR="00904C96" w:rsidRDefault="00D54F0D" w:rsidP="00904C96">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Criminal law</w:t>
      </w:r>
    </w:p>
    <w:p w14:paraId="77CD798E" w14:textId="032385FE" w:rsidR="00D54F0D" w:rsidRDefault="00904C96" w:rsidP="00904C96">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BMPL </w:t>
      </w:r>
      <w:r w:rsidR="00C85182">
        <w:rPr>
          <w:rFonts w:ascii="Times New Roman" w:hAnsi="Times New Roman" w:cs="Times New Roman"/>
          <w:b/>
          <w:sz w:val="24"/>
          <w:szCs w:val="24"/>
          <w:u w:val="single"/>
        </w:rPr>
        <w:t>4009</w:t>
      </w:r>
    </w:p>
    <w:p w14:paraId="04D80D2F" w14:textId="6D342EE1" w:rsidR="00904C96" w:rsidRDefault="002F5ECA" w:rsidP="00904C96">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Lecture</w:t>
      </w:r>
      <w:r w:rsidR="00251104">
        <w:rPr>
          <w:rFonts w:ascii="Times New Roman" w:hAnsi="Times New Roman" w:cs="Times New Roman"/>
          <w:b/>
          <w:sz w:val="24"/>
          <w:szCs w:val="24"/>
          <w:u w:val="single"/>
        </w:rPr>
        <w:t>:</w:t>
      </w:r>
      <w:r>
        <w:rPr>
          <w:rFonts w:ascii="Times New Roman" w:hAnsi="Times New Roman" w:cs="Times New Roman"/>
          <w:b/>
          <w:sz w:val="24"/>
          <w:szCs w:val="24"/>
          <w:u w:val="single"/>
        </w:rPr>
        <w:t xml:space="preserve"> </w:t>
      </w:r>
      <w:proofErr w:type="gramStart"/>
      <w:r>
        <w:rPr>
          <w:rFonts w:ascii="Times New Roman" w:hAnsi="Times New Roman" w:cs="Times New Roman"/>
          <w:b/>
          <w:sz w:val="24"/>
          <w:szCs w:val="24"/>
          <w:u w:val="single"/>
        </w:rPr>
        <w:t>Z.Draper</w:t>
      </w:r>
      <w:proofErr w:type="gramEnd"/>
    </w:p>
    <w:p w14:paraId="31E84A9B" w14:textId="230499FB" w:rsidR="00C85182" w:rsidRDefault="00BA3F1F" w:rsidP="0077502C">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Date : 2/05/23</w:t>
      </w:r>
    </w:p>
    <w:p w14:paraId="2CD7E776" w14:textId="77777777" w:rsidR="0048376F" w:rsidRDefault="0048376F" w:rsidP="0077502C">
      <w:pPr>
        <w:spacing w:line="480" w:lineRule="auto"/>
        <w:jc w:val="center"/>
        <w:rPr>
          <w:rFonts w:ascii="Times New Roman" w:hAnsi="Times New Roman" w:cs="Times New Roman"/>
          <w:b/>
          <w:sz w:val="24"/>
          <w:szCs w:val="24"/>
          <w:u w:val="single"/>
        </w:rPr>
      </w:pPr>
    </w:p>
    <w:p w14:paraId="6EE9962B" w14:textId="77777777" w:rsidR="0048376F" w:rsidRDefault="0048376F" w:rsidP="0077502C">
      <w:pPr>
        <w:spacing w:line="480" w:lineRule="auto"/>
        <w:jc w:val="center"/>
        <w:rPr>
          <w:rFonts w:ascii="Times New Roman" w:hAnsi="Times New Roman" w:cs="Times New Roman"/>
          <w:b/>
          <w:sz w:val="24"/>
          <w:szCs w:val="24"/>
          <w:u w:val="single"/>
        </w:rPr>
      </w:pPr>
    </w:p>
    <w:p w14:paraId="7C4D967F" w14:textId="71D76278" w:rsidR="0077502C" w:rsidRDefault="0077502C" w:rsidP="0077502C">
      <w:pPr>
        <w:spacing w:line="480" w:lineRule="auto"/>
        <w:jc w:val="center"/>
        <w:rPr>
          <w:rFonts w:ascii="Times New Roman" w:hAnsi="Times New Roman" w:cs="Times New Roman"/>
          <w:b/>
          <w:sz w:val="24"/>
          <w:szCs w:val="24"/>
          <w:u w:val="single"/>
        </w:rPr>
      </w:pPr>
      <w:r w:rsidRPr="0077502C">
        <w:rPr>
          <w:rFonts w:ascii="Times New Roman" w:hAnsi="Times New Roman" w:cs="Times New Roman"/>
          <w:b/>
          <w:sz w:val="24"/>
          <w:szCs w:val="24"/>
          <w:u w:val="single"/>
        </w:rPr>
        <w:t>SCENARIO QUESTION</w:t>
      </w:r>
    </w:p>
    <w:p w14:paraId="4793769B" w14:textId="77777777" w:rsidR="008B2040" w:rsidRPr="008B2040" w:rsidRDefault="008B2040" w:rsidP="0077502C">
      <w:pPr>
        <w:spacing w:line="480" w:lineRule="auto"/>
        <w:jc w:val="center"/>
        <w:rPr>
          <w:rFonts w:ascii="Times New Roman" w:hAnsi="Times New Roman" w:cs="Times New Roman"/>
          <w:b/>
          <w:sz w:val="24"/>
          <w:szCs w:val="24"/>
        </w:rPr>
      </w:pPr>
      <w:r>
        <w:rPr>
          <w:rFonts w:ascii="Times New Roman" w:hAnsi="Times New Roman" w:cs="Times New Roman"/>
          <w:b/>
          <w:sz w:val="24"/>
          <w:szCs w:val="24"/>
        </w:rPr>
        <w:t>Introduction</w:t>
      </w:r>
    </w:p>
    <w:p w14:paraId="7F39E482" w14:textId="77777777" w:rsidR="0077502C" w:rsidRDefault="0077502C" w:rsidP="0077502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scenario herein presents the case of Polly </w:t>
      </w:r>
      <w:r w:rsidR="00571646">
        <w:rPr>
          <w:rFonts w:ascii="Times New Roman" w:hAnsi="Times New Roman" w:cs="Times New Roman"/>
          <w:sz w:val="24"/>
          <w:szCs w:val="24"/>
        </w:rPr>
        <w:t xml:space="preserve">who has schizophrenia and has been with Mohammed for 10 years. Polly notices Mohammed flirting with Roxanne at a social event, becomes paranoid, confronts </w:t>
      </w:r>
      <w:proofErr w:type="gramStart"/>
      <w:r w:rsidR="00571646">
        <w:rPr>
          <w:rFonts w:ascii="Times New Roman" w:hAnsi="Times New Roman" w:cs="Times New Roman"/>
          <w:sz w:val="24"/>
          <w:szCs w:val="24"/>
        </w:rPr>
        <w:t>Roxanne</w:t>
      </w:r>
      <w:proofErr w:type="gramEnd"/>
      <w:r w:rsidR="00571646">
        <w:rPr>
          <w:rFonts w:ascii="Times New Roman" w:hAnsi="Times New Roman" w:cs="Times New Roman"/>
          <w:sz w:val="24"/>
          <w:szCs w:val="24"/>
        </w:rPr>
        <w:t xml:space="preserve"> and insults her. Polly is asked to leave the pub whereby while outside she notices Roxanne’s moped and severs its brake cables. Polly goes home and when Mohammed gets back, they engage in confrontation where Polly gets increasingly angry and Mohammed snaps confessing to having an affair with Roxanne for nine months and his love for her. Polly bursts into tears and as she turns away notices a glass ashtray, which she smashes over Mohammed’s head, who dies instantly from the injury. This paper presents an analysis of the offences committed in the scenario and any possible defenses that may be used. </w:t>
      </w:r>
    </w:p>
    <w:p w14:paraId="6B004503" w14:textId="77777777" w:rsidR="00571646" w:rsidRDefault="00571646" w:rsidP="00571646">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Offences Committed </w:t>
      </w:r>
    </w:p>
    <w:p w14:paraId="0464729D" w14:textId="77777777" w:rsidR="00571646" w:rsidRDefault="00571646" w:rsidP="00571646">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Based on the facts presented above, there are two notable offences that have been </w:t>
      </w:r>
      <w:proofErr w:type="gramStart"/>
      <w:r>
        <w:rPr>
          <w:rFonts w:ascii="Times New Roman" w:hAnsi="Times New Roman" w:cs="Times New Roman"/>
          <w:sz w:val="24"/>
          <w:szCs w:val="24"/>
        </w:rPr>
        <w:t>committed;</w:t>
      </w:r>
      <w:proofErr w:type="gramEnd"/>
      <w:r>
        <w:rPr>
          <w:rFonts w:ascii="Times New Roman" w:hAnsi="Times New Roman" w:cs="Times New Roman"/>
          <w:sz w:val="24"/>
          <w:szCs w:val="24"/>
        </w:rPr>
        <w:t xml:space="preserve"> criminal dam</w:t>
      </w:r>
      <w:r w:rsidR="00390551">
        <w:rPr>
          <w:rFonts w:ascii="Times New Roman" w:hAnsi="Times New Roman" w:cs="Times New Roman"/>
          <w:sz w:val="24"/>
          <w:szCs w:val="24"/>
        </w:rPr>
        <w:t>age and murder</w:t>
      </w:r>
      <w:r>
        <w:rPr>
          <w:rFonts w:ascii="Times New Roman" w:hAnsi="Times New Roman" w:cs="Times New Roman"/>
          <w:sz w:val="24"/>
          <w:szCs w:val="24"/>
        </w:rPr>
        <w:t xml:space="preserve">. </w:t>
      </w:r>
    </w:p>
    <w:p w14:paraId="1C8DA184" w14:textId="77777777" w:rsidR="00571646" w:rsidRPr="00650EFE" w:rsidRDefault="00650EFE" w:rsidP="00571646">
      <w:pPr>
        <w:spacing w:line="480" w:lineRule="auto"/>
        <w:jc w:val="both"/>
        <w:rPr>
          <w:rFonts w:ascii="Times New Roman" w:hAnsi="Times New Roman" w:cs="Times New Roman"/>
          <w:b/>
          <w:sz w:val="24"/>
          <w:szCs w:val="24"/>
        </w:rPr>
      </w:pPr>
      <w:r w:rsidRPr="00650EFE">
        <w:rPr>
          <w:rFonts w:ascii="Times New Roman" w:hAnsi="Times New Roman" w:cs="Times New Roman"/>
          <w:b/>
          <w:sz w:val="24"/>
          <w:szCs w:val="24"/>
        </w:rPr>
        <w:t xml:space="preserve">The Offence of Criminal Damage </w:t>
      </w:r>
    </w:p>
    <w:p w14:paraId="007A0C70" w14:textId="77777777" w:rsidR="00BA4F8D" w:rsidRDefault="00650EFE" w:rsidP="00571646">
      <w:pPr>
        <w:spacing w:line="480" w:lineRule="auto"/>
        <w:jc w:val="both"/>
        <w:rPr>
          <w:rFonts w:ascii="Times New Roman" w:hAnsi="Times New Roman" w:cs="Times New Roman"/>
          <w:sz w:val="24"/>
          <w:szCs w:val="24"/>
        </w:rPr>
      </w:pPr>
      <w:r>
        <w:rPr>
          <w:rFonts w:ascii="Times New Roman" w:hAnsi="Times New Roman" w:cs="Times New Roman"/>
          <w:sz w:val="24"/>
          <w:szCs w:val="24"/>
        </w:rPr>
        <w:t>The first offence that Polly committed was that of criminal damage by severing Roxanne’s moped brake cables as enshrined in the Criminal Damage Act 1971. Sect</w:t>
      </w:r>
      <w:r w:rsidR="00EB3BC2">
        <w:rPr>
          <w:rFonts w:ascii="Times New Roman" w:hAnsi="Times New Roman" w:cs="Times New Roman"/>
          <w:sz w:val="24"/>
          <w:szCs w:val="24"/>
        </w:rPr>
        <w:t xml:space="preserve">ion 1 of this act provides three forms of criminal damage. The first is simple criminal damage under section 1(1), which is where a person, without lawful excuse damages the property of another, intends to destroy or damage it, or is reckless as to whether </w:t>
      </w:r>
      <w:r w:rsidR="00C43502">
        <w:rPr>
          <w:rFonts w:ascii="Times New Roman" w:hAnsi="Times New Roman" w:cs="Times New Roman"/>
          <w:sz w:val="24"/>
          <w:szCs w:val="24"/>
        </w:rPr>
        <w:t xml:space="preserve">it would be destroyed is guilty of an offence. The second form is aggravated criminal damage under section 1(2), which provides that it is an offense for a person to intentionally destroy or damage another person’s property intending such damage to endanger the life of another. The last form is criminal damage by arson under section 1(3). To determine the criminal damage offense an understanding of what constitutes property is crucial. Thus, section 10 of the act stipulates that property in the act refers to any real or personal property that is tangible in nature including money. The section further indicates that </w:t>
      </w:r>
      <w:r w:rsidR="00BA4F8D">
        <w:rPr>
          <w:rFonts w:ascii="Times New Roman" w:hAnsi="Times New Roman" w:cs="Times New Roman"/>
          <w:sz w:val="24"/>
          <w:szCs w:val="24"/>
        </w:rPr>
        <w:t xml:space="preserve">this definition includes tamed wild creatures and their carcasses that have been reduced to possession but excludes mushrooms, flowers, or any plant foliage growing wildly on any land. Further section 10(2) indicates that property is to be treated as belonging to another individual where the person has custody or control over it, has proprietary rights, or has a charge on it. </w:t>
      </w:r>
    </w:p>
    <w:p w14:paraId="653BE31A" w14:textId="77777777" w:rsidR="00650EFE" w:rsidRDefault="00BA4F8D" w:rsidP="00571646">
      <w:pPr>
        <w:spacing w:line="480" w:lineRule="auto"/>
        <w:jc w:val="both"/>
        <w:rPr>
          <w:rFonts w:ascii="Times New Roman" w:hAnsi="Times New Roman" w:cs="Times New Roman"/>
          <w:bCs/>
          <w:sz w:val="24"/>
          <w:szCs w:val="24"/>
        </w:rPr>
      </w:pPr>
      <w:r>
        <w:rPr>
          <w:rFonts w:ascii="Times New Roman" w:hAnsi="Times New Roman" w:cs="Times New Roman"/>
          <w:sz w:val="24"/>
          <w:szCs w:val="24"/>
        </w:rPr>
        <w:t xml:space="preserve">Based on the facts of this case, the offense committed is that of aggravated criminal damage provided for under section 1(2) of the act. According to the provision, this is the type of criminal damage where property is damaged or destroyed with the intention of endangering another person’s life. Like any other </w:t>
      </w:r>
      <w:r w:rsidR="008104BD">
        <w:rPr>
          <w:rFonts w:ascii="Times New Roman" w:hAnsi="Times New Roman" w:cs="Times New Roman"/>
          <w:sz w:val="24"/>
          <w:szCs w:val="24"/>
        </w:rPr>
        <w:t xml:space="preserve">criminal offense, the aggravated criminal damage contains two elements. First is the </w:t>
      </w:r>
      <w:r w:rsidR="008104BD" w:rsidRPr="008104BD">
        <w:rPr>
          <w:rFonts w:ascii="Times New Roman" w:hAnsi="Times New Roman" w:cs="Times New Roman"/>
          <w:i/>
          <w:sz w:val="24"/>
          <w:szCs w:val="24"/>
        </w:rPr>
        <w:t>actus reus</w:t>
      </w:r>
      <w:r w:rsidR="008104BD">
        <w:rPr>
          <w:rFonts w:ascii="Times New Roman" w:hAnsi="Times New Roman" w:cs="Times New Roman"/>
          <w:sz w:val="24"/>
          <w:szCs w:val="24"/>
        </w:rPr>
        <w:t xml:space="preserve"> element is that of damage or destruction of property. There is no </w:t>
      </w:r>
      <w:r w:rsidR="008104BD">
        <w:rPr>
          <w:rFonts w:ascii="Times New Roman" w:hAnsi="Times New Roman" w:cs="Times New Roman"/>
          <w:sz w:val="24"/>
          <w:szCs w:val="24"/>
        </w:rPr>
        <w:lastRenderedPageBreak/>
        <w:t xml:space="preserve">statutory definition as to what constitutes damage or destruction of property. However, courts have developed certain principle to determine it. In </w:t>
      </w:r>
      <w:r w:rsidR="008104BD" w:rsidRPr="008104BD">
        <w:rPr>
          <w:rFonts w:ascii="Times New Roman" w:hAnsi="Times New Roman" w:cs="Times New Roman"/>
          <w:bCs/>
          <w:i/>
          <w:iCs/>
          <w:sz w:val="24"/>
          <w:szCs w:val="24"/>
        </w:rPr>
        <w:t>Roper v Knott</w:t>
      </w:r>
      <w:r w:rsidR="008104BD" w:rsidRPr="008104BD">
        <w:rPr>
          <w:rFonts w:ascii="Times New Roman" w:hAnsi="Times New Roman" w:cs="Times New Roman"/>
          <w:bCs/>
          <w:i/>
          <w:sz w:val="24"/>
          <w:szCs w:val="24"/>
        </w:rPr>
        <w:t> [1898]</w:t>
      </w:r>
      <w:r w:rsidR="008104BD">
        <w:rPr>
          <w:rFonts w:ascii="Times New Roman" w:hAnsi="Times New Roman" w:cs="Times New Roman"/>
          <w:bCs/>
          <w:i/>
          <w:sz w:val="24"/>
          <w:szCs w:val="24"/>
        </w:rPr>
        <w:t xml:space="preserve">, </w:t>
      </w:r>
      <w:r w:rsidR="008104BD">
        <w:rPr>
          <w:rFonts w:ascii="Times New Roman" w:hAnsi="Times New Roman" w:cs="Times New Roman"/>
          <w:bCs/>
          <w:sz w:val="24"/>
          <w:szCs w:val="24"/>
        </w:rPr>
        <w:t xml:space="preserve">the court established the principle that there was no requirement to completely render the said property useless but rather that any diminution in value would be sufficient. This principle was fortified in </w:t>
      </w:r>
      <w:r w:rsidR="008104BD" w:rsidRPr="008C03A4">
        <w:rPr>
          <w:rFonts w:ascii="Times New Roman" w:hAnsi="Times New Roman" w:cs="Times New Roman"/>
          <w:bCs/>
          <w:i/>
          <w:iCs/>
          <w:sz w:val="24"/>
          <w:szCs w:val="24"/>
        </w:rPr>
        <w:t xml:space="preserve">R v </w:t>
      </w:r>
      <w:proofErr w:type="spellStart"/>
      <w:r w:rsidR="008104BD" w:rsidRPr="008C03A4">
        <w:rPr>
          <w:rFonts w:ascii="Times New Roman" w:hAnsi="Times New Roman" w:cs="Times New Roman"/>
          <w:bCs/>
          <w:i/>
          <w:iCs/>
          <w:sz w:val="24"/>
          <w:szCs w:val="24"/>
        </w:rPr>
        <w:t>Fiak</w:t>
      </w:r>
      <w:proofErr w:type="spellEnd"/>
      <w:r w:rsidR="008104BD" w:rsidRPr="008C03A4">
        <w:rPr>
          <w:rFonts w:ascii="Times New Roman" w:hAnsi="Times New Roman" w:cs="Times New Roman"/>
          <w:bCs/>
          <w:i/>
          <w:sz w:val="24"/>
          <w:szCs w:val="24"/>
        </w:rPr>
        <w:t> [2005]</w:t>
      </w:r>
      <w:r w:rsidR="008C03A4">
        <w:rPr>
          <w:rFonts w:ascii="Times New Roman" w:hAnsi="Times New Roman" w:cs="Times New Roman"/>
          <w:bCs/>
          <w:sz w:val="24"/>
          <w:szCs w:val="24"/>
        </w:rPr>
        <w:t xml:space="preserve"> where the court held that such damage comprises any temporary impairment in the value or usefulness of the property. Therefore, in applying these principles to the present case, it is evident that severing the brake cables constitutes damage to Roxanne’s moped as it cannot function effectively without the brake cables. </w:t>
      </w:r>
    </w:p>
    <w:p w14:paraId="4584420D" w14:textId="77777777" w:rsidR="008C03A4" w:rsidRDefault="008C03A4" w:rsidP="00571646">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The second element of aggravated criminal damage is </w:t>
      </w:r>
      <w:proofErr w:type="spellStart"/>
      <w:r>
        <w:rPr>
          <w:rFonts w:ascii="Times New Roman" w:hAnsi="Times New Roman" w:cs="Times New Roman"/>
          <w:bCs/>
          <w:i/>
          <w:sz w:val="24"/>
          <w:szCs w:val="24"/>
        </w:rPr>
        <w:t>mens</w:t>
      </w:r>
      <w:proofErr w:type="spellEnd"/>
      <w:r>
        <w:rPr>
          <w:rFonts w:ascii="Times New Roman" w:hAnsi="Times New Roman" w:cs="Times New Roman"/>
          <w:bCs/>
          <w:i/>
          <w:sz w:val="24"/>
          <w:szCs w:val="24"/>
        </w:rPr>
        <w:t xml:space="preserve"> rea</w:t>
      </w:r>
      <w:r>
        <w:rPr>
          <w:rFonts w:ascii="Times New Roman" w:hAnsi="Times New Roman" w:cs="Times New Roman"/>
          <w:bCs/>
          <w:sz w:val="24"/>
          <w:szCs w:val="24"/>
        </w:rPr>
        <w:t xml:space="preserve">, which defines the intention and knowledge of wrongdoing. According to the act, the defendant must damage the property with the intention or be reckless as to endanger another person’s life. The underlying principle here is that the danger to life must emanate from the damage caused on the property. In </w:t>
      </w:r>
      <w:r w:rsidRPr="008C03A4">
        <w:rPr>
          <w:rFonts w:ascii="Times New Roman" w:hAnsi="Times New Roman" w:cs="Times New Roman"/>
          <w:bCs/>
          <w:i/>
          <w:iCs/>
          <w:sz w:val="24"/>
          <w:szCs w:val="24"/>
        </w:rPr>
        <w:t>R v Steer</w:t>
      </w:r>
      <w:r w:rsidRPr="008C03A4">
        <w:rPr>
          <w:rFonts w:ascii="Times New Roman" w:hAnsi="Times New Roman" w:cs="Times New Roman"/>
          <w:bCs/>
          <w:i/>
          <w:sz w:val="24"/>
          <w:szCs w:val="24"/>
        </w:rPr>
        <w:t> [1988]</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the court quashed the defendant’s conviction on the ground that the danger caused on the victim’s life was from the gun and not the destruction of property. This means that there must be a direct connection between the destruction of the property and danger caused on another person’s life. In the same vein, the court in </w:t>
      </w:r>
      <w:r w:rsidR="000F6AEB" w:rsidRPr="000F6AEB">
        <w:rPr>
          <w:rFonts w:ascii="Times New Roman" w:hAnsi="Times New Roman" w:cs="Times New Roman"/>
          <w:bCs/>
          <w:i/>
          <w:iCs/>
          <w:sz w:val="24"/>
          <w:szCs w:val="24"/>
        </w:rPr>
        <w:t xml:space="preserve">R v </w:t>
      </w:r>
      <w:proofErr w:type="spellStart"/>
      <w:r w:rsidR="000F6AEB" w:rsidRPr="000F6AEB">
        <w:rPr>
          <w:rFonts w:ascii="Times New Roman" w:hAnsi="Times New Roman" w:cs="Times New Roman"/>
          <w:bCs/>
          <w:i/>
          <w:iCs/>
          <w:sz w:val="24"/>
          <w:szCs w:val="24"/>
        </w:rPr>
        <w:t>Wenton</w:t>
      </w:r>
      <w:proofErr w:type="spellEnd"/>
      <w:r w:rsidR="000F6AEB" w:rsidRPr="000F6AEB">
        <w:rPr>
          <w:rFonts w:ascii="Times New Roman" w:hAnsi="Times New Roman" w:cs="Times New Roman"/>
          <w:bCs/>
          <w:i/>
          <w:sz w:val="24"/>
          <w:szCs w:val="24"/>
        </w:rPr>
        <w:t> [2010]</w:t>
      </w:r>
      <w:r w:rsidR="000F6AEB">
        <w:rPr>
          <w:rFonts w:ascii="Times New Roman" w:hAnsi="Times New Roman" w:cs="Times New Roman"/>
          <w:bCs/>
          <w:sz w:val="24"/>
          <w:szCs w:val="24"/>
        </w:rPr>
        <w:t xml:space="preserve"> insisted that endangerment of life must come directly from the destruction of property. In this case, severing the cable brakes directly endangers Roxanne’s life in that she may lose control of the moped while riding and crash into something or someone incurring personal injury. Therefore, the danger to her life would be as a direct result of the severed cables, which makes Polly guilty of aggravated criminal damage pursuant to the Criminal Damage Act. </w:t>
      </w:r>
    </w:p>
    <w:p w14:paraId="7DE6B759" w14:textId="77777777" w:rsidR="000F6AEB" w:rsidRDefault="000F6AEB" w:rsidP="00571646">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The </w:t>
      </w:r>
      <w:r w:rsidR="00390551">
        <w:rPr>
          <w:rFonts w:ascii="Times New Roman" w:hAnsi="Times New Roman" w:cs="Times New Roman"/>
          <w:b/>
          <w:bCs/>
          <w:sz w:val="24"/>
          <w:szCs w:val="24"/>
        </w:rPr>
        <w:t xml:space="preserve">Criminal Offense of Murder </w:t>
      </w:r>
    </w:p>
    <w:p w14:paraId="1714CE3E" w14:textId="77777777" w:rsidR="000F6AEB" w:rsidRDefault="000F6AEB" w:rsidP="00571646">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The second offense committed based on the facts of the case is </w:t>
      </w:r>
      <w:r w:rsidR="00390551">
        <w:rPr>
          <w:rFonts w:ascii="Times New Roman" w:hAnsi="Times New Roman" w:cs="Times New Roman"/>
          <w:bCs/>
          <w:sz w:val="24"/>
          <w:szCs w:val="24"/>
        </w:rPr>
        <w:t>that of murder by smashing Mohammed’s head with glass ashtray, which led to his instant death from the injury</w:t>
      </w:r>
      <w:r>
        <w:rPr>
          <w:rFonts w:ascii="Times New Roman" w:hAnsi="Times New Roman" w:cs="Times New Roman"/>
          <w:bCs/>
          <w:sz w:val="24"/>
          <w:szCs w:val="24"/>
        </w:rPr>
        <w:t>.</w:t>
      </w:r>
      <w:r w:rsidR="00390551">
        <w:rPr>
          <w:rFonts w:ascii="Times New Roman" w:hAnsi="Times New Roman" w:cs="Times New Roman"/>
          <w:bCs/>
          <w:sz w:val="24"/>
          <w:szCs w:val="24"/>
        </w:rPr>
        <w:t xml:space="preserve"> Legally, murder involves the unlawful killing of another human being in the Queen’s peace with malice aforethought. As such, murder constitutes two elements the a</w:t>
      </w:r>
      <w:r w:rsidR="00390551">
        <w:rPr>
          <w:rFonts w:ascii="Times New Roman" w:hAnsi="Times New Roman" w:cs="Times New Roman"/>
          <w:bCs/>
          <w:i/>
          <w:sz w:val="24"/>
          <w:szCs w:val="24"/>
        </w:rPr>
        <w:t>ctus reus,</w:t>
      </w:r>
      <w:r w:rsidR="00390551">
        <w:rPr>
          <w:rFonts w:ascii="Times New Roman" w:hAnsi="Times New Roman" w:cs="Times New Roman"/>
          <w:bCs/>
          <w:sz w:val="24"/>
          <w:szCs w:val="24"/>
        </w:rPr>
        <w:t xml:space="preserve"> which is the unlawful killing of another person in the Queen’s peace and the </w:t>
      </w:r>
      <w:proofErr w:type="spellStart"/>
      <w:r w:rsidR="00390551">
        <w:rPr>
          <w:rFonts w:ascii="Times New Roman" w:hAnsi="Times New Roman" w:cs="Times New Roman"/>
          <w:bCs/>
          <w:i/>
          <w:sz w:val="24"/>
          <w:szCs w:val="24"/>
        </w:rPr>
        <w:t>mens</w:t>
      </w:r>
      <w:proofErr w:type="spellEnd"/>
      <w:r w:rsidR="00390551">
        <w:rPr>
          <w:rFonts w:ascii="Times New Roman" w:hAnsi="Times New Roman" w:cs="Times New Roman"/>
          <w:bCs/>
          <w:i/>
          <w:sz w:val="24"/>
          <w:szCs w:val="24"/>
        </w:rPr>
        <w:t xml:space="preserve"> rea, </w:t>
      </w:r>
      <w:r w:rsidR="00390551">
        <w:rPr>
          <w:rFonts w:ascii="Times New Roman" w:hAnsi="Times New Roman" w:cs="Times New Roman"/>
          <w:bCs/>
          <w:sz w:val="24"/>
          <w:szCs w:val="24"/>
        </w:rPr>
        <w:t>which is the malice aforethough</w:t>
      </w:r>
      <w:r w:rsidR="006B5527">
        <w:rPr>
          <w:rFonts w:ascii="Times New Roman" w:hAnsi="Times New Roman" w:cs="Times New Roman"/>
          <w:bCs/>
          <w:sz w:val="24"/>
          <w:szCs w:val="24"/>
        </w:rPr>
        <w:t>t and</w:t>
      </w:r>
      <w:r w:rsidR="00390551">
        <w:rPr>
          <w:rFonts w:ascii="Times New Roman" w:hAnsi="Times New Roman" w:cs="Times New Roman"/>
          <w:bCs/>
          <w:sz w:val="24"/>
          <w:szCs w:val="24"/>
        </w:rPr>
        <w:t xml:space="preserve">. </w:t>
      </w:r>
      <w:proofErr w:type="gramStart"/>
      <w:r w:rsidR="00390551">
        <w:rPr>
          <w:rFonts w:ascii="Times New Roman" w:hAnsi="Times New Roman" w:cs="Times New Roman"/>
          <w:bCs/>
          <w:sz w:val="24"/>
          <w:szCs w:val="24"/>
        </w:rPr>
        <w:t>With regard to</w:t>
      </w:r>
      <w:proofErr w:type="gramEnd"/>
      <w:r w:rsidR="00390551">
        <w:rPr>
          <w:rFonts w:ascii="Times New Roman" w:hAnsi="Times New Roman" w:cs="Times New Roman"/>
          <w:bCs/>
          <w:sz w:val="24"/>
          <w:szCs w:val="24"/>
        </w:rPr>
        <w:t xml:space="preserve"> the a</w:t>
      </w:r>
      <w:r w:rsidR="00390551">
        <w:rPr>
          <w:rFonts w:ascii="Times New Roman" w:hAnsi="Times New Roman" w:cs="Times New Roman"/>
          <w:bCs/>
          <w:i/>
          <w:sz w:val="24"/>
          <w:szCs w:val="24"/>
        </w:rPr>
        <w:t>ctus reus</w:t>
      </w:r>
      <w:r w:rsidR="00390551">
        <w:rPr>
          <w:rFonts w:ascii="Times New Roman" w:hAnsi="Times New Roman" w:cs="Times New Roman"/>
          <w:bCs/>
          <w:sz w:val="24"/>
          <w:szCs w:val="24"/>
        </w:rPr>
        <w:t>, the act of killing must be unlawful and during the Queen’s peace which means that it is not conducted during war.</w:t>
      </w:r>
      <w:r w:rsidR="006B5527">
        <w:rPr>
          <w:rFonts w:ascii="Times New Roman" w:hAnsi="Times New Roman" w:cs="Times New Roman"/>
          <w:bCs/>
          <w:sz w:val="24"/>
          <w:szCs w:val="24"/>
        </w:rPr>
        <w:t xml:space="preserve"> In this regard, state ordered executions such as the death penalty would be deemed lawful killings.</w:t>
      </w:r>
      <w:r w:rsidR="00390551">
        <w:rPr>
          <w:rFonts w:ascii="Times New Roman" w:hAnsi="Times New Roman" w:cs="Times New Roman"/>
          <w:bCs/>
          <w:sz w:val="24"/>
          <w:szCs w:val="24"/>
        </w:rPr>
        <w:t xml:space="preserve"> </w:t>
      </w:r>
      <w:r w:rsidR="006B5527">
        <w:rPr>
          <w:rFonts w:ascii="Times New Roman" w:hAnsi="Times New Roman" w:cs="Times New Roman"/>
          <w:bCs/>
          <w:sz w:val="24"/>
          <w:szCs w:val="24"/>
        </w:rPr>
        <w:t xml:space="preserve">The second element of murder is the </w:t>
      </w:r>
      <w:proofErr w:type="spellStart"/>
      <w:r w:rsidR="006B5527">
        <w:rPr>
          <w:rFonts w:ascii="Times New Roman" w:hAnsi="Times New Roman" w:cs="Times New Roman"/>
          <w:bCs/>
          <w:i/>
          <w:sz w:val="24"/>
          <w:szCs w:val="24"/>
        </w:rPr>
        <w:t>mens</w:t>
      </w:r>
      <w:proofErr w:type="spellEnd"/>
      <w:r w:rsidR="006B5527">
        <w:rPr>
          <w:rFonts w:ascii="Times New Roman" w:hAnsi="Times New Roman" w:cs="Times New Roman"/>
          <w:bCs/>
          <w:i/>
          <w:sz w:val="24"/>
          <w:szCs w:val="24"/>
        </w:rPr>
        <w:t xml:space="preserve"> rea </w:t>
      </w:r>
      <w:r w:rsidR="006B5527">
        <w:rPr>
          <w:rFonts w:ascii="Times New Roman" w:hAnsi="Times New Roman" w:cs="Times New Roman"/>
          <w:bCs/>
          <w:sz w:val="24"/>
          <w:szCs w:val="24"/>
        </w:rPr>
        <w:t xml:space="preserve">that is malice aforethought. The use of malice aforethought has been associated with ill will and pre-planning of the killing. However, courts have endeavoured to interpret it as to refer to the intention to kill or cause grievous bodily harm (GBH) on another. In </w:t>
      </w:r>
      <w:r w:rsidR="006B5527" w:rsidRPr="006B5527">
        <w:rPr>
          <w:rFonts w:ascii="Times New Roman" w:hAnsi="Times New Roman" w:cs="Times New Roman"/>
          <w:bCs/>
          <w:i/>
          <w:iCs/>
          <w:sz w:val="24"/>
          <w:szCs w:val="24"/>
        </w:rPr>
        <w:t>R v Vickers</w:t>
      </w:r>
      <w:r w:rsidR="006B5527" w:rsidRPr="006B5527">
        <w:rPr>
          <w:rFonts w:ascii="Times New Roman" w:hAnsi="Times New Roman" w:cs="Times New Roman"/>
          <w:bCs/>
          <w:i/>
          <w:sz w:val="24"/>
          <w:szCs w:val="24"/>
        </w:rPr>
        <w:t> [1957]</w:t>
      </w:r>
      <w:r w:rsidR="006B5527">
        <w:rPr>
          <w:rFonts w:ascii="Times New Roman" w:hAnsi="Times New Roman" w:cs="Times New Roman"/>
          <w:bCs/>
          <w:i/>
          <w:sz w:val="24"/>
          <w:szCs w:val="24"/>
        </w:rPr>
        <w:t xml:space="preserve">, </w:t>
      </w:r>
      <w:r w:rsidR="006B5527">
        <w:rPr>
          <w:rFonts w:ascii="Times New Roman" w:hAnsi="Times New Roman" w:cs="Times New Roman"/>
          <w:bCs/>
          <w:sz w:val="24"/>
          <w:szCs w:val="24"/>
        </w:rPr>
        <w:t xml:space="preserve">the stated that malice aforethought could be inferred where a person produced or took a lethal weapon and used it on the victim with the intention of causing them grievous bodily harm that resulted in their death. In this case, Polly is guilty of murder as he satisfies the two elements in that she unlawfully smashed </w:t>
      </w:r>
      <w:r w:rsidR="00A45A70">
        <w:rPr>
          <w:rFonts w:ascii="Times New Roman" w:hAnsi="Times New Roman" w:cs="Times New Roman"/>
          <w:bCs/>
          <w:sz w:val="24"/>
          <w:szCs w:val="24"/>
        </w:rPr>
        <w:t xml:space="preserve">Mohammed’s head using a glass ashtray leading to his death. </w:t>
      </w:r>
    </w:p>
    <w:p w14:paraId="1438CC36" w14:textId="77777777" w:rsidR="00A45A70" w:rsidRDefault="00A45A70" w:rsidP="00A45A70">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Potential Defenses </w:t>
      </w:r>
    </w:p>
    <w:p w14:paraId="61FEE31F" w14:textId="77777777" w:rsidR="00A45A70" w:rsidRDefault="00A45A70" w:rsidP="00A45A70">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Based on the above offenses, the potential defense for the murder committed would be a partial defense. Specifically, the defense of diminished responsibility, which would reduce the murder offense to voluntary manslaughter</w:t>
      </w:r>
      <w:r w:rsidR="003D34B1" w:rsidRPr="003D34B1">
        <w:t xml:space="preserve"> </w:t>
      </w:r>
      <w:r w:rsidR="003D34B1" w:rsidRPr="003D34B1">
        <w:rPr>
          <w:rFonts w:ascii="Times New Roman" w:hAnsi="Times New Roman" w:cs="Times New Roman"/>
          <w:bCs/>
          <w:sz w:val="24"/>
          <w:szCs w:val="24"/>
        </w:rPr>
        <w:t>(</w:t>
      </w:r>
      <w:proofErr w:type="spellStart"/>
      <w:r w:rsidR="003D34B1" w:rsidRPr="003D34B1">
        <w:rPr>
          <w:rFonts w:ascii="Times New Roman" w:hAnsi="Times New Roman" w:cs="Times New Roman"/>
          <w:bCs/>
          <w:sz w:val="24"/>
          <w:szCs w:val="24"/>
        </w:rPr>
        <w:t>Kennefick</w:t>
      </w:r>
      <w:proofErr w:type="spellEnd"/>
      <w:r w:rsidR="003D34B1" w:rsidRPr="003D34B1">
        <w:rPr>
          <w:rFonts w:ascii="Times New Roman" w:hAnsi="Times New Roman" w:cs="Times New Roman"/>
          <w:bCs/>
          <w:sz w:val="24"/>
          <w:szCs w:val="24"/>
        </w:rPr>
        <w:t>, 2011)</w:t>
      </w:r>
      <w:r>
        <w:rPr>
          <w:rFonts w:ascii="Times New Roman" w:hAnsi="Times New Roman" w:cs="Times New Roman"/>
          <w:bCs/>
          <w:sz w:val="24"/>
          <w:szCs w:val="24"/>
        </w:rPr>
        <w:t xml:space="preserve">. This defense is recognized under section 2 of the Homicide Act 1957. The aforementioned provision states that an individual liable for killing or a party thereto </w:t>
      </w:r>
      <w:proofErr w:type="gramStart"/>
      <w:r>
        <w:rPr>
          <w:rFonts w:ascii="Times New Roman" w:hAnsi="Times New Roman" w:cs="Times New Roman"/>
          <w:bCs/>
          <w:sz w:val="24"/>
          <w:szCs w:val="24"/>
        </w:rPr>
        <w:t>is not be</w:t>
      </w:r>
      <w:proofErr w:type="gramEnd"/>
      <w:r>
        <w:rPr>
          <w:rFonts w:ascii="Times New Roman" w:hAnsi="Times New Roman" w:cs="Times New Roman"/>
          <w:bCs/>
          <w:sz w:val="24"/>
          <w:szCs w:val="24"/>
        </w:rPr>
        <w:t xml:space="preserve"> convicted for murder if they were suffering from an abnormality in their mental functioning. Section </w:t>
      </w:r>
      <w:r w:rsidR="003D34B1">
        <w:rPr>
          <w:rFonts w:ascii="Times New Roman" w:hAnsi="Times New Roman" w:cs="Times New Roman"/>
          <w:bCs/>
          <w:sz w:val="24"/>
          <w:szCs w:val="24"/>
        </w:rPr>
        <w:t xml:space="preserve">2 </w:t>
      </w:r>
      <w:r>
        <w:rPr>
          <w:rFonts w:ascii="Times New Roman" w:hAnsi="Times New Roman" w:cs="Times New Roman"/>
          <w:bCs/>
          <w:sz w:val="24"/>
          <w:szCs w:val="24"/>
        </w:rPr>
        <w:t xml:space="preserve">provides that </w:t>
      </w:r>
      <w:proofErr w:type="gramStart"/>
      <w:r>
        <w:rPr>
          <w:rFonts w:ascii="Times New Roman" w:hAnsi="Times New Roman" w:cs="Times New Roman"/>
          <w:bCs/>
          <w:sz w:val="24"/>
          <w:szCs w:val="24"/>
        </w:rPr>
        <w:t xml:space="preserve">the  </w:t>
      </w:r>
      <w:r w:rsidR="006A27C5">
        <w:rPr>
          <w:rFonts w:ascii="Times New Roman" w:hAnsi="Times New Roman" w:cs="Times New Roman"/>
          <w:bCs/>
          <w:sz w:val="24"/>
          <w:szCs w:val="24"/>
        </w:rPr>
        <w:t>abnormality</w:t>
      </w:r>
      <w:proofErr w:type="gramEnd"/>
      <w:r w:rsidR="006A27C5">
        <w:rPr>
          <w:rFonts w:ascii="Times New Roman" w:hAnsi="Times New Roman" w:cs="Times New Roman"/>
          <w:bCs/>
          <w:sz w:val="24"/>
          <w:szCs w:val="24"/>
        </w:rPr>
        <w:t xml:space="preserve"> in the defendant’s mental function must arise from a recognized mental condition, substantially impair the defendant’s ability to </w:t>
      </w:r>
      <w:r w:rsidR="006A27C5">
        <w:rPr>
          <w:rFonts w:ascii="Times New Roman" w:hAnsi="Times New Roman" w:cs="Times New Roman"/>
          <w:bCs/>
          <w:sz w:val="24"/>
          <w:szCs w:val="24"/>
        </w:rPr>
        <w:lastRenderedPageBreak/>
        <w:t xml:space="preserve">understand the nature of their actions, exercise self-control, and form a rational judgement, and provides an explanation for the defendant’s acts or omissions in committing the killing. Further section 2(1B) stipulates an individual’s abnormality in mental functioning provides an explanation for their conduct where it causes or significantly contributes </w:t>
      </w:r>
      <w:proofErr w:type="gramStart"/>
      <w:r w:rsidR="006A27C5">
        <w:rPr>
          <w:rFonts w:ascii="Times New Roman" w:hAnsi="Times New Roman" w:cs="Times New Roman"/>
          <w:bCs/>
          <w:sz w:val="24"/>
          <w:szCs w:val="24"/>
        </w:rPr>
        <w:t>in</w:t>
      </w:r>
      <w:proofErr w:type="gramEnd"/>
      <w:r w:rsidR="006A27C5">
        <w:rPr>
          <w:rFonts w:ascii="Times New Roman" w:hAnsi="Times New Roman" w:cs="Times New Roman"/>
          <w:bCs/>
          <w:sz w:val="24"/>
          <w:szCs w:val="24"/>
        </w:rPr>
        <w:t xml:space="preserve"> causing them to engage in the said conduct. The court in </w:t>
      </w:r>
      <w:r w:rsidR="006A27C5" w:rsidRPr="006A27C5">
        <w:rPr>
          <w:rFonts w:ascii="Times New Roman" w:hAnsi="Times New Roman" w:cs="Times New Roman"/>
          <w:bCs/>
          <w:i/>
          <w:iCs/>
          <w:sz w:val="24"/>
          <w:szCs w:val="24"/>
        </w:rPr>
        <w:t>R v Byrne</w:t>
      </w:r>
      <w:r w:rsidR="006A27C5">
        <w:rPr>
          <w:rFonts w:ascii="Times New Roman" w:hAnsi="Times New Roman" w:cs="Times New Roman"/>
          <w:bCs/>
          <w:i/>
          <w:sz w:val="24"/>
          <w:szCs w:val="24"/>
        </w:rPr>
        <w:t xml:space="preserve"> [1960] </w:t>
      </w:r>
      <w:r w:rsidR="006A27C5">
        <w:rPr>
          <w:rFonts w:ascii="Times New Roman" w:hAnsi="Times New Roman" w:cs="Times New Roman"/>
          <w:bCs/>
          <w:sz w:val="24"/>
          <w:szCs w:val="24"/>
        </w:rPr>
        <w:t xml:space="preserve">defined an abnormality of the mind as a mind state different from that of ordinary human beings that a reasonable man would consider it abnormal. </w:t>
      </w:r>
    </w:p>
    <w:p w14:paraId="0A5BFC40" w14:textId="77777777" w:rsidR="006A27C5" w:rsidRDefault="006A27C5" w:rsidP="00A45A70">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Therefore, Polly could raise this defense arguing that she is suffering from </w:t>
      </w:r>
      <w:r w:rsidR="00BD12DD">
        <w:rPr>
          <w:rFonts w:ascii="Times New Roman" w:hAnsi="Times New Roman" w:cs="Times New Roman"/>
          <w:bCs/>
          <w:sz w:val="24"/>
          <w:szCs w:val="24"/>
        </w:rPr>
        <w:t xml:space="preserve">schizophrenia. However, she would bear the burden of proving that her diminished responsibility due to schizophrenia satisfies the elements stipulated in the Homicide Act. In other words, she must prove that he diminished responsibility when conducting the murder arose from a medically recognized condition. In this regard, schizophrenia is </w:t>
      </w:r>
      <w:r>
        <w:rPr>
          <w:rFonts w:ascii="Times New Roman" w:hAnsi="Times New Roman" w:cs="Times New Roman"/>
          <w:bCs/>
          <w:sz w:val="24"/>
          <w:szCs w:val="24"/>
        </w:rPr>
        <w:t xml:space="preserve">a serious mental condition that causes a breakdown in an individual’s </w:t>
      </w:r>
      <w:r w:rsidR="00BD12DD">
        <w:rPr>
          <w:rFonts w:ascii="Times New Roman" w:hAnsi="Times New Roman" w:cs="Times New Roman"/>
          <w:bCs/>
          <w:sz w:val="24"/>
          <w:szCs w:val="24"/>
        </w:rPr>
        <w:t>thought, emotion, and behavior connection. Hence, there would be need to adduce medical evidence in support of the same to prove that the defendant is suffering from a medically recognized condition</w:t>
      </w:r>
      <w:r w:rsidR="003D34B1" w:rsidRPr="003D34B1">
        <w:t xml:space="preserve"> </w:t>
      </w:r>
      <w:r w:rsidR="003D34B1" w:rsidRPr="003D34B1">
        <w:rPr>
          <w:rFonts w:ascii="Times New Roman" w:hAnsi="Times New Roman" w:cs="Times New Roman"/>
          <w:bCs/>
          <w:sz w:val="24"/>
          <w:szCs w:val="24"/>
        </w:rPr>
        <w:t>(</w:t>
      </w:r>
      <w:proofErr w:type="spellStart"/>
      <w:r w:rsidR="003D34B1" w:rsidRPr="003D34B1">
        <w:rPr>
          <w:rFonts w:ascii="Times New Roman" w:hAnsi="Times New Roman" w:cs="Times New Roman"/>
          <w:bCs/>
          <w:sz w:val="24"/>
          <w:szCs w:val="24"/>
        </w:rPr>
        <w:t>Kennefick</w:t>
      </w:r>
      <w:proofErr w:type="spellEnd"/>
      <w:r w:rsidR="003D34B1" w:rsidRPr="003D34B1">
        <w:rPr>
          <w:rFonts w:ascii="Times New Roman" w:hAnsi="Times New Roman" w:cs="Times New Roman"/>
          <w:bCs/>
          <w:sz w:val="24"/>
          <w:szCs w:val="24"/>
        </w:rPr>
        <w:t>, 2011)</w:t>
      </w:r>
      <w:r w:rsidR="00BD12DD">
        <w:rPr>
          <w:rFonts w:ascii="Times New Roman" w:hAnsi="Times New Roman" w:cs="Times New Roman"/>
          <w:bCs/>
          <w:sz w:val="24"/>
          <w:szCs w:val="24"/>
        </w:rPr>
        <w:t xml:space="preserve">. In </w:t>
      </w:r>
      <w:r w:rsidR="00BD12DD">
        <w:rPr>
          <w:rFonts w:ascii="Times New Roman" w:hAnsi="Times New Roman" w:cs="Times New Roman"/>
          <w:bCs/>
          <w:i/>
          <w:sz w:val="24"/>
          <w:szCs w:val="24"/>
        </w:rPr>
        <w:t xml:space="preserve">R v Brennan (2014) </w:t>
      </w:r>
      <w:r w:rsidR="00BD12DD">
        <w:rPr>
          <w:rFonts w:ascii="Times New Roman" w:hAnsi="Times New Roman" w:cs="Times New Roman"/>
          <w:bCs/>
          <w:sz w:val="24"/>
          <w:szCs w:val="24"/>
        </w:rPr>
        <w:t xml:space="preserve">the court held that an expert psychiatrist may be permitted to give their opinion on the elements of the condition. In the case, the court held that where there is medical evidence of diminished responsibility and no other evidence to rebut it, then the court ought to withdraw the murder charge and find the defendant guilty of voluntary of manslaughter.  </w:t>
      </w:r>
      <w:r w:rsidR="00942321">
        <w:rPr>
          <w:rFonts w:ascii="Times New Roman" w:hAnsi="Times New Roman" w:cs="Times New Roman"/>
          <w:bCs/>
          <w:sz w:val="24"/>
          <w:szCs w:val="24"/>
        </w:rPr>
        <w:t xml:space="preserve">Additionally, Polly could argue that her abnormality in mental function was a significant cause of her action as </w:t>
      </w:r>
      <w:r w:rsidR="00BD12DD">
        <w:rPr>
          <w:rFonts w:ascii="Times New Roman" w:hAnsi="Times New Roman" w:cs="Times New Roman"/>
          <w:bCs/>
          <w:sz w:val="24"/>
          <w:szCs w:val="24"/>
        </w:rPr>
        <w:t>schizophrenia lead</w:t>
      </w:r>
      <w:r w:rsidR="00942321">
        <w:rPr>
          <w:rFonts w:ascii="Times New Roman" w:hAnsi="Times New Roman" w:cs="Times New Roman"/>
          <w:bCs/>
          <w:sz w:val="24"/>
          <w:szCs w:val="24"/>
        </w:rPr>
        <w:t>s</w:t>
      </w:r>
      <w:r w:rsidR="00BD12DD">
        <w:rPr>
          <w:rFonts w:ascii="Times New Roman" w:hAnsi="Times New Roman" w:cs="Times New Roman"/>
          <w:bCs/>
          <w:sz w:val="24"/>
          <w:szCs w:val="24"/>
        </w:rPr>
        <w:t xml:space="preserve"> to faulty perception and inappropriate behavior. </w:t>
      </w:r>
    </w:p>
    <w:p w14:paraId="05E8CA84" w14:textId="77777777" w:rsidR="00942321" w:rsidRDefault="00942321" w:rsidP="00942321">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Conclusion</w:t>
      </w:r>
    </w:p>
    <w:p w14:paraId="4EADE452" w14:textId="77777777" w:rsidR="00942321" w:rsidRDefault="00942321" w:rsidP="00942321">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In conclusion, the above analysis indicates that Polly could be found guilty of the offenses of aggravated criminal damage and murder based on the facts of the scenario. Aggravated criminal </w:t>
      </w:r>
      <w:r>
        <w:rPr>
          <w:rFonts w:ascii="Times New Roman" w:hAnsi="Times New Roman" w:cs="Times New Roman"/>
          <w:bCs/>
          <w:sz w:val="24"/>
          <w:szCs w:val="24"/>
        </w:rPr>
        <w:lastRenderedPageBreak/>
        <w:t xml:space="preserve">damage arises from the fact that severing the brake cables of Roxanne’s moped would endanger her life and safety as it would cause her to lose control and crash into something causing injuries. On the other hand, smashing Mohammed’s head sufficiently meets the requirements of murder. However, </w:t>
      </w:r>
      <w:proofErr w:type="gramStart"/>
      <w:r>
        <w:rPr>
          <w:rFonts w:ascii="Times New Roman" w:hAnsi="Times New Roman" w:cs="Times New Roman"/>
          <w:bCs/>
          <w:sz w:val="24"/>
          <w:szCs w:val="24"/>
        </w:rPr>
        <w:t>with regard to</w:t>
      </w:r>
      <w:proofErr w:type="gramEnd"/>
      <w:r>
        <w:rPr>
          <w:rFonts w:ascii="Times New Roman" w:hAnsi="Times New Roman" w:cs="Times New Roman"/>
          <w:bCs/>
          <w:sz w:val="24"/>
          <w:szCs w:val="24"/>
        </w:rPr>
        <w:t xml:space="preserve"> the latter offense, Polly could claim the defense of diminished responsibility due to her mental illness. </w:t>
      </w:r>
    </w:p>
    <w:p w14:paraId="001D0ABD" w14:textId="77777777" w:rsidR="00942321" w:rsidRDefault="00942321" w:rsidP="00942321">
      <w:pPr>
        <w:spacing w:line="480" w:lineRule="auto"/>
        <w:jc w:val="both"/>
        <w:rPr>
          <w:rFonts w:ascii="Times New Roman" w:hAnsi="Times New Roman" w:cs="Times New Roman"/>
          <w:bCs/>
          <w:sz w:val="24"/>
          <w:szCs w:val="24"/>
        </w:rPr>
      </w:pPr>
    </w:p>
    <w:p w14:paraId="7531AC2E" w14:textId="77777777" w:rsidR="00942321" w:rsidRDefault="00942321" w:rsidP="00942321">
      <w:pPr>
        <w:spacing w:line="480" w:lineRule="auto"/>
        <w:jc w:val="both"/>
        <w:rPr>
          <w:rFonts w:ascii="Times New Roman" w:hAnsi="Times New Roman" w:cs="Times New Roman"/>
          <w:bCs/>
          <w:sz w:val="24"/>
          <w:szCs w:val="24"/>
        </w:rPr>
      </w:pPr>
    </w:p>
    <w:p w14:paraId="0DA75168" w14:textId="77777777" w:rsidR="00942321" w:rsidRDefault="00942321" w:rsidP="00942321">
      <w:pPr>
        <w:spacing w:line="480" w:lineRule="auto"/>
        <w:jc w:val="both"/>
        <w:rPr>
          <w:rFonts w:ascii="Times New Roman" w:hAnsi="Times New Roman" w:cs="Times New Roman"/>
          <w:bCs/>
          <w:sz w:val="24"/>
          <w:szCs w:val="24"/>
        </w:rPr>
      </w:pPr>
    </w:p>
    <w:p w14:paraId="66EACBD6" w14:textId="77777777" w:rsidR="00942321" w:rsidRDefault="00942321" w:rsidP="00942321">
      <w:pPr>
        <w:spacing w:line="480" w:lineRule="auto"/>
        <w:jc w:val="both"/>
        <w:rPr>
          <w:rFonts w:ascii="Times New Roman" w:hAnsi="Times New Roman" w:cs="Times New Roman"/>
          <w:bCs/>
          <w:sz w:val="24"/>
          <w:szCs w:val="24"/>
        </w:rPr>
      </w:pPr>
    </w:p>
    <w:p w14:paraId="589AAE67" w14:textId="77777777" w:rsidR="00942321" w:rsidRDefault="00942321" w:rsidP="00942321">
      <w:pPr>
        <w:spacing w:line="480" w:lineRule="auto"/>
        <w:jc w:val="both"/>
        <w:rPr>
          <w:rFonts w:ascii="Times New Roman" w:hAnsi="Times New Roman" w:cs="Times New Roman"/>
          <w:bCs/>
          <w:sz w:val="24"/>
          <w:szCs w:val="24"/>
        </w:rPr>
      </w:pPr>
    </w:p>
    <w:p w14:paraId="41218135" w14:textId="77777777" w:rsidR="00942321" w:rsidRDefault="00942321" w:rsidP="00942321">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References </w:t>
      </w:r>
    </w:p>
    <w:p w14:paraId="3D669549" w14:textId="77777777" w:rsidR="003D34B1" w:rsidRDefault="003D34B1" w:rsidP="00942321">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Criminal Damage Act 1971</w:t>
      </w:r>
    </w:p>
    <w:p w14:paraId="2379F2DA" w14:textId="77777777" w:rsidR="003D34B1" w:rsidRDefault="003D34B1" w:rsidP="00942321">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Homicide Act 1957</w:t>
      </w:r>
    </w:p>
    <w:p w14:paraId="18666D2A" w14:textId="77777777" w:rsidR="003D34B1" w:rsidRPr="003D34B1" w:rsidRDefault="003D34B1" w:rsidP="00942321">
      <w:pPr>
        <w:spacing w:line="480" w:lineRule="auto"/>
        <w:jc w:val="both"/>
        <w:rPr>
          <w:rFonts w:ascii="Times New Roman" w:hAnsi="Times New Roman" w:cs="Times New Roman"/>
          <w:bCs/>
          <w:sz w:val="24"/>
          <w:szCs w:val="24"/>
        </w:rPr>
      </w:pPr>
      <w:proofErr w:type="spellStart"/>
      <w:r w:rsidRPr="003D34B1">
        <w:rPr>
          <w:rFonts w:ascii="Times New Roman" w:hAnsi="Times New Roman" w:cs="Times New Roman"/>
          <w:bCs/>
          <w:sz w:val="24"/>
          <w:szCs w:val="24"/>
        </w:rPr>
        <w:t>Kennefick</w:t>
      </w:r>
      <w:proofErr w:type="spellEnd"/>
      <w:r w:rsidRPr="003D34B1">
        <w:rPr>
          <w:rFonts w:ascii="Times New Roman" w:hAnsi="Times New Roman" w:cs="Times New Roman"/>
          <w:bCs/>
          <w:sz w:val="24"/>
          <w:szCs w:val="24"/>
        </w:rPr>
        <w:t xml:space="preserve">, L. (2011) ‘Introducing a new diminished responsibility </w:t>
      </w:r>
      <w:proofErr w:type="spellStart"/>
      <w:r w:rsidRPr="003D34B1">
        <w:rPr>
          <w:rFonts w:ascii="Times New Roman" w:hAnsi="Times New Roman" w:cs="Times New Roman"/>
          <w:bCs/>
          <w:sz w:val="24"/>
          <w:szCs w:val="24"/>
        </w:rPr>
        <w:t>defence</w:t>
      </w:r>
      <w:proofErr w:type="spellEnd"/>
      <w:r w:rsidRPr="003D34B1">
        <w:rPr>
          <w:rFonts w:ascii="Times New Roman" w:hAnsi="Times New Roman" w:cs="Times New Roman"/>
          <w:bCs/>
          <w:sz w:val="24"/>
          <w:szCs w:val="24"/>
        </w:rPr>
        <w:t xml:space="preserve"> for </w:t>
      </w:r>
      <w:proofErr w:type="spellStart"/>
      <w:r w:rsidRPr="003D34B1">
        <w:rPr>
          <w:rFonts w:ascii="Times New Roman" w:hAnsi="Times New Roman" w:cs="Times New Roman"/>
          <w:bCs/>
          <w:sz w:val="24"/>
          <w:szCs w:val="24"/>
        </w:rPr>
        <w:t>england</w:t>
      </w:r>
      <w:proofErr w:type="spellEnd"/>
      <w:r w:rsidRPr="003D34B1">
        <w:rPr>
          <w:rFonts w:ascii="Times New Roman" w:hAnsi="Times New Roman" w:cs="Times New Roman"/>
          <w:bCs/>
          <w:sz w:val="24"/>
          <w:szCs w:val="24"/>
        </w:rPr>
        <w:t xml:space="preserve"> and wales: diminished responsibility’, </w:t>
      </w:r>
      <w:r w:rsidRPr="003D34B1">
        <w:rPr>
          <w:rFonts w:ascii="Times New Roman" w:hAnsi="Times New Roman" w:cs="Times New Roman"/>
          <w:bCs/>
          <w:i/>
          <w:iCs/>
          <w:sz w:val="24"/>
          <w:szCs w:val="24"/>
        </w:rPr>
        <w:t>The Modern Law Review</w:t>
      </w:r>
      <w:r w:rsidRPr="003D34B1">
        <w:rPr>
          <w:rFonts w:ascii="Times New Roman" w:hAnsi="Times New Roman" w:cs="Times New Roman"/>
          <w:bCs/>
          <w:sz w:val="24"/>
          <w:szCs w:val="24"/>
        </w:rPr>
        <w:t>, 74(5), pp. 750–766. Available at: https://doi.org/10.1111/j.1468-2230.2011.00869.x.</w:t>
      </w:r>
    </w:p>
    <w:p w14:paraId="2C76A12D" w14:textId="77777777" w:rsidR="003D34B1" w:rsidRDefault="003D34B1" w:rsidP="00942321">
      <w:pPr>
        <w:spacing w:line="480" w:lineRule="auto"/>
        <w:jc w:val="both"/>
        <w:rPr>
          <w:rFonts w:ascii="Times New Roman" w:hAnsi="Times New Roman" w:cs="Times New Roman"/>
          <w:bCs/>
          <w:sz w:val="24"/>
          <w:szCs w:val="24"/>
        </w:rPr>
      </w:pPr>
      <w:r w:rsidRPr="003D34B1">
        <w:rPr>
          <w:rFonts w:ascii="Times New Roman" w:hAnsi="Times New Roman" w:cs="Times New Roman"/>
          <w:bCs/>
          <w:i/>
          <w:sz w:val="24"/>
          <w:szCs w:val="24"/>
        </w:rPr>
        <w:t>R v Brennan (2014)</w:t>
      </w:r>
      <w:r>
        <w:rPr>
          <w:rFonts w:ascii="Times New Roman" w:hAnsi="Times New Roman" w:cs="Times New Roman"/>
          <w:bCs/>
          <w:sz w:val="24"/>
          <w:szCs w:val="24"/>
        </w:rPr>
        <w:t xml:space="preserve"> EWCA Crim 2387</w:t>
      </w:r>
    </w:p>
    <w:p w14:paraId="5E1208AC" w14:textId="77777777" w:rsidR="003D34B1" w:rsidRDefault="003D34B1" w:rsidP="00942321">
      <w:pPr>
        <w:spacing w:line="480" w:lineRule="auto"/>
        <w:jc w:val="both"/>
        <w:rPr>
          <w:rFonts w:ascii="Times New Roman" w:hAnsi="Times New Roman" w:cs="Times New Roman"/>
          <w:bCs/>
          <w:sz w:val="24"/>
          <w:szCs w:val="24"/>
        </w:rPr>
      </w:pPr>
      <w:r w:rsidRPr="003D34B1">
        <w:rPr>
          <w:rFonts w:ascii="Times New Roman" w:hAnsi="Times New Roman" w:cs="Times New Roman"/>
          <w:bCs/>
          <w:i/>
          <w:iCs/>
          <w:sz w:val="24"/>
          <w:szCs w:val="24"/>
        </w:rPr>
        <w:t>R v Byrne</w:t>
      </w:r>
      <w:r w:rsidRPr="003D34B1">
        <w:rPr>
          <w:rFonts w:ascii="Times New Roman" w:hAnsi="Times New Roman" w:cs="Times New Roman"/>
          <w:bCs/>
          <w:sz w:val="24"/>
          <w:szCs w:val="24"/>
        </w:rPr>
        <w:t> [1960] 2 QB 396</w:t>
      </w:r>
    </w:p>
    <w:p w14:paraId="74E399B4" w14:textId="77777777" w:rsidR="003D34B1" w:rsidRPr="003D34B1" w:rsidRDefault="003D34B1" w:rsidP="00942321">
      <w:pPr>
        <w:spacing w:line="480" w:lineRule="auto"/>
        <w:jc w:val="both"/>
        <w:rPr>
          <w:rFonts w:ascii="Times New Roman" w:hAnsi="Times New Roman" w:cs="Times New Roman"/>
          <w:bCs/>
          <w:sz w:val="24"/>
          <w:szCs w:val="24"/>
        </w:rPr>
      </w:pPr>
      <w:r w:rsidRPr="003D34B1">
        <w:rPr>
          <w:rFonts w:ascii="Times New Roman" w:hAnsi="Times New Roman" w:cs="Times New Roman"/>
          <w:bCs/>
          <w:i/>
          <w:iCs/>
          <w:sz w:val="24"/>
          <w:szCs w:val="24"/>
        </w:rPr>
        <w:t>R v Cunningham</w:t>
      </w:r>
      <w:r w:rsidRPr="003D34B1">
        <w:rPr>
          <w:rFonts w:ascii="Times New Roman" w:hAnsi="Times New Roman" w:cs="Times New Roman"/>
          <w:bCs/>
          <w:sz w:val="24"/>
          <w:szCs w:val="24"/>
        </w:rPr>
        <w:t> [1957] 2 QB 396</w:t>
      </w:r>
    </w:p>
    <w:p w14:paraId="5A8C8BD2" w14:textId="77777777" w:rsidR="00942321" w:rsidRPr="00942321" w:rsidRDefault="00942321" w:rsidP="00942321">
      <w:pPr>
        <w:spacing w:line="480" w:lineRule="auto"/>
        <w:jc w:val="both"/>
        <w:rPr>
          <w:rFonts w:ascii="Times New Roman" w:hAnsi="Times New Roman" w:cs="Times New Roman"/>
          <w:bCs/>
          <w:sz w:val="24"/>
          <w:szCs w:val="24"/>
        </w:rPr>
      </w:pPr>
      <w:r w:rsidRPr="00942321">
        <w:rPr>
          <w:rFonts w:ascii="Times New Roman" w:hAnsi="Times New Roman" w:cs="Times New Roman"/>
          <w:bCs/>
          <w:i/>
          <w:iCs/>
          <w:sz w:val="24"/>
          <w:szCs w:val="24"/>
        </w:rPr>
        <w:t xml:space="preserve">R v </w:t>
      </w:r>
      <w:proofErr w:type="spellStart"/>
      <w:r w:rsidRPr="00942321">
        <w:rPr>
          <w:rFonts w:ascii="Times New Roman" w:hAnsi="Times New Roman" w:cs="Times New Roman"/>
          <w:bCs/>
          <w:i/>
          <w:iCs/>
          <w:sz w:val="24"/>
          <w:szCs w:val="24"/>
        </w:rPr>
        <w:t>Fiak</w:t>
      </w:r>
      <w:proofErr w:type="spellEnd"/>
      <w:r w:rsidRPr="00942321">
        <w:rPr>
          <w:rFonts w:ascii="Times New Roman" w:hAnsi="Times New Roman" w:cs="Times New Roman"/>
          <w:bCs/>
          <w:sz w:val="24"/>
          <w:szCs w:val="24"/>
        </w:rPr>
        <w:t> [2005] EWCA Crim 2381</w:t>
      </w:r>
    </w:p>
    <w:p w14:paraId="5CDCD3D3" w14:textId="77777777" w:rsidR="00942321" w:rsidRPr="00942321" w:rsidRDefault="00942321" w:rsidP="00942321">
      <w:pPr>
        <w:spacing w:line="480" w:lineRule="auto"/>
        <w:jc w:val="both"/>
        <w:rPr>
          <w:rFonts w:ascii="Times New Roman" w:hAnsi="Times New Roman" w:cs="Times New Roman"/>
          <w:bCs/>
          <w:sz w:val="24"/>
          <w:szCs w:val="24"/>
        </w:rPr>
      </w:pPr>
      <w:r w:rsidRPr="00942321">
        <w:rPr>
          <w:rFonts w:ascii="Times New Roman" w:hAnsi="Times New Roman" w:cs="Times New Roman"/>
          <w:bCs/>
          <w:i/>
          <w:iCs/>
          <w:sz w:val="24"/>
          <w:szCs w:val="24"/>
        </w:rPr>
        <w:lastRenderedPageBreak/>
        <w:t>Roper v Knott</w:t>
      </w:r>
      <w:r w:rsidRPr="00942321">
        <w:rPr>
          <w:rFonts w:ascii="Times New Roman" w:hAnsi="Times New Roman" w:cs="Times New Roman"/>
          <w:bCs/>
          <w:sz w:val="24"/>
          <w:szCs w:val="24"/>
        </w:rPr>
        <w:t> [1898] 1 QB 868</w:t>
      </w:r>
    </w:p>
    <w:p w14:paraId="1EB72C02" w14:textId="77777777" w:rsidR="00942321" w:rsidRDefault="00942321" w:rsidP="00942321">
      <w:pPr>
        <w:spacing w:line="480" w:lineRule="auto"/>
        <w:jc w:val="both"/>
        <w:rPr>
          <w:rFonts w:ascii="Times New Roman" w:hAnsi="Times New Roman" w:cs="Times New Roman"/>
          <w:bCs/>
          <w:sz w:val="24"/>
          <w:szCs w:val="24"/>
        </w:rPr>
      </w:pPr>
      <w:r w:rsidRPr="00942321">
        <w:rPr>
          <w:rFonts w:ascii="Times New Roman" w:hAnsi="Times New Roman" w:cs="Times New Roman"/>
          <w:bCs/>
          <w:i/>
          <w:iCs/>
          <w:sz w:val="24"/>
          <w:szCs w:val="24"/>
        </w:rPr>
        <w:t>R v Steer</w:t>
      </w:r>
      <w:r w:rsidRPr="00942321">
        <w:rPr>
          <w:rFonts w:ascii="Times New Roman" w:hAnsi="Times New Roman" w:cs="Times New Roman"/>
          <w:bCs/>
          <w:sz w:val="24"/>
          <w:szCs w:val="24"/>
        </w:rPr>
        <w:t> [1988] 1 AC 111</w:t>
      </w:r>
    </w:p>
    <w:p w14:paraId="742000D8" w14:textId="77777777" w:rsidR="003D34B1" w:rsidRPr="003D34B1" w:rsidRDefault="003D34B1" w:rsidP="00942321">
      <w:pPr>
        <w:spacing w:line="480" w:lineRule="auto"/>
        <w:jc w:val="both"/>
        <w:rPr>
          <w:rFonts w:ascii="Times New Roman" w:hAnsi="Times New Roman" w:cs="Times New Roman"/>
          <w:bCs/>
          <w:sz w:val="24"/>
          <w:szCs w:val="24"/>
        </w:rPr>
      </w:pPr>
      <w:r w:rsidRPr="003D34B1">
        <w:rPr>
          <w:rFonts w:ascii="Times New Roman" w:hAnsi="Times New Roman" w:cs="Times New Roman"/>
          <w:bCs/>
          <w:i/>
          <w:iCs/>
          <w:sz w:val="24"/>
          <w:szCs w:val="24"/>
        </w:rPr>
        <w:t>R v Vickers</w:t>
      </w:r>
      <w:r w:rsidRPr="003D34B1">
        <w:rPr>
          <w:rFonts w:ascii="Times New Roman" w:hAnsi="Times New Roman" w:cs="Times New Roman"/>
          <w:bCs/>
          <w:sz w:val="24"/>
          <w:szCs w:val="24"/>
        </w:rPr>
        <w:t> [1957] 2 QB 664</w:t>
      </w:r>
    </w:p>
    <w:p w14:paraId="0ACD608C" w14:textId="77777777" w:rsidR="00942321" w:rsidRDefault="00942321" w:rsidP="00942321">
      <w:pPr>
        <w:spacing w:line="480" w:lineRule="auto"/>
        <w:jc w:val="both"/>
        <w:rPr>
          <w:rFonts w:ascii="Times New Roman" w:hAnsi="Times New Roman" w:cs="Times New Roman"/>
          <w:bCs/>
          <w:sz w:val="24"/>
          <w:szCs w:val="24"/>
        </w:rPr>
      </w:pPr>
      <w:r w:rsidRPr="00942321">
        <w:rPr>
          <w:rFonts w:ascii="Times New Roman" w:hAnsi="Times New Roman" w:cs="Times New Roman"/>
          <w:bCs/>
          <w:i/>
          <w:iCs/>
          <w:sz w:val="24"/>
          <w:szCs w:val="24"/>
        </w:rPr>
        <w:t xml:space="preserve">R v </w:t>
      </w:r>
      <w:proofErr w:type="spellStart"/>
      <w:r w:rsidRPr="00942321">
        <w:rPr>
          <w:rFonts w:ascii="Times New Roman" w:hAnsi="Times New Roman" w:cs="Times New Roman"/>
          <w:bCs/>
          <w:i/>
          <w:iCs/>
          <w:sz w:val="24"/>
          <w:szCs w:val="24"/>
        </w:rPr>
        <w:t>Wenton</w:t>
      </w:r>
      <w:proofErr w:type="spellEnd"/>
      <w:r w:rsidR="003D34B1">
        <w:rPr>
          <w:rFonts w:ascii="Times New Roman" w:hAnsi="Times New Roman" w:cs="Times New Roman"/>
          <w:bCs/>
          <w:sz w:val="24"/>
          <w:szCs w:val="24"/>
        </w:rPr>
        <w:t> [2010] EWCA Cr</w:t>
      </w:r>
      <w:r w:rsidRPr="00942321">
        <w:rPr>
          <w:rFonts w:ascii="Times New Roman" w:hAnsi="Times New Roman" w:cs="Times New Roman"/>
          <w:bCs/>
          <w:sz w:val="24"/>
          <w:szCs w:val="24"/>
        </w:rPr>
        <w:t>im 2361 </w:t>
      </w:r>
    </w:p>
    <w:p w14:paraId="03FD9AED" w14:textId="77777777" w:rsidR="003D34B1" w:rsidRPr="00942321" w:rsidRDefault="003D34B1" w:rsidP="00942321">
      <w:pPr>
        <w:spacing w:line="480" w:lineRule="auto"/>
        <w:jc w:val="both"/>
        <w:rPr>
          <w:rFonts w:ascii="Times New Roman" w:hAnsi="Times New Roman" w:cs="Times New Roman"/>
          <w:bCs/>
          <w:sz w:val="24"/>
          <w:szCs w:val="24"/>
        </w:rPr>
      </w:pPr>
    </w:p>
    <w:sectPr w:rsidR="003D34B1" w:rsidRPr="00942321">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C65A1" w14:textId="77777777" w:rsidR="00AE7431" w:rsidRDefault="00AE7431" w:rsidP="0077502C">
      <w:pPr>
        <w:spacing w:after="0" w:line="240" w:lineRule="auto"/>
      </w:pPr>
      <w:r>
        <w:separator/>
      </w:r>
    </w:p>
  </w:endnote>
  <w:endnote w:type="continuationSeparator" w:id="0">
    <w:p w14:paraId="51B71EA7" w14:textId="77777777" w:rsidR="00AE7431" w:rsidRDefault="00AE7431" w:rsidP="00775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46D2F" w14:textId="77777777" w:rsidR="00AE7431" w:rsidRDefault="00AE7431" w:rsidP="0077502C">
      <w:pPr>
        <w:spacing w:after="0" w:line="240" w:lineRule="auto"/>
      </w:pPr>
      <w:r>
        <w:separator/>
      </w:r>
    </w:p>
  </w:footnote>
  <w:footnote w:type="continuationSeparator" w:id="0">
    <w:p w14:paraId="637388D5" w14:textId="77777777" w:rsidR="00AE7431" w:rsidRDefault="00AE7431" w:rsidP="007750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6302693"/>
      <w:docPartObj>
        <w:docPartGallery w:val="Page Numbers (Top of Page)"/>
        <w:docPartUnique/>
      </w:docPartObj>
    </w:sdtPr>
    <w:sdtEndPr>
      <w:rPr>
        <w:noProof/>
      </w:rPr>
    </w:sdtEndPr>
    <w:sdtContent>
      <w:p w14:paraId="39E0148A" w14:textId="77777777" w:rsidR="0077502C" w:rsidRDefault="0077502C">
        <w:pPr>
          <w:pStyle w:val="Header"/>
          <w:jc w:val="right"/>
        </w:pPr>
        <w:r>
          <w:fldChar w:fldCharType="begin"/>
        </w:r>
        <w:r>
          <w:instrText xml:space="preserve"> PAGE   \* MERGEFORMAT </w:instrText>
        </w:r>
        <w:r>
          <w:fldChar w:fldCharType="separate"/>
        </w:r>
        <w:r w:rsidR="008B2040">
          <w:rPr>
            <w:noProof/>
          </w:rPr>
          <w:t>1</w:t>
        </w:r>
        <w:r>
          <w:rPr>
            <w:noProof/>
          </w:rPr>
          <w:fldChar w:fldCharType="end"/>
        </w:r>
      </w:p>
    </w:sdtContent>
  </w:sdt>
  <w:p w14:paraId="6480B724" w14:textId="77777777" w:rsidR="0077502C" w:rsidRDefault="007750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02C"/>
    <w:rsid w:val="000F6AEB"/>
    <w:rsid w:val="00251104"/>
    <w:rsid w:val="002F5ECA"/>
    <w:rsid w:val="00390551"/>
    <w:rsid w:val="003D34B1"/>
    <w:rsid w:val="0048376F"/>
    <w:rsid w:val="00571646"/>
    <w:rsid w:val="00650EFE"/>
    <w:rsid w:val="006A27C5"/>
    <w:rsid w:val="006B5527"/>
    <w:rsid w:val="0077502C"/>
    <w:rsid w:val="008104BD"/>
    <w:rsid w:val="008B2040"/>
    <w:rsid w:val="008C03A4"/>
    <w:rsid w:val="00904C96"/>
    <w:rsid w:val="00942321"/>
    <w:rsid w:val="00A45A70"/>
    <w:rsid w:val="00AE7431"/>
    <w:rsid w:val="00BA3F1F"/>
    <w:rsid w:val="00BA4F8D"/>
    <w:rsid w:val="00BD12DD"/>
    <w:rsid w:val="00C14C6F"/>
    <w:rsid w:val="00C43502"/>
    <w:rsid w:val="00C85182"/>
    <w:rsid w:val="00CC70AA"/>
    <w:rsid w:val="00D54F0D"/>
    <w:rsid w:val="00EB3B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22368"/>
  <w15:chartTrackingRefBased/>
  <w15:docId w15:val="{2CAFD230-E2C7-4C46-935E-B15191346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50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502C"/>
  </w:style>
  <w:style w:type="paragraph" w:styleId="Footer">
    <w:name w:val="footer"/>
    <w:basedOn w:val="Normal"/>
    <w:link w:val="FooterChar"/>
    <w:uiPriority w:val="99"/>
    <w:unhideWhenUsed/>
    <w:rsid w:val="007750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50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2100122">
      <w:bodyDiv w:val="1"/>
      <w:marLeft w:val="0"/>
      <w:marRight w:val="0"/>
      <w:marTop w:val="0"/>
      <w:marBottom w:val="0"/>
      <w:divBdr>
        <w:top w:val="none" w:sz="0" w:space="0" w:color="auto"/>
        <w:left w:val="none" w:sz="0" w:space="0" w:color="auto"/>
        <w:bottom w:val="none" w:sz="0" w:space="0" w:color="auto"/>
        <w:right w:val="none" w:sz="0" w:space="0" w:color="auto"/>
      </w:divBdr>
      <w:divsChild>
        <w:div w:id="1415785910">
          <w:marLeft w:val="0"/>
          <w:marRight w:val="0"/>
          <w:marTop w:val="0"/>
          <w:marBottom w:val="0"/>
          <w:divBdr>
            <w:top w:val="none" w:sz="0" w:space="0" w:color="auto"/>
            <w:left w:val="none" w:sz="0" w:space="0" w:color="auto"/>
            <w:bottom w:val="none" w:sz="0" w:space="0" w:color="auto"/>
            <w:right w:val="none" w:sz="0" w:space="0" w:color="auto"/>
          </w:divBdr>
          <w:divsChild>
            <w:div w:id="3881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769621">
      <w:bodyDiv w:val="1"/>
      <w:marLeft w:val="0"/>
      <w:marRight w:val="0"/>
      <w:marTop w:val="0"/>
      <w:marBottom w:val="0"/>
      <w:divBdr>
        <w:top w:val="none" w:sz="0" w:space="0" w:color="auto"/>
        <w:left w:val="none" w:sz="0" w:space="0" w:color="auto"/>
        <w:bottom w:val="none" w:sz="0" w:space="0" w:color="auto"/>
        <w:right w:val="none" w:sz="0" w:space="0" w:color="auto"/>
      </w:divBdr>
      <w:divsChild>
        <w:div w:id="1695883626">
          <w:marLeft w:val="0"/>
          <w:marRight w:val="0"/>
          <w:marTop w:val="0"/>
          <w:marBottom w:val="0"/>
          <w:divBdr>
            <w:top w:val="none" w:sz="0" w:space="0" w:color="auto"/>
            <w:left w:val="none" w:sz="0" w:space="0" w:color="auto"/>
            <w:bottom w:val="none" w:sz="0" w:space="0" w:color="auto"/>
            <w:right w:val="none" w:sz="0" w:space="0" w:color="auto"/>
          </w:divBdr>
          <w:divsChild>
            <w:div w:id="108869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1497</Words>
  <Characters>8535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Renu Miah (2025335)</cp:lastModifiedBy>
  <cp:revision>3</cp:revision>
  <dcterms:created xsi:type="dcterms:W3CDTF">2023-04-19T14:42:00Z</dcterms:created>
  <dcterms:modified xsi:type="dcterms:W3CDTF">2023-05-02T20:41:00Z</dcterms:modified>
</cp:coreProperties>
</file>