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1F40B3" w14:textId="77777777" w:rsidR="00E7301D" w:rsidRPr="00E7301D" w:rsidRDefault="00E7301D" w:rsidP="00E7301D">
      <w:pPr>
        <w:spacing w:before="120" w:after="120" w:line="240" w:lineRule="auto"/>
        <w:jc w:val="center"/>
        <w:rPr>
          <w:rFonts w:eastAsia="Aptos" w:cs="Arial"/>
          <w:color w:val="000000"/>
          <w:lang w:val="en-GB"/>
        </w:rPr>
      </w:pPr>
      <w:r w:rsidRPr="00E7301D">
        <w:rPr>
          <w:rFonts w:eastAsia="Aptos" w:cs="Arial"/>
          <w:noProof/>
          <w:color w:val="000000"/>
          <w:lang w:val="en-GB"/>
        </w:rPr>
        <w:drawing>
          <wp:inline distT="0" distB="0" distL="0" distR="0" wp14:anchorId="77FD15A5" wp14:editId="0805D05A">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601D5B7" w14:textId="77777777" w:rsidR="00E7301D" w:rsidRPr="00E7301D" w:rsidRDefault="00E7301D" w:rsidP="00E7301D">
      <w:pPr>
        <w:spacing w:before="120" w:after="120" w:line="240" w:lineRule="auto"/>
        <w:rPr>
          <w:rFonts w:eastAsia="Aptos" w:cs="Arial"/>
          <w:color w:val="000000"/>
          <w:lang w:val="en-GB"/>
        </w:rPr>
      </w:pPr>
    </w:p>
    <w:p w14:paraId="3D217D48" w14:textId="77777777" w:rsidR="00E7301D" w:rsidRPr="00E7301D" w:rsidRDefault="00E7301D" w:rsidP="00E7301D">
      <w:pPr>
        <w:spacing w:before="120" w:after="120" w:line="240" w:lineRule="auto"/>
        <w:rPr>
          <w:rFonts w:eastAsia="Aptos" w:cs="Arial"/>
          <w:color w:val="000000"/>
          <w:lang w:val="en-GB"/>
        </w:rPr>
      </w:pPr>
    </w:p>
    <w:p w14:paraId="48D00CEC" w14:textId="7AFAE04E"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Student Name:</w:t>
      </w:r>
      <w:r w:rsidR="00022D18">
        <w:rPr>
          <w:rFonts w:eastAsia="Aptos" w:cs="Arial"/>
          <w:b/>
          <w:bCs/>
          <w:color w:val="000000"/>
          <w:lang w:val="en-GB"/>
        </w:rPr>
        <w:t xml:space="preserve"> </w:t>
      </w:r>
      <w:r w:rsidR="00AF1CF4" w:rsidRPr="00AF1CF4">
        <w:rPr>
          <w:rFonts w:eastAsia="Aptos" w:cs="Arial"/>
          <w:b/>
          <w:bCs/>
          <w:color w:val="000000"/>
          <w:lang w:val="en-GB"/>
        </w:rPr>
        <w:t>AYUSH</w:t>
      </w:r>
      <w:r w:rsidR="002A31E2">
        <w:rPr>
          <w:rFonts w:eastAsia="Aptos" w:cs="Arial"/>
          <w:b/>
          <w:bCs/>
          <w:color w:val="000000"/>
          <w:lang w:val="en-GB"/>
        </w:rPr>
        <w:t xml:space="preserve"> CHANDRAKANT PAGARE</w:t>
      </w:r>
    </w:p>
    <w:p w14:paraId="708C846F" w14:textId="77777777" w:rsidR="00E7301D" w:rsidRPr="00E7301D" w:rsidRDefault="00E7301D" w:rsidP="00E7301D">
      <w:pPr>
        <w:spacing w:before="120" w:after="120" w:line="240" w:lineRule="auto"/>
        <w:jc w:val="center"/>
        <w:rPr>
          <w:rFonts w:eastAsia="Aptos" w:cs="Arial"/>
          <w:b/>
          <w:bCs/>
          <w:color w:val="000000"/>
          <w:lang w:val="en-GB"/>
        </w:rPr>
      </w:pPr>
    </w:p>
    <w:p w14:paraId="59C19A32" w14:textId="06A1CF35"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Student ID:</w:t>
      </w:r>
      <w:r w:rsidR="002A31E2">
        <w:rPr>
          <w:rFonts w:eastAsia="Aptos" w:cs="Arial"/>
          <w:b/>
          <w:bCs/>
          <w:color w:val="000000"/>
          <w:lang w:val="en-GB"/>
        </w:rPr>
        <w:t xml:space="preserve"> 2428127</w:t>
      </w:r>
    </w:p>
    <w:p w14:paraId="73456460" w14:textId="77777777" w:rsidR="00E7301D" w:rsidRPr="00E7301D" w:rsidRDefault="00E7301D" w:rsidP="00E7301D">
      <w:pPr>
        <w:spacing w:before="120" w:after="120" w:line="240" w:lineRule="auto"/>
        <w:jc w:val="center"/>
        <w:rPr>
          <w:rFonts w:eastAsia="Aptos" w:cs="Arial"/>
          <w:color w:val="000000"/>
          <w:lang w:val="en-GB"/>
        </w:rPr>
      </w:pPr>
    </w:p>
    <w:p w14:paraId="4828AC83" w14:textId="77777777" w:rsidR="00E7301D" w:rsidRPr="00E7301D" w:rsidRDefault="00E7301D" w:rsidP="00E7301D">
      <w:pPr>
        <w:spacing w:before="120" w:after="120" w:line="240" w:lineRule="auto"/>
        <w:jc w:val="center"/>
        <w:rPr>
          <w:rFonts w:eastAsia="Aptos" w:cs="Arial"/>
          <w:color w:val="000000"/>
          <w:lang w:val="en-GB"/>
        </w:rPr>
      </w:pPr>
    </w:p>
    <w:p w14:paraId="5B6EFE52" w14:textId="2BCE8102"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Module Name: </w:t>
      </w:r>
      <w:r w:rsidR="00AF1CF4" w:rsidRPr="00AF1CF4">
        <w:rPr>
          <w:rFonts w:eastAsia="Aptos" w:cs="Arial"/>
          <w:b/>
          <w:bCs/>
          <w:color w:val="000000"/>
          <w:lang w:val="en-GB"/>
        </w:rPr>
        <w:t>Strategic Management</w:t>
      </w:r>
    </w:p>
    <w:p w14:paraId="4C1F7CBC" w14:textId="77777777" w:rsidR="00E7301D" w:rsidRPr="00E7301D" w:rsidRDefault="00E7301D" w:rsidP="00E7301D">
      <w:pPr>
        <w:spacing w:before="120" w:after="120" w:line="240" w:lineRule="auto"/>
        <w:jc w:val="center"/>
        <w:rPr>
          <w:rFonts w:eastAsia="Aptos" w:cs="Arial"/>
          <w:b/>
          <w:bCs/>
          <w:color w:val="000000"/>
          <w:lang w:val="en-GB"/>
        </w:rPr>
      </w:pPr>
    </w:p>
    <w:p w14:paraId="6F01162E" w14:textId="72A53F79"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Module Code: </w:t>
      </w:r>
      <w:r w:rsidR="00AF1CF4" w:rsidRPr="00AF1CF4">
        <w:rPr>
          <w:rFonts w:eastAsia="Aptos" w:cs="Arial"/>
          <w:b/>
          <w:bCs/>
          <w:color w:val="000000"/>
          <w:lang w:val="en-GB"/>
        </w:rPr>
        <w:t>LCMB7003</w:t>
      </w:r>
    </w:p>
    <w:p w14:paraId="17BCD368" w14:textId="77777777" w:rsidR="00E7301D" w:rsidRPr="00E7301D" w:rsidRDefault="00E7301D" w:rsidP="00E7301D">
      <w:pPr>
        <w:spacing w:before="120" w:after="120" w:line="240" w:lineRule="auto"/>
        <w:jc w:val="center"/>
        <w:rPr>
          <w:rFonts w:eastAsia="Aptos" w:cs="Arial"/>
          <w:b/>
          <w:bCs/>
          <w:color w:val="000000"/>
          <w:lang w:val="en-GB"/>
        </w:rPr>
      </w:pPr>
    </w:p>
    <w:p w14:paraId="204FD93C" w14:textId="77777777" w:rsidR="00E7301D" w:rsidRPr="00E7301D" w:rsidRDefault="00E7301D" w:rsidP="00E7301D">
      <w:pPr>
        <w:spacing w:before="120" w:after="120" w:line="240" w:lineRule="auto"/>
        <w:rPr>
          <w:rFonts w:eastAsia="Aptos" w:cs="Arial"/>
          <w:b/>
          <w:bCs/>
          <w:color w:val="000000"/>
          <w:lang w:val="en-GB"/>
        </w:rPr>
      </w:pPr>
    </w:p>
    <w:p w14:paraId="324DA033" w14:textId="77777777" w:rsidR="00E7301D" w:rsidRPr="00E7301D" w:rsidRDefault="00E7301D" w:rsidP="00E7301D">
      <w:pPr>
        <w:spacing w:before="120" w:after="120" w:line="240" w:lineRule="auto"/>
        <w:jc w:val="center"/>
        <w:rPr>
          <w:rFonts w:eastAsia="Aptos" w:cs="Arial"/>
          <w:b/>
          <w:bCs/>
          <w:color w:val="000000"/>
          <w:lang w:val="en-GB"/>
        </w:rPr>
      </w:pPr>
    </w:p>
    <w:p w14:paraId="7573DE6E" w14:textId="24E6726F"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Lecturer’s Name:</w:t>
      </w:r>
      <w:r w:rsidRPr="00E7301D">
        <w:t xml:space="preserve"> </w:t>
      </w:r>
      <w:r w:rsidR="00AF1CF4" w:rsidRPr="00AF1CF4">
        <w:rPr>
          <w:rFonts w:eastAsia="Aptos" w:cs="Arial"/>
          <w:b/>
          <w:bCs/>
          <w:color w:val="000000"/>
          <w:lang w:val="en-GB"/>
        </w:rPr>
        <w:t>Amare Desta</w:t>
      </w:r>
    </w:p>
    <w:p w14:paraId="6707905A" w14:textId="071915D7"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 </w:t>
      </w:r>
    </w:p>
    <w:p w14:paraId="2839C602" w14:textId="77777777" w:rsidR="00E7301D" w:rsidRPr="00E7301D" w:rsidRDefault="00E7301D" w:rsidP="00E7301D">
      <w:pPr>
        <w:spacing w:before="120" w:after="120" w:line="240" w:lineRule="auto"/>
        <w:jc w:val="center"/>
        <w:rPr>
          <w:rFonts w:eastAsia="Aptos" w:cs="Arial"/>
          <w:b/>
          <w:bCs/>
          <w:color w:val="000000"/>
          <w:lang w:val="en-GB"/>
        </w:rPr>
      </w:pPr>
    </w:p>
    <w:p w14:paraId="53C82D85" w14:textId="77777777" w:rsidR="00E7301D" w:rsidRPr="00E7301D" w:rsidRDefault="00E7301D" w:rsidP="00E7301D">
      <w:pPr>
        <w:spacing w:before="120" w:after="120" w:line="240" w:lineRule="auto"/>
        <w:rPr>
          <w:rFonts w:eastAsia="Aptos" w:cs="Arial"/>
          <w:b/>
          <w:bCs/>
          <w:color w:val="000000"/>
          <w:lang w:val="en-GB"/>
        </w:rPr>
      </w:pPr>
    </w:p>
    <w:p w14:paraId="41871970" w14:textId="2ECB532E" w:rsidR="00E7301D" w:rsidRPr="00E7301D" w:rsidRDefault="00E7301D" w:rsidP="00E7301D">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Work Count: </w:t>
      </w:r>
      <w:r w:rsidR="00EE572D">
        <w:rPr>
          <w:rFonts w:eastAsia="Aptos" w:cs="Arial"/>
          <w:b/>
          <w:bCs/>
          <w:color w:val="000000"/>
          <w:lang w:val="en-GB"/>
        </w:rPr>
        <w:t>5023</w:t>
      </w:r>
    </w:p>
    <w:p w14:paraId="76E7BA85" w14:textId="77777777" w:rsidR="00E7301D" w:rsidRPr="00E7301D" w:rsidRDefault="00E7301D" w:rsidP="00E7301D">
      <w:pPr>
        <w:spacing w:before="120" w:after="120"/>
        <w:jc w:val="center"/>
        <w:rPr>
          <w:rFonts w:eastAsia="Aptos" w:cs="Arial"/>
          <w:b/>
          <w:bCs/>
          <w:color w:val="000000"/>
          <w:lang w:val="en-GB"/>
        </w:rPr>
      </w:pPr>
    </w:p>
    <w:p w14:paraId="4C4C9117" w14:textId="77777777" w:rsidR="00E7301D" w:rsidRPr="00E7301D" w:rsidRDefault="00E7301D" w:rsidP="00E7301D">
      <w:pPr>
        <w:spacing w:before="120" w:after="120"/>
        <w:rPr>
          <w:rFonts w:eastAsia="Aptos" w:cs="Arial"/>
          <w:b/>
          <w:bCs/>
          <w:color w:val="000000"/>
          <w:lang w:val="en-GB"/>
        </w:rPr>
      </w:pPr>
    </w:p>
    <w:p w14:paraId="3066EF75" w14:textId="6C06BEFF" w:rsidR="00E7301D" w:rsidRDefault="00E7301D" w:rsidP="00E7301D">
      <w:pPr>
        <w:spacing w:before="120" w:after="120"/>
        <w:jc w:val="center"/>
        <w:rPr>
          <w:rFonts w:eastAsia="Aptos" w:cs="Arial"/>
          <w:b/>
          <w:bCs/>
          <w:color w:val="000000"/>
          <w:lang w:val="en-GB"/>
        </w:rPr>
      </w:pPr>
      <w:r w:rsidRPr="00E7301D">
        <w:rPr>
          <w:rFonts w:eastAsia="Aptos" w:cs="Arial"/>
          <w:b/>
          <w:bCs/>
          <w:color w:val="000000"/>
          <w:lang w:val="en-GB"/>
        </w:rPr>
        <w:t xml:space="preserve">Term </w:t>
      </w:r>
      <w:r>
        <w:rPr>
          <w:rFonts w:eastAsia="Aptos" w:cs="Arial"/>
          <w:b/>
          <w:bCs/>
          <w:color w:val="000000"/>
          <w:lang w:val="en-GB"/>
        </w:rPr>
        <w:t>2</w:t>
      </w:r>
    </w:p>
    <w:p w14:paraId="59DA3A37" w14:textId="23F83A4E" w:rsidR="00D91825" w:rsidRDefault="00D91825" w:rsidP="00E7301D">
      <w:pPr>
        <w:spacing w:before="120" w:after="120"/>
        <w:jc w:val="center"/>
        <w:rPr>
          <w:rFonts w:eastAsia="Aptos" w:cs="Arial"/>
          <w:b/>
          <w:bCs/>
          <w:color w:val="000000"/>
          <w:lang w:val="en-GB"/>
        </w:rPr>
      </w:pPr>
    </w:p>
    <w:p w14:paraId="04E19283" w14:textId="5C3B0652" w:rsidR="00D91825" w:rsidRDefault="00D91825" w:rsidP="00E7301D">
      <w:pPr>
        <w:spacing w:before="120" w:after="120"/>
        <w:jc w:val="center"/>
        <w:rPr>
          <w:rFonts w:eastAsia="Aptos" w:cs="Arial"/>
          <w:b/>
          <w:bCs/>
          <w:color w:val="000000"/>
          <w:lang w:val="en-GB"/>
        </w:rPr>
      </w:pPr>
    </w:p>
    <w:p w14:paraId="5F6E63D6" w14:textId="77777777" w:rsidR="00D91825" w:rsidRDefault="00D91825">
      <w:pPr>
        <w:spacing w:line="278" w:lineRule="auto"/>
        <w:jc w:val="left"/>
        <w:rPr>
          <w:rFonts w:eastAsia="Aptos" w:cs="Arial"/>
          <w:b/>
          <w:bCs/>
          <w:color w:val="000000"/>
          <w:lang w:val="en-GB"/>
        </w:rPr>
      </w:pPr>
      <w:r>
        <w:rPr>
          <w:rFonts w:eastAsia="Aptos" w:cs="Arial"/>
          <w:b/>
          <w:bCs/>
          <w:color w:val="000000"/>
          <w:lang w:val="en-GB"/>
        </w:rPr>
        <w:br w:type="page"/>
      </w:r>
    </w:p>
    <w:p w14:paraId="74A0987D" w14:textId="77777777" w:rsidR="00964574" w:rsidRDefault="00964574" w:rsidP="00964574">
      <w:pPr>
        <w:pStyle w:val="Heading1"/>
        <w:rPr>
          <w:rFonts w:ascii="Times New Roman" w:hAnsi="Times New Roman"/>
        </w:rPr>
      </w:pPr>
      <w:bookmarkStart w:id="0" w:name="_Toc217239276"/>
      <w:r>
        <w:lastRenderedPageBreak/>
        <w:t>Executive Summary</w:t>
      </w:r>
      <w:bookmarkEnd w:id="0"/>
    </w:p>
    <w:p w14:paraId="63CF2B27" w14:textId="21153893" w:rsidR="00354D61" w:rsidRDefault="00354D61" w:rsidP="00354D61">
      <w:r>
        <w:t>The present report outlines a detailed organisational growth plan to expand Waitrose to the Indian market in a rapidly changing global retail environment updated with forces of globalisation, digitalisation, and changing consumer preferences. The analysis evaluates India as a strategically attractive location, based on its long-term economic development, rapid urbanisation, massively expanding middle-class sector of the population, and increasingly growing interest in high-quality and healthily sourced foodstuffs.</w:t>
      </w:r>
    </w:p>
    <w:p w14:paraId="499BCEF3" w14:textId="1DB4E084" w:rsidR="00D769E5" w:rsidRDefault="00D769E5" w:rsidP="0004302C">
      <w:r w:rsidRPr="00D769E5">
        <w:t>Relying on conventional strategic management frameworks, such as PESTLE analysis and Porters Five Forces, the report assesses macro-environmental and competitive factors in the food and grocery retail market of India suggesting that it is experiencing substantial growth opportunities and structural threats, namely, price sensitivity, regulatory complexity and fragmentation of the supply chains. The</w:t>
      </w:r>
      <w:r>
        <w:t xml:space="preserve"> chosen</w:t>
      </w:r>
      <w:r w:rsidRPr="00D769E5">
        <w:t xml:space="preserve"> mode of entry is a joint-venture, this entry mode is justified in accordance with the OLI (Eclectic) Paradigm because strategic control is combined with sharing risk, regulatory compliance is achieved, and it is easy to acquire local market knowledge.</w:t>
      </w:r>
    </w:p>
    <w:p w14:paraId="51EF07AA" w14:textId="11D5CA0A" w:rsidR="00CF1947" w:rsidRPr="002467D5" w:rsidRDefault="002467D5" w:rsidP="002467D5">
      <w:r>
        <w:t>The competitive strategy suggested is based on the differentiation focus capitalising on Waitrose superior private-label portfolio, ethical sourcing approach, and the high-level omni-channel customer experience. Through integration of these factors, the strategy will be targeted at establishing a strong foothold in the new premium grocery market in India.  To track and facilitate effective implementation, performance evaluation framework has been built with inclusion of principles of Balanced Scorecard and Triple Bottom Line. Such dual framework approach makes the overall evaluation of financial score and customer score, internal process score, learning and growth score, environmental score, social score, and governance score. On the whole, the report finds that structured, ethically based, and locally responsive approach makes Waitrose sustainable in the long run in India.</w:t>
      </w:r>
    </w:p>
    <w:p w14:paraId="77C8D584" w14:textId="77777777" w:rsidR="00D91825" w:rsidRDefault="00D91825">
      <w:pPr>
        <w:spacing w:line="278" w:lineRule="auto"/>
        <w:jc w:val="left"/>
        <w:rPr>
          <w:lang w:val="en-GB"/>
        </w:rPr>
      </w:pPr>
      <w:r>
        <w:rPr>
          <w:lang w:val="en-GB"/>
        </w:rPr>
        <w:br w:type="page"/>
      </w:r>
    </w:p>
    <w:p w14:paraId="0E13EAEC" w14:textId="0E745C16" w:rsidR="00D91825" w:rsidRDefault="007102FC" w:rsidP="00D91825">
      <w:pPr>
        <w:rPr>
          <w:b/>
          <w:bCs/>
          <w:sz w:val="28"/>
          <w:szCs w:val="28"/>
          <w:lang w:val="en-GB"/>
        </w:rPr>
      </w:pPr>
      <w:r w:rsidRPr="007102FC">
        <w:rPr>
          <w:b/>
          <w:bCs/>
          <w:sz w:val="28"/>
          <w:szCs w:val="28"/>
          <w:lang w:val="en-GB"/>
        </w:rPr>
        <w:lastRenderedPageBreak/>
        <w:t>Table of Contents</w:t>
      </w:r>
    </w:p>
    <w:p w14:paraId="6183AB16" w14:textId="0175A55C" w:rsidR="00E63A88" w:rsidRDefault="00D37382">
      <w:pPr>
        <w:pStyle w:val="TOC1"/>
        <w:tabs>
          <w:tab w:val="right" w:leader="dot" w:pos="9350"/>
        </w:tabs>
        <w:rPr>
          <w:rFonts w:asciiTheme="minorHAnsi" w:eastAsiaTheme="minorEastAsia" w:hAnsiTheme="minorHAnsi"/>
          <w:noProof/>
          <w:kern w:val="0"/>
          <w:sz w:val="22"/>
          <w:szCs w:val="22"/>
          <w:lang w:bidi="si-LK"/>
          <w14:ligatures w14:val="none"/>
        </w:rPr>
      </w:pPr>
      <w:r>
        <w:rPr>
          <w:b/>
          <w:bCs/>
          <w:sz w:val="28"/>
          <w:szCs w:val="28"/>
          <w:lang w:val="en-GB"/>
        </w:rPr>
        <w:fldChar w:fldCharType="begin"/>
      </w:r>
      <w:r>
        <w:rPr>
          <w:b/>
          <w:bCs/>
          <w:sz w:val="28"/>
          <w:szCs w:val="28"/>
          <w:lang w:val="en-GB"/>
        </w:rPr>
        <w:instrText xml:space="preserve"> TOC \o "1-3" \h \z \u </w:instrText>
      </w:r>
      <w:r>
        <w:rPr>
          <w:b/>
          <w:bCs/>
          <w:sz w:val="28"/>
          <w:szCs w:val="28"/>
          <w:lang w:val="en-GB"/>
        </w:rPr>
        <w:fldChar w:fldCharType="separate"/>
      </w:r>
      <w:hyperlink w:anchor="_Toc217239276" w:history="1">
        <w:r w:rsidR="00E63A88" w:rsidRPr="008061B4">
          <w:rPr>
            <w:rStyle w:val="Hyperlink"/>
            <w:noProof/>
          </w:rPr>
          <w:t>Executive Summary</w:t>
        </w:r>
        <w:r w:rsidR="00E63A88">
          <w:rPr>
            <w:noProof/>
            <w:webHidden/>
          </w:rPr>
          <w:tab/>
        </w:r>
        <w:r w:rsidR="00E63A88">
          <w:rPr>
            <w:noProof/>
            <w:webHidden/>
          </w:rPr>
          <w:fldChar w:fldCharType="begin"/>
        </w:r>
        <w:r w:rsidR="00E63A88">
          <w:rPr>
            <w:noProof/>
            <w:webHidden/>
          </w:rPr>
          <w:instrText xml:space="preserve"> PAGEREF _Toc217239276 \h </w:instrText>
        </w:r>
        <w:r w:rsidR="00E63A88">
          <w:rPr>
            <w:noProof/>
            <w:webHidden/>
          </w:rPr>
        </w:r>
        <w:r w:rsidR="00E63A88">
          <w:rPr>
            <w:noProof/>
            <w:webHidden/>
          </w:rPr>
          <w:fldChar w:fldCharType="separate"/>
        </w:r>
        <w:r w:rsidR="00E63A88">
          <w:rPr>
            <w:noProof/>
            <w:webHidden/>
          </w:rPr>
          <w:t>2</w:t>
        </w:r>
        <w:r w:rsidR="00E63A88">
          <w:rPr>
            <w:noProof/>
            <w:webHidden/>
          </w:rPr>
          <w:fldChar w:fldCharType="end"/>
        </w:r>
      </w:hyperlink>
    </w:p>
    <w:p w14:paraId="1347491B" w14:textId="4719AEAA"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277" w:history="1">
        <w:r w:rsidR="00E63A88" w:rsidRPr="008061B4">
          <w:rPr>
            <w:rStyle w:val="Hyperlink"/>
            <w:noProof/>
          </w:rPr>
          <w:t>Introduction</w:t>
        </w:r>
        <w:r w:rsidR="00E63A88">
          <w:rPr>
            <w:noProof/>
            <w:webHidden/>
          </w:rPr>
          <w:tab/>
        </w:r>
        <w:r w:rsidR="00E63A88">
          <w:rPr>
            <w:noProof/>
            <w:webHidden/>
          </w:rPr>
          <w:fldChar w:fldCharType="begin"/>
        </w:r>
        <w:r w:rsidR="00E63A88">
          <w:rPr>
            <w:noProof/>
            <w:webHidden/>
          </w:rPr>
          <w:instrText xml:space="preserve"> PAGEREF _Toc217239277 \h </w:instrText>
        </w:r>
        <w:r w:rsidR="00E63A88">
          <w:rPr>
            <w:noProof/>
            <w:webHidden/>
          </w:rPr>
        </w:r>
        <w:r w:rsidR="00E63A88">
          <w:rPr>
            <w:noProof/>
            <w:webHidden/>
          </w:rPr>
          <w:fldChar w:fldCharType="separate"/>
        </w:r>
        <w:r w:rsidR="00E63A88">
          <w:rPr>
            <w:noProof/>
            <w:webHidden/>
          </w:rPr>
          <w:t>6</w:t>
        </w:r>
        <w:r w:rsidR="00E63A88">
          <w:rPr>
            <w:noProof/>
            <w:webHidden/>
          </w:rPr>
          <w:fldChar w:fldCharType="end"/>
        </w:r>
      </w:hyperlink>
    </w:p>
    <w:p w14:paraId="30CC49AE" w14:textId="19FC899A"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278" w:history="1">
        <w:r w:rsidR="00E63A88" w:rsidRPr="008061B4">
          <w:rPr>
            <w:rStyle w:val="Hyperlink"/>
            <w:noProof/>
          </w:rPr>
          <w:t>1. Selection of Organisation and Target Market</w:t>
        </w:r>
        <w:r w:rsidR="00E63A88">
          <w:rPr>
            <w:noProof/>
            <w:webHidden/>
          </w:rPr>
          <w:tab/>
        </w:r>
        <w:r w:rsidR="00E63A88">
          <w:rPr>
            <w:noProof/>
            <w:webHidden/>
          </w:rPr>
          <w:fldChar w:fldCharType="begin"/>
        </w:r>
        <w:r w:rsidR="00E63A88">
          <w:rPr>
            <w:noProof/>
            <w:webHidden/>
          </w:rPr>
          <w:instrText xml:space="preserve"> PAGEREF _Toc217239278 \h </w:instrText>
        </w:r>
        <w:r w:rsidR="00E63A88">
          <w:rPr>
            <w:noProof/>
            <w:webHidden/>
          </w:rPr>
        </w:r>
        <w:r w:rsidR="00E63A88">
          <w:rPr>
            <w:noProof/>
            <w:webHidden/>
          </w:rPr>
          <w:fldChar w:fldCharType="separate"/>
        </w:r>
        <w:r w:rsidR="00E63A88">
          <w:rPr>
            <w:noProof/>
            <w:webHidden/>
          </w:rPr>
          <w:t>6</w:t>
        </w:r>
        <w:r w:rsidR="00E63A88">
          <w:rPr>
            <w:noProof/>
            <w:webHidden/>
          </w:rPr>
          <w:fldChar w:fldCharType="end"/>
        </w:r>
      </w:hyperlink>
    </w:p>
    <w:p w14:paraId="28336CE2" w14:textId="6EBB8C40"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79" w:history="1">
        <w:r w:rsidR="00E63A88" w:rsidRPr="008061B4">
          <w:rPr>
            <w:rStyle w:val="Hyperlink"/>
            <w:noProof/>
          </w:rPr>
          <w:t>1.1 Overview of Waitrose plc</w:t>
        </w:r>
        <w:r w:rsidR="00E63A88">
          <w:rPr>
            <w:noProof/>
            <w:webHidden/>
          </w:rPr>
          <w:tab/>
        </w:r>
        <w:r w:rsidR="00E63A88">
          <w:rPr>
            <w:noProof/>
            <w:webHidden/>
          </w:rPr>
          <w:fldChar w:fldCharType="begin"/>
        </w:r>
        <w:r w:rsidR="00E63A88">
          <w:rPr>
            <w:noProof/>
            <w:webHidden/>
          </w:rPr>
          <w:instrText xml:space="preserve"> PAGEREF _Toc217239279 \h </w:instrText>
        </w:r>
        <w:r w:rsidR="00E63A88">
          <w:rPr>
            <w:noProof/>
            <w:webHidden/>
          </w:rPr>
        </w:r>
        <w:r w:rsidR="00E63A88">
          <w:rPr>
            <w:noProof/>
            <w:webHidden/>
          </w:rPr>
          <w:fldChar w:fldCharType="separate"/>
        </w:r>
        <w:r w:rsidR="00E63A88">
          <w:rPr>
            <w:noProof/>
            <w:webHidden/>
          </w:rPr>
          <w:t>6</w:t>
        </w:r>
        <w:r w:rsidR="00E63A88">
          <w:rPr>
            <w:noProof/>
            <w:webHidden/>
          </w:rPr>
          <w:fldChar w:fldCharType="end"/>
        </w:r>
      </w:hyperlink>
    </w:p>
    <w:p w14:paraId="57E4D751" w14:textId="1448AC07"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80" w:history="1">
        <w:r w:rsidR="00E63A88" w:rsidRPr="008061B4">
          <w:rPr>
            <w:rStyle w:val="Hyperlink"/>
            <w:noProof/>
          </w:rPr>
          <w:t>1.2 Justification for Selecting India</w:t>
        </w:r>
        <w:r w:rsidR="00E63A88">
          <w:rPr>
            <w:noProof/>
            <w:webHidden/>
          </w:rPr>
          <w:tab/>
        </w:r>
        <w:r w:rsidR="00E63A88">
          <w:rPr>
            <w:noProof/>
            <w:webHidden/>
          </w:rPr>
          <w:fldChar w:fldCharType="begin"/>
        </w:r>
        <w:r w:rsidR="00E63A88">
          <w:rPr>
            <w:noProof/>
            <w:webHidden/>
          </w:rPr>
          <w:instrText xml:space="preserve"> PAGEREF _Toc217239280 \h </w:instrText>
        </w:r>
        <w:r w:rsidR="00E63A88">
          <w:rPr>
            <w:noProof/>
            <w:webHidden/>
          </w:rPr>
        </w:r>
        <w:r w:rsidR="00E63A88">
          <w:rPr>
            <w:noProof/>
            <w:webHidden/>
          </w:rPr>
          <w:fldChar w:fldCharType="separate"/>
        </w:r>
        <w:r w:rsidR="00E63A88">
          <w:rPr>
            <w:noProof/>
            <w:webHidden/>
          </w:rPr>
          <w:t>9</w:t>
        </w:r>
        <w:r w:rsidR="00E63A88">
          <w:rPr>
            <w:noProof/>
            <w:webHidden/>
          </w:rPr>
          <w:fldChar w:fldCharType="end"/>
        </w:r>
      </w:hyperlink>
    </w:p>
    <w:p w14:paraId="012527A1" w14:textId="04CE1CB1"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81" w:history="1">
        <w:r w:rsidR="00E63A88" w:rsidRPr="008061B4">
          <w:rPr>
            <w:rStyle w:val="Hyperlink"/>
            <w:noProof/>
          </w:rPr>
          <w:t>1.3 Strategic Fit Between Waitrose and India</w:t>
        </w:r>
        <w:r w:rsidR="00E63A88">
          <w:rPr>
            <w:noProof/>
            <w:webHidden/>
          </w:rPr>
          <w:tab/>
        </w:r>
        <w:r w:rsidR="00E63A88">
          <w:rPr>
            <w:noProof/>
            <w:webHidden/>
          </w:rPr>
          <w:fldChar w:fldCharType="begin"/>
        </w:r>
        <w:r w:rsidR="00E63A88">
          <w:rPr>
            <w:noProof/>
            <w:webHidden/>
          </w:rPr>
          <w:instrText xml:space="preserve"> PAGEREF _Toc217239281 \h </w:instrText>
        </w:r>
        <w:r w:rsidR="00E63A88">
          <w:rPr>
            <w:noProof/>
            <w:webHidden/>
          </w:rPr>
        </w:r>
        <w:r w:rsidR="00E63A88">
          <w:rPr>
            <w:noProof/>
            <w:webHidden/>
          </w:rPr>
          <w:fldChar w:fldCharType="separate"/>
        </w:r>
        <w:r w:rsidR="00E63A88">
          <w:rPr>
            <w:noProof/>
            <w:webHidden/>
          </w:rPr>
          <w:t>11</w:t>
        </w:r>
        <w:r w:rsidR="00E63A88">
          <w:rPr>
            <w:noProof/>
            <w:webHidden/>
          </w:rPr>
          <w:fldChar w:fldCharType="end"/>
        </w:r>
      </w:hyperlink>
    </w:p>
    <w:p w14:paraId="096DFFDE" w14:textId="43C5B4AE"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282" w:history="1">
        <w:r w:rsidR="00E63A88" w:rsidRPr="008061B4">
          <w:rPr>
            <w:rStyle w:val="Hyperlink"/>
            <w:noProof/>
          </w:rPr>
          <w:t>2. Comprehensive Strategic Analysis</w:t>
        </w:r>
        <w:r w:rsidR="00E63A88">
          <w:rPr>
            <w:noProof/>
            <w:webHidden/>
          </w:rPr>
          <w:tab/>
        </w:r>
        <w:r w:rsidR="00E63A88">
          <w:rPr>
            <w:noProof/>
            <w:webHidden/>
          </w:rPr>
          <w:fldChar w:fldCharType="begin"/>
        </w:r>
        <w:r w:rsidR="00E63A88">
          <w:rPr>
            <w:noProof/>
            <w:webHidden/>
          </w:rPr>
          <w:instrText xml:space="preserve"> PAGEREF _Toc217239282 \h </w:instrText>
        </w:r>
        <w:r w:rsidR="00E63A88">
          <w:rPr>
            <w:noProof/>
            <w:webHidden/>
          </w:rPr>
        </w:r>
        <w:r w:rsidR="00E63A88">
          <w:rPr>
            <w:noProof/>
            <w:webHidden/>
          </w:rPr>
          <w:fldChar w:fldCharType="separate"/>
        </w:r>
        <w:r w:rsidR="00E63A88">
          <w:rPr>
            <w:noProof/>
            <w:webHidden/>
          </w:rPr>
          <w:t>12</w:t>
        </w:r>
        <w:r w:rsidR="00E63A88">
          <w:rPr>
            <w:noProof/>
            <w:webHidden/>
          </w:rPr>
          <w:fldChar w:fldCharType="end"/>
        </w:r>
      </w:hyperlink>
    </w:p>
    <w:p w14:paraId="5BFD99DA" w14:textId="02D1273B"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83" w:history="1">
        <w:r w:rsidR="00E63A88" w:rsidRPr="008061B4">
          <w:rPr>
            <w:rStyle w:val="Hyperlink"/>
            <w:noProof/>
          </w:rPr>
          <w:t>2.1 Macro-Environmental Analysis: PESTLE Framework</w:t>
        </w:r>
        <w:r w:rsidR="00E63A88">
          <w:rPr>
            <w:noProof/>
            <w:webHidden/>
          </w:rPr>
          <w:tab/>
        </w:r>
        <w:r w:rsidR="00E63A88">
          <w:rPr>
            <w:noProof/>
            <w:webHidden/>
          </w:rPr>
          <w:fldChar w:fldCharType="begin"/>
        </w:r>
        <w:r w:rsidR="00E63A88">
          <w:rPr>
            <w:noProof/>
            <w:webHidden/>
          </w:rPr>
          <w:instrText xml:space="preserve"> PAGEREF _Toc217239283 \h </w:instrText>
        </w:r>
        <w:r w:rsidR="00E63A88">
          <w:rPr>
            <w:noProof/>
            <w:webHidden/>
          </w:rPr>
        </w:r>
        <w:r w:rsidR="00E63A88">
          <w:rPr>
            <w:noProof/>
            <w:webHidden/>
          </w:rPr>
          <w:fldChar w:fldCharType="separate"/>
        </w:r>
        <w:r w:rsidR="00E63A88">
          <w:rPr>
            <w:noProof/>
            <w:webHidden/>
          </w:rPr>
          <w:t>12</w:t>
        </w:r>
        <w:r w:rsidR="00E63A88">
          <w:rPr>
            <w:noProof/>
            <w:webHidden/>
          </w:rPr>
          <w:fldChar w:fldCharType="end"/>
        </w:r>
      </w:hyperlink>
    </w:p>
    <w:p w14:paraId="2B041A00" w14:textId="669F912B"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84" w:history="1">
        <w:r w:rsidR="00E63A88" w:rsidRPr="008061B4">
          <w:rPr>
            <w:rStyle w:val="Hyperlink"/>
            <w:noProof/>
          </w:rPr>
          <w:t>2.1.1 Critical Evaluation of the PESTLE Framework</w:t>
        </w:r>
        <w:r w:rsidR="00E63A88">
          <w:rPr>
            <w:noProof/>
            <w:webHidden/>
          </w:rPr>
          <w:tab/>
        </w:r>
        <w:r w:rsidR="00E63A88">
          <w:rPr>
            <w:noProof/>
            <w:webHidden/>
          </w:rPr>
          <w:fldChar w:fldCharType="begin"/>
        </w:r>
        <w:r w:rsidR="00E63A88">
          <w:rPr>
            <w:noProof/>
            <w:webHidden/>
          </w:rPr>
          <w:instrText xml:space="preserve"> PAGEREF _Toc217239284 \h </w:instrText>
        </w:r>
        <w:r w:rsidR="00E63A88">
          <w:rPr>
            <w:noProof/>
            <w:webHidden/>
          </w:rPr>
        </w:r>
        <w:r w:rsidR="00E63A88">
          <w:rPr>
            <w:noProof/>
            <w:webHidden/>
          </w:rPr>
          <w:fldChar w:fldCharType="separate"/>
        </w:r>
        <w:r w:rsidR="00E63A88">
          <w:rPr>
            <w:noProof/>
            <w:webHidden/>
          </w:rPr>
          <w:t>16</w:t>
        </w:r>
        <w:r w:rsidR="00E63A88">
          <w:rPr>
            <w:noProof/>
            <w:webHidden/>
          </w:rPr>
          <w:fldChar w:fldCharType="end"/>
        </w:r>
      </w:hyperlink>
    </w:p>
    <w:p w14:paraId="57662D0B" w14:textId="6179A2C2"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85" w:history="1">
        <w:r w:rsidR="00E63A88" w:rsidRPr="008061B4">
          <w:rPr>
            <w:rStyle w:val="Hyperlink"/>
            <w:noProof/>
          </w:rPr>
          <w:t>2.2 Industry and Competitive Analysis</w:t>
        </w:r>
        <w:r w:rsidR="00E63A88">
          <w:rPr>
            <w:noProof/>
            <w:webHidden/>
          </w:rPr>
          <w:tab/>
        </w:r>
        <w:r w:rsidR="00E63A88">
          <w:rPr>
            <w:noProof/>
            <w:webHidden/>
          </w:rPr>
          <w:fldChar w:fldCharType="begin"/>
        </w:r>
        <w:r w:rsidR="00E63A88">
          <w:rPr>
            <w:noProof/>
            <w:webHidden/>
          </w:rPr>
          <w:instrText xml:space="preserve"> PAGEREF _Toc217239285 \h </w:instrText>
        </w:r>
        <w:r w:rsidR="00E63A88">
          <w:rPr>
            <w:noProof/>
            <w:webHidden/>
          </w:rPr>
        </w:r>
        <w:r w:rsidR="00E63A88">
          <w:rPr>
            <w:noProof/>
            <w:webHidden/>
          </w:rPr>
          <w:fldChar w:fldCharType="separate"/>
        </w:r>
        <w:r w:rsidR="00E63A88">
          <w:rPr>
            <w:noProof/>
            <w:webHidden/>
          </w:rPr>
          <w:t>17</w:t>
        </w:r>
        <w:r w:rsidR="00E63A88">
          <w:rPr>
            <w:noProof/>
            <w:webHidden/>
          </w:rPr>
          <w:fldChar w:fldCharType="end"/>
        </w:r>
      </w:hyperlink>
    </w:p>
    <w:p w14:paraId="05DADDEF" w14:textId="63A2F3F2"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86" w:history="1">
        <w:r w:rsidR="00E63A88" w:rsidRPr="008061B4">
          <w:rPr>
            <w:rStyle w:val="Hyperlink"/>
            <w:noProof/>
          </w:rPr>
          <w:t>2.2.1 Porter’s Five Forces Analysis of the Indian Food &amp; Grocery Retail Sector</w:t>
        </w:r>
        <w:r w:rsidR="00E63A88">
          <w:rPr>
            <w:noProof/>
            <w:webHidden/>
          </w:rPr>
          <w:tab/>
        </w:r>
        <w:r w:rsidR="00E63A88">
          <w:rPr>
            <w:noProof/>
            <w:webHidden/>
          </w:rPr>
          <w:fldChar w:fldCharType="begin"/>
        </w:r>
        <w:r w:rsidR="00E63A88">
          <w:rPr>
            <w:noProof/>
            <w:webHidden/>
          </w:rPr>
          <w:instrText xml:space="preserve"> PAGEREF _Toc217239286 \h </w:instrText>
        </w:r>
        <w:r w:rsidR="00E63A88">
          <w:rPr>
            <w:noProof/>
            <w:webHidden/>
          </w:rPr>
        </w:r>
        <w:r w:rsidR="00E63A88">
          <w:rPr>
            <w:noProof/>
            <w:webHidden/>
          </w:rPr>
          <w:fldChar w:fldCharType="separate"/>
        </w:r>
        <w:r w:rsidR="00E63A88">
          <w:rPr>
            <w:noProof/>
            <w:webHidden/>
          </w:rPr>
          <w:t>17</w:t>
        </w:r>
        <w:r w:rsidR="00E63A88">
          <w:rPr>
            <w:noProof/>
            <w:webHidden/>
          </w:rPr>
          <w:fldChar w:fldCharType="end"/>
        </w:r>
      </w:hyperlink>
    </w:p>
    <w:p w14:paraId="3880D29F" w14:textId="4911F862"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87" w:history="1">
        <w:r w:rsidR="00E63A88" w:rsidRPr="008061B4">
          <w:rPr>
            <w:rStyle w:val="Hyperlink"/>
            <w:noProof/>
          </w:rPr>
          <w:t>2.2.2 Strategic Group Mapping</w:t>
        </w:r>
        <w:r w:rsidR="00E63A88">
          <w:rPr>
            <w:noProof/>
            <w:webHidden/>
          </w:rPr>
          <w:tab/>
        </w:r>
        <w:r w:rsidR="00E63A88">
          <w:rPr>
            <w:noProof/>
            <w:webHidden/>
          </w:rPr>
          <w:fldChar w:fldCharType="begin"/>
        </w:r>
        <w:r w:rsidR="00E63A88">
          <w:rPr>
            <w:noProof/>
            <w:webHidden/>
          </w:rPr>
          <w:instrText xml:space="preserve"> PAGEREF _Toc217239287 \h </w:instrText>
        </w:r>
        <w:r w:rsidR="00E63A88">
          <w:rPr>
            <w:noProof/>
            <w:webHidden/>
          </w:rPr>
        </w:r>
        <w:r w:rsidR="00E63A88">
          <w:rPr>
            <w:noProof/>
            <w:webHidden/>
          </w:rPr>
          <w:fldChar w:fldCharType="separate"/>
        </w:r>
        <w:r w:rsidR="00E63A88">
          <w:rPr>
            <w:noProof/>
            <w:webHidden/>
          </w:rPr>
          <w:t>19</w:t>
        </w:r>
        <w:r w:rsidR="00E63A88">
          <w:rPr>
            <w:noProof/>
            <w:webHidden/>
          </w:rPr>
          <w:fldChar w:fldCharType="end"/>
        </w:r>
      </w:hyperlink>
    </w:p>
    <w:p w14:paraId="411CEB76" w14:textId="67F2DBBD"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88" w:history="1">
        <w:r w:rsidR="00E63A88" w:rsidRPr="008061B4">
          <w:rPr>
            <w:rStyle w:val="Hyperlink"/>
            <w:noProof/>
          </w:rPr>
          <w:t>2.2.3 Tool Evaluation</w:t>
        </w:r>
        <w:r w:rsidR="00E63A88">
          <w:rPr>
            <w:noProof/>
            <w:webHidden/>
          </w:rPr>
          <w:tab/>
        </w:r>
        <w:r w:rsidR="00E63A88">
          <w:rPr>
            <w:noProof/>
            <w:webHidden/>
          </w:rPr>
          <w:fldChar w:fldCharType="begin"/>
        </w:r>
        <w:r w:rsidR="00E63A88">
          <w:rPr>
            <w:noProof/>
            <w:webHidden/>
          </w:rPr>
          <w:instrText xml:space="preserve"> PAGEREF _Toc217239288 \h </w:instrText>
        </w:r>
        <w:r w:rsidR="00E63A88">
          <w:rPr>
            <w:noProof/>
            <w:webHidden/>
          </w:rPr>
        </w:r>
        <w:r w:rsidR="00E63A88">
          <w:rPr>
            <w:noProof/>
            <w:webHidden/>
          </w:rPr>
          <w:fldChar w:fldCharType="separate"/>
        </w:r>
        <w:r w:rsidR="00E63A88">
          <w:rPr>
            <w:noProof/>
            <w:webHidden/>
          </w:rPr>
          <w:t>20</w:t>
        </w:r>
        <w:r w:rsidR="00E63A88">
          <w:rPr>
            <w:noProof/>
            <w:webHidden/>
          </w:rPr>
          <w:fldChar w:fldCharType="end"/>
        </w:r>
      </w:hyperlink>
    </w:p>
    <w:p w14:paraId="0D81F592" w14:textId="038DC7F6"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289" w:history="1">
        <w:r w:rsidR="00E63A88" w:rsidRPr="008061B4">
          <w:rPr>
            <w:rStyle w:val="Hyperlink"/>
            <w:noProof/>
          </w:rPr>
          <w:t>3. Strategy Development and Formulation</w:t>
        </w:r>
        <w:r w:rsidR="00E63A88">
          <w:rPr>
            <w:noProof/>
            <w:webHidden/>
          </w:rPr>
          <w:tab/>
        </w:r>
        <w:r w:rsidR="00E63A88">
          <w:rPr>
            <w:noProof/>
            <w:webHidden/>
          </w:rPr>
          <w:fldChar w:fldCharType="begin"/>
        </w:r>
        <w:r w:rsidR="00E63A88">
          <w:rPr>
            <w:noProof/>
            <w:webHidden/>
          </w:rPr>
          <w:instrText xml:space="preserve"> PAGEREF _Toc217239289 \h </w:instrText>
        </w:r>
        <w:r w:rsidR="00E63A88">
          <w:rPr>
            <w:noProof/>
            <w:webHidden/>
          </w:rPr>
        </w:r>
        <w:r w:rsidR="00E63A88">
          <w:rPr>
            <w:noProof/>
            <w:webHidden/>
          </w:rPr>
          <w:fldChar w:fldCharType="separate"/>
        </w:r>
        <w:r w:rsidR="00E63A88">
          <w:rPr>
            <w:noProof/>
            <w:webHidden/>
          </w:rPr>
          <w:t>21</w:t>
        </w:r>
        <w:r w:rsidR="00E63A88">
          <w:rPr>
            <w:noProof/>
            <w:webHidden/>
          </w:rPr>
          <w:fldChar w:fldCharType="end"/>
        </w:r>
      </w:hyperlink>
    </w:p>
    <w:p w14:paraId="4DB6A480" w14:textId="441F232C"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90" w:history="1">
        <w:r w:rsidR="00E63A88" w:rsidRPr="008061B4">
          <w:rPr>
            <w:rStyle w:val="Hyperlink"/>
            <w:noProof/>
          </w:rPr>
          <w:t>3.1 Strategic Objectives for Indian Expansion (SMART Objectives)</w:t>
        </w:r>
        <w:r w:rsidR="00E63A88">
          <w:rPr>
            <w:noProof/>
            <w:webHidden/>
          </w:rPr>
          <w:tab/>
        </w:r>
        <w:r w:rsidR="00E63A88">
          <w:rPr>
            <w:noProof/>
            <w:webHidden/>
          </w:rPr>
          <w:fldChar w:fldCharType="begin"/>
        </w:r>
        <w:r w:rsidR="00E63A88">
          <w:rPr>
            <w:noProof/>
            <w:webHidden/>
          </w:rPr>
          <w:instrText xml:space="preserve"> PAGEREF _Toc217239290 \h </w:instrText>
        </w:r>
        <w:r w:rsidR="00E63A88">
          <w:rPr>
            <w:noProof/>
            <w:webHidden/>
          </w:rPr>
        </w:r>
        <w:r w:rsidR="00E63A88">
          <w:rPr>
            <w:noProof/>
            <w:webHidden/>
          </w:rPr>
          <w:fldChar w:fldCharType="separate"/>
        </w:r>
        <w:r w:rsidR="00E63A88">
          <w:rPr>
            <w:noProof/>
            <w:webHidden/>
          </w:rPr>
          <w:t>21</w:t>
        </w:r>
        <w:r w:rsidR="00E63A88">
          <w:rPr>
            <w:noProof/>
            <w:webHidden/>
          </w:rPr>
          <w:fldChar w:fldCharType="end"/>
        </w:r>
      </w:hyperlink>
    </w:p>
    <w:p w14:paraId="72D1A0C2" w14:textId="0D702186"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91" w:history="1">
        <w:r w:rsidR="00E63A88" w:rsidRPr="008061B4">
          <w:rPr>
            <w:rStyle w:val="Hyperlink"/>
            <w:noProof/>
          </w:rPr>
          <w:t>3.2 Market Entry Strategy</w:t>
        </w:r>
        <w:r w:rsidR="00E63A88">
          <w:rPr>
            <w:noProof/>
            <w:webHidden/>
          </w:rPr>
          <w:tab/>
        </w:r>
        <w:r w:rsidR="00E63A88">
          <w:rPr>
            <w:noProof/>
            <w:webHidden/>
          </w:rPr>
          <w:fldChar w:fldCharType="begin"/>
        </w:r>
        <w:r w:rsidR="00E63A88">
          <w:rPr>
            <w:noProof/>
            <w:webHidden/>
          </w:rPr>
          <w:instrText xml:space="preserve"> PAGEREF _Toc217239291 \h </w:instrText>
        </w:r>
        <w:r w:rsidR="00E63A88">
          <w:rPr>
            <w:noProof/>
            <w:webHidden/>
          </w:rPr>
        </w:r>
        <w:r w:rsidR="00E63A88">
          <w:rPr>
            <w:noProof/>
            <w:webHidden/>
          </w:rPr>
          <w:fldChar w:fldCharType="separate"/>
        </w:r>
        <w:r w:rsidR="00E63A88">
          <w:rPr>
            <w:noProof/>
            <w:webHidden/>
          </w:rPr>
          <w:t>22</w:t>
        </w:r>
        <w:r w:rsidR="00E63A88">
          <w:rPr>
            <w:noProof/>
            <w:webHidden/>
          </w:rPr>
          <w:fldChar w:fldCharType="end"/>
        </w:r>
      </w:hyperlink>
    </w:p>
    <w:p w14:paraId="6F111FA5" w14:textId="73F6436E"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2" w:history="1">
        <w:r w:rsidR="00E63A88" w:rsidRPr="008061B4">
          <w:rPr>
            <w:rStyle w:val="Hyperlink"/>
            <w:noProof/>
          </w:rPr>
          <w:t>3.2.1 Recommended Entry Mode: Joint Venture</w:t>
        </w:r>
        <w:r w:rsidR="00E63A88">
          <w:rPr>
            <w:noProof/>
            <w:webHidden/>
          </w:rPr>
          <w:tab/>
        </w:r>
        <w:r w:rsidR="00E63A88">
          <w:rPr>
            <w:noProof/>
            <w:webHidden/>
          </w:rPr>
          <w:fldChar w:fldCharType="begin"/>
        </w:r>
        <w:r w:rsidR="00E63A88">
          <w:rPr>
            <w:noProof/>
            <w:webHidden/>
          </w:rPr>
          <w:instrText xml:space="preserve"> PAGEREF _Toc217239292 \h </w:instrText>
        </w:r>
        <w:r w:rsidR="00E63A88">
          <w:rPr>
            <w:noProof/>
            <w:webHidden/>
          </w:rPr>
        </w:r>
        <w:r w:rsidR="00E63A88">
          <w:rPr>
            <w:noProof/>
            <w:webHidden/>
          </w:rPr>
          <w:fldChar w:fldCharType="separate"/>
        </w:r>
        <w:r w:rsidR="00E63A88">
          <w:rPr>
            <w:noProof/>
            <w:webHidden/>
          </w:rPr>
          <w:t>22</w:t>
        </w:r>
        <w:r w:rsidR="00E63A88">
          <w:rPr>
            <w:noProof/>
            <w:webHidden/>
          </w:rPr>
          <w:fldChar w:fldCharType="end"/>
        </w:r>
      </w:hyperlink>
    </w:p>
    <w:p w14:paraId="7EF7EFCE" w14:textId="39841F9A"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3" w:history="1">
        <w:r w:rsidR="00E63A88" w:rsidRPr="008061B4">
          <w:rPr>
            <w:rStyle w:val="Hyperlink"/>
            <w:noProof/>
          </w:rPr>
          <w:t>3.2.2 Alternatives Considered and Comparative Evaluation</w:t>
        </w:r>
        <w:r w:rsidR="00E63A88">
          <w:rPr>
            <w:noProof/>
            <w:webHidden/>
          </w:rPr>
          <w:tab/>
        </w:r>
        <w:r w:rsidR="00E63A88">
          <w:rPr>
            <w:noProof/>
            <w:webHidden/>
          </w:rPr>
          <w:fldChar w:fldCharType="begin"/>
        </w:r>
        <w:r w:rsidR="00E63A88">
          <w:rPr>
            <w:noProof/>
            <w:webHidden/>
          </w:rPr>
          <w:instrText xml:space="preserve"> PAGEREF _Toc217239293 \h </w:instrText>
        </w:r>
        <w:r w:rsidR="00E63A88">
          <w:rPr>
            <w:noProof/>
            <w:webHidden/>
          </w:rPr>
        </w:r>
        <w:r w:rsidR="00E63A88">
          <w:rPr>
            <w:noProof/>
            <w:webHidden/>
          </w:rPr>
          <w:fldChar w:fldCharType="separate"/>
        </w:r>
        <w:r w:rsidR="00E63A88">
          <w:rPr>
            <w:noProof/>
            <w:webHidden/>
          </w:rPr>
          <w:t>24</w:t>
        </w:r>
        <w:r w:rsidR="00E63A88">
          <w:rPr>
            <w:noProof/>
            <w:webHidden/>
          </w:rPr>
          <w:fldChar w:fldCharType="end"/>
        </w:r>
      </w:hyperlink>
    </w:p>
    <w:p w14:paraId="08B79D36" w14:textId="1B8A21B6"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94" w:history="1">
        <w:r w:rsidR="00E63A88" w:rsidRPr="008061B4">
          <w:rPr>
            <w:rStyle w:val="Hyperlink"/>
            <w:noProof/>
          </w:rPr>
          <w:t>3.3 Competitive Advantage Strategy</w:t>
        </w:r>
        <w:r w:rsidR="00E63A88">
          <w:rPr>
            <w:noProof/>
            <w:webHidden/>
          </w:rPr>
          <w:tab/>
        </w:r>
        <w:r w:rsidR="00E63A88">
          <w:rPr>
            <w:noProof/>
            <w:webHidden/>
          </w:rPr>
          <w:fldChar w:fldCharType="begin"/>
        </w:r>
        <w:r w:rsidR="00E63A88">
          <w:rPr>
            <w:noProof/>
            <w:webHidden/>
          </w:rPr>
          <w:instrText xml:space="preserve"> PAGEREF _Toc217239294 \h </w:instrText>
        </w:r>
        <w:r w:rsidR="00E63A88">
          <w:rPr>
            <w:noProof/>
            <w:webHidden/>
          </w:rPr>
        </w:r>
        <w:r w:rsidR="00E63A88">
          <w:rPr>
            <w:noProof/>
            <w:webHidden/>
          </w:rPr>
          <w:fldChar w:fldCharType="separate"/>
        </w:r>
        <w:r w:rsidR="00E63A88">
          <w:rPr>
            <w:noProof/>
            <w:webHidden/>
          </w:rPr>
          <w:t>25</w:t>
        </w:r>
        <w:r w:rsidR="00E63A88">
          <w:rPr>
            <w:noProof/>
            <w:webHidden/>
          </w:rPr>
          <w:fldChar w:fldCharType="end"/>
        </w:r>
      </w:hyperlink>
    </w:p>
    <w:p w14:paraId="0716DF56" w14:textId="3158168F"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5" w:history="1">
        <w:r w:rsidR="00E63A88" w:rsidRPr="008061B4">
          <w:rPr>
            <w:rStyle w:val="Hyperlink"/>
            <w:noProof/>
          </w:rPr>
          <w:t>3.3.1 Resource-Based View (RBV)</w:t>
        </w:r>
        <w:r w:rsidR="00E63A88">
          <w:rPr>
            <w:noProof/>
            <w:webHidden/>
          </w:rPr>
          <w:tab/>
        </w:r>
        <w:r w:rsidR="00E63A88">
          <w:rPr>
            <w:noProof/>
            <w:webHidden/>
          </w:rPr>
          <w:fldChar w:fldCharType="begin"/>
        </w:r>
        <w:r w:rsidR="00E63A88">
          <w:rPr>
            <w:noProof/>
            <w:webHidden/>
          </w:rPr>
          <w:instrText xml:space="preserve"> PAGEREF _Toc217239295 \h </w:instrText>
        </w:r>
        <w:r w:rsidR="00E63A88">
          <w:rPr>
            <w:noProof/>
            <w:webHidden/>
          </w:rPr>
        </w:r>
        <w:r w:rsidR="00E63A88">
          <w:rPr>
            <w:noProof/>
            <w:webHidden/>
          </w:rPr>
          <w:fldChar w:fldCharType="separate"/>
        </w:r>
        <w:r w:rsidR="00E63A88">
          <w:rPr>
            <w:noProof/>
            <w:webHidden/>
          </w:rPr>
          <w:t>25</w:t>
        </w:r>
        <w:r w:rsidR="00E63A88">
          <w:rPr>
            <w:noProof/>
            <w:webHidden/>
          </w:rPr>
          <w:fldChar w:fldCharType="end"/>
        </w:r>
      </w:hyperlink>
    </w:p>
    <w:p w14:paraId="13829AFF" w14:textId="0660E39F"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6" w:history="1">
        <w:r w:rsidR="00E63A88" w:rsidRPr="008061B4">
          <w:rPr>
            <w:rStyle w:val="Hyperlink"/>
            <w:noProof/>
          </w:rPr>
          <w:t>3.3.2 VRIO framework</w:t>
        </w:r>
        <w:r w:rsidR="00E63A88">
          <w:rPr>
            <w:noProof/>
            <w:webHidden/>
          </w:rPr>
          <w:tab/>
        </w:r>
        <w:r w:rsidR="00E63A88">
          <w:rPr>
            <w:noProof/>
            <w:webHidden/>
          </w:rPr>
          <w:fldChar w:fldCharType="begin"/>
        </w:r>
        <w:r w:rsidR="00E63A88">
          <w:rPr>
            <w:noProof/>
            <w:webHidden/>
          </w:rPr>
          <w:instrText xml:space="preserve"> PAGEREF _Toc217239296 \h </w:instrText>
        </w:r>
        <w:r w:rsidR="00E63A88">
          <w:rPr>
            <w:noProof/>
            <w:webHidden/>
          </w:rPr>
        </w:r>
        <w:r w:rsidR="00E63A88">
          <w:rPr>
            <w:noProof/>
            <w:webHidden/>
          </w:rPr>
          <w:fldChar w:fldCharType="separate"/>
        </w:r>
        <w:r w:rsidR="00E63A88">
          <w:rPr>
            <w:noProof/>
            <w:webHidden/>
          </w:rPr>
          <w:t>26</w:t>
        </w:r>
        <w:r w:rsidR="00E63A88">
          <w:rPr>
            <w:noProof/>
            <w:webHidden/>
          </w:rPr>
          <w:fldChar w:fldCharType="end"/>
        </w:r>
      </w:hyperlink>
    </w:p>
    <w:p w14:paraId="1480D752" w14:textId="558D4060"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7" w:history="1">
        <w:r w:rsidR="00E63A88" w:rsidRPr="008061B4">
          <w:rPr>
            <w:rStyle w:val="Hyperlink"/>
            <w:noProof/>
          </w:rPr>
          <w:t>3.3.3 Differentiation Strategy as a Source of Sustainable Competitive Advantage</w:t>
        </w:r>
        <w:r w:rsidR="00E63A88">
          <w:rPr>
            <w:noProof/>
            <w:webHidden/>
          </w:rPr>
          <w:tab/>
        </w:r>
        <w:r w:rsidR="00E63A88">
          <w:rPr>
            <w:noProof/>
            <w:webHidden/>
          </w:rPr>
          <w:fldChar w:fldCharType="begin"/>
        </w:r>
        <w:r w:rsidR="00E63A88">
          <w:rPr>
            <w:noProof/>
            <w:webHidden/>
          </w:rPr>
          <w:instrText xml:space="preserve"> PAGEREF _Toc217239297 \h </w:instrText>
        </w:r>
        <w:r w:rsidR="00E63A88">
          <w:rPr>
            <w:noProof/>
            <w:webHidden/>
          </w:rPr>
        </w:r>
        <w:r w:rsidR="00E63A88">
          <w:rPr>
            <w:noProof/>
            <w:webHidden/>
          </w:rPr>
          <w:fldChar w:fldCharType="separate"/>
        </w:r>
        <w:r w:rsidR="00E63A88">
          <w:rPr>
            <w:noProof/>
            <w:webHidden/>
          </w:rPr>
          <w:t>27</w:t>
        </w:r>
        <w:r w:rsidR="00E63A88">
          <w:rPr>
            <w:noProof/>
            <w:webHidden/>
          </w:rPr>
          <w:fldChar w:fldCharType="end"/>
        </w:r>
      </w:hyperlink>
    </w:p>
    <w:p w14:paraId="2DD11E7C" w14:textId="4C82D909"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298" w:history="1">
        <w:r w:rsidR="00E63A88" w:rsidRPr="008061B4">
          <w:rPr>
            <w:rStyle w:val="Hyperlink"/>
            <w:noProof/>
          </w:rPr>
          <w:t>3.4 Risk Assessment and Strategic Controls</w:t>
        </w:r>
        <w:r w:rsidR="00E63A88">
          <w:rPr>
            <w:noProof/>
            <w:webHidden/>
          </w:rPr>
          <w:tab/>
        </w:r>
        <w:r w:rsidR="00E63A88">
          <w:rPr>
            <w:noProof/>
            <w:webHidden/>
          </w:rPr>
          <w:fldChar w:fldCharType="begin"/>
        </w:r>
        <w:r w:rsidR="00E63A88">
          <w:rPr>
            <w:noProof/>
            <w:webHidden/>
          </w:rPr>
          <w:instrText xml:space="preserve"> PAGEREF _Toc217239298 \h </w:instrText>
        </w:r>
        <w:r w:rsidR="00E63A88">
          <w:rPr>
            <w:noProof/>
            <w:webHidden/>
          </w:rPr>
        </w:r>
        <w:r w:rsidR="00E63A88">
          <w:rPr>
            <w:noProof/>
            <w:webHidden/>
          </w:rPr>
          <w:fldChar w:fldCharType="separate"/>
        </w:r>
        <w:r w:rsidR="00E63A88">
          <w:rPr>
            <w:noProof/>
            <w:webHidden/>
          </w:rPr>
          <w:t>28</w:t>
        </w:r>
        <w:r w:rsidR="00E63A88">
          <w:rPr>
            <w:noProof/>
            <w:webHidden/>
          </w:rPr>
          <w:fldChar w:fldCharType="end"/>
        </w:r>
      </w:hyperlink>
    </w:p>
    <w:p w14:paraId="4A8B4FA4" w14:textId="3403AB34"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299" w:history="1">
        <w:r w:rsidR="00E63A88" w:rsidRPr="008061B4">
          <w:rPr>
            <w:rStyle w:val="Hyperlink"/>
            <w:noProof/>
          </w:rPr>
          <w:t>3.4.1 Risk Assessment and Mitigation Framework for Waitrose India</w:t>
        </w:r>
        <w:r w:rsidR="00E63A88">
          <w:rPr>
            <w:noProof/>
            <w:webHidden/>
          </w:rPr>
          <w:tab/>
        </w:r>
        <w:r w:rsidR="00E63A88">
          <w:rPr>
            <w:noProof/>
            <w:webHidden/>
          </w:rPr>
          <w:fldChar w:fldCharType="begin"/>
        </w:r>
        <w:r w:rsidR="00E63A88">
          <w:rPr>
            <w:noProof/>
            <w:webHidden/>
          </w:rPr>
          <w:instrText xml:space="preserve"> PAGEREF _Toc217239299 \h </w:instrText>
        </w:r>
        <w:r w:rsidR="00E63A88">
          <w:rPr>
            <w:noProof/>
            <w:webHidden/>
          </w:rPr>
        </w:r>
        <w:r w:rsidR="00E63A88">
          <w:rPr>
            <w:noProof/>
            <w:webHidden/>
          </w:rPr>
          <w:fldChar w:fldCharType="separate"/>
        </w:r>
        <w:r w:rsidR="00E63A88">
          <w:rPr>
            <w:noProof/>
            <w:webHidden/>
          </w:rPr>
          <w:t>28</w:t>
        </w:r>
        <w:r w:rsidR="00E63A88">
          <w:rPr>
            <w:noProof/>
            <w:webHidden/>
          </w:rPr>
          <w:fldChar w:fldCharType="end"/>
        </w:r>
      </w:hyperlink>
    </w:p>
    <w:p w14:paraId="5D7B2330" w14:textId="449532F8" w:rsidR="00E63A88" w:rsidRDefault="00D720A3">
      <w:pPr>
        <w:pStyle w:val="TOC3"/>
        <w:tabs>
          <w:tab w:val="right" w:leader="dot" w:pos="9350"/>
        </w:tabs>
        <w:rPr>
          <w:rFonts w:asciiTheme="minorHAnsi" w:eastAsiaTheme="minorEastAsia" w:hAnsiTheme="minorHAnsi"/>
          <w:noProof/>
          <w:kern w:val="0"/>
          <w:sz w:val="22"/>
          <w:szCs w:val="22"/>
          <w:lang w:bidi="si-LK"/>
          <w14:ligatures w14:val="none"/>
        </w:rPr>
      </w:pPr>
      <w:hyperlink w:anchor="_Toc217239300" w:history="1">
        <w:r w:rsidR="00E63A88" w:rsidRPr="008061B4">
          <w:rPr>
            <w:rStyle w:val="Hyperlink"/>
            <w:noProof/>
          </w:rPr>
          <w:t>3.4.2 Strategic Control Implications</w:t>
        </w:r>
        <w:r w:rsidR="00E63A88">
          <w:rPr>
            <w:noProof/>
            <w:webHidden/>
          </w:rPr>
          <w:tab/>
        </w:r>
        <w:r w:rsidR="00E63A88">
          <w:rPr>
            <w:noProof/>
            <w:webHidden/>
          </w:rPr>
          <w:fldChar w:fldCharType="begin"/>
        </w:r>
        <w:r w:rsidR="00E63A88">
          <w:rPr>
            <w:noProof/>
            <w:webHidden/>
          </w:rPr>
          <w:instrText xml:space="preserve"> PAGEREF _Toc217239300 \h </w:instrText>
        </w:r>
        <w:r w:rsidR="00E63A88">
          <w:rPr>
            <w:noProof/>
            <w:webHidden/>
          </w:rPr>
        </w:r>
        <w:r w:rsidR="00E63A88">
          <w:rPr>
            <w:noProof/>
            <w:webHidden/>
          </w:rPr>
          <w:fldChar w:fldCharType="separate"/>
        </w:r>
        <w:r w:rsidR="00E63A88">
          <w:rPr>
            <w:noProof/>
            <w:webHidden/>
          </w:rPr>
          <w:t>30</w:t>
        </w:r>
        <w:r w:rsidR="00E63A88">
          <w:rPr>
            <w:noProof/>
            <w:webHidden/>
          </w:rPr>
          <w:fldChar w:fldCharType="end"/>
        </w:r>
      </w:hyperlink>
    </w:p>
    <w:p w14:paraId="5801D5C2" w14:textId="12BFE062"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301" w:history="1">
        <w:r w:rsidR="00E63A88" w:rsidRPr="008061B4">
          <w:rPr>
            <w:rStyle w:val="Hyperlink"/>
            <w:noProof/>
          </w:rPr>
          <w:t>4. Performance Evaluation Framework</w:t>
        </w:r>
        <w:r w:rsidR="00E63A88">
          <w:rPr>
            <w:noProof/>
            <w:webHidden/>
          </w:rPr>
          <w:tab/>
        </w:r>
        <w:r w:rsidR="00E63A88">
          <w:rPr>
            <w:noProof/>
            <w:webHidden/>
          </w:rPr>
          <w:fldChar w:fldCharType="begin"/>
        </w:r>
        <w:r w:rsidR="00E63A88">
          <w:rPr>
            <w:noProof/>
            <w:webHidden/>
          </w:rPr>
          <w:instrText xml:space="preserve"> PAGEREF _Toc217239301 \h </w:instrText>
        </w:r>
        <w:r w:rsidR="00E63A88">
          <w:rPr>
            <w:noProof/>
            <w:webHidden/>
          </w:rPr>
        </w:r>
        <w:r w:rsidR="00E63A88">
          <w:rPr>
            <w:noProof/>
            <w:webHidden/>
          </w:rPr>
          <w:fldChar w:fldCharType="separate"/>
        </w:r>
        <w:r w:rsidR="00E63A88">
          <w:rPr>
            <w:noProof/>
            <w:webHidden/>
          </w:rPr>
          <w:t>31</w:t>
        </w:r>
        <w:r w:rsidR="00E63A88">
          <w:rPr>
            <w:noProof/>
            <w:webHidden/>
          </w:rPr>
          <w:fldChar w:fldCharType="end"/>
        </w:r>
      </w:hyperlink>
    </w:p>
    <w:p w14:paraId="59724DD7" w14:textId="0B1C5C7A"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302" w:history="1">
        <w:r w:rsidR="00E63A88" w:rsidRPr="008061B4">
          <w:rPr>
            <w:rStyle w:val="Hyperlink"/>
            <w:noProof/>
          </w:rPr>
          <w:t>4.1 Balanced Scorecard for Waitrose India</w:t>
        </w:r>
        <w:r w:rsidR="00E63A88">
          <w:rPr>
            <w:noProof/>
            <w:webHidden/>
          </w:rPr>
          <w:tab/>
        </w:r>
        <w:r w:rsidR="00E63A88">
          <w:rPr>
            <w:noProof/>
            <w:webHidden/>
          </w:rPr>
          <w:fldChar w:fldCharType="begin"/>
        </w:r>
        <w:r w:rsidR="00E63A88">
          <w:rPr>
            <w:noProof/>
            <w:webHidden/>
          </w:rPr>
          <w:instrText xml:space="preserve"> PAGEREF _Toc217239302 \h </w:instrText>
        </w:r>
        <w:r w:rsidR="00E63A88">
          <w:rPr>
            <w:noProof/>
            <w:webHidden/>
          </w:rPr>
        </w:r>
        <w:r w:rsidR="00E63A88">
          <w:rPr>
            <w:noProof/>
            <w:webHidden/>
          </w:rPr>
          <w:fldChar w:fldCharType="separate"/>
        </w:r>
        <w:r w:rsidR="00E63A88">
          <w:rPr>
            <w:noProof/>
            <w:webHidden/>
          </w:rPr>
          <w:t>31</w:t>
        </w:r>
        <w:r w:rsidR="00E63A88">
          <w:rPr>
            <w:noProof/>
            <w:webHidden/>
          </w:rPr>
          <w:fldChar w:fldCharType="end"/>
        </w:r>
      </w:hyperlink>
    </w:p>
    <w:p w14:paraId="11210D32" w14:textId="53E0084F" w:rsidR="00E63A88" w:rsidRDefault="00D720A3">
      <w:pPr>
        <w:pStyle w:val="TOC2"/>
        <w:tabs>
          <w:tab w:val="right" w:leader="dot" w:pos="9350"/>
        </w:tabs>
        <w:rPr>
          <w:rFonts w:asciiTheme="minorHAnsi" w:eastAsiaTheme="minorEastAsia" w:hAnsiTheme="minorHAnsi"/>
          <w:noProof/>
          <w:kern w:val="0"/>
          <w:sz w:val="22"/>
          <w:szCs w:val="22"/>
          <w:lang w:bidi="si-LK"/>
          <w14:ligatures w14:val="none"/>
        </w:rPr>
      </w:pPr>
      <w:hyperlink w:anchor="_Toc217239303" w:history="1">
        <w:r w:rsidR="00E63A88" w:rsidRPr="008061B4">
          <w:rPr>
            <w:rStyle w:val="Hyperlink"/>
            <w:noProof/>
          </w:rPr>
          <w:t>4.2 Sustainability and Ethical Performance: Integration of the Triple Bottom Line</w:t>
        </w:r>
        <w:r w:rsidR="00E63A88">
          <w:rPr>
            <w:noProof/>
            <w:webHidden/>
          </w:rPr>
          <w:tab/>
        </w:r>
        <w:r w:rsidR="00E63A88">
          <w:rPr>
            <w:noProof/>
            <w:webHidden/>
          </w:rPr>
          <w:fldChar w:fldCharType="begin"/>
        </w:r>
        <w:r w:rsidR="00E63A88">
          <w:rPr>
            <w:noProof/>
            <w:webHidden/>
          </w:rPr>
          <w:instrText xml:space="preserve"> PAGEREF _Toc217239303 \h </w:instrText>
        </w:r>
        <w:r w:rsidR="00E63A88">
          <w:rPr>
            <w:noProof/>
            <w:webHidden/>
          </w:rPr>
        </w:r>
        <w:r w:rsidR="00E63A88">
          <w:rPr>
            <w:noProof/>
            <w:webHidden/>
          </w:rPr>
          <w:fldChar w:fldCharType="separate"/>
        </w:r>
        <w:r w:rsidR="00E63A88">
          <w:rPr>
            <w:noProof/>
            <w:webHidden/>
          </w:rPr>
          <w:t>32</w:t>
        </w:r>
        <w:r w:rsidR="00E63A88">
          <w:rPr>
            <w:noProof/>
            <w:webHidden/>
          </w:rPr>
          <w:fldChar w:fldCharType="end"/>
        </w:r>
      </w:hyperlink>
    </w:p>
    <w:p w14:paraId="3C03F3B5" w14:textId="7A5B317B"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304" w:history="1">
        <w:r w:rsidR="00E63A88" w:rsidRPr="008061B4">
          <w:rPr>
            <w:rStyle w:val="Hyperlink"/>
            <w:noProof/>
          </w:rPr>
          <w:t>Conclusion</w:t>
        </w:r>
        <w:r w:rsidR="00E63A88">
          <w:rPr>
            <w:noProof/>
            <w:webHidden/>
          </w:rPr>
          <w:tab/>
        </w:r>
        <w:r w:rsidR="00E63A88">
          <w:rPr>
            <w:noProof/>
            <w:webHidden/>
          </w:rPr>
          <w:fldChar w:fldCharType="begin"/>
        </w:r>
        <w:r w:rsidR="00E63A88">
          <w:rPr>
            <w:noProof/>
            <w:webHidden/>
          </w:rPr>
          <w:instrText xml:space="preserve"> PAGEREF _Toc217239304 \h </w:instrText>
        </w:r>
        <w:r w:rsidR="00E63A88">
          <w:rPr>
            <w:noProof/>
            <w:webHidden/>
          </w:rPr>
        </w:r>
        <w:r w:rsidR="00E63A88">
          <w:rPr>
            <w:noProof/>
            <w:webHidden/>
          </w:rPr>
          <w:fldChar w:fldCharType="separate"/>
        </w:r>
        <w:r w:rsidR="00E63A88">
          <w:rPr>
            <w:noProof/>
            <w:webHidden/>
          </w:rPr>
          <w:t>33</w:t>
        </w:r>
        <w:r w:rsidR="00E63A88">
          <w:rPr>
            <w:noProof/>
            <w:webHidden/>
          </w:rPr>
          <w:fldChar w:fldCharType="end"/>
        </w:r>
      </w:hyperlink>
    </w:p>
    <w:p w14:paraId="7EA93799" w14:textId="61A5FF9F" w:rsidR="00E63A88" w:rsidRDefault="00D720A3">
      <w:pPr>
        <w:pStyle w:val="TOC1"/>
        <w:tabs>
          <w:tab w:val="right" w:leader="dot" w:pos="9350"/>
        </w:tabs>
        <w:rPr>
          <w:rFonts w:asciiTheme="minorHAnsi" w:eastAsiaTheme="minorEastAsia" w:hAnsiTheme="minorHAnsi"/>
          <w:noProof/>
          <w:kern w:val="0"/>
          <w:sz w:val="22"/>
          <w:szCs w:val="22"/>
          <w:lang w:bidi="si-LK"/>
          <w14:ligatures w14:val="none"/>
        </w:rPr>
      </w:pPr>
      <w:hyperlink w:anchor="_Toc217239305" w:history="1">
        <w:r w:rsidR="00E63A88" w:rsidRPr="008061B4">
          <w:rPr>
            <w:rStyle w:val="Hyperlink"/>
            <w:noProof/>
          </w:rPr>
          <w:t>Reference List</w:t>
        </w:r>
        <w:r w:rsidR="00E63A88">
          <w:rPr>
            <w:noProof/>
            <w:webHidden/>
          </w:rPr>
          <w:tab/>
        </w:r>
        <w:r w:rsidR="00E63A88">
          <w:rPr>
            <w:noProof/>
            <w:webHidden/>
          </w:rPr>
          <w:fldChar w:fldCharType="begin"/>
        </w:r>
        <w:r w:rsidR="00E63A88">
          <w:rPr>
            <w:noProof/>
            <w:webHidden/>
          </w:rPr>
          <w:instrText xml:space="preserve"> PAGEREF _Toc217239305 \h </w:instrText>
        </w:r>
        <w:r w:rsidR="00E63A88">
          <w:rPr>
            <w:noProof/>
            <w:webHidden/>
          </w:rPr>
        </w:r>
        <w:r w:rsidR="00E63A88">
          <w:rPr>
            <w:noProof/>
            <w:webHidden/>
          </w:rPr>
          <w:fldChar w:fldCharType="separate"/>
        </w:r>
        <w:r w:rsidR="00E63A88">
          <w:rPr>
            <w:noProof/>
            <w:webHidden/>
          </w:rPr>
          <w:t>35</w:t>
        </w:r>
        <w:r w:rsidR="00E63A88">
          <w:rPr>
            <w:noProof/>
            <w:webHidden/>
          </w:rPr>
          <w:fldChar w:fldCharType="end"/>
        </w:r>
      </w:hyperlink>
    </w:p>
    <w:p w14:paraId="20FD6FF7" w14:textId="24EADF42" w:rsidR="00D37382" w:rsidRPr="007102FC" w:rsidRDefault="00D37382" w:rsidP="00D91825">
      <w:pPr>
        <w:rPr>
          <w:b/>
          <w:bCs/>
          <w:sz w:val="28"/>
          <w:szCs w:val="28"/>
          <w:lang w:val="en-GB"/>
        </w:rPr>
      </w:pPr>
      <w:r>
        <w:rPr>
          <w:b/>
          <w:bCs/>
          <w:sz w:val="28"/>
          <w:szCs w:val="28"/>
          <w:lang w:val="en-GB"/>
        </w:rPr>
        <w:fldChar w:fldCharType="end"/>
      </w:r>
    </w:p>
    <w:p w14:paraId="68F85F80" w14:textId="77777777" w:rsidR="00D91825" w:rsidRDefault="00D91825">
      <w:pPr>
        <w:spacing w:line="278" w:lineRule="auto"/>
        <w:jc w:val="left"/>
        <w:rPr>
          <w:lang w:val="en-GB"/>
        </w:rPr>
      </w:pPr>
      <w:r>
        <w:rPr>
          <w:lang w:val="en-GB"/>
        </w:rPr>
        <w:br w:type="page"/>
      </w:r>
    </w:p>
    <w:p w14:paraId="0F2EA5A1" w14:textId="79E6E6AC" w:rsidR="00D91825" w:rsidRDefault="00C46669" w:rsidP="00D91825">
      <w:pPr>
        <w:rPr>
          <w:b/>
          <w:bCs/>
          <w:sz w:val="28"/>
          <w:szCs w:val="28"/>
          <w:lang w:val="en-GB"/>
        </w:rPr>
      </w:pPr>
      <w:r w:rsidRPr="00C46669">
        <w:rPr>
          <w:b/>
          <w:bCs/>
          <w:sz w:val="28"/>
          <w:szCs w:val="28"/>
          <w:lang w:val="en-GB"/>
        </w:rPr>
        <w:lastRenderedPageBreak/>
        <w:t>List of Figures</w:t>
      </w:r>
    </w:p>
    <w:p w14:paraId="2964F6D2" w14:textId="24D90C59" w:rsidR="00BF3819" w:rsidRDefault="00C46669">
      <w:pPr>
        <w:pStyle w:val="TableofFigures"/>
        <w:tabs>
          <w:tab w:val="right" w:leader="dot" w:pos="9350"/>
        </w:tabs>
        <w:rPr>
          <w:rFonts w:asciiTheme="minorHAnsi" w:eastAsiaTheme="minorEastAsia" w:hAnsiTheme="minorHAnsi"/>
          <w:noProof/>
          <w:kern w:val="0"/>
          <w:sz w:val="22"/>
          <w:szCs w:val="22"/>
          <w:lang w:bidi="si-LK"/>
          <w14:ligatures w14:val="none"/>
        </w:rPr>
      </w:pPr>
      <w:r>
        <w:rPr>
          <w:b/>
          <w:bCs/>
          <w:sz w:val="28"/>
          <w:szCs w:val="28"/>
          <w:lang w:val="en-GB"/>
        </w:rPr>
        <w:fldChar w:fldCharType="begin"/>
      </w:r>
      <w:r>
        <w:rPr>
          <w:b/>
          <w:bCs/>
          <w:sz w:val="28"/>
          <w:szCs w:val="28"/>
          <w:lang w:val="en-GB"/>
        </w:rPr>
        <w:instrText xml:space="preserve"> TOC \h \z \c "Figure" </w:instrText>
      </w:r>
      <w:r>
        <w:rPr>
          <w:b/>
          <w:bCs/>
          <w:sz w:val="28"/>
          <w:szCs w:val="28"/>
          <w:lang w:val="en-GB"/>
        </w:rPr>
        <w:fldChar w:fldCharType="separate"/>
      </w:r>
      <w:hyperlink w:anchor="_Toc217239306" w:history="1">
        <w:r w:rsidR="00BF3819" w:rsidRPr="00305CCC">
          <w:rPr>
            <w:rStyle w:val="Hyperlink"/>
            <w:noProof/>
          </w:rPr>
          <w:t>Figure 1: Waitrose Brand Logo</w:t>
        </w:r>
        <w:r w:rsidR="00BF3819">
          <w:rPr>
            <w:noProof/>
            <w:webHidden/>
          </w:rPr>
          <w:tab/>
        </w:r>
        <w:r w:rsidR="00BF3819">
          <w:rPr>
            <w:noProof/>
            <w:webHidden/>
          </w:rPr>
          <w:fldChar w:fldCharType="begin"/>
        </w:r>
        <w:r w:rsidR="00BF3819">
          <w:rPr>
            <w:noProof/>
            <w:webHidden/>
          </w:rPr>
          <w:instrText xml:space="preserve"> PAGEREF _Toc217239306 \h </w:instrText>
        </w:r>
        <w:r w:rsidR="00BF3819">
          <w:rPr>
            <w:noProof/>
            <w:webHidden/>
          </w:rPr>
        </w:r>
        <w:r w:rsidR="00BF3819">
          <w:rPr>
            <w:noProof/>
            <w:webHidden/>
          </w:rPr>
          <w:fldChar w:fldCharType="separate"/>
        </w:r>
        <w:r w:rsidR="00BF3819">
          <w:rPr>
            <w:noProof/>
            <w:webHidden/>
          </w:rPr>
          <w:t>6</w:t>
        </w:r>
        <w:r w:rsidR="00BF3819">
          <w:rPr>
            <w:noProof/>
            <w:webHidden/>
          </w:rPr>
          <w:fldChar w:fldCharType="end"/>
        </w:r>
      </w:hyperlink>
    </w:p>
    <w:p w14:paraId="215D9754" w14:textId="0DA15D3A"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07" w:history="1">
        <w:r w:rsidR="00BF3819" w:rsidRPr="00305CCC">
          <w:rPr>
            <w:rStyle w:val="Hyperlink"/>
            <w:noProof/>
          </w:rPr>
          <w:t>Figure 2: Waitrose &amp; Partners - Business Model Canvas</w:t>
        </w:r>
        <w:r w:rsidR="00BF3819">
          <w:rPr>
            <w:noProof/>
            <w:webHidden/>
          </w:rPr>
          <w:tab/>
        </w:r>
        <w:r w:rsidR="00BF3819">
          <w:rPr>
            <w:noProof/>
            <w:webHidden/>
          </w:rPr>
          <w:fldChar w:fldCharType="begin"/>
        </w:r>
        <w:r w:rsidR="00BF3819">
          <w:rPr>
            <w:noProof/>
            <w:webHidden/>
          </w:rPr>
          <w:instrText xml:space="preserve"> PAGEREF _Toc217239307 \h </w:instrText>
        </w:r>
        <w:r w:rsidR="00BF3819">
          <w:rPr>
            <w:noProof/>
            <w:webHidden/>
          </w:rPr>
        </w:r>
        <w:r w:rsidR="00BF3819">
          <w:rPr>
            <w:noProof/>
            <w:webHidden/>
          </w:rPr>
          <w:fldChar w:fldCharType="separate"/>
        </w:r>
        <w:r w:rsidR="00BF3819">
          <w:rPr>
            <w:noProof/>
            <w:webHidden/>
          </w:rPr>
          <w:t>7</w:t>
        </w:r>
        <w:r w:rsidR="00BF3819">
          <w:rPr>
            <w:noProof/>
            <w:webHidden/>
          </w:rPr>
          <w:fldChar w:fldCharType="end"/>
        </w:r>
      </w:hyperlink>
    </w:p>
    <w:p w14:paraId="1E833E78" w14:textId="1BF1FDC3"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08" w:history="1">
        <w:r w:rsidR="00BF3819" w:rsidRPr="00305CCC">
          <w:rPr>
            <w:rStyle w:val="Hyperlink"/>
            <w:noProof/>
          </w:rPr>
          <w:t>Figure 3: John Lewis Partnershi</w:t>
        </w:r>
        <w:r w:rsidR="00BF3819">
          <w:rPr>
            <w:noProof/>
            <w:webHidden/>
          </w:rPr>
          <w:tab/>
        </w:r>
        <w:r w:rsidR="00BF3819">
          <w:rPr>
            <w:noProof/>
            <w:webHidden/>
          </w:rPr>
          <w:fldChar w:fldCharType="begin"/>
        </w:r>
        <w:r w:rsidR="00BF3819">
          <w:rPr>
            <w:noProof/>
            <w:webHidden/>
          </w:rPr>
          <w:instrText xml:space="preserve"> PAGEREF _Toc217239308 \h </w:instrText>
        </w:r>
        <w:r w:rsidR="00BF3819">
          <w:rPr>
            <w:noProof/>
            <w:webHidden/>
          </w:rPr>
        </w:r>
        <w:r w:rsidR="00BF3819">
          <w:rPr>
            <w:noProof/>
            <w:webHidden/>
          </w:rPr>
          <w:fldChar w:fldCharType="separate"/>
        </w:r>
        <w:r w:rsidR="00BF3819">
          <w:rPr>
            <w:noProof/>
            <w:webHidden/>
          </w:rPr>
          <w:t>8</w:t>
        </w:r>
        <w:r w:rsidR="00BF3819">
          <w:rPr>
            <w:noProof/>
            <w:webHidden/>
          </w:rPr>
          <w:fldChar w:fldCharType="end"/>
        </w:r>
      </w:hyperlink>
    </w:p>
    <w:p w14:paraId="2C0049FA" w14:textId="2E4D833A"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09" w:history="1">
        <w:r w:rsidR="00BF3819" w:rsidRPr="00305CCC">
          <w:rPr>
            <w:rStyle w:val="Hyperlink"/>
            <w:noProof/>
          </w:rPr>
          <w:t>Figure 4: Waitrose &amp; Partners Foundation - Ethical Sourcing and Community Impact</w:t>
        </w:r>
        <w:r w:rsidR="00BF3819">
          <w:rPr>
            <w:noProof/>
            <w:webHidden/>
          </w:rPr>
          <w:tab/>
        </w:r>
        <w:r w:rsidR="00BF3819">
          <w:rPr>
            <w:noProof/>
            <w:webHidden/>
          </w:rPr>
          <w:fldChar w:fldCharType="begin"/>
        </w:r>
        <w:r w:rsidR="00BF3819">
          <w:rPr>
            <w:noProof/>
            <w:webHidden/>
          </w:rPr>
          <w:instrText xml:space="preserve"> PAGEREF _Toc217239309 \h </w:instrText>
        </w:r>
        <w:r w:rsidR="00BF3819">
          <w:rPr>
            <w:noProof/>
            <w:webHidden/>
          </w:rPr>
        </w:r>
        <w:r w:rsidR="00BF3819">
          <w:rPr>
            <w:noProof/>
            <w:webHidden/>
          </w:rPr>
          <w:fldChar w:fldCharType="separate"/>
        </w:r>
        <w:r w:rsidR="00BF3819">
          <w:rPr>
            <w:noProof/>
            <w:webHidden/>
          </w:rPr>
          <w:t>8</w:t>
        </w:r>
        <w:r w:rsidR="00BF3819">
          <w:rPr>
            <w:noProof/>
            <w:webHidden/>
          </w:rPr>
          <w:fldChar w:fldCharType="end"/>
        </w:r>
      </w:hyperlink>
    </w:p>
    <w:p w14:paraId="2222C122" w14:textId="76BE4A91"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0" w:history="1">
        <w:r w:rsidR="00BF3819" w:rsidRPr="00305CCC">
          <w:rPr>
            <w:rStyle w:val="Hyperlink"/>
            <w:noProof/>
          </w:rPr>
          <w:t>Figure 5: ndia’s GDP Growth Outlook</w:t>
        </w:r>
        <w:r w:rsidR="00BF3819">
          <w:rPr>
            <w:noProof/>
            <w:webHidden/>
          </w:rPr>
          <w:tab/>
        </w:r>
        <w:r w:rsidR="00BF3819">
          <w:rPr>
            <w:noProof/>
            <w:webHidden/>
          </w:rPr>
          <w:fldChar w:fldCharType="begin"/>
        </w:r>
        <w:r w:rsidR="00BF3819">
          <w:rPr>
            <w:noProof/>
            <w:webHidden/>
          </w:rPr>
          <w:instrText xml:space="preserve"> PAGEREF _Toc217239310 \h </w:instrText>
        </w:r>
        <w:r w:rsidR="00BF3819">
          <w:rPr>
            <w:noProof/>
            <w:webHidden/>
          </w:rPr>
        </w:r>
        <w:r w:rsidR="00BF3819">
          <w:rPr>
            <w:noProof/>
            <w:webHidden/>
          </w:rPr>
          <w:fldChar w:fldCharType="separate"/>
        </w:r>
        <w:r w:rsidR="00BF3819">
          <w:rPr>
            <w:noProof/>
            <w:webHidden/>
          </w:rPr>
          <w:t>9</w:t>
        </w:r>
        <w:r w:rsidR="00BF3819">
          <w:rPr>
            <w:noProof/>
            <w:webHidden/>
          </w:rPr>
          <w:fldChar w:fldCharType="end"/>
        </w:r>
      </w:hyperlink>
    </w:p>
    <w:p w14:paraId="2A57E981" w14:textId="581AF82B"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1" w:history="1">
        <w:r w:rsidR="00BF3819" w:rsidRPr="00305CCC">
          <w:rPr>
            <w:rStyle w:val="Hyperlink"/>
            <w:noProof/>
          </w:rPr>
          <w:t>Figure 6: Premiumisation Trends Reshaping India’s Retail Market</w:t>
        </w:r>
        <w:r w:rsidR="00BF3819">
          <w:rPr>
            <w:noProof/>
            <w:webHidden/>
          </w:rPr>
          <w:tab/>
        </w:r>
        <w:r w:rsidR="00BF3819">
          <w:rPr>
            <w:noProof/>
            <w:webHidden/>
          </w:rPr>
          <w:fldChar w:fldCharType="begin"/>
        </w:r>
        <w:r w:rsidR="00BF3819">
          <w:rPr>
            <w:noProof/>
            <w:webHidden/>
          </w:rPr>
          <w:instrText xml:space="preserve"> PAGEREF _Toc217239311 \h </w:instrText>
        </w:r>
        <w:r w:rsidR="00BF3819">
          <w:rPr>
            <w:noProof/>
            <w:webHidden/>
          </w:rPr>
        </w:r>
        <w:r w:rsidR="00BF3819">
          <w:rPr>
            <w:noProof/>
            <w:webHidden/>
          </w:rPr>
          <w:fldChar w:fldCharType="separate"/>
        </w:r>
        <w:r w:rsidR="00BF3819">
          <w:rPr>
            <w:noProof/>
            <w:webHidden/>
          </w:rPr>
          <w:t>10</w:t>
        </w:r>
        <w:r w:rsidR="00BF3819">
          <w:rPr>
            <w:noProof/>
            <w:webHidden/>
          </w:rPr>
          <w:fldChar w:fldCharType="end"/>
        </w:r>
      </w:hyperlink>
    </w:p>
    <w:p w14:paraId="09A5BD87" w14:textId="136C35AC"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2" w:history="1">
        <w:r w:rsidR="00BF3819" w:rsidRPr="00305CCC">
          <w:rPr>
            <w:rStyle w:val="Hyperlink"/>
            <w:noProof/>
          </w:rPr>
          <w:t>Figure 7: PESTLE Analysis Framework Overview</w:t>
        </w:r>
        <w:r w:rsidR="00BF3819">
          <w:rPr>
            <w:noProof/>
            <w:webHidden/>
          </w:rPr>
          <w:tab/>
        </w:r>
        <w:r w:rsidR="00BF3819">
          <w:rPr>
            <w:noProof/>
            <w:webHidden/>
          </w:rPr>
          <w:fldChar w:fldCharType="begin"/>
        </w:r>
        <w:r w:rsidR="00BF3819">
          <w:rPr>
            <w:noProof/>
            <w:webHidden/>
          </w:rPr>
          <w:instrText xml:space="preserve"> PAGEREF _Toc217239312 \h </w:instrText>
        </w:r>
        <w:r w:rsidR="00BF3819">
          <w:rPr>
            <w:noProof/>
            <w:webHidden/>
          </w:rPr>
        </w:r>
        <w:r w:rsidR="00BF3819">
          <w:rPr>
            <w:noProof/>
            <w:webHidden/>
          </w:rPr>
          <w:fldChar w:fldCharType="separate"/>
        </w:r>
        <w:r w:rsidR="00BF3819">
          <w:rPr>
            <w:noProof/>
            <w:webHidden/>
          </w:rPr>
          <w:t>16</w:t>
        </w:r>
        <w:r w:rsidR="00BF3819">
          <w:rPr>
            <w:noProof/>
            <w:webHidden/>
          </w:rPr>
          <w:fldChar w:fldCharType="end"/>
        </w:r>
      </w:hyperlink>
    </w:p>
    <w:p w14:paraId="36649858" w14:textId="7EF8102C"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3" w:history="1">
        <w:r w:rsidR="00BF3819" w:rsidRPr="00305CCC">
          <w:rPr>
            <w:rStyle w:val="Hyperlink"/>
            <w:noProof/>
          </w:rPr>
          <w:t>Figure 8: Strategic Group Mapping</w:t>
        </w:r>
        <w:r w:rsidR="00BF3819">
          <w:rPr>
            <w:noProof/>
            <w:webHidden/>
          </w:rPr>
          <w:tab/>
        </w:r>
        <w:r w:rsidR="00BF3819">
          <w:rPr>
            <w:noProof/>
            <w:webHidden/>
          </w:rPr>
          <w:fldChar w:fldCharType="begin"/>
        </w:r>
        <w:r w:rsidR="00BF3819">
          <w:rPr>
            <w:noProof/>
            <w:webHidden/>
          </w:rPr>
          <w:instrText xml:space="preserve"> PAGEREF _Toc217239313 \h </w:instrText>
        </w:r>
        <w:r w:rsidR="00BF3819">
          <w:rPr>
            <w:noProof/>
            <w:webHidden/>
          </w:rPr>
        </w:r>
        <w:r w:rsidR="00BF3819">
          <w:rPr>
            <w:noProof/>
            <w:webHidden/>
          </w:rPr>
          <w:fldChar w:fldCharType="separate"/>
        </w:r>
        <w:r w:rsidR="00BF3819">
          <w:rPr>
            <w:noProof/>
            <w:webHidden/>
          </w:rPr>
          <w:t>19</w:t>
        </w:r>
        <w:r w:rsidR="00BF3819">
          <w:rPr>
            <w:noProof/>
            <w:webHidden/>
          </w:rPr>
          <w:fldChar w:fldCharType="end"/>
        </w:r>
      </w:hyperlink>
    </w:p>
    <w:p w14:paraId="4C353991" w14:textId="6F890F59"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4" w:history="1">
        <w:r w:rsidR="00BF3819" w:rsidRPr="00305CCC">
          <w:rPr>
            <w:rStyle w:val="Hyperlink"/>
            <w:noProof/>
          </w:rPr>
          <w:t>Figure 9: Porter’s Five Forces Competitive Analysis Model</w:t>
        </w:r>
        <w:r w:rsidR="00BF3819">
          <w:rPr>
            <w:noProof/>
            <w:webHidden/>
          </w:rPr>
          <w:tab/>
        </w:r>
        <w:r w:rsidR="00BF3819">
          <w:rPr>
            <w:noProof/>
            <w:webHidden/>
          </w:rPr>
          <w:fldChar w:fldCharType="begin"/>
        </w:r>
        <w:r w:rsidR="00BF3819">
          <w:rPr>
            <w:noProof/>
            <w:webHidden/>
          </w:rPr>
          <w:instrText xml:space="preserve"> PAGEREF _Toc217239314 \h </w:instrText>
        </w:r>
        <w:r w:rsidR="00BF3819">
          <w:rPr>
            <w:noProof/>
            <w:webHidden/>
          </w:rPr>
        </w:r>
        <w:r w:rsidR="00BF3819">
          <w:rPr>
            <w:noProof/>
            <w:webHidden/>
          </w:rPr>
          <w:fldChar w:fldCharType="separate"/>
        </w:r>
        <w:r w:rsidR="00BF3819">
          <w:rPr>
            <w:noProof/>
            <w:webHidden/>
          </w:rPr>
          <w:t>20</w:t>
        </w:r>
        <w:r w:rsidR="00BF3819">
          <w:rPr>
            <w:noProof/>
            <w:webHidden/>
          </w:rPr>
          <w:fldChar w:fldCharType="end"/>
        </w:r>
      </w:hyperlink>
    </w:p>
    <w:p w14:paraId="30EE4219" w14:textId="49BC7313"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5" w:history="1">
        <w:r w:rsidR="00BF3819" w:rsidRPr="00305CCC">
          <w:rPr>
            <w:rStyle w:val="Hyperlink"/>
            <w:noProof/>
          </w:rPr>
          <w:t>Figure 10: Joint Venture Market Entry Structure</w:t>
        </w:r>
        <w:r w:rsidR="00BF3819">
          <w:rPr>
            <w:noProof/>
            <w:webHidden/>
          </w:rPr>
          <w:tab/>
        </w:r>
        <w:r w:rsidR="00BF3819">
          <w:rPr>
            <w:noProof/>
            <w:webHidden/>
          </w:rPr>
          <w:fldChar w:fldCharType="begin"/>
        </w:r>
        <w:r w:rsidR="00BF3819">
          <w:rPr>
            <w:noProof/>
            <w:webHidden/>
          </w:rPr>
          <w:instrText xml:space="preserve"> PAGEREF _Toc217239315 \h </w:instrText>
        </w:r>
        <w:r w:rsidR="00BF3819">
          <w:rPr>
            <w:noProof/>
            <w:webHidden/>
          </w:rPr>
        </w:r>
        <w:r w:rsidR="00BF3819">
          <w:rPr>
            <w:noProof/>
            <w:webHidden/>
          </w:rPr>
          <w:fldChar w:fldCharType="separate"/>
        </w:r>
        <w:r w:rsidR="00BF3819">
          <w:rPr>
            <w:noProof/>
            <w:webHidden/>
          </w:rPr>
          <w:t>22</w:t>
        </w:r>
        <w:r w:rsidR="00BF3819">
          <w:rPr>
            <w:noProof/>
            <w:webHidden/>
          </w:rPr>
          <w:fldChar w:fldCharType="end"/>
        </w:r>
      </w:hyperlink>
    </w:p>
    <w:p w14:paraId="3F6A8B6E" w14:textId="76EF0D33"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6" w:history="1">
        <w:r w:rsidR="00BF3819" w:rsidRPr="00305CCC">
          <w:rPr>
            <w:rStyle w:val="Hyperlink"/>
            <w:noProof/>
          </w:rPr>
          <w:t>Figure 11: Key Benefits and Characteristics of Joint Ventures</w:t>
        </w:r>
        <w:r w:rsidR="00BF3819">
          <w:rPr>
            <w:noProof/>
            <w:webHidden/>
          </w:rPr>
          <w:tab/>
        </w:r>
        <w:r w:rsidR="00BF3819">
          <w:rPr>
            <w:noProof/>
            <w:webHidden/>
          </w:rPr>
          <w:fldChar w:fldCharType="begin"/>
        </w:r>
        <w:r w:rsidR="00BF3819">
          <w:rPr>
            <w:noProof/>
            <w:webHidden/>
          </w:rPr>
          <w:instrText xml:space="preserve"> PAGEREF _Toc217239316 \h </w:instrText>
        </w:r>
        <w:r w:rsidR="00BF3819">
          <w:rPr>
            <w:noProof/>
            <w:webHidden/>
          </w:rPr>
        </w:r>
        <w:r w:rsidR="00BF3819">
          <w:rPr>
            <w:noProof/>
            <w:webHidden/>
          </w:rPr>
          <w:fldChar w:fldCharType="separate"/>
        </w:r>
        <w:r w:rsidR="00BF3819">
          <w:rPr>
            <w:noProof/>
            <w:webHidden/>
          </w:rPr>
          <w:t>23</w:t>
        </w:r>
        <w:r w:rsidR="00BF3819">
          <w:rPr>
            <w:noProof/>
            <w:webHidden/>
          </w:rPr>
          <w:fldChar w:fldCharType="end"/>
        </w:r>
      </w:hyperlink>
    </w:p>
    <w:p w14:paraId="7573C656" w14:textId="3C663994"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7" w:history="1">
        <w:r w:rsidR="00BF3819" w:rsidRPr="00305CCC">
          <w:rPr>
            <w:rStyle w:val="Hyperlink"/>
            <w:noProof/>
          </w:rPr>
          <w:t>Figure 12: Wholly Owned Subsidiary Ownership Structure</w:t>
        </w:r>
        <w:r w:rsidR="00BF3819">
          <w:rPr>
            <w:noProof/>
            <w:webHidden/>
          </w:rPr>
          <w:tab/>
        </w:r>
        <w:r w:rsidR="00BF3819">
          <w:rPr>
            <w:noProof/>
            <w:webHidden/>
          </w:rPr>
          <w:fldChar w:fldCharType="begin"/>
        </w:r>
        <w:r w:rsidR="00BF3819">
          <w:rPr>
            <w:noProof/>
            <w:webHidden/>
          </w:rPr>
          <w:instrText xml:space="preserve"> PAGEREF _Toc217239317 \h </w:instrText>
        </w:r>
        <w:r w:rsidR="00BF3819">
          <w:rPr>
            <w:noProof/>
            <w:webHidden/>
          </w:rPr>
        </w:r>
        <w:r w:rsidR="00BF3819">
          <w:rPr>
            <w:noProof/>
            <w:webHidden/>
          </w:rPr>
          <w:fldChar w:fldCharType="separate"/>
        </w:r>
        <w:r w:rsidR="00BF3819">
          <w:rPr>
            <w:noProof/>
            <w:webHidden/>
          </w:rPr>
          <w:t>24</w:t>
        </w:r>
        <w:r w:rsidR="00BF3819">
          <w:rPr>
            <w:noProof/>
            <w:webHidden/>
          </w:rPr>
          <w:fldChar w:fldCharType="end"/>
        </w:r>
      </w:hyperlink>
    </w:p>
    <w:p w14:paraId="758CC71A" w14:textId="5409F383"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8" w:history="1">
        <w:r w:rsidR="00BF3819" w:rsidRPr="00305CCC">
          <w:rPr>
            <w:rStyle w:val="Hyperlink"/>
            <w:noProof/>
          </w:rPr>
          <w:t>Figure 13: Waitrose Responsible Sourcing and Fairtrade Commitment</w:t>
        </w:r>
        <w:r w:rsidR="00BF3819">
          <w:rPr>
            <w:noProof/>
            <w:webHidden/>
          </w:rPr>
          <w:tab/>
        </w:r>
        <w:r w:rsidR="00BF3819">
          <w:rPr>
            <w:noProof/>
            <w:webHidden/>
          </w:rPr>
          <w:fldChar w:fldCharType="begin"/>
        </w:r>
        <w:r w:rsidR="00BF3819">
          <w:rPr>
            <w:noProof/>
            <w:webHidden/>
          </w:rPr>
          <w:instrText xml:space="preserve"> PAGEREF _Toc217239318 \h </w:instrText>
        </w:r>
        <w:r w:rsidR="00BF3819">
          <w:rPr>
            <w:noProof/>
            <w:webHidden/>
          </w:rPr>
        </w:r>
        <w:r w:rsidR="00BF3819">
          <w:rPr>
            <w:noProof/>
            <w:webHidden/>
          </w:rPr>
          <w:fldChar w:fldCharType="separate"/>
        </w:r>
        <w:r w:rsidR="00BF3819">
          <w:rPr>
            <w:noProof/>
            <w:webHidden/>
          </w:rPr>
          <w:t>26</w:t>
        </w:r>
        <w:r w:rsidR="00BF3819">
          <w:rPr>
            <w:noProof/>
            <w:webHidden/>
          </w:rPr>
          <w:fldChar w:fldCharType="end"/>
        </w:r>
      </w:hyperlink>
    </w:p>
    <w:p w14:paraId="34BF2602" w14:textId="4D49E850"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19" w:history="1">
        <w:r w:rsidR="00BF3819" w:rsidRPr="00305CCC">
          <w:rPr>
            <w:rStyle w:val="Hyperlink"/>
            <w:noProof/>
          </w:rPr>
          <w:t>Figure 14: VRIO Analysis</w:t>
        </w:r>
        <w:r w:rsidR="00BF3819">
          <w:rPr>
            <w:noProof/>
            <w:webHidden/>
          </w:rPr>
          <w:tab/>
        </w:r>
        <w:r w:rsidR="00BF3819">
          <w:rPr>
            <w:noProof/>
            <w:webHidden/>
          </w:rPr>
          <w:fldChar w:fldCharType="begin"/>
        </w:r>
        <w:r w:rsidR="00BF3819">
          <w:rPr>
            <w:noProof/>
            <w:webHidden/>
          </w:rPr>
          <w:instrText xml:space="preserve"> PAGEREF _Toc217239319 \h </w:instrText>
        </w:r>
        <w:r w:rsidR="00BF3819">
          <w:rPr>
            <w:noProof/>
            <w:webHidden/>
          </w:rPr>
        </w:r>
        <w:r w:rsidR="00BF3819">
          <w:rPr>
            <w:noProof/>
            <w:webHidden/>
          </w:rPr>
          <w:fldChar w:fldCharType="separate"/>
        </w:r>
        <w:r w:rsidR="00BF3819">
          <w:rPr>
            <w:noProof/>
            <w:webHidden/>
          </w:rPr>
          <w:t>27</w:t>
        </w:r>
        <w:r w:rsidR="00BF3819">
          <w:rPr>
            <w:noProof/>
            <w:webHidden/>
          </w:rPr>
          <w:fldChar w:fldCharType="end"/>
        </w:r>
      </w:hyperlink>
    </w:p>
    <w:p w14:paraId="2421F46B" w14:textId="2C8EE018"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0" w:history="1">
        <w:r w:rsidR="00BF3819" w:rsidRPr="00305CCC">
          <w:rPr>
            <w:rStyle w:val="Hyperlink"/>
            <w:noProof/>
          </w:rPr>
          <w:t>Figure 15: Digital Transformation of Kirana Stores in India</w:t>
        </w:r>
        <w:r w:rsidR="00BF3819">
          <w:rPr>
            <w:noProof/>
            <w:webHidden/>
          </w:rPr>
          <w:tab/>
        </w:r>
        <w:r w:rsidR="00BF3819">
          <w:rPr>
            <w:noProof/>
            <w:webHidden/>
          </w:rPr>
          <w:fldChar w:fldCharType="begin"/>
        </w:r>
        <w:r w:rsidR="00BF3819">
          <w:rPr>
            <w:noProof/>
            <w:webHidden/>
          </w:rPr>
          <w:instrText xml:space="preserve"> PAGEREF _Toc217239320 \h </w:instrText>
        </w:r>
        <w:r w:rsidR="00BF3819">
          <w:rPr>
            <w:noProof/>
            <w:webHidden/>
          </w:rPr>
        </w:r>
        <w:r w:rsidR="00BF3819">
          <w:rPr>
            <w:noProof/>
            <w:webHidden/>
          </w:rPr>
          <w:fldChar w:fldCharType="separate"/>
        </w:r>
        <w:r w:rsidR="00BF3819">
          <w:rPr>
            <w:noProof/>
            <w:webHidden/>
          </w:rPr>
          <w:t>28</w:t>
        </w:r>
        <w:r w:rsidR="00BF3819">
          <w:rPr>
            <w:noProof/>
            <w:webHidden/>
          </w:rPr>
          <w:fldChar w:fldCharType="end"/>
        </w:r>
      </w:hyperlink>
    </w:p>
    <w:p w14:paraId="45AA709B" w14:textId="79AC912C"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1" w:history="1">
        <w:r w:rsidR="00BF3819" w:rsidRPr="00305CCC">
          <w:rPr>
            <w:rStyle w:val="Hyperlink"/>
            <w:noProof/>
          </w:rPr>
          <w:t>Figure 16 : Tiered Pricing Strategy Framework</w:t>
        </w:r>
        <w:r w:rsidR="00BF3819">
          <w:rPr>
            <w:noProof/>
            <w:webHidden/>
          </w:rPr>
          <w:tab/>
        </w:r>
        <w:r w:rsidR="00BF3819">
          <w:rPr>
            <w:noProof/>
            <w:webHidden/>
          </w:rPr>
          <w:fldChar w:fldCharType="begin"/>
        </w:r>
        <w:r w:rsidR="00BF3819">
          <w:rPr>
            <w:noProof/>
            <w:webHidden/>
          </w:rPr>
          <w:instrText xml:space="preserve"> PAGEREF _Toc217239321 \h </w:instrText>
        </w:r>
        <w:r w:rsidR="00BF3819">
          <w:rPr>
            <w:noProof/>
            <w:webHidden/>
          </w:rPr>
        </w:r>
        <w:r w:rsidR="00BF3819">
          <w:rPr>
            <w:noProof/>
            <w:webHidden/>
          </w:rPr>
          <w:fldChar w:fldCharType="separate"/>
        </w:r>
        <w:r w:rsidR="00BF3819">
          <w:rPr>
            <w:noProof/>
            <w:webHidden/>
          </w:rPr>
          <w:t>30</w:t>
        </w:r>
        <w:r w:rsidR="00BF3819">
          <w:rPr>
            <w:noProof/>
            <w:webHidden/>
          </w:rPr>
          <w:fldChar w:fldCharType="end"/>
        </w:r>
      </w:hyperlink>
    </w:p>
    <w:p w14:paraId="36AECBF1" w14:textId="26520162"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2" w:history="1">
        <w:r w:rsidR="00BF3819" w:rsidRPr="00305CCC">
          <w:rPr>
            <w:rStyle w:val="Hyperlink"/>
            <w:noProof/>
          </w:rPr>
          <w:t>Figure 17: Triple Bottom Line (People, Planet, Profit) Framework</w:t>
        </w:r>
        <w:r w:rsidR="00BF3819">
          <w:rPr>
            <w:noProof/>
            <w:webHidden/>
          </w:rPr>
          <w:tab/>
        </w:r>
        <w:r w:rsidR="00BF3819">
          <w:rPr>
            <w:noProof/>
            <w:webHidden/>
          </w:rPr>
          <w:fldChar w:fldCharType="begin"/>
        </w:r>
        <w:r w:rsidR="00BF3819">
          <w:rPr>
            <w:noProof/>
            <w:webHidden/>
          </w:rPr>
          <w:instrText xml:space="preserve"> PAGEREF _Toc217239322 \h </w:instrText>
        </w:r>
        <w:r w:rsidR="00BF3819">
          <w:rPr>
            <w:noProof/>
            <w:webHidden/>
          </w:rPr>
        </w:r>
        <w:r w:rsidR="00BF3819">
          <w:rPr>
            <w:noProof/>
            <w:webHidden/>
          </w:rPr>
          <w:fldChar w:fldCharType="separate"/>
        </w:r>
        <w:r w:rsidR="00BF3819">
          <w:rPr>
            <w:noProof/>
            <w:webHidden/>
          </w:rPr>
          <w:t>32</w:t>
        </w:r>
        <w:r w:rsidR="00BF3819">
          <w:rPr>
            <w:noProof/>
            <w:webHidden/>
          </w:rPr>
          <w:fldChar w:fldCharType="end"/>
        </w:r>
      </w:hyperlink>
    </w:p>
    <w:p w14:paraId="2A2C4D45" w14:textId="26947BFA" w:rsidR="00C46669" w:rsidRPr="00C46669" w:rsidRDefault="00C46669" w:rsidP="00D91825">
      <w:pPr>
        <w:rPr>
          <w:b/>
          <w:bCs/>
          <w:sz w:val="28"/>
          <w:szCs w:val="28"/>
          <w:lang w:val="en-GB"/>
        </w:rPr>
      </w:pPr>
      <w:r>
        <w:rPr>
          <w:b/>
          <w:bCs/>
          <w:sz w:val="28"/>
          <w:szCs w:val="28"/>
          <w:lang w:val="en-GB"/>
        </w:rPr>
        <w:fldChar w:fldCharType="end"/>
      </w:r>
    </w:p>
    <w:p w14:paraId="43A93096" w14:textId="0E382EBF" w:rsidR="00C46669" w:rsidRDefault="00C46669" w:rsidP="00D91825">
      <w:pPr>
        <w:rPr>
          <w:b/>
          <w:bCs/>
          <w:sz w:val="28"/>
          <w:szCs w:val="28"/>
          <w:lang w:val="en-GB"/>
        </w:rPr>
      </w:pPr>
      <w:r w:rsidRPr="00C46669">
        <w:rPr>
          <w:b/>
          <w:bCs/>
          <w:sz w:val="28"/>
          <w:szCs w:val="28"/>
          <w:lang w:val="en-GB"/>
        </w:rPr>
        <w:t>List of Tables</w:t>
      </w:r>
    </w:p>
    <w:p w14:paraId="1F006D06" w14:textId="7A61EDDD" w:rsidR="00BF3819" w:rsidRDefault="00C46669">
      <w:pPr>
        <w:pStyle w:val="TableofFigures"/>
        <w:tabs>
          <w:tab w:val="right" w:leader="dot" w:pos="9350"/>
        </w:tabs>
        <w:rPr>
          <w:rFonts w:asciiTheme="minorHAnsi" w:eastAsiaTheme="minorEastAsia" w:hAnsiTheme="minorHAnsi"/>
          <w:noProof/>
          <w:kern w:val="0"/>
          <w:sz w:val="22"/>
          <w:szCs w:val="22"/>
          <w:lang w:bidi="si-LK"/>
          <w14:ligatures w14:val="none"/>
        </w:rPr>
      </w:pPr>
      <w:r>
        <w:rPr>
          <w:b/>
          <w:bCs/>
          <w:sz w:val="28"/>
          <w:szCs w:val="28"/>
          <w:lang w:val="en-GB"/>
        </w:rPr>
        <w:fldChar w:fldCharType="begin"/>
      </w:r>
      <w:r>
        <w:rPr>
          <w:b/>
          <w:bCs/>
          <w:sz w:val="28"/>
          <w:szCs w:val="28"/>
          <w:lang w:val="en-GB"/>
        </w:rPr>
        <w:instrText xml:space="preserve"> TOC \h \z \c "Table" </w:instrText>
      </w:r>
      <w:r>
        <w:rPr>
          <w:b/>
          <w:bCs/>
          <w:sz w:val="28"/>
          <w:szCs w:val="28"/>
          <w:lang w:val="en-GB"/>
        </w:rPr>
        <w:fldChar w:fldCharType="separate"/>
      </w:r>
      <w:hyperlink w:anchor="_Toc217239323" w:history="1">
        <w:r w:rsidR="00BF3819" w:rsidRPr="00814789">
          <w:rPr>
            <w:rStyle w:val="Hyperlink"/>
            <w:noProof/>
          </w:rPr>
          <w:t>Table 1: Strategic Fit Between Waitrose and India</w:t>
        </w:r>
        <w:r w:rsidR="00BF3819">
          <w:rPr>
            <w:noProof/>
            <w:webHidden/>
          </w:rPr>
          <w:tab/>
        </w:r>
        <w:r w:rsidR="00BF3819">
          <w:rPr>
            <w:noProof/>
            <w:webHidden/>
          </w:rPr>
          <w:fldChar w:fldCharType="begin"/>
        </w:r>
        <w:r w:rsidR="00BF3819">
          <w:rPr>
            <w:noProof/>
            <w:webHidden/>
          </w:rPr>
          <w:instrText xml:space="preserve"> PAGEREF _Toc217239323 \h </w:instrText>
        </w:r>
        <w:r w:rsidR="00BF3819">
          <w:rPr>
            <w:noProof/>
            <w:webHidden/>
          </w:rPr>
        </w:r>
        <w:r w:rsidR="00BF3819">
          <w:rPr>
            <w:noProof/>
            <w:webHidden/>
          </w:rPr>
          <w:fldChar w:fldCharType="separate"/>
        </w:r>
        <w:r w:rsidR="00BF3819">
          <w:rPr>
            <w:noProof/>
            <w:webHidden/>
          </w:rPr>
          <w:t>11</w:t>
        </w:r>
        <w:r w:rsidR="00BF3819">
          <w:rPr>
            <w:noProof/>
            <w:webHidden/>
          </w:rPr>
          <w:fldChar w:fldCharType="end"/>
        </w:r>
      </w:hyperlink>
    </w:p>
    <w:p w14:paraId="6E634FF3" w14:textId="05E056DE"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4" w:history="1">
        <w:r w:rsidR="00BF3819" w:rsidRPr="00814789">
          <w:rPr>
            <w:rStyle w:val="Hyperlink"/>
            <w:noProof/>
          </w:rPr>
          <w:t>Table 2: PESTEL Analysis</w:t>
        </w:r>
        <w:r w:rsidR="00BF3819">
          <w:rPr>
            <w:noProof/>
            <w:webHidden/>
          </w:rPr>
          <w:tab/>
        </w:r>
        <w:r w:rsidR="00BF3819">
          <w:rPr>
            <w:noProof/>
            <w:webHidden/>
          </w:rPr>
          <w:fldChar w:fldCharType="begin"/>
        </w:r>
        <w:r w:rsidR="00BF3819">
          <w:rPr>
            <w:noProof/>
            <w:webHidden/>
          </w:rPr>
          <w:instrText xml:space="preserve"> PAGEREF _Toc217239324 \h </w:instrText>
        </w:r>
        <w:r w:rsidR="00BF3819">
          <w:rPr>
            <w:noProof/>
            <w:webHidden/>
          </w:rPr>
        </w:r>
        <w:r w:rsidR="00BF3819">
          <w:rPr>
            <w:noProof/>
            <w:webHidden/>
          </w:rPr>
          <w:fldChar w:fldCharType="separate"/>
        </w:r>
        <w:r w:rsidR="00BF3819">
          <w:rPr>
            <w:noProof/>
            <w:webHidden/>
          </w:rPr>
          <w:t>15</w:t>
        </w:r>
        <w:r w:rsidR="00BF3819">
          <w:rPr>
            <w:noProof/>
            <w:webHidden/>
          </w:rPr>
          <w:fldChar w:fldCharType="end"/>
        </w:r>
      </w:hyperlink>
    </w:p>
    <w:p w14:paraId="72FF21A3" w14:textId="03D92240"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5" w:history="1">
        <w:r w:rsidR="00BF3819" w:rsidRPr="00814789">
          <w:rPr>
            <w:rStyle w:val="Hyperlink"/>
            <w:noProof/>
          </w:rPr>
          <w:t>Table 3: Porter’s Five Forces Analysis</w:t>
        </w:r>
        <w:r w:rsidR="00BF3819">
          <w:rPr>
            <w:noProof/>
            <w:webHidden/>
          </w:rPr>
          <w:tab/>
        </w:r>
        <w:r w:rsidR="00BF3819">
          <w:rPr>
            <w:noProof/>
            <w:webHidden/>
          </w:rPr>
          <w:fldChar w:fldCharType="begin"/>
        </w:r>
        <w:r w:rsidR="00BF3819">
          <w:rPr>
            <w:noProof/>
            <w:webHidden/>
          </w:rPr>
          <w:instrText xml:space="preserve"> PAGEREF _Toc217239325 \h </w:instrText>
        </w:r>
        <w:r w:rsidR="00BF3819">
          <w:rPr>
            <w:noProof/>
            <w:webHidden/>
          </w:rPr>
        </w:r>
        <w:r w:rsidR="00BF3819">
          <w:rPr>
            <w:noProof/>
            <w:webHidden/>
          </w:rPr>
          <w:fldChar w:fldCharType="separate"/>
        </w:r>
        <w:r w:rsidR="00BF3819">
          <w:rPr>
            <w:noProof/>
            <w:webHidden/>
          </w:rPr>
          <w:t>18</w:t>
        </w:r>
        <w:r w:rsidR="00BF3819">
          <w:rPr>
            <w:noProof/>
            <w:webHidden/>
          </w:rPr>
          <w:fldChar w:fldCharType="end"/>
        </w:r>
      </w:hyperlink>
    </w:p>
    <w:p w14:paraId="40BA524A" w14:textId="7D557003"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6" w:history="1">
        <w:r w:rsidR="00BF3819" w:rsidRPr="00814789">
          <w:rPr>
            <w:rStyle w:val="Hyperlink"/>
            <w:noProof/>
          </w:rPr>
          <w:t>Table 4: SMART Objectives</w:t>
        </w:r>
        <w:r w:rsidR="00BF3819">
          <w:rPr>
            <w:noProof/>
            <w:webHidden/>
          </w:rPr>
          <w:tab/>
        </w:r>
        <w:r w:rsidR="00BF3819">
          <w:rPr>
            <w:noProof/>
            <w:webHidden/>
          </w:rPr>
          <w:fldChar w:fldCharType="begin"/>
        </w:r>
        <w:r w:rsidR="00BF3819">
          <w:rPr>
            <w:noProof/>
            <w:webHidden/>
          </w:rPr>
          <w:instrText xml:space="preserve"> PAGEREF _Toc217239326 \h </w:instrText>
        </w:r>
        <w:r w:rsidR="00BF3819">
          <w:rPr>
            <w:noProof/>
            <w:webHidden/>
          </w:rPr>
        </w:r>
        <w:r w:rsidR="00BF3819">
          <w:rPr>
            <w:noProof/>
            <w:webHidden/>
          </w:rPr>
          <w:fldChar w:fldCharType="separate"/>
        </w:r>
        <w:r w:rsidR="00BF3819">
          <w:rPr>
            <w:noProof/>
            <w:webHidden/>
          </w:rPr>
          <w:t>22</w:t>
        </w:r>
        <w:r w:rsidR="00BF3819">
          <w:rPr>
            <w:noProof/>
            <w:webHidden/>
          </w:rPr>
          <w:fldChar w:fldCharType="end"/>
        </w:r>
      </w:hyperlink>
    </w:p>
    <w:p w14:paraId="46F3C643" w14:textId="74B2FD2A" w:rsidR="00BF3819" w:rsidRDefault="00D720A3">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7239327" w:history="1">
        <w:r w:rsidR="00BF3819" w:rsidRPr="00814789">
          <w:rPr>
            <w:rStyle w:val="Hyperlink"/>
            <w:noProof/>
          </w:rPr>
          <w:t>Table 5: Risk Assessment and Mitigation Framework for Waitrose India</w:t>
        </w:r>
        <w:r w:rsidR="00BF3819">
          <w:rPr>
            <w:noProof/>
            <w:webHidden/>
          </w:rPr>
          <w:tab/>
        </w:r>
        <w:r w:rsidR="00BF3819">
          <w:rPr>
            <w:noProof/>
            <w:webHidden/>
          </w:rPr>
          <w:fldChar w:fldCharType="begin"/>
        </w:r>
        <w:r w:rsidR="00BF3819">
          <w:rPr>
            <w:noProof/>
            <w:webHidden/>
          </w:rPr>
          <w:instrText xml:space="preserve"> PAGEREF _Toc217239327 \h </w:instrText>
        </w:r>
        <w:r w:rsidR="00BF3819">
          <w:rPr>
            <w:noProof/>
            <w:webHidden/>
          </w:rPr>
        </w:r>
        <w:r w:rsidR="00BF3819">
          <w:rPr>
            <w:noProof/>
            <w:webHidden/>
          </w:rPr>
          <w:fldChar w:fldCharType="separate"/>
        </w:r>
        <w:r w:rsidR="00BF3819">
          <w:rPr>
            <w:noProof/>
            <w:webHidden/>
          </w:rPr>
          <w:t>30</w:t>
        </w:r>
        <w:r w:rsidR="00BF3819">
          <w:rPr>
            <w:noProof/>
            <w:webHidden/>
          </w:rPr>
          <w:fldChar w:fldCharType="end"/>
        </w:r>
      </w:hyperlink>
    </w:p>
    <w:p w14:paraId="1C660472" w14:textId="018323C8" w:rsidR="00C46669" w:rsidRPr="00C46669" w:rsidRDefault="00C46669" w:rsidP="00D91825">
      <w:pPr>
        <w:rPr>
          <w:b/>
          <w:bCs/>
          <w:sz w:val="28"/>
          <w:szCs w:val="28"/>
          <w:lang w:val="en-GB"/>
        </w:rPr>
      </w:pPr>
      <w:r>
        <w:rPr>
          <w:b/>
          <w:bCs/>
          <w:sz w:val="28"/>
          <w:szCs w:val="28"/>
          <w:lang w:val="en-GB"/>
        </w:rPr>
        <w:fldChar w:fldCharType="end"/>
      </w:r>
    </w:p>
    <w:p w14:paraId="0D7C7025" w14:textId="77777777" w:rsidR="00C46669" w:rsidRDefault="00C46669" w:rsidP="00D91825">
      <w:pPr>
        <w:rPr>
          <w:lang w:val="en-GB"/>
        </w:rPr>
      </w:pPr>
    </w:p>
    <w:p w14:paraId="0F0A5F5D" w14:textId="77777777" w:rsidR="00D91825" w:rsidRDefault="00D91825">
      <w:pPr>
        <w:spacing w:line="278" w:lineRule="auto"/>
        <w:jc w:val="left"/>
        <w:rPr>
          <w:lang w:val="en-GB"/>
        </w:rPr>
      </w:pPr>
      <w:r>
        <w:rPr>
          <w:lang w:val="en-GB"/>
        </w:rPr>
        <w:br w:type="page"/>
      </w:r>
    </w:p>
    <w:p w14:paraId="016CB7E6" w14:textId="56B03F84" w:rsidR="00D91825" w:rsidRDefault="00D91825" w:rsidP="0044097A">
      <w:pPr>
        <w:pStyle w:val="Heading1"/>
      </w:pPr>
      <w:bookmarkStart w:id="1" w:name="_Toc217239277"/>
      <w:r>
        <w:lastRenderedPageBreak/>
        <w:t>Introduction</w:t>
      </w:r>
      <w:bookmarkEnd w:id="1"/>
      <w:r>
        <w:t xml:space="preserve"> </w:t>
      </w:r>
    </w:p>
    <w:p w14:paraId="70C2F702" w14:textId="582DE867" w:rsidR="00DF5C70" w:rsidRDefault="00DF5C70" w:rsidP="00314659">
      <w:r w:rsidRPr="00DF5C70">
        <w:t>The modern global business world is marked by the speed of change, the high level of competition, and growing uncertainty caused by the globalisation process, technology development, and the changing demands of consumers. In this regard, organisations that aim at expanding internationally should embrace the use of evidence-based and strategically agile strategy of market expansion. This report is a growth strategy of Waitrose, a prestigious UK-based grocery store chain under the John Lewis Partnership.</w:t>
      </w:r>
    </w:p>
    <w:p w14:paraId="74399035" w14:textId="35476CD6" w:rsidR="00205085" w:rsidRDefault="00205085" w:rsidP="00314659">
      <w:r>
        <w:rPr>
          <w:noProof/>
        </w:rPr>
        <w:drawing>
          <wp:inline distT="0" distB="0" distL="0" distR="0" wp14:anchorId="3EA100E6" wp14:editId="053AC299">
            <wp:extent cx="5943600" cy="1546860"/>
            <wp:effectExtent l="0" t="0" r="0" b="0"/>
            <wp:docPr id="1" name="Picture 1" descr="The History of Waitrose: A British Retail Icon - Read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Waitrose: A British Retail Icon - Read Food"/>
                    <pic:cNvPicPr>
                      <a:picLocks noChangeAspect="1" noChangeArrowheads="1"/>
                    </pic:cNvPicPr>
                  </pic:nvPicPr>
                  <pic:blipFill rotWithShape="1">
                    <a:blip r:embed="rId9">
                      <a:extLst>
                        <a:ext uri="{28A0092B-C50C-407E-A947-70E740481C1C}">
                          <a14:useLocalDpi xmlns:a14="http://schemas.microsoft.com/office/drawing/2010/main" val="0"/>
                        </a:ext>
                      </a:extLst>
                    </a:blip>
                    <a:srcRect t="24668" b="23169"/>
                    <a:stretch/>
                  </pic:blipFill>
                  <pic:spPr bwMode="auto">
                    <a:xfrm>
                      <a:off x="0" y="0"/>
                      <a:ext cx="5943600" cy="1546860"/>
                    </a:xfrm>
                    <a:prstGeom prst="rect">
                      <a:avLst/>
                    </a:prstGeom>
                    <a:noFill/>
                    <a:ln>
                      <a:noFill/>
                    </a:ln>
                    <a:extLst>
                      <a:ext uri="{53640926-AAD7-44D8-BBD7-CCE9431645EC}">
                        <a14:shadowObscured xmlns:a14="http://schemas.microsoft.com/office/drawing/2010/main"/>
                      </a:ext>
                    </a:extLst>
                  </pic:spPr>
                </pic:pic>
              </a:graphicData>
            </a:graphic>
          </wp:inline>
        </w:drawing>
      </w:r>
    </w:p>
    <w:p w14:paraId="10271693" w14:textId="72D688E6" w:rsidR="00BE54BE" w:rsidRDefault="00BE54BE" w:rsidP="00BE54BE">
      <w:pPr>
        <w:pStyle w:val="Caption"/>
      </w:pPr>
      <w:bookmarkStart w:id="2" w:name="_Toc217239306"/>
      <w:r>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1</w:t>
      </w:r>
      <w:r w:rsidR="00E81512">
        <w:rPr>
          <w:noProof/>
        </w:rPr>
        <w:fldChar w:fldCharType="end"/>
      </w:r>
      <w:r>
        <w:t xml:space="preserve">: </w:t>
      </w:r>
      <w:r w:rsidRPr="00991586">
        <w:t>Waitrose Brand Logo</w:t>
      </w:r>
      <w:bookmarkEnd w:id="2"/>
    </w:p>
    <w:p w14:paraId="063BC92C" w14:textId="38D03D61" w:rsidR="008B634E" w:rsidRDefault="00462267" w:rsidP="008B634E">
      <w:r w:rsidRPr="00462267">
        <w:t>This paper addresses the strategic feasibility of Waitrose potentially venturing into India as one of the fastest growing and most complicated retailing environments in the world. Using the well-known strategic management models, such as the PESTLE analysis, Porters Five Forces, Resource-Based View, and the OLI paradigm, the report provides a critical evaluation of the external market environment, the competition, and the firm-specific strengths. It also formulates a consistent market-entry and competitive plan with a defined performance-review framework in place, which will enable Waitrose to undertake sustainable and ethically-based expansion to the Indian market.</w:t>
      </w:r>
    </w:p>
    <w:p w14:paraId="3600F0AD" w14:textId="77777777" w:rsidR="008B634E" w:rsidRDefault="008B634E" w:rsidP="00314659">
      <w:pPr>
        <w:pStyle w:val="Heading1"/>
        <w:rPr>
          <w:rFonts w:ascii="Times New Roman" w:hAnsi="Times New Roman"/>
        </w:rPr>
      </w:pPr>
      <w:bookmarkStart w:id="3" w:name="_Toc217239278"/>
      <w:r>
        <w:t>1. Selection of Organisation and Target Market</w:t>
      </w:r>
      <w:bookmarkEnd w:id="3"/>
    </w:p>
    <w:p w14:paraId="5D1DFB2E" w14:textId="77777777" w:rsidR="008B634E" w:rsidRPr="00853496" w:rsidRDefault="008B634E" w:rsidP="00853496">
      <w:pPr>
        <w:pStyle w:val="Heading2"/>
      </w:pPr>
      <w:bookmarkStart w:id="4" w:name="_Toc217239279"/>
      <w:r>
        <w:t>1.1 Overview of Waitrose plc</w:t>
      </w:r>
      <w:bookmarkEnd w:id="4"/>
    </w:p>
    <w:p w14:paraId="350B485D" w14:textId="77777777" w:rsidR="000749FE" w:rsidRDefault="00277042" w:rsidP="00277042">
      <w:r>
        <w:t>Waitrose plc operates as the high-end grocery retail subsidiary of the John Lewis Partnership (JLP), a UK-based employee-owned business entity registered under company number 00099405 (Companies House, 2025).</w:t>
      </w:r>
      <w:r w:rsidR="008A5D5A">
        <w:t xml:space="preserve"> </w:t>
      </w:r>
    </w:p>
    <w:p w14:paraId="2065D10A" w14:textId="1BDC7F4B" w:rsidR="000749FE" w:rsidRDefault="000749FE" w:rsidP="00277042">
      <w:r>
        <w:rPr>
          <w:noProof/>
        </w:rPr>
        <w:lastRenderedPageBreak/>
        <w:drawing>
          <wp:inline distT="0" distB="0" distL="0" distR="0" wp14:anchorId="503769B3" wp14:editId="7280A5D8">
            <wp:extent cx="5805564" cy="3459480"/>
            <wp:effectExtent l="0" t="0" r="5080" b="7620"/>
            <wp:docPr id="7" name="Picture 7" descr="https://img.genial.ly/635a5d31aab7480012e62b13/e6b82577-50ce-4f94-8dcc-3e284c0b14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mg.genial.ly/635a5d31aab7480012e62b13/e6b82577-50ce-4f94-8dcc-3e284c0b14e7.jpe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462" t="10878" r="2949" b="10258"/>
                    <a:stretch/>
                  </pic:blipFill>
                  <pic:spPr bwMode="auto">
                    <a:xfrm>
                      <a:off x="0" y="0"/>
                      <a:ext cx="5812971" cy="3463894"/>
                    </a:xfrm>
                    <a:prstGeom prst="rect">
                      <a:avLst/>
                    </a:prstGeom>
                    <a:noFill/>
                    <a:ln>
                      <a:noFill/>
                    </a:ln>
                    <a:extLst>
                      <a:ext uri="{53640926-AAD7-44D8-BBD7-CCE9431645EC}">
                        <a14:shadowObscured xmlns:a14="http://schemas.microsoft.com/office/drawing/2010/main"/>
                      </a:ext>
                    </a:extLst>
                  </pic:spPr>
                </pic:pic>
              </a:graphicData>
            </a:graphic>
          </wp:inline>
        </w:drawing>
      </w:r>
    </w:p>
    <w:p w14:paraId="750C142B" w14:textId="19243C92" w:rsidR="009A0777" w:rsidRDefault="009A0777" w:rsidP="009A0777">
      <w:pPr>
        <w:pStyle w:val="Caption"/>
      </w:pPr>
      <w:bookmarkStart w:id="5" w:name="_Toc217239307"/>
      <w:r>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2</w:t>
      </w:r>
      <w:r w:rsidR="00E81512">
        <w:rPr>
          <w:noProof/>
        </w:rPr>
        <w:fldChar w:fldCharType="end"/>
      </w:r>
      <w:r>
        <w:t xml:space="preserve">: </w:t>
      </w:r>
      <w:r w:rsidRPr="006D108C">
        <w:t xml:space="preserve">Waitrose &amp; Partners </w:t>
      </w:r>
      <w:r w:rsidR="00901FE6">
        <w:t>-</w:t>
      </w:r>
      <w:r w:rsidRPr="006D108C">
        <w:t xml:space="preserve"> Business Model Canvas</w:t>
      </w:r>
      <w:bookmarkEnd w:id="5"/>
    </w:p>
    <w:p w14:paraId="67AD236A" w14:textId="0CE3F620" w:rsidR="00FE21E1" w:rsidRDefault="00277042" w:rsidP="00277042">
      <w:r>
        <w:t>The model of partnership makes Waitrose stand out of investor-owned retailers by reinvesting the profits into the business and sharing it between Partners (employees), which has enhanced a long-term strategic focus and not maximising the shareholder value in the short run (John Lewis Partnership, 2024). The structure of this ownership is the basis of solid governance, increased employee involvement, and values-based organisational culture.</w:t>
      </w:r>
    </w:p>
    <w:p w14:paraId="130B4309" w14:textId="4C79A1EB" w:rsidR="00FE21E1" w:rsidRDefault="00023BF2" w:rsidP="008B634E">
      <w:r w:rsidRPr="00023BF2">
        <w:rPr>
          <w:noProof/>
        </w:rPr>
        <w:drawing>
          <wp:inline distT="0" distB="0" distL="0" distR="0" wp14:anchorId="313A2DBC" wp14:editId="1B06044D">
            <wp:extent cx="5943600" cy="23945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394585"/>
                    </a:xfrm>
                    <a:prstGeom prst="rect">
                      <a:avLst/>
                    </a:prstGeom>
                  </pic:spPr>
                </pic:pic>
              </a:graphicData>
            </a:graphic>
          </wp:inline>
        </w:drawing>
      </w:r>
    </w:p>
    <w:p w14:paraId="71459494" w14:textId="78F7DC2A" w:rsidR="00023BF2" w:rsidRDefault="00023BF2" w:rsidP="00023BF2">
      <w:pPr>
        <w:pStyle w:val="Caption"/>
      </w:pPr>
      <w:bookmarkStart w:id="6" w:name="_Toc217239308"/>
      <w:r>
        <w:lastRenderedPageBreak/>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3</w:t>
      </w:r>
      <w:r w:rsidR="00E81512">
        <w:rPr>
          <w:noProof/>
        </w:rPr>
        <w:fldChar w:fldCharType="end"/>
      </w:r>
      <w:r>
        <w:t xml:space="preserve">: </w:t>
      </w:r>
      <w:r w:rsidRPr="007E29C2">
        <w:t>John Lewis Partnershi</w:t>
      </w:r>
      <w:bookmarkEnd w:id="6"/>
    </w:p>
    <w:p w14:paraId="25E9A97A" w14:textId="1E7F984A" w:rsidR="00013387" w:rsidRDefault="00013387" w:rsidP="008B634E">
      <w:r w:rsidRPr="00013387">
        <w:t>The business model of Waitrose has its foundation in high-quality food retailing that includes high quality own-label products, responsible sourcing, and excellent customer services. The retailer puts a strong focus on differentiation, whereby it focuses more on product provenance, food innovation, and ethical trading practices rather than price competition (John Lewis Partnership, 2023).</w:t>
      </w:r>
      <w:r w:rsidR="00716DF9">
        <w:t xml:space="preserve"> </w:t>
      </w:r>
      <w:r w:rsidR="00716DF9" w:rsidRPr="00716DF9">
        <w:t xml:space="preserve">Waitrose estimates that about </w:t>
      </w:r>
      <w:r w:rsidR="00A35770">
        <w:t>90%</w:t>
      </w:r>
      <w:r w:rsidR="00716DF9" w:rsidRPr="00716DF9">
        <w:t xml:space="preserve"> of its food sales come as a result of own-brand ranges, which in turn makes it easier to exert a greater level of quality control and brand consistency (John Lewis Partnership, 2022). The value propositions of this company are also supported by the actions like the Waitrose Foundation which offers assistance to the agricultural employees, and offers sustainable farming communities to its supply chains (Waitrose Foundation, 2025).</w:t>
      </w:r>
    </w:p>
    <w:p w14:paraId="20020BA7" w14:textId="65A0B150" w:rsidR="00853496" w:rsidRDefault="00853496" w:rsidP="008B634E">
      <w:r>
        <w:rPr>
          <w:noProof/>
        </w:rPr>
        <w:drawing>
          <wp:inline distT="0" distB="0" distL="0" distR="0" wp14:anchorId="5E6C856B" wp14:editId="44ED301F">
            <wp:extent cx="5943600" cy="3672840"/>
            <wp:effectExtent l="0" t="0" r="0" b="3810"/>
            <wp:docPr id="5" name="Picture 5" descr="We're celebrating our Foundation's 15th Anniversary throughout August!  We're proud to support &amp; improve the lives of those who grow, pick and pack  our fresh produce &amp; horticulture. We'll be sharing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re celebrating our Foundation's 15th Anniversary throughout August!  We're proud to support &amp; improve the lives of those who grow, pick and pack  our fresh produce &amp; horticulture. We'll be sharing stories,"/>
                    <pic:cNvPicPr>
                      <a:picLocks noChangeAspect="1" noChangeArrowheads="1"/>
                    </pic:cNvPicPr>
                  </pic:nvPicPr>
                  <pic:blipFill rotWithShape="1">
                    <a:blip r:embed="rId12">
                      <a:extLst>
                        <a:ext uri="{28A0092B-C50C-407E-A947-70E740481C1C}">
                          <a14:useLocalDpi xmlns:a14="http://schemas.microsoft.com/office/drawing/2010/main" val="0"/>
                        </a:ext>
                      </a:extLst>
                    </a:blip>
                    <a:srcRect t="4544" b="7845"/>
                    <a:stretch/>
                  </pic:blipFill>
                  <pic:spPr bwMode="auto">
                    <a:xfrm>
                      <a:off x="0" y="0"/>
                      <a:ext cx="5943600" cy="3672840"/>
                    </a:xfrm>
                    <a:prstGeom prst="rect">
                      <a:avLst/>
                    </a:prstGeom>
                    <a:noFill/>
                    <a:ln>
                      <a:noFill/>
                    </a:ln>
                    <a:extLst>
                      <a:ext uri="{53640926-AAD7-44D8-BBD7-CCE9431645EC}">
                        <a14:shadowObscured xmlns:a14="http://schemas.microsoft.com/office/drawing/2010/main"/>
                      </a:ext>
                    </a:extLst>
                  </pic:spPr>
                </pic:pic>
              </a:graphicData>
            </a:graphic>
          </wp:inline>
        </w:drawing>
      </w:r>
    </w:p>
    <w:p w14:paraId="60BF4492" w14:textId="1F3E7015" w:rsidR="00477922" w:rsidRDefault="00477922" w:rsidP="00477922">
      <w:pPr>
        <w:pStyle w:val="Caption"/>
      </w:pPr>
      <w:bookmarkStart w:id="7" w:name="_Toc217239309"/>
      <w:r>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4</w:t>
      </w:r>
      <w:r w:rsidR="00E81512">
        <w:rPr>
          <w:noProof/>
        </w:rPr>
        <w:fldChar w:fldCharType="end"/>
      </w:r>
      <w:r>
        <w:t xml:space="preserve">: </w:t>
      </w:r>
      <w:r w:rsidRPr="00B605AE">
        <w:t xml:space="preserve">Waitrose &amp; Partners Foundation </w:t>
      </w:r>
      <w:r>
        <w:t xml:space="preserve">- </w:t>
      </w:r>
      <w:r w:rsidRPr="00B605AE">
        <w:t>Ethical Sourcing and Community Impact</w:t>
      </w:r>
      <w:bookmarkEnd w:id="7"/>
    </w:p>
    <w:p w14:paraId="6FBDFE86" w14:textId="13F475F4" w:rsidR="008B634E" w:rsidRDefault="001523F4" w:rsidP="008B634E">
      <w:r w:rsidRPr="001523F4">
        <w:t xml:space="preserve">The positioning of the brand is directly high-end, and the emphasis is placed on ethical consumption, sustainability, and health-conscious decisions. Waitrose has undertaken the responsibility of sourcing, plastic-free packaging, and nutritional labelling disclosure to respond to shifts in regulatory and consumer demands on food standards and </w:t>
      </w:r>
      <w:r w:rsidRPr="001523F4">
        <w:lastRenderedPageBreak/>
        <w:t>population wellbeing (Kininmonth et al., 2025).</w:t>
      </w:r>
      <w:r w:rsidR="00EB33C8">
        <w:t xml:space="preserve"> </w:t>
      </w:r>
      <w:r w:rsidR="005D3125" w:rsidRPr="005D3125">
        <w:t>However, despite a strong domestic presence, Waitrose still has a small international presence with its past international activity limited to franchised operations and sourcing alliances, rather than wholesale market penetration. This cautious internationalisation strategy highlights a strategic limitation as well as an emerging opportunity to expand into the emerging markets with rapid growth in a methodical manner.</w:t>
      </w:r>
    </w:p>
    <w:p w14:paraId="66DA4454" w14:textId="77777777" w:rsidR="008B634E" w:rsidRDefault="008B634E" w:rsidP="00853496">
      <w:pPr>
        <w:pStyle w:val="Heading2"/>
      </w:pPr>
      <w:bookmarkStart w:id="8" w:name="_Toc217239280"/>
      <w:r>
        <w:t>1.2 Justification for Selecting India</w:t>
      </w:r>
      <w:bookmarkEnd w:id="8"/>
    </w:p>
    <w:p w14:paraId="384B2F2C" w14:textId="772DF888" w:rsidR="00C82DA2" w:rsidRDefault="00C82DA2" w:rsidP="006C5FA6">
      <w:pPr>
        <w:jc w:val="center"/>
      </w:pPr>
      <w:r>
        <w:rPr>
          <w:noProof/>
        </w:rPr>
        <w:drawing>
          <wp:inline distT="0" distB="0" distL="0" distR="0" wp14:anchorId="046E6119" wp14:editId="02E4001A">
            <wp:extent cx="5882640" cy="4849264"/>
            <wp:effectExtent l="0" t="0" r="381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85347460_1080906220736799_2883092291554920623_n.jpg"/>
                    <pic:cNvPicPr/>
                  </pic:nvPicPr>
                  <pic:blipFill rotWithShape="1">
                    <a:blip r:embed="rId13">
                      <a:extLst>
                        <a:ext uri="{28A0092B-C50C-407E-A947-70E740481C1C}">
                          <a14:useLocalDpi xmlns:a14="http://schemas.microsoft.com/office/drawing/2010/main" val="0"/>
                        </a:ext>
                      </a:extLst>
                    </a:blip>
                    <a:srcRect t="9734" b="7833"/>
                    <a:stretch/>
                  </pic:blipFill>
                  <pic:spPr bwMode="auto">
                    <a:xfrm>
                      <a:off x="0" y="0"/>
                      <a:ext cx="5899036" cy="4862780"/>
                    </a:xfrm>
                    <a:prstGeom prst="rect">
                      <a:avLst/>
                    </a:prstGeom>
                    <a:ln>
                      <a:noFill/>
                    </a:ln>
                    <a:extLst>
                      <a:ext uri="{53640926-AAD7-44D8-BBD7-CCE9431645EC}">
                        <a14:shadowObscured xmlns:a14="http://schemas.microsoft.com/office/drawing/2010/main"/>
                      </a:ext>
                    </a:extLst>
                  </pic:spPr>
                </pic:pic>
              </a:graphicData>
            </a:graphic>
          </wp:inline>
        </w:drawing>
      </w:r>
    </w:p>
    <w:p w14:paraId="39A46CF2" w14:textId="42F02C0F" w:rsidR="006C5FA6" w:rsidRDefault="006C5FA6" w:rsidP="006C5FA6">
      <w:pPr>
        <w:pStyle w:val="Caption"/>
      </w:pPr>
      <w:bookmarkStart w:id="9" w:name="_Toc217239310"/>
      <w:r>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5</w:t>
      </w:r>
      <w:r w:rsidR="00E81512">
        <w:rPr>
          <w:noProof/>
        </w:rPr>
        <w:fldChar w:fldCharType="end"/>
      </w:r>
      <w:r>
        <w:t xml:space="preserve">: </w:t>
      </w:r>
      <w:r w:rsidRPr="00F300AE">
        <w:t>ndia’s GDP Growth Outlook</w:t>
      </w:r>
      <w:bookmarkEnd w:id="9"/>
    </w:p>
    <w:p w14:paraId="19F05280" w14:textId="2B3BF26A" w:rsidR="006C5FA6" w:rsidRDefault="006C5FA6" w:rsidP="006C5FA6">
      <w:r w:rsidRPr="001F5953">
        <w:t xml:space="preserve">India is an attractive strategic business place due to its continuous economic growth and the increasing population of the middle-income group. India has remained to be one of the fast-emerging major economies in the whole world, a trend that is supported by rising </w:t>
      </w:r>
      <w:r w:rsidRPr="001F5953">
        <w:lastRenderedPageBreak/>
        <w:t>disposable incomes and large demographic trend (World Bank, 2025). The rapid increase in the number of middle-income people in the country is driving the need to consume high-end, safe, and branded food products, particularly in the urban centres.</w:t>
      </w:r>
    </w:p>
    <w:p w14:paraId="69C75993" w14:textId="1A56DA7D" w:rsidR="00924847" w:rsidRDefault="00924847" w:rsidP="008B634E">
      <w:r w:rsidRPr="00924847">
        <w:t>The current process of urbanisation adds more strength to this business potential. The Indian urban population is on the rise, and the lifestyle changes along with the increased time pressure and the changed consumption patterns that are progressively opting in favour of organised retail formats (Thampi, 2025). Premiumisation is an increasingly visible trend, where consumers show readiness to pay higher prices to get a better quality, authenticity and ethical brand, which has been defined in the Indian retail market as an affordable luxury (IBEF, 2024).</w:t>
      </w:r>
    </w:p>
    <w:p w14:paraId="1108A263" w14:textId="239F0242" w:rsidR="00077C87" w:rsidRDefault="00077C87" w:rsidP="008B634E">
      <w:r>
        <w:rPr>
          <w:noProof/>
        </w:rPr>
        <w:drawing>
          <wp:inline distT="0" distB="0" distL="0" distR="0" wp14:anchorId="3F646F25" wp14:editId="3256DDCA">
            <wp:extent cx="5943600" cy="3495040"/>
            <wp:effectExtent l="0" t="0" r="0" b="0"/>
            <wp:docPr id="9" name="Picture 9" descr="How Premiumization is Reshaping India's Retail Industry - Indian Retai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Premiumization is Reshaping India's Retail Industry - Indian Retail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262654E7" w14:textId="46F8DE8B" w:rsidR="00077C87" w:rsidRDefault="00077C87" w:rsidP="00077C87">
      <w:pPr>
        <w:pStyle w:val="Caption"/>
      </w:pPr>
      <w:bookmarkStart w:id="10" w:name="_Toc217239311"/>
      <w:r>
        <w:t xml:space="preserve">Figure </w:t>
      </w:r>
      <w:r w:rsidR="00E81512">
        <w:rPr>
          <w:noProof/>
        </w:rPr>
        <w:fldChar w:fldCharType="begin"/>
      </w:r>
      <w:r w:rsidR="00E81512">
        <w:rPr>
          <w:noProof/>
        </w:rPr>
        <w:instrText xml:space="preserve"> SEQ Figure \* ARABIC </w:instrText>
      </w:r>
      <w:r w:rsidR="00E81512">
        <w:rPr>
          <w:noProof/>
        </w:rPr>
        <w:fldChar w:fldCharType="separate"/>
      </w:r>
      <w:r w:rsidR="001D2348">
        <w:rPr>
          <w:noProof/>
        </w:rPr>
        <w:t>6</w:t>
      </w:r>
      <w:r w:rsidR="00E81512">
        <w:rPr>
          <w:noProof/>
        </w:rPr>
        <w:fldChar w:fldCharType="end"/>
      </w:r>
      <w:r>
        <w:t xml:space="preserve">: </w:t>
      </w:r>
      <w:r w:rsidRPr="00C825E4">
        <w:t>Premiumisation Trends Reshaping India’s Retail Market</w:t>
      </w:r>
      <w:bookmarkEnd w:id="10"/>
    </w:p>
    <w:p w14:paraId="2BE4D58C" w14:textId="56AC5682" w:rsidR="008B634E" w:rsidRDefault="00A17881" w:rsidP="00A17881">
      <w:r>
        <w:t xml:space="preserve">The organised food and grocery retail industry is in the process of structural change. Although the number of unorganised retailers remains dominant, the number of organised players and e-grocery platforms are growing at a very high rate, particularly in metropolitan areas (Mishra et al., 2024; Naga Lakshmi, 2025). The entry rate of differentiated international brands has been reduced by the adoption of digital </w:t>
      </w:r>
      <w:r>
        <w:lastRenderedPageBreak/>
        <w:t>technologies, the enhancement of cold -chain logistics, and the emergence of platform-based retail models. Such changes coincide with Waitrose omni-channel and luxury assortment approach.</w:t>
      </w:r>
    </w:p>
    <w:p w14:paraId="04E11422" w14:textId="4E64E08F" w:rsidR="008B634E" w:rsidRDefault="008B634E" w:rsidP="00853496">
      <w:pPr>
        <w:pStyle w:val="Heading2"/>
      </w:pPr>
      <w:bookmarkStart w:id="11" w:name="_Toc217239281"/>
      <w:r>
        <w:t>1.3 Strategic Fit Between Waitrose and India</w:t>
      </w:r>
      <w:bookmarkEnd w:id="11"/>
    </w:p>
    <w:tbl>
      <w:tblPr>
        <w:tblStyle w:val="TableGrid"/>
        <w:tblW w:w="0" w:type="auto"/>
        <w:tblLook w:val="04A0" w:firstRow="1" w:lastRow="0" w:firstColumn="1" w:lastColumn="0" w:noHBand="0" w:noVBand="1"/>
      </w:tblPr>
      <w:tblGrid>
        <w:gridCol w:w="2402"/>
        <w:gridCol w:w="6948"/>
      </w:tblGrid>
      <w:tr w:rsidR="00BE2D71" w:rsidRPr="00BE2D71" w14:paraId="00727D9D" w14:textId="77777777" w:rsidTr="00BE2D71">
        <w:tc>
          <w:tcPr>
            <w:tcW w:w="0" w:type="auto"/>
            <w:shd w:val="clear" w:color="auto" w:fill="92D050"/>
            <w:vAlign w:val="center"/>
            <w:hideMark/>
          </w:tcPr>
          <w:p w14:paraId="11E5425F" w14:textId="77777777" w:rsidR="00BE2D71" w:rsidRPr="00BE2D71" w:rsidRDefault="00BE2D71" w:rsidP="00BE2D71">
            <w:pPr>
              <w:jc w:val="center"/>
              <w:rPr>
                <w:b/>
                <w:bCs/>
                <w:lang w:bidi="si-LK"/>
              </w:rPr>
            </w:pPr>
            <w:r w:rsidRPr="00BE2D71">
              <w:rPr>
                <w:b/>
                <w:bCs/>
                <w:lang w:bidi="si-LK"/>
              </w:rPr>
              <w:t>Strategic Dimension</w:t>
            </w:r>
          </w:p>
        </w:tc>
        <w:tc>
          <w:tcPr>
            <w:tcW w:w="0" w:type="auto"/>
            <w:shd w:val="clear" w:color="auto" w:fill="92D050"/>
            <w:vAlign w:val="center"/>
            <w:hideMark/>
          </w:tcPr>
          <w:p w14:paraId="232FEBB7" w14:textId="77777777" w:rsidR="00BE2D71" w:rsidRPr="00BE2D71" w:rsidRDefault="00BE2D71" w:rsidP="00BE2D71">
            <w:pPr>
              <w:jc w:val="center"/>
              <w:rPr>
                <w:b/>
                <w:bCs/>
                <w:lang w:bidi="si-LK"/>
              </w:rPr>
            </w:pPr>
            <w:r w:rsidRPr="00BE2D71">
              <w:rPr>
                <w:b/>
                <w:bCs/>
                <w:lang w:bidi="si-LK"/>
              </w:rPr>
              <w:t>Fit Explanation</w:t>
            </w:r>
          </w:p>
        </w:tc>
      </w:tr>
      <w:tr w:rsidR="00BE2D71" w:rsidRPr="00BE2D71" w14:paraId="302A8633" w14:textId="77777777" w:rsidTr="00FE062A">
        <w:tc>
          <w:tcPr>
            <w:tcW w:w="0" w:type="auto"/>
            <w:vAlign w:val="center"/>
            <w:hideMark/>
          </w:tcPr>
          <w:p w14:paraId="43499101" w14:textId="77777777" w:rsidR="00BE2D71" w:rsidRPr="00FE062A" w:rsidRDefault="00BE2D71" w:rsidP="00FE062A">
            <w:pPr>
              <w:jc w:val="left"/>
              <w:rPr>
                <w:b/>
                <w:bCs/>
                <w:lang w:bidi="si-LK"/>
              </w:rPr>
            </w:pPr>
            <w:r w:rsidRPr="00FE062A">
              <w:rPr>
                <w:b/>
                <w:bCs/>
                <w:lang w:bidi="si-LK"/>
              </w:rPr>
              <w:t>Market Demand</w:t>
            </w:r>
          </w:p>
        </w:tc>
        <w:tc>
          <w:tcPr>
            <w:tcW w:w="0" w:type="auto"/>
            <w:hideMark/>
          </w:tcPr>
          <w:p w14:paraId="784CAA34" w14:textId="77777777" w:rsidR="00BE2D71" w:rsidRPr="00BE2D71" w:rsidRDefault="00BE2D71" w:rsidP="00BE2D71">
            <w:pPr>
              <w:rPr>
                <w:lang w:bidi="si-LK"/>
              </w:rPr>
            </w:pPr>
            <w:r w:rsidRPr="00BE2D71">
              <w:rPr>
                <w:lang w:bidi="si-LK"/>
              </w:rPr>
              <w:t>Rising urban demand for premium and imported food aligned with Waitrose’s quality standards.</w:t>
            </w:r>
          </w:p>
        </w:tc>
      </w:tr>
      <w:tr w:rsidR="00BE2D71" w:rsidRPr="00BE2D71" w14:paraId="2EDE544E" w14:textId="77777777" w:rsidTr="00FE062A">
        <w:tc>
          <w:tcPr>
            <w:tcW w:w="0" w:type="auto"/>
            <w:vAlign w:val="center"/>
            <w:hideMark/>
          </w:tcPr>
          <w:p w14:paraId="6A6B2F5C" w14:textId="77777777" w:rsidR="00BE2D71" w:rsidRPr="00FE062A" w:rsidRDefault="00BE2D71" w:rsidP="00FE062A">
            <w:pPr>
              <w:jc w:val="left"/>
              <w:rPr>
                <w:b/>
                <w:bCs/>
                <w:lang w:bidi="si-LK"/>
              </w:rPr>
            </w:pPr>
            <w:r w:rsidRPr="00FE062A">
              <w:rPr>
                <w:b/>
                <w:bCs/>
                <w:lang w:bidi="si-LK"/>
              </w:rPr>
              <w:t>Cultural Alignment</w:t>
            </w:r>
          </w:p>
        </w:tc>
        <w:tc>
          <w:tcPr>
            <w:tcW w:w="0" w:type="auto"/>
            <w:hideMark/>
          </w:tcPr>
          <w:p w14:paraId="2D04DEA6" w14:textId="77777777" w:rsidR="00BE2D71" w:rsidRPr="00BE2D71" w:rsidRDefault="00BE2D71" w:rsidP="00BE2D71">
            <w:pPr>
              <w:rPr>
                <w:lang w:bidi="si-LK"/>
              </w:rPr>
            </w:pPr>
            <w:r w:rsidRPr="00BE2D71">
              <w:rPr>
                <w:lang w:bidi="si-LK"/>
              </w:rPr>
              <w:t>Growing preference for fresh produce, ethical sourcing, and traceability supports Waitrose’s ethos.</w:t>
            </w:r>
          </w:p>
        </w:tc>
      </w:tr>
      <w:tr w:rsidR="00BE2D71" w:rsidRPr="00BE2D71" w14:paraId="6D078449" w14:textId="77777777" w:rsidTr="00FE062A">
        <w:tc>
          <w:tcPr>
            <w:tcW w:w="0" w:type="auto"/>
            <w:vAlign w:val="center"/>
            <w:hideMark/>
          </w:tcPr>
          <w:p w14:paraId="2255118D" w14:textId="77777777" w:rsidR="00BE2D71" w:rsidRPr="00FE062A" w:rsidRDefault="00BE2D71" w:rsidP="00FE062A">
            <w:pPr>
              <w:jc w:val="left"/>
              <w:rPr>
                <w:b/>
                <w:bCs/>
                <w:lang w:bidi="si-LK"/>
              </w:rPr>
            </w:pPr>
            <w:r w:rsidRPr="00FE062A">
              <w:rPr>
                <w:b/>
                <w:bCs/>
                <w:lang w:bidi="si-LK"/>
              </w:rPr>
              <w:t>Competitive Positioning</w:t>
            </w:r>
          </w:p>
        </w:tc>
        <w:tc>
          <w:tcPr>
            <w:tcW w:w="0" w:type="auto"/>
            <w:hideMark/>
          </w:tcPr>
          <w:p w14:paraId="348F0033" w14:textId="77777777" w:rsidR="00BE2D71" w:rsidRPr="00BE2D71" w:rsidRDefault="00BE2D71" w:rsidP="00BE2D71">
            <w:pPr>
              <w:rPr>
                <w:lang w:bidi="si-LK"/>
              </w:rPr>
            </w:pPr>
            <w:r w:rsidRPr="00BE2D71">
              <w:rPr>
                <w:lang w:bidi="si-LK"/>
              </w:rPr>
              <w:t>Limited competition in ethical premium grocery segment creates first-mover advantage.</w:t>
            </w:r>
          </w:p>
        </w:tc>
      </w:tr>
      <w:tr w:rsidR="00BE2D71" w:rsidRPr="00BE2D71" w14:paraId="6615C353" w14:textId="77777777" w:rsidTr="00FE062A">
        <w:tc>
          <w:tcPr>
            <w:tcW w:w="0" w:type="auto"/>
            <w:vAlign w:val="center"/>
            <w:hideMark/>
          </w:tcPr>
          <w:p w14:paraId="546AC39A" w14:textId="77777777" w:rsidR="00BE2D71" w:rsidRPr="00FE062A" w:rsidRDefault="00BE2D71" w:rsidP="00FE062A">
            <w:pPr>
              <w:jc w:val="left"/>
              <w:rPr>
                <w:b/>
                <w:bCs/>
                <w:lang w:bidi="si-LK"/>
              </w:rPr>
            </w:pPr>
            <w:r w:rsidRPr="00FE062A">
              <w:rPr>
                <w:b/>
                <w:bCs/>
                <w:lang w:bidi="si-LK"/>
              </w:rPr>
              <w:t>Strategic Timing</w:t>
            </w:r>
          </w:p>
        </w:tc>
        <w:tc>
          <w:tcPr>
            <w:tcW w:w="0" w:type="auto"/>
            <w:hideMark/>
          </w:tcPr>
          <w:p w14:paraId="1EDED81E" w14:textId="77777777" w:rsidR="00BE2D71" w:rsidRPr="00BE2D71" w:rsidRDefault="00BE2D71" w:rsidP="00BE2D71">
            <w:pPr>
              <w:rPr>
                <w:lang w:bidi="si-LK"/>
              </w:rPr>
            </w:pPr>
            <w:r w:rsidRPr="00BE2D71">
              <w:rPr>
                <w:lang w:bidi="si-LK"/>
              </w:rPr>
              <w:t>Early entry enables brand legitimacy, consumer trust, and long-term supplier partnerships.</w:t>
            </w:r>
          </w:p>
        </w:tc>
      </w:tr>
    </w:tbl>
    <w:p w14:paraId="0F07A8D7" w14:textId="63A1A041" w:rsidR="00BE2D71" w:rsidRPr="00BE2D71" w:rsidRDefault="002376EA" w:rsidP="002376EA">
      <w:pPr>
        <w:pStyle w:val="Caption"/>
      </w:pPr>
      <w:bookmarkStart w:id="12" w:name="_Toc217239323"/>
      <w:r>
        <w:t xml:space="preserve">Table </w:t>
      </w:r>
      <w:r w:rsidR="00D720A3">
        <w:fldChar w:fldCharType="begin"/>
      </w:r>
      <w:r w:rsidR="00D720A3">
        <w:instrText xml:space="preserve"> SEQ Table \* ARABIC </w:instrText>
      </w:r>
      <w:r w:rsidR="00D720A3">
        <w:fldChar w:fldCharType="separate"/>
      </w:r>
      <w:r>
        <w:rPr>
          <w:noProof/>
        </w:rPr>
        <w:t>1</w:t>
      </w:r>
      <w:r w:rsidR="00D720A3">
        <w:rPr>
          <w:noProof/>
        </w:rPr>
        <w:fldChar w:fldCharType="end"/>
      </w:r>
      <w:r>
        <w:t xml:space="preserve">: </w:t>
      </w:r>
      <w:r w:rsidRPr="008C1527">
        <w:t>Strategic Fit Between Waitrose and India</w:t>
      </w:r>
      <w:bookmarkEnd w:id="12"/>
    </w:p>
    <w:p w14:paraId="340D73F8" w14:textId="77777777" w:rsidR="009417B8" w:rsidRDefault="009417B8" w:rsidP="008B634E">
      <w:r w:rsidRPr="009417B8">
        <w:t>The strategic fit between Waitrose and India can be explained by the increasing demand in the high-quality and imported food products, in particular, among the high-income urban consumers who value the international quality standards and reputable brands (Mukherjee et al., 2019). Cultural congruence is also evident in an increasing trend of becoming more inclined to fresh produce, ethical sourcing and traceability, which are at the very heart of Waitrose brand ethos.</w:t>
      </w:r>
    </w:p>
    <w:p w14:paraId="4E2E9FE5" w14:textId="77777777" w:rsidR="00AC375D" w:rsidRDefault="00AC375D" w:rsidP="008B634E">
      <w:r w:rsidRPr="00AC375D">
        <w:t>Moreover, India offers a first-mover opportunity in the superior ethical grocer niche where competition is not intense as in the mass-market retail. Indian brands like FabIndia show that people appreciate authenticity, sustainability, and responsible sourcing as long as they are in harmony with the local taste (Mahajan et al., 2024). Entering at this stage allows Waitrose to establish brand legitimacy, shape consumer perceptions, and build long-term supplier partnerships before the premium segment becomes overcrowded.</w:t>
      </w:r>
    </w:p>
    <w:p w14:paraId="1A0EB8C2" w14:textId="1DC16C87" w:rsidR="008B634E" w:rsidRDefault="001F3581" w:rsidP="008B634E">
      <w:r w:rsidRPr="001F3581">
        <w:t>All in all, the meeting of economic growth, modernisation of its retail sector, and the ethical consumerism makes India a timely and coherent destination of Waitrose expansion.</w:t>
      </w:r>
    </w:p>
    <w:p w14:paraId="574908A2" w14:textId="77777777" w:rsidR="00501164" w:rsidRDefault="00501164" w:rsidP="00314659">
      <w:pPr>
        <w:pStyle w:val="Heading1"/>
        <w:rPr>
          <w:rFonts w:ascii="Times New Roman" w:hAnsi="Times New Roman"/>
        </w:rPr>
      </w:pPr>
      <w:bookmarkStart w:id="13" w:name="_Toc217239282"/>
      <w:r>
        <w:lastRenderedPageBreak/>
        <w:t>2. Comprehensive Strategic Analysis</w:t>
      </w:r>
      <w:bookmarkEnd w:id="13"/>
    </w:p>
    <w:p w14:paraId="27DD1FEC" w14:textId="77777777" w:rsidR="00501164" w:rsidRDefault="00501164" w:rsidP="00853496">
      <w:pPr>
        <w:pStyle w:val="Heading2"/>
      </w:pPr>
      <w:bookmarkStart w:id="14" w:name="_Toc217239283"/>
      <w:r>
        <w:t>2.1 Macro-Environmental Analysis: PESTLE Framework</w:t>
      </w:r>
      <w:bookmarkEnd w:id="14"/>
    </w:p>
    <w:tbl>
      <w:tblPr>
        <w:tblStyle w:val="TableGrid"/>
        <w:tblW w:w="0" w:type="auto"/>
        <w:tblLook w:val="04A0" w:firstRow="1" w:lastRow="0" w:firstColumn="1" w:lastColumn="0" w:noHBand="0" w:noVBand="1"/>
      </w:tblPr>
      <w:tblGrid>
        <w:gridCol w:w="1883"/>
        <w:gridCol w:w="4866"/>
        <w:gridCol w:w="2601"/>
      </w:tblGrid>
      <w:tr w:rsidR="0071113C" w14:paraId="27AC6A98" w14:textId="77777777" w:rsidTr="00061D77">
        <w:tc>
          <w:tcPr>
            <w:tcW w:w="0" w:type="auto"/>
            <w:shd w:val="clear" w:color="auto" w:fill="92D050"/>
            <w:vAlign w:val="center"/>
            <w:hideMark/>
          </w:tcPr>
          <w:p w14:paraId="691E57E1" w14:textId="77777777" w:rsidR="00501164" w:rsidRDefault="00501164" w:rsidP="00404EC8">
            <w:pPr>
              <w:jc w:val="center"/>
              <w:rPr>
                <w:b/>
                <w:bCs/>
              </w:rPr>
            </w:pPr>
            <w:r>
              <w:rPr>
                <w:rStyle w:val="Strong"/>
              </w:rPr>
              <w:t>Factor</w:t>
            </w:r>
          </w:p>
        </w:tc>
        <w:tc>
          <w:tcPr>
            <w:tcW w:w="4862" w:type="dxa"/>
            <w:shd w:val="clear" w:color="auto" w:fill="92D050"/>
            <w:vAlign w:val="center"/>
            <w:hideMark/>
          </w:tcPr>
          <w:p w14:paraId="4C1E46F4" w14:textId="77777777" w:rsidR="00501164" w:rsidRDefault="00501164" w:rsidP="00404EC8">
            <w:pPr>
              <w:jc w:val="center"/>
              <w:rPr>
                <w:b/>
                <w:bCs/>
              </w:rPr>
            </w:pPr>
            <w:r>
              <w:rPr>
                <w:rStyle w:val="Strong"/>
              </w:rPr>
              <w:t>Key Issues in the Indian Context</w:t>
            </w:r>
          </w:p>
        </w:tc>
        <w:tc>
          <w:tcPr>
            <w:tcW w:w="2605" w:type="dxa"/>
            <w:shd w:val="clear" w:color="auto" w:fill="92D050"/>
            <w:vAlign w:val="center"/>
            <w:hideMark/>
          </w:tcPr>
          <w:p w14:paraId="4094CDEA" w14:textId="77777777" w:rsidR="00501164" w:rsidRDefault="00501164" w:rsidP="00404EC8">
            <w:pPr>
              <w:jc w:val="center"/>
              <w:rPr>
                <w:b/>
                <w:bCs/>
              </w:rPr>
            </w:pPr>
            <w:r>
              <w:rPr>
                <w:rStyle w:val="Strong"/>
              </w:rPr>
              <w:t>Strategic Implications for Waitrose</w:t>
            </w:r>
          </w:p>
        </w:tc>
      </w:tr>
      <w:tr w:rsidR="0071113C" w14:paraId="7469D911" w14:textId="77777777" w:rsidTr="00061D77">
        <w:tc>
          <w:tcPr>
            <w:tcW w:w="0" w:type="auto"/>
            <w:vAlign w:val="center"/>
            <w:hideMark/>
          </w:tcPr>
          <w:p w14:paraId="1C8201DE" w14:textId="77777777" w:rsidR="00501164" w:rsidRDefault="00501164" w:rsidP="00404EC8">
            <w:pPr>
              <w:jc w:val="left"/>
            </w:pPr>
            <w:r>
              <w:rPr>
                <w:rStyle w:val="Strong"/>
              </w:rPr>
              <w:t>Political</w:t>
            </w:r>
          </w:p>
        </w:tc>
        <w:tc>
          <w:tcPr>
            <w:tcW w:w="4862" w:type="dxa"/>
            <w:hideMark/>
          </w:tcPr>
          <w:p w14:paraId="49A0907C" w14:textId="77777777" w:rsidR="002918E1" w:rsidRDefault="00501164" w:rsidP="00E74496">
            <w:pPr>
              <w:pStyle w:val="ListParagraph"/>
              <w:numPr>
                <w:ilvl w:val="0"/>
                <w:numId w:val="2"/>
              </w:numPr>
            </w:pPr>
            <w:r w:rsidRPr="00404EC8">
              <w:t xml:space="preserve">India permits up to </w:t>
            </w:r>
            <w:r w:rsidRPr="00E74496">
              <w:rPr>
                <w:rStyle w:val="Strong"/>
                <w:b w:val="0"/>
                <w:bCs w:val="0"/>
              </w:rPr>
              <w:t>51% FDI in multi-brand retail</w:t>
            </w:r>
            <w:r w:rsidRPr="00404EC8">
              <w:t xml:space="preserve"> under government approval, with conditions on local sourcing and backend infrastructure investment (Maheshkumar </w:t>
            </w:r>
            <w:r w:rsidRPr="00404EC8">
              <w:rPr>
                <w:rStyle w:val="Emphasis"/>
              </w:rPr>
              <w:t>et al.</w:t>
            </w:r>
            <w:r w:rsidRPr="00404EC8">
              <w:t xml:space="preserve">, 2025). </w:t>
            </w:r>
          </w:p>
          <w:p w14:paraId="6785D0B3" w14:textId="01B56ABC" w:rsidR="002918E1" w:rsidRDefault="002918E1" w:rsidP="002918E1">
            <w:pPr>
              <w:jc w:val="center"/>
            </w:pPr>
            <w:r>
              <w:rPr>
                <w:noProof/>
              </w:rPr>
              <w:drawing>
                <wp:inline distT="0" distB="0" distL="0" distR="0" wp14:anchorId="637D9F55" wp14:editId="6365CF86">
                  <wp:extent cx="2329180" cy="2324100"/>
                  <wp:effectExtent l="19050" t="19050" r="13970" b="19050"/>
                  <wp:docPr id="10" name="Picture 10" descr="US welcomes Parliament's decision to allow FDI in retail, says it will spur  investment - Indi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 welcomes Parliament's decision to allow FDI in retail, says it will spur  investment - India Today"/>
                          <pic:cNvPicPr>
                            <a:picLocks noChangeAspect="1" noChangeArrowheads="1"/>
                          </pic:cNvPicPr>
                        </pic:nvPicPr>
                        <pic:blipFill rotWithShape="1">
                          <a:blip r:embed="rId15">
                            <a:extLst>
                              <a:ext uri="{28A0092B-C50C-407E-A947-70E740481C1C}">
                                <a14:useLocalDpi xmlns:a14="http://schemas.microsoft.com/office/drawing/2010/main" val="0"/>
                              </a:ext>
                            </a:extLst>
                          </a:blip>
                          <a:srcRect t="4487" b="38494"/>
                          <a:stretch/>
                        </pic:blipFill>
                        <pic:spPr bwMode="auto">
                          <a:xfrm>
                            <a:off x="0" y="0"/>
                            <a:ext cx="2339949" cy="233484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28E616A" w14:textId="2FD3B2F9" w:rsidR="00501164" w:rsidRPr="00404EC8" w:rsidRDefault="00501164" w:rsidP="00E74496">
            <w:pPr>
              <w:pStyle w:val="ListParagraph"/>
              <w:numPr>
                <w:ilvl w:val="0"/>
                <w:numId w:val="2"/>
              </w:numPr>
            </w:pPr>
            <w:r w:rsidRPr="00404EC8">
              <w:t xml:space="preserve">Policy stability has improved, with retail recognised as a growth-enabling sector, although state-level implementation varies (Naga Lakshmi </w:t>
            </w:r>
            <w:r w:rsidRPr="00E74496">
              <w:rPr>
                <w:rStyle w:val="Emphasis"/>
                <w:i w:val="0"/>
                <w:iCs w:val="0"/>
              </w:rPr>
              <w:t>et al.</w:t>
            </w:r>
            <w:r w:rsidRPr="00404EC8">
              <w:t>, 2025).</w:t>
            </w:r>
          </w:p>
        </w:tc>
        <w:tc>
          <w:tcPr>
            <w:tcW w:w="2605" w:type="dxa"/>
            <w:hideMark/>
          </w:tcPr>
          <w:p w14:paraId="6B3BE916" w14:textId="77777777" w:rsidR="00501164" w:rsidRPr="00404EC8" w:rsidRDefault="00501164" w:rsidP="005A5FCE">
            <w:r w:rsidRPr="00404EC8">
              <w:t>Entry requires a compliant structure such as a joint venture, allowing regulatory navigation while leveraging local partners for sourcing and distribution.</w:t>
            </w:r>
          </w:p>
        </w:tc>
      </w:tr>
      <w:tr w:rsidR="0071113C" w14:paraId="55612BCB" w14:textId="77777777" w:rsidTr="00061D77">
        <w:tc>
          <w:tcPr>
            <w:tcW w:w="0" w:type="auto"/>
            <w:vAlign w:val="center"/>
            <w:hideMark/>
          </w:tcPr>
          <w:p w14:paraId="1BB9468E" w14:textId="77777777" w:rsidR="00501164" w:rsidRDefault="00501164" w:rsidP="00404EC8">
            <w:pPr>
              <w:jc w:val="left"/>
            </w:pPr>
            <w:r>
              <w:rPr>
                <w:rStyle w:val="Strong"/>
              </w:rPr>
              <w:t>Economic</w:t>
            </w:r>
          </w:p>
        </w:tc>
        <w:tc>
          <w:tcPr>
            <w:tcW w:w="4862" w:type="dxa"/>
            <w:hideMark/>
          </w:tcPr>
          <w:p w14:paraId="434135B7" w14:textId="77777777" w:rsidR="0070338F" w:rsidRDefault="002E731A" w:rsidP="002E731A">
            <w:pPr>
              <w:pStyle w:val="ListParagraph"/>
              <w:numPr>
                <w:ilvl w:val="0"/>
                <w:numId w:val="2"/>
              </w:numPr>
            </w:pPr>
            <w:r w:rsidRPr="002E731A">
              <w:t>India is one of the increasingly growing major economies of the world, which is based on rising disposable incomes and the expanding urban middle income groups (IBEF, 2025).</w:t>
            </w:r>
          </w:p>
          <w:p w14:paraId="0A3A23C0" w14:textId="32FD876D" w:rsidR="00E74496" w:rsidRDefault="00E74496" w:rsidP="0070338F">
            <w:pPr>
              <w:jc w:val="center"/>
            </w:pPr>
            <w:r>
              <w:rPr>
                <w:noProof/>
              </w:rPr>
              <w:lastRenderedPageBreak/>
              <w:drawing>
                <wp:inline distT="0" distB="0" distL="0" distR="0" wp14:anchorId="649315D8" wp14:editId="05EE0833">
                  <wp:extent cx="2865120" cy="2037112"/>
                  <wp:effectExtent l="0" t="0" r="0" b="1270"/>
                  <wp:docPr id="2" name="Picture 2" descr="As net disposable income in Indian households continues to increase, a new  cohort of users is emerging with the potential to be the next frontier for  consumption in the country. Our rec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 net disposable income in Indian households continues to increase, a new  cohort of users is emerging with the potential to be the next frontier for  consumption in the country. Our recent…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81435" cy="2048712"/>
                          </a:xfrm>
                          <a:prstGeom prst="rect">
                            <a:avLst/>
                          </a:prstGeom>
                          <a:noFill/>
                          <a:ln>
                            <a:noFill/>
                          </a:ln>
                        </pic:spPr>
                      </pic:pic>
                    </a:graphicData>
                  </a:graphic>
                </wp:inline>
              </w:drawing>
            </w:r>
          </w:p>
          <w:p w14:paraId="2DD48649" w14:textId="39D5D2A2" w:rsidR="00501164" w:rsidRPr="00404EC8" w:rsidRDefault="00501164" w:rsidP="00E74496">
            <w:pPr>
              <w:pStyle w:val="ListParagraph"/>
              <w:numPr>
                <w:ilvl w:val="0"/>
                <w:numId w:val="2"/>
              </w:numPr>
            </w:pPr>
            <w:r w:rsidRPr="00404EC8">
              <w:t xml:space="preserve">However, inflationary pressures increase </w:t>
            </w:r>
            <w:r w:rsidRPr="00E74496">
              <w:rPr>
                <w:rStyle w:val="Strong"/>
                <w:b w:val="0"/>
                <w:bCs w:val="0"/>
              </w:rPr>
              <w:t>price sensitivity</w:t>
            </w:r>
            <w:r w:rsidRPr="00404EC8">
              <w:t xml:space="preserve">, particularly in food retail, even among premium consumers (Dekimpe </w:t>
            </w:r>
            <w:r w:rsidR="002918E1">
              <w:t>et al.</w:t>
            </w:r>
            <w:r w:rsidRPr="00404EC8">
              <w:t>, 2023).</w:t>
            </w:r>
          </w:p>
        </w:tc>
        <w:tc>
          <w:tcPr>
            <w:tcW w:w="2605" w:type="dxa"/>
            <w:hideMark/>
          </w:tcPr>
          <w:p w14:paraId="4D306A0C" w14:textId="77777777" w:rsidR="00501164" w:rsidRPr="00404EC8" w:rsidRDefault="00501164" w:rsidP="005A5FCE">
            <w:r w:rsidRPr="00404EC8">
              <w:lastRenderedPageBreak/>
              <w:t>While premium demand exists, pricing strategies must balance quality with affordability to mitigate inflation-driven demand volatility.</w:t>
            </w:r>
          </w:p>
        </w:tc>
      </w:tr>
      <w:tr w:rsidR="0071113C" w14:paraId="11DB070D" w14:textId="77777777" w:rsidTr="00061D77">
        <w:tc>
          <w:tcPr>
            <w:tcW w:w="0" w:type="auto"/>
            <w:vAlign w:val="center"/>
            <w:hideMark/>
          </w:tcPr>
          <w:p w14:paraId="0BD9F7FF" w14:textId="77777777" w:rsidR="00501164" w:rsidRDefault="00501164" w:rsidP="00404EC8">
            <w:pPr>
              <w:jc w:val="left"/>
            </w:pPr>
            <w:r>
              <w:rPr>
                <w:rStyle w:val="Strong"/>
              </w:rPr>
              <w:t>Social</w:t>
            </w:r>
          </w:p>
        </w:tc>
        <w:tc>
          <w:tcPr>
            <w:tcW w:w="4862" w:type="dxa"/>
            <w:hideMark/>
          </w:tcPr>
          <w:p w14:paraId="4E8DAC03" w14:textId="4F142CB1" w:rsidR="00245B84" w:rsidRDefault="00C80CAE" w:rsidP="00E74496">
            <w:pPr>
              <w:pStyle w:val="ListParagraph"/>
              <w:numPr>
                <w:ilvl w:val="0"/>
                <w:numId w:val="2"/>
              </w:numPr>
            </w:pPr>
            <w:r w:rsidRPr="00C80CAE">
              <w:t>Food habits have changed, and there has been increased consumption of fresh, organic, and health-conscious food products by the consumers in the urban areas (Mukherjee, 2025).</w:t>
            </w:r>
          </w:p>
          <w:p w14:paraId="2E6AD2A9" w14:textId="532061CE" w:rsidR="00E74496" w:rsidRDefault="00E74496" w:rsidP="00E74496">
            <w:r>
              <w:rPr>
                <w:noProof/>
              </w:rPr>
              <w:drawing>
                <wp:inline distT="0" distB="0" distL="0" distR="0" wp14:anchorId="1C54EF75" wp14:editId="01732A42">
                  <wp:extent cx="2948940" cy="1965960"/>
                  <wp:effectExtent l="0" t="0" r="3810" b="0"/>
                  <wp:docPr id="11" name="Picture 11" descr="Growth in Organic Farming Sector of India - C4S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rowth in Organic Farming Sector of India - C4S Cour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48940" cy="1965960"/>
                          </a:xfrm>
                          <a:prstGeom prst="rect">
                            <a:avLst/>
                          </a:prstGeom>
                          <a:noFill/>
                          <a:ln>
                            <a:noFill/>
                          </a:ln>
                        </pic:spPr>
                      </pic:pic>
                    </a:graphicData>
                  </a:graphic>
                </wp:inline>
              </w:drawing>
            </w:r>
          </w:p>
          <w:p w14:paraId="440B9EAB" w14:textId="2971570A" w:rsidR="00061D77" w:rsidRPr="00404EC8" w:rsidRDefault="00501164" w:rsidP="00E74496">
            <w:pPr>
              <w:pStyle w:val="ListParagraph"/>
              <w:numPr>
                <w:ilvl w:val="0"/>
                <w:numId w:val="2"/>
              </w:numPr>
            </w:pPr>
            <w:r w:rsidRPr="00404EC8">
              <w:t xml:space="preserve">Cultural norms emphasise freshness, trust, and ethical sourcing, while premium food adoption is rising within affluent segments (Naga Lakshmi </w:t>
            </w:r>
            <w:r w:rsidRPr="00E74496">
              <w:rPr>
                <w:rStyle w:val="Emphasis"/>
                <w:i w:val="0"/>
                <w:iCs w:val="0"/>
              </w:rPr>
              <w:t>et al</w:t>
            </w:r>
            <w:r w:rsidRPr="00404EC8">
              <w:rPr>
                <w:rStyle w:val="Emphasis"/>
              </w:rPr>
              <w:t>.</w:t>
            </w:r>
            <w:r w:rsidRPr="00404EC8">
              <w:t>, 2025).</w:t>
            </w:r>
          </w:p>
        </w:tc>
        <w:tc>
          <w:tcPr>
            <w:tcW w:w="2605" w:type="dxa"/>
            <w:hideMark/>
          </w:tcPr>
          <w:p w14:paraId="0CD2E655" w14:textId="77777777" w:rsidR="00501164" w:rsidRPr="00404EC8" w:rsidRDefault="00501164" w:rsidP="005A5FCE">
            <w:r w:rsidRPr="00404EC8">
              <w:t>Waitrose’s focus on provenance, quality assurance, and ethical sourcing aligns well with emerging urban consumer values.</w:t>
            </w:r>
          </w:p>
        </w:tc>
      </w:tr>
      <w:tr w:rsidR="0071113C" w14:paraId="52362ACB" w14:textId="77777777" w:rsidTr="00061D77">
        <w:tc>
          <w:tcPr>
            <w:tcW w:w="0" w:type="auto"/>
            <w:vAlign w:val="center"/>
            <w:hideMark/>
          </w:tcPr>
          <w:p w14:paraId="1AAA2BBB" w14:textId="77777777" w:rsidR="00501164" w:rsidRDefault="00501164" w:rsidP="00404EC8">
            <w:pPr>
              <w:jc w:val="left"/>
            </w:pPr>
            <w:r>
              <w:rPr>
                <w:rStyle w:val="Strong"/>
              </w:rPr>
              <w:lastRenderedPageBreak/>
              <w:t>Technological</w:t>
            </w:r>
          </w:p>
        </w:tc>
        <w:tc>
          <w:tcPr>
            <w:tcW w:w="4862" w:type="dxa"/>
            <w:hideMark/>
          </w:tcPr>
          <w:p w14:paraId="56A8CC95" w14:textId="01E47586" w:rsidR="00CA40D1" w:rsidRDefault="00CA40D1" w:rsidP="0071113C">
            <w:pPr>
              <w:pStyle w:val="ListParagraph"/>
              <w:numPr>
                <w:ilvl w:val="0"/>
                <w:numId w:val="2"/>
              </w:numPr>
            </w:pPr>
            <w:r w:rsidRPr="00CA40D1">
              <w:t>India has experienced a significant growth in the level of e-commerce activity, which can be explained by the increase in the internet penetration rates (Balani, 2024).</w:t>
            </w:r>
          </w:p>
          <w:p w14:paraId="23F4F742" w14:textId="5E25577A" w:rsidR="0071113C" w:rsidRDefault="0071113C" w:rsidP="0071113C">
            <w:pPr>
              <w:jc w:val="center"/>
            </w:pPr>
            <w:r>
              <w:rPr>
                <w:noProof/>
              </w:rPr>
              <w:drawing>
                <wp:inline distT="0" distB="0" distL="0" distR="0" wp14:anchorId="1BDB5F76" wp14:editId="63CA5A3A">
                  <wp:extent cx="2826254" cy="1592788"/>
                  <wp:effectExtent l="0" t="0" r="0" b="7620"/>
                  <wp:docPr id="6" name="Picture 6" descr="India's rapidly growing and changing eCommerce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ia's rapidly growing and changing eCommerce landscap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58937" cy="1611207"/>
                          </a:xfrm>
                          <a:prstGeom prst="rect">
                            <a:avLst/>
                          </a:prstGeom>
                          <a:noFill/>
                          <a:ln>
                            <a:noFill/>
                          </a:ln>
                        </pic:spPr>
                      </pic:pic>
                    </a:graphicData>
                  </a:graphic>
                </wp:inline>
              </w:drawing>
            </w:r>
          </w:p>
          <w:p w14:paraId="66266BF2" w14:textId="49A0FE3F" w:rsidR="00061D77" w:rsidRDefault="00501164" w:rsidP="0071113C">
            <w:pPr>
              <w:pStyle w:val="ListParagraph"/>
              <w:numPr>
                <w:ilvl w:val="0"/>
                <w:numId w:val="2"/>
              </w:numPr>
            </w:pPr>
            <w:r w:rsidRPr="00404EC8">
              <w:t xml:space="preserve">Digital payments such as UPI have transformed retail transactions, increasing convenience and transparency (Jagannarayan, 2025). </w:t>
            </w:r>
          </w:p>
          <w:p w14:paraId="40468988" w14:textId="6E23716A" w:rsidR="00061D77" w:rsidRDefault="00061D77" w:rsidP="00061D77">
            <w:pPr>
              <w:jc w:val="center"/>
            </w:pPr>
            <w:r w:rsidRPr="00061D77">
              <w:rPr>
                <w:noProof/>
              </w:rPr>
              <w:drawing>
                <wp:inline distT="0" distB="0" distL="0" distR="0" wp14:anchorId="60C2CFB7" wp14:editId="7485A801">
                  <wp:extent cx="2903220" cy="20856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27799" cy="2103305"/>
                          </a:xfrm>
                          <a:prstGeom prst="rect">
                            <a:avLst/>
                          </a:prstGeom>
                        </pic:spPr>
                      </pic:pic>
                    </a:graphicData>
                  </a:graphic>
                </wp:inline>
              </w:drawing>
            </w:r>
          </w:p>
          <w:p w14:paraId="0D5C6CA5" w14:textId="0EDD983F" w:rsidR="00501164" w:rsidRPr="00404EC8" w:rsidRDefault="00501164" w:rsidP="002077DD">
            <w:pPr>
              <w:pStyle w:val="ListParagraph"/>
              <w:numPr>
                <w:ilvl w:val="0"/>
                <w:numId w:val="2"/>
              </w:numPr>
            </w:pPr>
            <w:r w:rsidRPr="00404EC8">
              <w:t>Cold-chain logistics are expanding but remain uneven across regions (Jani, 2025).</w:t>
            </w:r>
          </w:p>
        </w:tc>
        <w:tc>
          <w:tcPr>
            <w:tcW w:w="2605" w:type="dxa"/>
            <w:hideMark/>
          </w:tcPr>
          <w:p w14:paraId="2DC0A2E6" w14:textId="77777777" w:rsidR="00501164" w:rsidRPr="00404EC8" w:rsidRDefault="00501164" w:rsidP="005A5FCE">
            <w:r w:rsidRPr="00404EC8">
              <w:t>An omni-channel strategy leveraging digital platforms is essential, but investment in reliable cold-chain partnerships is critical for fresh and premium products.</w:t>
            </w:r>
          </w:p>
        </w:tc>
      </w:tr>
      <w:tr w:rsidR="0071113C" w14:paraId="6C1CBB34" w14:textId="77777777" w:rsidTr="00061D77">
        <w:tc>
          <w:tcPr>
            <w:tcW w:w="0" w:type="auto"/>
            <w:vAlign w:val="center"/>
            <w:hideMark/>
          </w:tcPr>
          <w:p w14:paraId="03149467" w14:textId="77777777" w:rsidR="00501164" w:rsidRDefault="00501164" w:rsidP="00404EC8">
            <w:pPr>
              <w:jc w:val="left"/>
            </w:pPr>
            <w:r>
              <w:rPr>
                <w:rStyle w:val="Strong"/>
              </w:rPr>
              <w:t>Legal</w:t>
            </w:r>
          </w:p>
        </w:tc>
        <w:tc>
          <w:tcPr>
            <w:tcW w:w="4862" w:type="dxa"/>
            <w:hideMark/>
          </w:tcPr>
          <w:p w14:paraId="3CB39E1C" w14:textId="3B4ACC13" w:rsidR="00703605" w:rsidRDefault="00703605" w:rsidP="002077DD">
            <w:pPr>
              <w:pStyle w:val="ListParagraph"/>
              <w:numPr>
                <w:ilvl w:val="0"/>
                <w:numId w:val="2"/>
              </w:numPr>
            </w:pPr>
            <w:r w:rsidRPr="00703605">
              <w:t xml:space="preserve">The Food Safetyand Standards Authority of India controls the food retail through stringent food safety, labeling, and </w:t>
            </w:r>
            <w:r w:rsidRPr="00703605">
              <w:lastRenderedPageBreak/>
              <w:t>compliance regulations (David et al., 2022).</w:t>
            </w:r>
          </w:p>
          <w:p w14:paraId="7C13CCE2" w14:textId="0F66668A" w:rsidR="00A800E9" w:rsidRDefault="00A800E9" w:rsidP="00A800E9">
            <w:pPr>
              <w:jc w:val="center"/>
            </w:pPr>
            <w:r>
              <w:rPr>
                <w:noProof/>
              </w:rPr>
              <w:drawing>
                <wp:inline distT="0" distB="0" distL="0" distR="0" wp14:anchorId="371A31A4" wp14:editId="4E20341C">
                  <wp:extent cx="2743200" cy="2461260"/>
                  <wp:effectExtent l="0" t="0" r="0" b="0"/>
                  <wp:docPr id="13" name="Picture 13" descr="Chart: India's Protectionary Tariff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India's Protectionary Tariffs | Statista"/>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0278"/>
                          <a:stretch/>
                        </pic:blipFill>
                        <pic:spPr bwMode="auto">
                          <a:xfrm>
                            <a:off x="0" y="0"/>
                            <a:ext cx="2743200" cy="2461260"/>
                          </a:xfrm>
                          <a:prstGeom prst="rect">
                            <a:avLst/>
                          </a:prstGeom>
                          <a:noFill/>
                          <a:ln>
                            <a:noFill/>
                          </a:ln>
                          <a:extLst>
                            <a:ext uri="{53640926-AAD7-44D8-BBD7-CCE9431645EC}">
                              <a14:shadowObscured xmlns:a14="http://schemas.microsoft.com/office/drawing/2010/main"/>
                            </a:ext>
                          </a:extLst>
                        </pic:spPr>
                      </pic:pic>
                    </a:graphicData>
                  </a:graphic>
                </wp:inline>
              </w:drawing>
            </w:r>
          </w:p>
          <w:p w14:paraId="478DE10D" w14:textId="6AF5E99D" w:rsidR="00501164" w:rsidRDefault="00501164" w:rsidP="002077DD">
            <w:pPr>
              <w:pStyle w:val="ListParagraph"/>
              <w:numPr>
                <w:ilvl w:val="0"/>
                <w:numId w:val="2"/>
              </w:numPr>
            </w:pPr>
            <w:r>
              <w:t xml:space="preserve">Import duties and non-tariff measures continue to affect imported food costs and compliance complexity (Yadav </w:t>
            </w:r>
            <w:r w:rsidR="00732246">
              <w:t>et al.</w:t>
            </w:r>
            <w:r>
              <w:t>, 2025).</w:t>
            </w:r>
          </w:p>
        </w:tc>
        <w:tc>
          <w:tcPr>
            <w:tcW w:w="2605" w:type="dxa"/>
            <w:hideMark/>
          </w:tcPr>
          <w:p w14:paraId="28FF7AF4" w14:textId="77777777" w:rsidR="00501164" w:rsidRDefault="00501164" w:rsidP="005A5FCE">
            <w:r>
              <w:lastRenderedPageBreak/>
              <w:t xml:space="preserve">Regulatory compliance increases operational complexity and costs, reinforcing </w:t>
            </w:r>
            <w:r>
              <w:lastRenderedPageBreak/>
              <w:t>the need for partial local sourcing and legal expertise.</w:t>
            </w:r>
          </w:p>
        </w:tc>
      </w:tr>
      <w:tr w:rsidR="0071113C" w14:paraId="4617C8BC" w14:textId="77777777" w:rsidTr="00061D77">
        <w:tc>
          <w:tcPr>
            <w:tcW w:w="0" w:type="auto"/>
            <w:vAlign w:val="center"/>
            <w:hideMark/>
          </w:tcPr>
          <w:p w14:paraId="2546AE8E" w14:textId="77777777" w:rsidR="00501164" w:rsidRDefault="00501164" w:rsidP="00404EC8">
            <w:pPr>
              <w:jc w:val="left"/>
            </w:pPr>
            <w:r>
              <w:rPr>
                <w:rStyle w:val="Strong"/>
              </w:rPr>
              <w:lastRenderedPageBreak/>
              <w:t>Environmental</w:t>
            </w:r>
          </w:p>
        </w:tc>
        <w:tc>
          <w:tcPr>
            <w:tcW w:w="4862" w:type="dxa"/>
            <w:hideMark/>
          </w:tcPr>
          <w:p w14:paraId="3841622C" w14:textId="77777777" w:rsidR="00E74496" w:rsidRDefault="00501164" w:rsidP="002077DD">
            <w:pPr>
              <w:pStyle w:val="ListParagraph"/>
              <w:numPr>
                <w:ilvl w:val="0"/>
                <w:numId w:val="3"/>
              </w:numPr>
            </w:pPr>
            <w:r>
              <w:t xml:space="preserve">Sustainability expectations are rising, with consumers increasingly valuing responsible sourcing and environmentally friendly retail formats (Sengar </w:t>
            </w:r>
            <w:r w:rsidRPr="002077DD">
              <w:rPr>
                <w:rStyle w:val="Emphasis"/>
                <w:i w:val="0"/>
                <w:iCs w:val="0"/>
              </w:rPr>
              <w:t>et al</w:t>
            </w:r>
            <w:r>
              <w:rPr>
                <w:rStyle w:val="Emphasis"/>
              </w:rPr>
              <w:t>.</w:t>
            </w:r>
            <w:r>
              <w:t xml:space="preserve">, 2025). </w:t>
            </w:r>
          </w:p>
          <w:p w14:paraId="23A35062" w14:textId="7AB2CBCD" w:rsidR="00501164" w:rsidRDefault="00501164" w:rsidP="002077DD">
            <w:pPr>
              <w:pStyle w:val="ListParagraph"/>
              <w:numPr>
                <w:ilvl w:val="0"/>
                <w:numId w:val="3"/>
              </w:numPr>
            </w:pPr>
            <w:r>
              <w:t>NGOs and industry bodies advocate ethical supply chains in Indian retail (WWF, 2024).</w:t>
            </w:r>
          </w:p>
        </w:tc>
        <w:tc>
          <w:tcPr>
            <w:tcW w:w="2605" w:type="dxa"/>
            <w:hideMark/>
          </w:tcPr>
          <w:p w14:paraId="4B4F8E6D" w14:textId="77777777" w:rsidR="00501164" w:rsidRDefault="00501164" w:rsidP="005A5FCE">
            <w:r>
              <w:t>Waitrose’s sustainability credentials offer differentiation, but local supplier development is necessary to meet environmental expectations cost-effectively.</w:t>
            </w:r>
          </w:p>
        </w:tc>
      </w:tr>
    </w:tbl>
    <w:p w14:paraId="197CA5AC" w14:textId="160C6E87" w:rsidR="00501164" w:rsidRDefault="0091338B" w:rsidP="0091338B">
      <w:pPr>
        <w:pStyle w:val="Caption"/>
      </w:pPr>
      <w:bookmarkStart w:id="15" w:name="_Toc217239324"/>
      <w:r>
        <w:t xml:space="preserve">Table </w:t>
      </w:r>
      <w:r w:rsidR="00D720A3">
        <w:fldChar w:fldCharType="begin"/>
      </w:r>
      <w:r w:rsidR="00D720A3">
        <w:instrText xml:space="preserve"> SEQ Table \* ARABIC </w:instrText>
      </w:r>
      <w:r w:rsidR="00D720A3">
        <w:fldChar w:fldCharType="separate"/>
      </w:r>
      <w:r w:rsidR="002376EA">
        <w:rPr>
          <w:noProof/>
        </w:rPr>
        <w:t>2</w:t>
      </w:r>
      <w:r w:rsidR="00D720A3">
        <w:rPr>
          <w:noProof/>
        </w:rPr>
        <w:fldChar w:fldCharType="end"/>
      </w:r>
      <w:r>
        <w:t xml:space="preserve">: PESTEL </w:t>
      </w:r>
      <w:r w:rsidR="00E81512">
        <w:t>Analysis</w:t>
      </w:r>
      <w:bookmarkEnd w:id="15"/>
    </w:p>
    <w:p w14:paraId="5DEC7500" w14:textId="3D230C96" w:rsidR="00501164" w:rsidRDefault="00314659" w:rsidP="00314659">
      <w:pPr>
        <w:pStyle w:val="Heading3"/>
      </w:pPr>
      <w:bookmarkStart w:id="16" w:name="_Toc217239284"/>
      <w:r>
        <w:lastRenderedPageBreak/>
        <w:t xml:space="preserve">2.1.1 </w:t>
      </w:r>
      <w:r w:rsidR="00501164">
        <w:t>Critical Evaluation of the PESTLE Framework</w:t>
      </w:r>
      <w:bookmarkEnd w:id="16"/>
    </w:p>
    <w:p w14:paraId="04A6AC37" w14:textId="6FA9F7F4" w:rsidR="0091338B" w:rsidRDefault="0091338B" w:rsidP="0091338B">
      <w:r>
        <w:rPr>
          <w:noProof/>
        </w:rPr>
        <w:drawing>
          <wp:inline distT="0" distB="0" distL="0" distR="0" wp14:anchorId="5328B8C2" wp14:editId="44C322BE">
            <wp:extent cx="5989320" cy="3882287"/>
            <wp:effectExtent l="0" t="0" r="0" b="4445"/>
            <wp:docPr id="14" name="Picture 14" descr="PESTEL Framework: The 6 Factors of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EL Framework: The 6 Factors of PESTEL Analysi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3462"/>
                    <a:stretch/>
                  </pic:blipFill>
                  <pic:spPr bwMode="auto">
                    <a:xfrm>
                      <a:off x="0" y="0"/>
                      <a:ext cx="6005141" cy="3892542"/>
                    </a:xfrm>
                    <a:prstGeom prst="rect">
                      <a:avLst/>
                    </a:prstGeom>
                    <a:noFill/>
                    <a:ln>
                      <a:noFill/>
                    </a:ln>
                    <a:extLst>
                      <a:ext uri="{53640926-AAD7-44D8-BBD7-CCE9431645EC}">
                        <a14:shadowObscured xmlns:a14="http://schemas.microsoft.com/office/drawing/2010/main"/>
                      </a:ext>
                    </a:extLst>
                  </pic:spPr>
                </pic:pic>
              </a:graphicData>
            </a:graphic>
          </wp:inline>
        </w:drawing>
      </w:r>
    </w:p>
    <w:p w14:paraId="669A4E50" w14:textId="6AE2C452" w:rsidR="00AC3C57" w:rsidRPr="0091338B" w:rsidRDefault="00AC3C57" w:rsidP="00AC3C57">
      <w:pPr>
        <w:pStyle w:val="Caption"/>
      </w:pPr>
      <w:bookmarkStart w:id="17" w:name="_Toc217239312"/>
      <w:r>
        <w:t xml:space="preserve">Figure </w:t>
      </w:r>
      <w:r w:rsidR="00D720A3">
        <w:fldChar w:fldCharType="begin"/>
      </w:r>
      <w:r w:rsidR="00D720A3">
        <w:instrText xml:space="preserve"> SEQ Figure \* ARABIC </w:instrText>
      </w:r>
      <w:r w:rsidR="00D720A3">
        <w:fldChar w:fldCharType="separate"/>
      </w:r>
      <w:r w:rsidR="001D2348">
        <w:rPr>
          <w:noProof/>
        </w:rPr>
        <w:t>7</w:t>
      </w:r>
      <w:r w:rsidR="00D720A3">
        <w:rPr>
          <w:noProof/>
        </w:rPr>
        <w:fldChar w:fldCharType="end"/>
      </w:r>
      <w:r>
        <w:t xml:space="preserve">: </w:t>
      </w:r>
      <w:r w:rsidRPr="00BA5433">
        <w:t>PESTLE Analysis Framework Overview</w:t>
      </w:r>
      <w:bookmarkEnd w:id="17"/>
    </w:p>
    <w:p w14:paraId="6B671C05" w14:textId="77777777" w:rsidR="00AC3C57" w:rsidRDefault="00AC3C57" w:rsidP="005A5FCE">
      <w:r w:rsidRPr="00AC3C57">
        <w:t>The PESTLE framework is a useful macro-environmental scanning tool, which allows systematic recognition of external political, economic, social, technological, legal, and environmental factors that influence market appeal (Ramsudeen, 2025). In the Indian retail industry, the PESTLE is helpful in highlighting the structural opportunities, including the long-term economic growth, continuous digitalisation, and new trends of premiumisation, and in the same breath unveils limitations linked to regulatory regulations, infrastructural inadequacies, and price elasticity. This holistic approach supports strategic decision-making through explaining external threats and opportunities before entering the market.</w:t>
      </w:r>
    </w:p>
    <w:p w14:paraId="79112906" w14:textId="232928A6" w:rsidR="00501164" w:rsidRDefault="004F0BD0" w:rsidP="005A5FCE">
      <w:r w:rsidRPr="004F0BD0">
        <w:t xml:space="preserve">The PESTLE framework, however, has a number of obvious limitations. It provides a rigid snapshot of the external milieu, and it may not capture the non-linear rapid dynamics of the afferent market, as seen in the example of the emergent economies, like India, where regimes and their enforcement, consumer behaviour, and the development of </w:t>
      </w:r>
      <w:r w:rsidRPr="004F0BD0">
        <w:lastRenderedPageBreak/>
        <w:t>infrastructure are both in an ever-changing rapid flux (Andersen, 2024).</w:t>
      </w:r>
      <w:r>
        <w:t xml:space="preserve"> </w:t>
      </w:r>
      <w:r w:rsidRPr="004F0BD0">
        <w:t>Additionally, the PESTLE model fails to offer much firm-specific views, hence giving little direction on how an organisation internal resources, capability and strategic position relate with the external forces. Therefore, despite the usefulness of PESTLE as a preliminary analysis of the environment, it has to be complemented by industry resources based and industry level analytical models to create a strong global expansion plan.</w:t>
      </w:r>
    </w:p>
    <w:p w14:paraId="210AC76C" w14:textId="77777777" w:rsidR="005A5FCE" w:rsidRDefault="005A5FCE" w:rsidP="00853496">
      <w:pPr>
        <w:pStyle w:val="Heading2"/>
        <w:rPr>
          <w:rFonts w:ascii="Times New Roman" w:hAnsi="Times New Roman"/>
        </w:rPr>
      </w:pPr>
      <w:bookmarkStart w:id="18" w:name="_Toc217239285"/>
      <w:r>
        <w:t>2.2 Industry and Competitive Analysis</w:t>
      </w:r>
      <w:bookmarkEnd w:id="18"/>
    </w:p>
    <w:p w14:paraId="3591452A" w14:textId="6BBAF2C4" w:rsidR="005A5FCE" w:rsidRDefault="00314659" w:rsidP="00314659">
      <w:pPr>
        <w:pStyle w:val="Heading3"/>
      </w:pPr>
      <w:bookmarkStart w:id="19" w:name="_Toc217239286"/>
      <w:r>
        <w:t xml:space="preserve">2.2.1 </w:t>
      </w:r>
      <w:r w:rsidR="005A5FCE">
        <w:t>Porter’s Five Forces Analysis of the Indian Food &amp; Grocery Retail Sector</w:t>
      </w:r>
      <w:bookmarkEnd w:id="19"/>
    </w:p>
    <w:tbl>
      <w:tblPr>
        <w:tblStyle w:val="TableGrid"/>
        <w:tblW w:w="9389" w:type="dxa"/>
        <w:tblLook w:val="04A0" w:firstRow="1" w:lastRow="0" w:firstColumn="1" w:lastColumn="0" w:noHBand="0" w:noVBand="1"/>
      </w:tblPr>
      <w:tblGrid>
        <w:gridCol w:w="1636"/>
        <w:gridCol w:w="4557"/>
        <w:gridCol w:w="3196"/>
      </w:tblGrid>
      <w:tr w:rsidR="005A5FCE" w14:paraId="01A62CC9" w14:textId="77777777" w:rsidTr="008617F6">
        <w:tc>
          <w:tcPr>
            <w:tcW w:w="1615" w:type="dxa"/>
            <w:shd w:val="clear" w:color="auto" w:fill="92D050"/>
            <w:vAlign w:val="center"/>
            <w:hideMark/>
          </w:tcPr>
          <w:p w14:paraId="21172850" w14:textId="77777777" w:rsidR="005A5FCE" w:rsidRDefault="005A5FCE" w:rsidP="008617F6">
            <w:pPr>
              <w:spacing w:before="120" w:after="120"/>
              <w:jc w:val="center"/>
              <w:rPr>
                <w:b/>
                <w:bCs/>
              </w:rPr>
            </w:pPr>
            <w:r>
              <w:rPr>
                <w:rStyle w:val="Strong"/>
              </w:rPr>
              <w:t>Force</w:t>
            </w:r>
          </w:p>
        </w:tc>
        <w:tc>
          <w:tcPr>
            <w:tcW w:w="4499" w:type="dxa"/>
            <w:shd w:val="clear" w:color="auto" w:fill="92D050"/>
            <w:vAlign w:val="center"/>
            <w:hideMark/>
          </w:tcPr>
          <w:p w14:paraId="1072468E" w14:textId="77777777" w:rsidR="005A5FCE" w:rsidRDefault="005A5FCE" w:rsidP="008617F6">
            <w:pPr>
              <w:spacing w:before="120" w:after="120"/>
              <w:jc w:val="center"/>
              <w:rPr>
                <w:b/>
                <w:bCs/>
              </w:rPr>
            </w:pPr>
            <w:r>
              <w:rPr>
                <w:rStyle w:val="Strong"/>
              </w:rPr>
              <w:t>Industry Conditions in India</w:t>
            </w:r>
          </w:p>
        </w:tc>
        <w:tc>
          <w:tcPr>
            <w:tcW w:w="3155" w:type="dxa"/>
            <w:shd w:val="clear" w:color="auto" w:fill="92D050"/>
            <w:vAlign w:val="center"/>
            <w:hideMark/>
          </w:tcPr>
          <w:p w14:paraId="0B095FA0" w14:textId="77777777" w:rsidR="005A5FCE" w:rsidRDefault="005A5FCE" w:rsidP="008617F6">
            <w:pPr>
              <w:spacing w:before="120" w:after="120"/>
              <w:jc w:val="center"/>
              <w:rPr>
                <w:b/>
                <w:bCs/>
              </w:rPr>
            </w:pPr>
            <w:r>
              <w:rPr>
                <w:rStyle w:val="Strong"/>
              </w:rPr>
              <w:t>Implications for Waitrose</w:t>
            </w:r>
          </w:p>
        </w:tc>
      </w:tr>
      <w:tr w:rsidR="005A5FCE" w14:paraId="567CD6D1" w14:textId="77777777" w:rsidTr="005C6CE7">
        <w:tc>
          <w:tcPr>
            <w:tcW w:w="1615" w:type="dxa"/>
            <w:vAlign w:val="center"/>
            <w:hideMark/>
          </w:tcPr>
          <w:p w14:paraId="5F10BC36" w14:textId="77777777" w:rsidR="005A5FCE" w:rsidRDefault="005A5FCE" w:rsidP="005C6CE7">
            <w:pPr>
              <w:jc w:val="left"/>
            </w:pPr>
            <w:r>
              <w:rPr>
                <w:rStyle w:val="Strong"/>
              </w:rPr>
              <w:t>Threat of New Entrants</w:t>
            </w:r>
          </w:p>
        </w:tc>
        <w:tc>
          <w:tcPr>
            <w:tcW w:w="4499" w:type="dxa"/>
            <w:hideMark/>
          </w:tcPr>
          <w:p w14:paraId="20114F5E" w14:textId="19336A20" w:rsidR="005A5FCE" w:rsidRDefault="005A5FCE" w:rsidP="005A5FCE">
            <w:r>
              <w:t xml:space="preserve">Entry barriers are mixed. </w:t>
            </w:r>
            <w:r w:rsidR="00500B5B" w:rsidRPr="00500B5B">
              <w:t>Capital requirements, foreign direct investment (FDI) policies, and compliance expenses are some of the biggest barriers to foreign companies; however, the market remains in a highly fragmented form, where organized retail is only a comparatively small share of the total grocery sales (IBEF, 2025; Maheshkumar et al., 2025). Online platforms have further reduced barriers of entry of the niche actors.</w:t>
            </w:r>
          </w:p>
        </w:tc>
        <w:tc>
          <w:tcPr>
            <w:tcW w:w="3155" w:type="dxa"/>
            <w:hideMark/>
          </w:tcPr>
          <w:p w14:paraId="531E8FBB" w14:textId="5B9807D9" w:rsidR="005A5FCE" w:rsidRDefault="00052DF0" w:rsidP="005A5FCE">
            <w:r w:rsidRPr="00052DF0">
              <w:t>Though a massive entry is costly, the premium-niche positioning approach will reduce the direct exposure to the mass-market competitors. Moreover, the nature of regulatory frameworks is complex and thus favors partnership-based strategies of entry.</w:t>
            </w:r>
          </w:p>
        </w:tc>
      </w:tr>
      <w:tr w:rsidR="005A5FCE" w14:paraId="26B77A46" w14:textId="77777777" w:rsidTr="005C6CE7">
        <w:tc>
          <w:tcPr>
            <w:tcW w:w="1615" w:type="dxa"/>
            <w:vAlign w:val="center"/>
            <w:hideMark/>
          </w:tcPr>
          <w:p w14:paraId="0E4A009F" w14:textId="77777777" w:rsidR="005A5FCE" w:rsidRDefault="005A5FCE" w:rsidP="005C6CE7">
            <w:pPr>
              <w:jc w:val="left"/>
            </w:pPr>
            <w:r>
              <w:rPr>
                <w:rStyle w:val="Strong"/>
              </w:rPr>
              <w:t>Bargaining Power of Suppliers</w:t>
            </w:r>
          </w:p>
        </w:tc>
        <w:tc>
          <w:tcPr>
            <w:tcW w:w="4499" w:type="dxa"/>
            <w:hideMark/>
          </w:tcPr>
          <w:p w14:paraId="48068E6E" w14:textId="05C1C169" w:rsidR="005A5FCE" w:rsidRDefault="00930073" w:rsidP="005A5FCE">
            <w:r w:rsidRPr="00930073">
              <w:t xml:space="preserve">Supplier power has a high degree of dispersion between local agricultural produce and imported premium goods because of the difference in market conditions. Division among the local suppliers reduces their bargaining power; on the other hand, the categories of imported foods are more reliant on global suppliers and more susceptible to tariffs </w:t>
            </w:r>
            <w:r w:rsidRPr="00930073">
              <w:lastRenderedPageBreak/>
              <w:t>and non-tariff trade obstacles (Mukherjee et al., 2019; Yadav et al., 2025).</w:t>
            </w:r>
          </w:p>
        </w:tc>
        <w:tc>
          <w:tcPr>
            <w:tcW w:w="3155" w:type="dxa"/>
            <w:hideMark/>
          </w:tcPr>
          <w:p w14:paraId="3E92F46B" w14:textId="77777777" w:rsidR="005A5FCE" w:rsidRDefault="005A5FCE" w:rsidP="005A5FCE">
            <w:r>
              <w:lastRenderedPageBreak/>
              <w:t>Waitrose can mitigate supplier risk through selective local sourcing while retaining differentiated imported lines for premium consumers.</w:t>
            </w:r>
          </w:p>
        </w:tc>
      </w:tr>
      <w:tr w:rsidR="005A5FCE" w14:paraId="08D0DC09" w14:textId="77777777" w:rsidTr="005C6CE7">
        <w:tc>
          <w:tcPr>
            <w:tcW w:w="1615" w:type="dxa"/>
            <w:vAlign w:val="center"/>
            <w:hideMark/>
          </w:tcPr>
          <w:p w14:paraId="67DA9B41" w14:textId="77777777" w:rsidR="005A5FCE" w:rsidRDefault="005A5FCE" w:rsidP="005C6CE7">
            <w:pPr>
              <w:jc w:val="left"/>
            </w:pPr>
            <w:r>
              <w:rPr>
                <w:rStyle w:val="Strong"/>
              </w:rPr>
              <w:t>Bargaining Power of Buyers</w:t>
            </w:r>
          </w:p>
        </w:tc>
        <w:tc>
          <w:tcPr>
            <w:tcW w:w="4499" w:type="dxa"/>
            <w:hideMark/>
          </w:tcPr>
          <w:p w14:paraId="488305EC" w14:textId="702484CC" w:rsidR="005A5FCE" w:rsidRDefault="00930073" w:rsidP="005A5FCE">
            <w:r w:rsidRPr="00930073">
              <w:t>Indian customers are characterized by a high level of price sensitivity because of inflation pressure and income inequality; however, the growing segment of urban elite consumers is characterized by a tendency to spend on quality, safety, and ethically responsibly sourced products (Dekimpe et al., 2023; IBEF, 2024). Buyers bargaining power is worsened by the abundance of choices and presence of digital price comparison applications.</w:t>
            </w:r>
          </w:p>
        </w:tc>
        <w:tc>
          <w:tcPr>
            <w:tcW w:w="3155" w:type="dxa"/>
            <w:hideMark/>
          </w:tcPr>
          <w:p w14:paraId="65870B7E" w14:textId="77777777" w:rsidR="005A5FCE" w:rsidRDefault="005A5FCE" w:rsidP="005A5FCE">
            <w:r>
              <w:t>Premium differentiation and trust-based branding can partially offset buyer power, though value justification remains critical.</w:t>
            </w:r>
          </w:p>
        </w:tc>
      </w:tr>
      <w:tr w:rsidR="005A5FCE" w14:paraId="34290A72" w14:textId="77777777" w:rsidTr="005C6CE7">
        <w:tc>
          <w:tcPr>
            <w:tcW w:w="1615" w:type="dxa"/>
            <w:vAlign w:val="center"/>
            <w:hideMark/>
          </w:tcPr>
          <w:p w14:paraId="4F95F107" w14:textId="77777777" w:rsidR="005A5FCE" w:rsidRDefault="005A5FCE" w:rsidP="005C6CE7">
            <w:pPr>
              <w:jc w:val="left"/>
            </w:pPr>
            <w:r>
              <w:rPr>
                <w:rStyle w:val="Strong"/>
              </w:rPr>
              <w:t>Threat of Substitutes</w:t>
            </w:r>
          </w:p>
        </w:tc>
        <w:tc>
          <w:tcPr>
            <w:tcW w:w="4499" w:type="dxa"/>
            <w:hideMark/>
          </w:tcPr>
          <w:p w14:paraId="464C7661" w14:textId="77777777" w:rsidR="005A5FCE" w:rsidRDefault="005A5FCE" w:rsidP="005A5FCE">
            <w:r>
              <w:t xml:space="preserve">Substitution threats are high due to the dominance of </w:t>
            </w:r>
            <w:r w:rsidRPr="002F42D4">
              <w:rPr>
                <w:rStyle w:val="Strong"/>
                <w:b w:val="0"/>
                <w:bCs w:val="0"/>
              </w:rPr>
              <w:t>kirana stores</w:t>
            </w:r>
            <w:r>
              <w:t xml:space="preserve">, traditional wet markets, and domestic brands offering familiarity and convenience (Naga Lakshmi </w:t>
            </w:r>
            <w:r>
              <w:rPr>
                <w:rStyle w:val="Emphasis"/>
              </w:rPr>
              <w:t>et al.</w:t>
            </w:r>
            <w:r>
              <w:t>, 2025). Online grocers further increase substitution options.</w:t>
            </w:r>
          </w:p>
        </w:tc>
        <w:tc>
          <w:tcPr>
            <w:tcW w:w="3155" w:type="dxa"/>
            <w:hideMark/>
          </w:tcPr>
          <w:p w14:paraId="7E664319" w14:textId="77777777" w:rsidR="005A5FCE" w:rsidRDefault="005A5FCE" w:rsidP="005A5FCE">
            <w:r>
              <w:t>Waitrose must compete on quality, provenance, and experience rather than convenience or price alone.</w:t>
            </w:r>
          </w:p>
        </w:tc>
      </w:tr>
      <w:tr w:rsidR="005A5FCE" w14:paraId="6F7E4332" w14:textId="77777777" w:rsidTr="005C6CE7">
        <w:tc>
          <w:tcPr>
            <w:tcW w:w="1615" w:type="dxa"/>
            <w:vAlign w:val="center"/>
            <w:hideMark/>
          </w:tcPr>
          <w:p w14:paraId="258294B4" w14:textId="77777777" w:rsidR="005A5FCE" w:rsidRDefault="005A5FCE" w:rsidP="005C6CE7">
            <w:pPr>
              <w:jc w:val="left"/>
            </w:pPr>
            <w:r>
              <w:rPr>
                <w:rStyle w:val="Strong"/>
              </w:rPr>
              <w:t>Competitive Rivalry</w:t>
            </w:r>
          </w:p>
        </w:tc>
        <w:tc>
          <w:tcPr>
            <w:tcW w:w="4499" w:type="dxa"/>
            <w:hideMark/>
          </w:tcPr>
          <w:p w14:paraId="1D8F7657" w14:textId="77777777" w:rsidR="005A5FCE" w:rsidRDefault="005A5FCE" w:rsidP="005A5FCE">
            <w:r>
              <w:t xml:space="preserve">Competitive rivalry is intense among organised retailers, including </w:t>
            </w:r>
            <w:r w:rsidRPr="002F42D4">
              <w:rPr>
                <w:rStyle w:val="whitespace-normal"/>
              </w:rPr>
              <w:t>Reliance Retail</w:t>
            </w:r>
            <w:r w:rsidRPr="002F42D4">
              <w:t xml:space="preserve">, </w:t>
            </w:r>
            <w:r w:rsidRPr="002F42D4">
              <w:rPr>
                <w:rStyle w:val="whitespace-normal"/>
              </w:rPr>
              <w:t>Tata Group</w:t>
            </w:r>
            <w:r w:rsidRPr="002F42D4">
              <w:rPr>
                <w:rStyle w:val="Strong"/>
                <w:b w:val="0"/>
                <w:bCs w:val="0"/>
              </w:rPr>
              <w:t xml:space="preserve"> (Star Bazaar)</w:t>
            </w:r>
            <w:r w:rsidRPr="002F42D4">
              <w:rPr>
                <w:b/>
                <w:bCs/>
              </w:rPr>
              <w:t>,</w:t>
            </w:r>
            <w:r>
              <w:t xml:space="preserve"> and digital players such as BigBasket and Blinkit (IBEF, 2025; Mukherjee, 2025). Scale, pricing power, and supply chain integration intensify competition.</w:t>
            </w:r>
          </w:p>
        </w:tc>
        <w:tc>
          <w:tcPr>
            <w:tcW w:w="3155" w:type="dxa"/>
            <w:hideMark/>
          </w:tcPr>
          <w:p w14:paraId="23BB9CE2" w14:textId="15C1AF2D" w:rsidR="005A5FCE" w:rsidRDefault="002F42D4" w:rsidP="005A5FCE">
            <w:r w:rsidRPr="002F42D4">
              <w:t>A direct face-off with mass retailers is considered not appealing; on the other hand, a focused premium niche will reduce competition intensity.</w:t>
            </w:r>
          </w:p>
        </w:tc>
      </w:tr>
    </w:tbl>
    <w:p w14:paraId="59E4BEBD" w14:textId="4DA39B6A" w:rsidR="005A5FCE" w:rsidRDefault="0081270E" w:rsidP="0081270E">
      <w:pPr>
        <w:pStyle w:val="Caption"/>
      </w:pPr>
      <w:bookmarkStart w:id="20" w:name="_Toc217239325"/>
      <w:r>
        <w:t xml:space="preserve">Table </w:t>
      </w:r>
      <w:r w:rsidR="00D720A3">
        <w:fldChar w:fldCharType="begin"/>
      </w:r>
      <w:r w:rsidR="00D720A3">
        <w:instrText xml:space="preserve"> SEQ Table \* ARABIC </w:instrText>
      </w:r>
      <w:r w:rsidR="00D720A3">
        <w:fldChar w:fldCharType="separate"/>
      </w:r>
      <w:r w:rsidR="002376EA">
        <w:rPr>
          <w:noProof/>
        </w:rPr>
        <w:t>3</w:t>
      </w:r>
      <w:r w:rsidR="00D720A3">
        <w:rPr>
          <w:noProof/>
        </w:rPr>
        <w:fldChar w:fldCharType="end"/>
      </w:r>
      <w:r>
        <w:t xml:space="preserve">: </w:t>
      </w:r>
      <w:r w:rsidRPr="005C37A6">
        <w:t>Porter’s Five Forces Analysis</w:t>
      </w:r>
      <w:bookmarkEnd w:id="20"/>
    </w:p>
    <w:p w14:paraId="37762FF4" w14:textId="1D6B4D08" w:rsidR="005A5FCE" w:rsidRDefault="00314659" w:rsidP="00675373">
      <w:pPr>
        <w:pStyle w:val="Heading3"/>
      </w:pPr>
      <w:bookmarkStart w:id="21" w:name="_Toc217239287"/>
      <w:r>
        <w:lastRenderedPageBreak/>
        <w:t xml:space="preserve">2.2.2 </w:t>
      </w:r>
      <w:r w:rsidR="005A5FCE">
        <w:t>Strategic Group Mapping</w:t>
      </w:r>
      <w:bookmarkEnd w:id="21"/>
      <w:r w:rsidR="005A5FCE">
        <w:t xml:space="preserve"> </w:t>
      </w:r>
    </w:p>
    <w:p w14:paraId="3876F855" w14:textId="4C426E32" w:rsidR="00F5516E" w:rsidRDefault="00F5516E" w:rsidP="00F5516E">
      <w:r w:rsidRPr="00F5516E">
        <w:rPr>
          <w:noProof/>
        </w:rPr>
        <w:drawing>
          <wp:inline distT="0" distB="0" distL="0" distR="0" wp14:anchorId="42B26BA8" wp14:editId="31FEC6DB">
            <wp:extent cx="5943600" cy="38811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881120"/>
                    </a:xfrm>
                    <a:prstGeom prst="rect">
                      <a:avLst/>
                    </a:prstGeom>
                  </pic:spPr>
                </pic:pic>
              </a:graphicData>
            </a:graphic>
          </wp:inline>
        </w:drawing>
      </w:r>
    </w:p>
    <w:p w14:paraId="03865335" w14:textId="719A7777" w:rsidR="006272FA" w:rsidRDefault="006272FA" w:rsidP="006272FA">
      <w:pPr>
        <w:pStyle w:val="Caption"/>
      </w:pPr>
      <w:bookmarkStart w:id="22" w:name="_Toc217239313"/>
      <w:r>
        <w:t xml:space="preserve">Figure </w:t>
      </w:r>
      <w:r w:rsidR="00D720A3">
        <w:fldChar w:fldCharType="begin"/>
      </w:r>
      <w:r w:rsidR="00D720A3">
        <w:instrText xml:space="preserve"> SEQ Figure \* ARABIC </w:instrText>
      </w:r>
      <w:r w:rsidR="00D720A3">
        <w:fldChar w:fldCharType="separate"/>
      </w:r>
      <w:r w:rsidR="001D2348">
        <w:rPr>
          <w:noProof/>
        </w:rPr>
        <w:t>8</w:t>
      </w:r>
      <w:r w:rsidR="00D720A3">
        <w:rPr>
          <w:noProof/>
        </w:rPr>
        <w:fldChar w:fldCharType="end"/>
      </w:r>
      <w:r>
        <w:t xml:space="preserve">: </w:t>
      </w:r>
      <w:r w:rsidRPr="003260BD">
        <w:t>Strategic Group Mapping</w:t>
      </w:r>
      <w:bookmarkEnd w:id="22"/>
    </w:p>
    <w:p w14:paraId="1FE687D1" w14:textId="749E99FC" w:rsidR="009E1329" w:rsidRDefault="009E1329" w:rsidP="005A5FCE">
      <w:r w:rsidRPr="009E1329">
        <w:t>The strategic group mapping places retailers on both price positioning (mass to premium) and value proposition (price-led efficiency versus quality and ethical differentiation) dimensions. Mass-market retailers like Reliance Retail operate at one end of the spectrum with focus on scale, price competition and large-scale distribution and aim at large consumer base. Price-led competition is supported by digital-first platforms that are convenient and aggressive in their discounting strategies.</w:t>
      </w:r>
    </w:p>
    <w:p w14:paraId="602AFDC1" w14:textId="6C55C6DA" w:rsidR="009E1329" w:rsidRDefault="009E1329" w:rsidP="009E1329">
      <w:r>
        <w:t>Domestic brands with a premium focus, such as FabIndia, are placed on the strategic map between cultural authenticity and ethical sourcing practices, which attracts urban consumers who desire to be differentiated but locally sourced products (Mahajan et al., 2024). On the contrary, Waitrose would be aligned on the high-premium side, with a focus on product provenance, in-house excellence, sustainability, and trust, as opposed to price leadership.</w:t>
      </w:r>
    </w:p>
    <w:p w14:paraId="24C86EA7" w14:textId="4D04910B" w:rsidR="005A5FCE" w:rsidRDefault="00212171" w:rsidP="005A5FCE">
      <w:r w:rsidRPr="00212171">
        <w:lastRenderedPageBreak/>
        <w:t xml:space="preserve">This niche positioning limits direct competition with the mass-market retailers, on the other hand, it also exposes Waitrose to a narrower consumer group with increased expectations. Nevertheless, the premiumisation trend, as well as the growing popularity of affordable luxury food experiences, suggests the growth of this strategic segment (IBEF, 2024). Therefore, first-mover advantage provides Waitrose with the ability to influence category norms and build reputational capital before the competition in the </w:t>
      </w:r>
      <w:r w:rsidR="00DF71D7" w:rsidRPr="00212171">
        <w:t>high-end</w:t>
      </w:r>
      <w:r w:rsidRPr="00212171">
        <w:t xml:space="preserve"> sector escalates.</w:t>
      </w:r>
    </w:p>
    <w:p w14:paraId="3849D2C3" w14:textId="02F792CD" w:rsidR="005A5FCE" w:rsidRDefault="00314659" w:rsidP="00675373">
      <w:pPr>
        <w:pStyle w:val="Heading3"/>
      </w:pPr>
      <w:bookmarkStart w:id="23" w:name="_Toc217239288"/>
      <w:r>
        <w:t xml:space="preserve">2.2.3 </w:t>
      </w:r>
      <w:r w:rsidR="005A5FCE">
        <w:t>Tool Evaluation</w:t>
      </w:r>
      <w:bookmarkEnd w:id="23"/>
      <w:r w:rsidR="005A5FCE">
        <w:t xml:space="preserve"> </w:t>
      </w:r>
    </w:p>
    <w:p w14:paraId="720AFF38" w14:textId="77777777" w:rsidR="00641B64" w:rsidRDefault="00641B64" w:rsidP="00641B64">
      <w:pPr>
        <w:jc w:val="center"/>
      </w:pPr>
      <w:r>
        <w:rPr>
          <w:noProof/>
        </w:rPr>
        <w:drawing>
          <wp:inline distT="0" distB="0" distL="0" distR="0" wp14:anchorId="08F4D3FD" wp14:editId="33754A9B">
            <wp:extent cx="4823460" cy="3315548"/>
            <wp:effectExtent l="0" t="0" r="0" b="0"/>
            <wp:docPr id="15" name="Picture 15"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Five Forces: The Ultimate Competitive Strategy Blueprint | TSI"/>
                    <pic:cNvPicPr>
                      <a:picLocks noChangeAspect="1" noChangeArrowheads="1"/>
                    </pic:cNvPicPr>
                  </pic:nvPicPr>
                  <pic:blipFill rotWithShape="1">
                    <a:blip r:embed="rId23">
                      <a:extLst>
                        <a:ext uri="{28A0092B-C50C-407E-A947-70E740481C1C}">
                          <a14:useLocalDpi xmlns:a14="http://schemas.microsoft.com/office/drawing/2010/main" val="0"/>
                        </a:ext>
                      </a:extLst>
                    </a:blip>
                    <a:srcRect l="16589" t="4167" r="14401" b="5128"/>
                    <a:stretch/>
                  </pic:blipFill>
                  <pic:spPr bwMode="auto">
                    <a:xfrm>
                      <a:off x="0" y="0"/>
                      <a:ext cx="4840875" cy="3327519"/>
                    </a:xfrm>
                    <a:prstGeom prst="rect">
                      <a:avLst/>
                    </a:prstGeom>
                    <a:noFill/>
                    <a:ln>
                      <a:noFill/>
                    </a:ln>
                    <a:extLst>
                      <a:ext uri="{53640926-AAD7-44D8-BBD7-CCE9431645EC}">
                        <a14:shadowObscured xmlns:a14="http://schemas.microsoft.com/office/drawing/2010/main"/>
                      </a:ext>
                    </a:extLst>
                  </pic:spPr>
                </pic:pic>
              </a:graphicData>
            </a:graphic>
          </wp:inline>
        </w:drawing>
      </w:r>
    </w:p>
    <w:p w14:paraId="6EC76217" w14:textId="35BBF0E7" w:rsidR="00641B64" w:rsidRPr="00641B64" w:rsidRDefault="00641B64" w:rsidP="00641B64">
      <w:pPr>
        <w:pStyle w:val="Caption"/>
      </w:pPr>
      <w:bookmarkStart w:id="24" w:name="_Toc217239314"/>
      <w:r>
        <w:t xml:space="preserve">Figure </w:t>
      </w:r>
      <w:fldSimple w:instr=" SEQ Figure \* ARABIC ">
        <w:r>
          <w:rPr>
            <w:noProof/>
          </w:rPr>
          <w:t>9</w:t>
        </w:r>
      </w:fldSimple>
      <w:r>
        <w:t xml:space="preserve">: </w:t>
      </w:r>
      <w:r w:rsidRPr="003312C6">
        <w:t>Porter’s Five Forces Competitive Analysis Model</w:t>
      </w:r>
      <w:bookmarkEnd w:id="24"/>
    </w:p>
    <w:p w14:paraId="3F10EBC3" w14:textId="77777777" w:rsidR="00A2215D" w:rsidRDefault="00A2215D" w:rsidP="005A5FCE">
      <w:r w:rsidRPr="00A2215D">
        <w:t>Porters Five Forces remains a relevant analytical model of determining the structure and level of competition within a particular industry, in particular, by recognizing the level of rivalry in the industry, the bargaining power of buyers, and the threat of substitutes (Pangarkar et al., 2024; Kaul, 2024). In the emerging markets, this structure is very informative about the structural constraints and profitability determinants.</w:t>
      </w:r>
    </w:p>
    <w:p w14:paraId="7D4D3694" w14:textId="4118D15F" w:rsidR="005A5FCE" w:rsidRDefault="00EC6396" w:rsidP="008B634E">
      <w:r w:rsidRPr="00EC6396">
        <w:t xml:space="preserve">However, the limitations of this model are especially apparent in the situations that can be illustrated by the case of India, where informal retail is dominant, regulation is not uniform, and the process of disruption through digital means is transforming competitive </w:t>
      </w:r>
      <w:r w:rsidRPr="00EC6396">
        <w:lastRenderedPageBreak/>
        <w:t>patterns (Ramsudeen, 2025). The very static nature of its structure does not seem to sufficiently address the complexity of institutions and the mechanisms of development of dynamic capabilities, thus, the need to combine resource-based and institutional analytic paradigms.</w:t>
      </w:r>
    </w:p>
    <w:p w14:paraId="3F08E9DD" w14:textId="77777777" w:rsidR="00841151" w:rsidRDefault="00841151" w:rsidP="00314659">
      <w:pPr>
        <w:pStyle w:val="Heading1"/>
      </w:pPr>
      <w:bookmarkStart w:id="25" w:name="_Toc217239289"/>
      <w:r>
        <w:t>3. Strategy Development and Formulation</w:t>
      </w:r>
      <w:bookmarkEnd w:id="25"/>
      <w:r>
        <w:t xml:space="preserve"> </w:t>
      </w:r>
    </w:p>
    <w:p w14:paraId="3EF33D3D" w14:textId="77777777" w:rsidR="00314659" w:rsidRDefault="00314659" w:rsidP="00853496">
      <w:pPr>
        <w:pStyle w:val="Heading2"/>
        <w:rPr>
          <w:rFonts w:ascii="Times New Roman" w:hAnsi="Times New Roman"/>
        </w:rPr>
      </w:pPr>
      <w:bookmarkStart w:id="26" w:name="_Toc217239290"/>
      <w:r>
        <w:t>3.1 Strategic Objectives for Indian Expansion (SMART Objectives)</w:t>
      </w:r>
      <w:bookmarkEnd w:id="26"/>
    </w:p>
    <w:tbl>
      <w:tblPr>
        <w:tblStyle w:val="TableGrid"/>
        <w:tblW w:w="0" w:type="auto"/>
        <w:tblLook w:val="04A0" w:firstRow="1" w:lastRow="0" w:firstColumn="1" w:lastColumn="0" w:noHBand="0" w:noVBand="1"/>
      </w:tblPr>
      <w:tblGrid>
        <w:gridCol w:w="2978"/>
        <w:gridCol w:w="6372"/>
      </w:tblGrid>
      <w:tr w:rsidR="00314659" w14:paraId="63CEF2D4" w14:textId="77777777" w:rsidTr="004955EA">
        <w:tc>
          <w:tcPr>
            <w:tcW w:w="0" w:type="auto"/>
            <w:shd w:val="clear" w:color="auto" w:fill="92D050"/>
            <w:vAlign w:val="center"/>
            <w:hideMark/>
          </w:tcPr>
          <w:p w14:paraId="14812E92" w14:textId="77777777" w:rsidR="00314659" w:rsidRDefault="00314659" w:rsidP="004955EA">
            <w:pPr>
              <w:spacing w:before="120" w:after="120"/>
              <w:jc w:val="center"/>
              <w:rPr>
                <w:b/>
                <w:bCs/>
              </w:rPr>
            </w:pPr>
            <w:r>
              <w:rPr>
                <w:rStyle w:val="Strong"/>
              </w:rPr>
              <w:t>Strategic Objective</w:t>
            </w:r>
          </w:p>
        </w:tc>
        <w:tc>
          <w:tcPr>
            <w:tcW w:w="0" w:type="auto"/>
            <w:shd w:val="clear" w:color="auto" w:fill="92D050"/>
            <w:vAlign w:val="center"/>
            <w:hideMark/>
          </w:tcPr>
          <w:p w14:paraId="3AE44F9C" w14:textId="77777777" w:rsidR="00314659" w:rsidRDefault="00314659" w:rsidP="004955EA">
            <w:pPr>
              <w:spacing w:before="120" w:after="120"/>
              <w:jc w:val="center"/>
              <w:rPr>
                <w:b/>
                <w:bCs/>
              </w:rPr>
            </w:pPr>
            <w:r>
              <w:rPr>
                <w:rStyle w:val="Strong"/>
              </w:rPr>
              <w:t>SMART Formulation</w:t>
            </w:r>
          </w:p>
        </w:tc>
      </w:tr>
      <w:tr w:rsidR="00314659" w14:paraId="43E9758E" w14:textId="77777777" w:rsidTr="00314659">
        <w:tc>
          <w:tcPr>
            <w:tcW w:w="0" w:type="auto"/>
            <w:hideMark/>
          </w:tcPr>
          <w:p w14:paraId="1546A315" w14:textId="77777777" w:rsidR="00314659" w:rsidRDefault="00314659" w:rsidP="00314659">
            <w:r>
              <w:rPr>
                <w:rStyle w:val="Strong"/>
              </w:rPr>
              <w:t>Brand establishment in metro cities</w:t>
            </w:r>
          </w:p>
        </w:tc>
        <w:tc>
          <w:tcPr>
            <w:tcW w:w="0" w:type="auto"/>
            <w:hideMark/>
          </w:tcPr>
          <w:p w14:paraId="32C7126E" w14:textId="552EB0C3" w:rsidR="004955EA" w:rsidRPr="004955EA" w:rsidRDefault="00314659" w:rsidP="004955EA">
            <w:pPr>
              <w:pStyle w:val="ListParagraph"/>
              <w:numPr>
                <w:ilvl w:val="0"/>
                <w:numId w:val="5"/>
              </w:numPr>
            </w:pPr>
            <w:r w:rsidRPr="004955EA">
              <w:rPr>
                <w:rStyle w:val="Strong"/>
              </w:rPr>
              <w:t>Specific:</w:t>
            </w:r>
            <w:r w:rsidRPr="004955EA">
              <w:t xml:space="preserve"> Establish Waitrose as a premium grocery brand in Mumbai, Delhi NCR, and Bengaluru </w:t>
            </w:r>
          </w:p>
          <w:p w14:paraId="4385E150" w14:textId="77777777" w:rsidR="004955EA" w:rsidRPr="004955EA" w:rsidRDefault="00314659" w:rsidP="004955EA">
            <w:pPr>
              <w:pStyle w:val="ListParagraph"/>
              <w:numPr>
                <w:ilvl w:val="0"/>
                <w:numId w:val="5"/>
              </w:numPr>
            </w:pPr>
            <w:r w:rsidRPr="004955EA">
              <w:rPr>
                <w:rStyle w:val="Strong"/>
              </w:rPr>
              <w:t>Measurable:</w:t>
            </w:r>
            <w:r w:rsidRPr="004955EA">
              <w:t xml:space="preserve"> Achieve </w:t>
            </w:r>
            <w:r w:rsidRPr="004955EA">
              <w:rPr>
                <w:rStyle w:val="Strong"/>
                <w:b w:val="0"/>
                <w:bCs w:val="0"/>
              </w:rPr>
              <w:t>40% aided brand awareness</w:t>
            </w:r>
            <w:r w:rsidRPr="004955EA">
              <w:t xml:space="preserve"> among upper-middle and high-income consumers </w:t>
            </w:r>
          </w:p>
          <w:p w14:paraId="21960265" w14:textId="77777777" w:rsidR="004955EA" w:rsidRPr="004955EA" w:rsidRDefault="00314659" w:rsidP="004955EA">
            <w:pPr>
              <w:pStyle w:val="ListParagraph"/>
              <w:numPr>
                <w:ilvl w:val="0"/>
                <w:numId w:val="5"/>
              </w:numPr>
            </w:pPr>
            <w:r w:rsidRPr="004955EA">
              <w:rPr>
                <w:rStyle w:val="Strong"/>
              </w:rPr>
              <w:t>Achievable:</w:t>
            </w:r>
            <w:r w:rsidRPr="004955EA">
              <w:t xml:space="preserve"> Via joint-venture partnerships, flagship stores, and targeted digital marketing </w:t>
            </w:r>
          </w:p>
          <w:p w14:paraId="1AD76AF3" w14:textId="77777777" w:rsidR="004955EA" w:rsidRPr="004955EA" w:rsidRDefault="00314659" w:rsidP="004955EA">
            <w:pPr>
              <w:pStyle w:val="ListParagraph"/>
              <w:numPr>
                <w:ilvl w:val="0"/>
                <w:numId w:val="5"/>
              </w:numPr>
            </w:pPr>
            <w:r w:rsidRPr="004955EA">
              <w:rPr>
                <w:rStyle w:val="Strong"/>
              </w:rPr>
              <w:t>Relevant:</w:t>
            </w:r>
            <w:r w:rsidRPr="004955EA">
              <w:t xml:space="preserve"> Brand visibility is essential for premium market entry </w:t>
            </w:r>
          </w:p>
          <w:p w14:paraId="51EB1DF7" w14:textId="1CE86780" w:rsidR="00314659" w:rsidRDefault="00314659" w:rsidP="004955EA">
            <w:pPr>
              <w:pStyle w:val="ListParagraph"/>
              <w:numPr>
                <w:ilvl w:val="0"/>
                <w:numId w:val="5"/>
              </w:numPr>
            </w:pPr>
            <w:r w:rsidRPr="004955EA">
              <w:rPr>
                <w:rStyle w:val="Strong"/>
              </w:rPr>
              <w:t>Time</w:t>
            </w:r>
            <w:r>
              <w:rPr>
                <w:rStyle w:val="Strong"/>
              </w:rPr>
              <w:t>-bound:</w:t>
            </w:r>
            <w:r>
              <w:t xml:space="preserve"> Within </w:t>
            </w:r>
            <w:r w:rsidRPr="00667F1B">
              <w:rPr>
                <w:rStyle w:val="Strong"/>
                <w:b w:val="0"/>
                <w:bCs w:val="0"/>
              </w:rPr>
              <w:t>36 months</w:t>
            </w:r>
            <w:r>
              <w:t xml:space="preserve"> of entry</w:t>
            </w:r>
          </w:p>
        </w:tc>
      </w:tr>
      <w:tr w:rsidR="00314659" w14:paraId="77D2F514" w14:textId="77777777" w:rsidTr="00314659">
        <w:tc>
          <w:tcPr>
            <w:tcW w:w="0" w:type="auto"/>
            <w:hideMark/>
          </w:tcPr>
          <w:p w14:paraId="6E4FA6D8" w14:textId="77777777" w:rsidR="00314659" w:rsidRDefault="00314659" w:rsidP="00314659">
            <w:r>
              <w:rPr>
                <w:rStyle w:val="Strong"/>
              </w:rPr>
              <w:t>Ethical premium differentiation</w:t>
            </w:r>
          </w:p>
        </w:tc>
        <w:tc>
          <w:tcPr>
            <w:tcW w:w="0" w:type="auto"/>
            <w:hideMark/>
          </w:tcPr>
          <w:p w14:paraId="6DFEF605" w14:textId="77777777" w:rsidR="004955EA" w:rsidRDefault="00314659" w:rsidP="004955EA">
            <w:pPr>
              <w:pStyle w:val="ListParagraph"/>
              <w:numPr>
                <w:ilvl w:val="0"/>
                <w:numId w:val="6"/>
              </w:numPr>
            </w:pPr>
            <w:r>
              <w:rPr>
                <w:rStyle w:val="Strong"/>
              </w:rPr>
              <w:t>Specific:</w:t>
            </w:r>
            <w:r>
              <w:t xml:space="preserve"> Position Waitrose as a leader in ethical and high-quality food retailing </w:t>
            </w:r>
          </w:p>
          <w:p w14:paraId="1B099355" w14:textId="77777777" w:rsidR="004955EA" w:rsidRDefault="00314659" w:rsidP="004955EA">
            <w:pPr>
              <w:pStyle w:val="ListParagraph"/>
              <w:numPr>
                <w:ilvl w:val="0"/>
                <w:numId w:val="6"/>
              </w:numPr>
            </w:pPr>
            <w:r>
              <w:rPr>
                <w:rStyle w:val="Strong"/>
              </w:rPr>
              <w:t>Measurable:</w:t>
            </w:r>
            <w:r>
              <w:t xml:space="preserve"> </w:t>
            </w:r>
            <w:r w:rsidRPr="004955EA">
              <w:rPr>
                <w:rStyle w:val="Strong"/>
                <w:b w:val="0"/>
                <w:bCs w:val="0"/>
              </w:rPr>
              <w:t>30% of fresh and private-label products</w:t>
            </w:r>
            <w:r>
              <w:t xml:space="preserve"> ethically and locally sourced </w:t>
            </w:r>
          </w:p>
          <w:p w14:paraId="253D2B46" w14:textId="77777777" w:rsidR="004955EA" w:rsidRDefault="00314659" w:rsidP="004955EA">
            <w:pPr>
              <w:pStyle w:val="ListParagraph"/>
              <w:numPr>
                <w:ilvl w:val="0"/>
                <w:numId w:val="6"/>
              </w:numPr>
            </w:pPr>
            <w:r>
              <w:rPr>
                <w:rStyle w:val="Strong"/>
              </w:rPr>
              <w:t>Achievable:</w:t>
            </w:r>
            <w:r>
              <w:t xml:space="preserve"> Through supplier development and Waitrose Foundation practices </w:t>
            </w:r>
          </w:p>
          <w:p w14:paraId="759E7891" w14:textId="77777777" w:rsidR="004955EA" w:rsidRDefault="00314659" w:rsidP="004955EA">
            <w:pPr>
              <w:pStyle w:val="ListParagraph"/>
              <w:numPr>
                <w:ilvl w:val="0"/>
                <w:numId w:val="6"/>
              </w:numPr>
            </w:pPr>
            <w:r>
              <w:rPr>
                <w:rStyle w:val="Strong"/>
              </w:rPr>
              <w:t>Relevant:</w:t>
            </w:r>
            <w:r>
              <w:t xml:space="preserve"> Responds to rising ethical consumerism in urban India </w:t>
            </w:r>
          </w:p>
          <w:p w14:paraId="00C099A5" w14:textId="395E66E7" w:rsidR="00314659" w:rsidRDefault="00314659" w:rsidP="004955EA">
            <w:pPr>
              <w:pStyle w:val="ListParagraph"/>
              <w:numPr>
                <w:ilvl w:val="0"/>
                <w:numId w:val="6"/>
              </w:numPr>
            </w:pPr>
            <w:r>
              <w:rPr>
                <w:rStyle w:val="Strong"/>
              </w:rPr>
              <w:t>Time-bound:</w:t>
            </w:r>
            <w:r>
              <w:t xml:space="preserve"> Within </w:t>
            </w:r>
            <w:r w:rsidRPr="004955EA">
              <w:rPr>
                <w:rStyle w:val="Strong"/>
                <w:b w:val="0"/>
                <w:bCs w:val="0"/>
              </w:rPr>
              <w:t>3 years</w:t>
            </w:r>
          </w:p>
        </w:tc>
      </w:tr>
      <w:tr w:rsidR="00314659" w14:paraId="400BC7C2" w14:textId="77777777" w:rsidTr="00314659">
        <w:tc>
          <w:tcPr>
            <w:tcW w:w="0" w:type="auto"/>
            <w:hideMark/>
          </w:tcPr>
          <w:p w14:paraId="7310EB90" w14:textId="77777777" w:rsidR="00314659" w:rsidRDefault="00314659" w:rsidP="00314659">
            <w:r>
              <w:rPr>
                <w:rStyle w:val="Strong"/>
              </w:rPr>
              <w:t>Long-term scalable growth</w:t>
            </w:r>
          </w:p>
        </w:tc>
        <w:tc>
          <w:tcPr>
            <w:tcW w:w="0" w:type="auto"/>
            <w:hideMark/>
          </w:tcPr>
          <w:p w14:paraId="4DC8C461" w14:textId="77777777" w:rsidR="004955EA" w:rsidRDefault="00314659" w:rsidP="00FA1682">
            <w:pPr>
              <w:pStyle w:val="ListParagraph"/>
              <w:numPr>
                <w:ilvl w:val="0"/>
                <w:numId w:val="7"/>
              </w:numPr>
            </w:pPr>
            <w:r>
              <w:rPr>
                <w:rStyle w:val="Strong"/>
              </w:rPr>
              <w:t>Specific:</w:t>
            </w:r>
            <w:r>
              <w:t xml:space="preserve"> Build a scalable omni-channel retail model </w:t>
            </w:r>
          </w:p>
          <w:p w14:paraId="1CF9BE04" w14:textId="330A4775" w:rsidR="004955EA" w:rsidRDefault="00314659" w:rsidP="00FA1682">
            <w:pPr>
              <w:pStyle w:val="ListParagraph"/>
              <w:numPr>
                <w:ilvl w:val="0"/>
                <w:numId w:val="7"/>
              </w:numPr>
            </w:pPr>
            <w:r>
              <w:rPr>
                <w:rStyle w:val="Strong"/>
              </w:rPr>
              <w:t>Measurable:</w:t>
            </w:r>
            <w:r>
              <w:t xml:space="preserve"> Achieve store-level profitability and </w:t>
            </w:r>
            <w:r w:rsidRPr="00FA1682">
              <w:rPr>
                <w:rStyle w:val="Strong"/>
                <w:b w:val="0"/>
                <w:bCs w:val="0"/>
              </w:rPr>
              <w:t>10</w:t>
            </w:r>
            <w:r w:rsidR="004955EA" w:rsidRPr="00FA1682">
              <w:rPr>
                <w:rStyle w:val="Strong"/>
                <w:b w:val="0"/>
                <w:bCs w:val="0"/>
              </w:rPr>
              <w:t xml:space="preserve"> - </w:t>
            </w:r>
            <w:r w:rsidRPr="00FA1682">
              <w:rPr>
                <w:rStyle w:val="Strong"/>
                <w:b w:val="0"/>
                <w:bCs w:val="0"/>
              </w:rPr>
              <w:t>12</w:t>
            </w:r>
            <w:r>
              <w:rPr>
                <w:rStyle w:val="Strong"/>
              </w:rPr>
              <w:t xml:space="preserve"> outlets</w:t>
            </w:r>
            <w:r>
              <w:t xml:space="preserve"> in metro regions </w:t>
            </w:r>
          </w:p>
          <w:p w14:paraId="1910677D" w14:textId="77777777" w:rsidR="004955EA" w:rsidRDefault="00314659" w:rsidP="00FA1682">
            <w:pPr>
              <w:pStyle w:val="ListParagraph"/>
              <w:numPr>
                <w:ilvl w:val="0"/>
                <w:numId w:val="7"/>
              </w:numPr>
            </w:pPr>
            <w:r>
              <w:rPr>
                <w:rStyle w:val="Strong"/>
              </w:rPr>
              <w:lastRenderedPageBreak/>
              <w:t>Achievable:</w:t>
            </w:r>
            <w:r>
              <w:t xml:space="preserve"> Phased rollout supported by digital platforms and partnerships </w:t>
            </w:r>
          </w:p>
          <w:p w14:paraId="4DA36BB5" w14:textId="77777777" w:rsidR="004955EA" w:rsidRDefault="00314659" w:rsidP="00FA1682">
            <w:pPr>
              <w:pStyle w:val="ListParagraph"/>
              <w:numPr>
                <w:ilvl w:val="0"/>
                <w:numId w:val="7"/>
              </w:numPr>
            </w:pPr>
            <w:r>
              <w:rPr>
                <w:rStyle w:val="Strong"/>
              </w:rPr>
              <w:t>Relevant:</w:t>
            </w:r>
            <w:r>
              <w:t xml:space="preserve"> Ensures sustainable international expansion </w:t>
            </w:r>
          </w:p>
          <w:p w14:paraId="6B29DCE2" w14:textId="62E03022" w:rsidR="00314659" w:rsidRDefault="00314659" w:rsidP="00FA1682">
            <w:pPr>
              <w:pStyle w:val="ListParagraph"/>
              <w:numPr>
                <w:ilvl w:val="0"/>
                <w:numId w:val="7"/>
              </w:numPr>
            </w:pPr>
            <w:r>
              <w:rPr>
                <w:rStyle w:val="Strong"/>
              </w:rPr>
              <w:t>Time-bound:</w:t>
            </w:r>
            <w:r>
              <w:t xml:space="preserve"> Within </w:t>
            </w:r>
            <w:r w:rsidRPr="00FA1682">
              <w:rPr>
                <w:rStyle w:val="Strong"/>
                <w:b w:val="0"/>
                <w:bCs w:val="0"/>
              </w:rPr>
              <w:t>5 years</w:t>
            </w:r>
          </w:p>
        </w:tc>
      </w:tr>
    </w:tbl>
    <w:p w14:paraId="03F84BEA" w14:textId="7794861B" w:rsidR="00C46EB3" w:rsidRDefault="00615E63" w:rsidP="00615E63">
      <w:pPr>
        <w:pStyle w:val="Caption"/>
      </w:pPr>
      <w:bookmarkStart w:id="27" w:name="_Toc217239326"/>
      <w:r>
        <w:lastRenderedPageBreak/>
        <w:t xml:space="preserve">Table </w:t>
      </w:r>
      <w:r w:rsidR="00D720A3">
        <w:fldChar w:fldCharType="begin"/>
      </w:r>
      <w:r w:rsidR="00D720A3">
        <w:instrText xml:space="preserve"> SEQ Table \* ARABIC </w:instrText>
      </w:r>
      <w:r w:rsidR="00D720A3">
        <w:fldChar w:fldCharType="separate"/>
      </w:r>
      <w:r w:rsidR="002376EA">
        <w:rPr>
          <w:noProof/>
        </w:rPr>
        <w:t>4</w:t>
      </w:r>
      <w:r w:rsidR="00D720A3">
        <w:rPr>
          <w:noProof/>
        </w:rPr>
        <w:fldChar w:fldCharType="end"/>
      </w:r>
      <w:r>
        <w:t xml:space="preserve">: </w:t>
      </w:r>
      <w:r w:rsidRPr="00EC4C79">
        <w:t>SMART Objectives</w:t>
      </w:r>
      <w:bookmarkEnd w:id="27"/>
    </w:p>
    <w:p w14:paraId="61FD98B1" w14:textId="77777777" w:rsidR="00314659" w:rsidRDefault="00314659" w:rsidP="00853496">
      <w:pPr>
        <w:pStyle w:val="Heading2"/>
        <w:rPr>
          <w:rFonts w:ascii="Times New Roman" w:hAnsi="Times New Roman"/>
        </w:rPr>
      </w:pPr>
      <w:bookmarkStart w:id="28" w:name="_Toc217239291"/>
      <w:r>
        <w:t>3.2 Market Entry Strategy</w:t>
      </w:r>
      <w:bookmarkEnd w:id="28"/>
    </w:p>
    <w:p w14:paraId="58D79A3D" w14:textId="24D157D4" w:rsidR="00314659" w:rsidRDefault="00314659" w:rsidP="00314659">
      <w:pPr>
        <w:pStyle w:val="Heading3"/>
      </w:pPr>
      <w:bookmarkStart w:id="29" w:name="_Toc217239292"/>
      <w:r>
        <w:t>3.2.1 Recommended Entry Mode: Joint Venture</w:t>
      </w:r>
      <w:bookmarkEnd w:id="29"/>
    </w:p>
    <w:p w14:paraId="0E2313F2" w14:textId="1706EF59" w:rsidR="000B6A4A" w:rsidRDefault="000B6A4A" w:rsidP="000B6A4A">
      <w:pPr>
        <w:jc w:val="center"/>
      </w:pPr>
      <w:r w:rsidRPr="000B6A4A">
        <w:rPr>
          <w:noProof/>
        </w:rPr>
        <w:drawing>
          <wp:inline distT="0" distB="0" distL="0" distR="0" wp14:anchorId="075D16C6" wp14:editId="720E12D0">
            <wp:extent cx="5387340" cy="4666150"/>
            <wp:effectExtent l="0" t="0" r="381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7945" cy="4675335"/>
                    </a:xfrm>
                    <a:prstGeom prst="rect">
                      <a:avLst/>
                    </a:prstGeom>
                  </pic:spPr>
                </pic:pic>
              </a:graphicData>
            </a:graphic>
          </wp:inline>
        </w:drawing>
      </w:r>
    </w:p>
    <w:p w14:paraId="0018F384" w14:textId="71E227FF" w:rsidR="000B6A4A" w:rsidRPr="000B6A4A" w:rsidRDefault="000B6A4A" w:rsidP="000B6A4A">
      <w:pPr>
        <w:pStyle w:val="Caption"/>
      </w:pPr>
      <w:bookmarkStart w:id="30" w:name="_Toc217239315"/>
      <w:r>
        <w:t xml:space="preserve">Figure </w:t>
      </w:r>
      <w:r w:rsidR="00D720A3">
        <w:fldChar w:fldCharType="begin"/>
      </w:r>
      <w:r w:rsidR="00D720A3">
        <w:instrText xml:space="preserve"> SEQ Figure \* ARABIC </w:instrText>
      </w:r>
      <w:r w:rsidR="00D720A3">
        <w:fldChar w:fldCharType="separate"/>
      </w:r>
      <w:r w:rsidR="001D2348">
        <w:rPr>
          <w:noProof/>
        </w:rPr>
        <w:t>10</w:t>
      </w:r>
      <w:r w:rsidR="00D720A3">
        <w:rPr>
          <w:noProof/>
        </w:rPr>
        <w:fldChar w:fldCharType="end"/>
      </w:r>
      <w:r>
        <w:t xml:space="preserve">: </w:t>
      </w:r>
      <w:r w:rsidRPr="00407151">
        <w:t>Joint Venture Market Entry Structure</w:t>
      </w:r>
      <w:bookmarkEnd w:id="30"/>
    </w:p>
    <w:p w14:paraId="4387306B" w14:textId="61064A74" w:rsidR="0057245B" w:rsidRDefault="0057245B" w:rsidP="0057245B">
      <w:r>
        <w:t xml:space="preserve">The best market-entry strategy that Waitrose should adopt in its expansion into India is a joint venture (JV) due to the complexities in the Indian food and grocery retail industry that require multi-faceted regulation, cultural, and structural intervention. Academic sources on international market entry have long proven joint ventures to be particularly </w:t>
      </w:r>
      <w:r>
        <w:lastRenderedPageBreak/>
        <w:t>effective in emerging markets with a high level of institutional uncertainty, strong regulatory limits, and market heterogeneity (Dinu, 2018).</w:t>
      </w:r>
    </w:p>
    <w:p w14:paraId="28DD381C" w14:textId="4410A7ED" w:rsidR="000C6D89" w:rsidRDefault="000C6D89" w:rsidP="00337952">
      <w:r w:rsidRPr="000C6D89">
        <w:t>This strategy can be well explained by the Dunning Ownership-Location-Internalisation (OLI) paradigm. In the ownership advantage view, Waitrose boasts of strong intangible resources, including an established brand image of a high standard of quality, a vast experience in private-label production, and a high level of ethical sourcing practices. Such assets make differentiation easy; however, they require careful localisation so that they can be successful in the Indian market.</w:t>
      </w:r>
      <w:r w:rsidR="00337952">
        <w:t xml:space="preserve"> India offers significant location advantages, such as faster urbanisation, increasing affluent middle-income population, and the spread of organised retailing systems; these, though, are not evenly spread throughout the country, which increases the relevance of local partner insight (IBEF, 2025). With regard to the advantages of internalisation, an alliance with a foreign firm allows Waitrose to retain strategic ownership of its branding and sourcing policies and avoids the high upfronts and the inherent risk of total internalisation in a foreign market that is complicated (Koc</w:t>
      </w:r>
      <w:r w:rsidR="004F6E9A">
        <w:t>u</w:t>
      </w:r>
      <w:r w:rsidR="00337952">
        <w:t>rek, 2024).</w:t>
      </w:r>
    </w:p>
    <w:p w14:paraId="7E60F6B6" w14:textId="54685D0B" w:rsidR="004F6E9A" w:rsidRDefault="004F6E9A" w:rsidP="00616A9E">
      <w:pPr>
        <w:jc w:val="center"/>
      </w:pPr>
      <w:r>
        <w:rPr>
          <w:noProof/>
        </w:rPr>
        <w:drawing>
          <wp:inline distT="0" distB="0" distL="0" distR="0" wp14:anchorId="6B651743" wp14:editId="6DD1B952">
            <wp:extent cx="5326380" cy="2645364"/>
            <wp:effectExtent l="0" t="0" r="7620" b="3175"/>
            <wp:docPr id="21" name="Picture 21" descr="Joint Venture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Joint Venture Advantages"/>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564" t="17217" r="1666" b="1925"/>
                    <a:stretch/>
                  </pic:blipFill>
                  <pic:spPr bwMode="auto">
                    <a:xfrm>
                      <a:off x="0" y="0"/>
                      <a:ext cx="5330949" cy="2647633"/>
                    </a:xfrm>
                    <a:prstGeom prst="rect">
                      <a:avLst/>
                    </a:prstGeom>
                    <a:noFill/>
                    <a:ln>
                      <a:noFill/>
                    </a:ln>
                    <a:extLst>
                      <a:ext uri="{53640926-AAD7-44D8-BBD7-CCE9431645EC}">
                        <a14:shadowObscured xmlns:a14="http://schemas.microsoft.com/office/drawing/2010/main"/>
                      </a:ext>
                    </a:extLst>
                  </pic:spPr>
                </pic:pic>
              </a:graphicData>
            </a:graphic>
          </wp:inline>
        </w:drawing>
      </w:r>
    </w:p>
    <w:p w14:paraId="42C655A6" w14:textId="7F1C8846" w:rsidR="004F6E9A" w:rsidRDefault="004F6E9A" w:rsidP="004F6E9A">
      <w:pPr>
        <w:pStyle w:val="Caption"/>
      </w:pPr>
      <w:bookmarkStart w:id="31" w:name="_Toc217239316"/>
      <w:r>
        <w:t xml:space="preserve">Figure </w:t>
      </w:r>
      <w:r w:rsidR="00D720A3">
        <w:fldChar w:fldCharType="begin"/>
      </w:r>
      <w:r w:rsidR="00D720A3">
        <w:instrText xml:space="preserve"> SEQ Figure \* ARABIC </w:instrText>
      </w:r>
      <w:r w:rsidR="00D720A3">
        <w:fldChar w:fldCharType="separate"/>
      </w:r>
      <w:r w:rsidR="001D2348">
        <w:rPr>
          <w:noProof/>
        </w:rPr>
        <w:t>11</w:t>
      </w:r>
      <w:r w:rsidR="00D720A3">
        <w:rPr>
          <w:noProof/>
        </w:rPr>
        <w:fldChar w:fldCharType="end"/>
      </w:r>
      <w:r>
        <w:t xml:space="preserve">: </w:t>
      </w:r>
      <w:r w:rsidRPr="00B2002D">
        <w:t>Key Benefits and Characteristics of Joint Ventures</w:t>
      </w:r>
      <w:bookmarkEnd w:id="31"/>
    </w:p>
    <w:p w14:paraId="26E0481B" w14:textId="4093C402" w:rsidR="007E2617" w:rsidRDefault="007E2617" w:rsidP="007E2617">
      <w:r>
        <w:t xml:space="preserve">Joint ventures also facilitate risk sharing through spreading the financial risks, operational risks and market uncertainties between a multinational company and local partner. Empirical studies show that joint ventures help to gain knowledge especially related to consumer behaviour, supply-chain interactions and regulatory compliance in the host </w:t>
      </w:r>
      <w:r>
        <w:lastRenderedPageBreak/>
        <w:t>markets (Bouteraa et al., 2023). The local market knowledge is essential in terms of operational efficiency and validity in the Indian setting where food-safety standards, importation policies and state-level in relation to retail policy, are highly differentiated.</w:t>
      </w:r>
    </w:p>
    <w:p w14:paraId="1B5A095A" w14:textId="4F7DEBA1" w:rsidR="00314659" w:rsidRDefault="00B01F04" w:rsidP="00314659">
      <w:r w:rsidRPr="00B01F04">
        <w:t>Joint ventures have concrete benefits in terms of regulatory compliance. Foreign direct investment in the multi-brand retail sector is allowed in India, with governmental consent and certain sourcing parameters, thus making partnerships with local businesses a cost-effective move (Maheshkumar et al., 2025). A joint-venture model will help in the compliance with local source requirements and liabilities associated with the investment on the backend infrastructure, helping to eliminate regulatory pressure and minimize political risk.</w:t>
      </w:r>
    </w:p>
    <w:p w14:paraId="68558FC9" w14:textId="0FD69142" w:rsidR="00314659" w:rsidRDefault="00314659" w:rsidP="00314659">
      <w:pPr>
        <w:pStyle w:val="Heading3"/>
      </w:pPr>
      <w:bookmarkStart w:id="32" w:name="_Toc217239293"/>
      <w:r>
        <w:t>3.2.2 Alternatives Considered and Comparative Evaluation</w:t>
      </w:r>
      <w:bookmarkEnd w:id="32"/>
    </w:p>
    <w:p w14:paraId="358F4308" w14:textId="2624EAA0" w:rsidR="008129A9" w:rsidRDefault="008129A9" w:rsidP="008129A9">
      <w:r>
        <w:rPr>
          <w:noProof/>
        </w:rPr>
        <w:drawing>
          <wp:inline distT="0" distB="0" distL="0" distR="0" wp14:anchorId="30A6C162" wp14:editId="41390129">
            <wp:extent cx="5943600" cy="2346960"/>
            <wp:effectExtent l="0" t="0" r="0" b="0"/>
            <wp:docPr id="22" name="Picture 22" descr="Wholly Owned Subsidiary - Features, Tax Benefit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olly Owned Subsidiary - Features, Tax Benefits, Examples"/>
                    <pic:cNvPicPr>
                      <a:picLocks noChangeAspect="1" noChangeArrowheads="1"/>
                    </pic:cNvPicPr>
                  </pic:nvPicPr>
                  <pic:blipFill rotWithShape="1">
                    <a:blip r:embed="rId26">
                      <a:extLst>
                        <a:ext uri="{28A0092B-C50C-407E-A947-70E740481C1C}">
                          <a14:useLocalDpi xmlns:a14="http://schemas.microsoft.com/office/drawing/2010/main" val="0"/>
                        </a:ext>
                      </a:extLst>
                    </a:blip>
                    <a:srcRect t="15143" b="14187"/>
                    <a:stretch/>
                  </pic:blipFill>
                  <pic:spPr bwMode="auto">
                    <a:xfrm>
                      <a:off x="0" y="0"/>
                      <a:ext cx="5943600" cy="2346960"/>
                    </a:xfrm>
                    <a:prstGeom prst="rect">
                      <a:avLst/>
                    </a:prstGeom>
                    <a:noFill/>
                    <a:ln>
                      <a:noFill/>
                    </a:ln>
                    <a:extLst>
                      <a:ext uri="{53640926-AAD7-44D8-BBD7-CCE9431645EC}">
                        <a14:shadowObscured xmlns:a14="http://schemas.microsoft.com/office/drawing/2010/main"/>
                      </a:ext>
                    </a:extLst>
                  </pic:spPr>
                </pic:pic>
              </a:graphicData>
            </a:graphic>
          </wp:inline>
        </w:drawing>
      </w:r>
    </w:p>
    <w:p w14:paraId="7149D417" w14:textId="1924CE84" w:rsidR="007F41B5" w:rsidRPr="008129A9" w:rsidRDefault="007F41B5" w:rsidP="007F41B5">
      <w:pPr>
        <w:pStyle w:val="Caption"/>
      </w:pPr>
      <w:bookmarkStart w:id="33" w:name="_Toc217239317"/>
      <w:r>
        <w:t xml:space="preserve">Figure </w:t>
      </w:r>
      <w:r w:rsidR="00D720A3">
        <w:fldChar w:fldCharType="begin"/>
      </w:r>
      <w:r w:rsidR="00D720A3">
        <w:instrText xml:space="preserve"> SEQ Figure \* ARABIC </w:instrText>
      </w:r>
      <w:r w:rsidR="00D720A3">
        <w:fldChar w:fldCharType="separate"/>
      </w:r>
      <w:r w:rsidR="001D2348">
        <w:rPr>
          <w:noProof/>
        </w:rPr>
        <w:t>12</w:t>
      </w:r>
      <w:r w:rsidR="00D720A3">
        <w:rPr>
          <w:noProof/>
        </w:rPr>
        <w:fldChar w:fldCharType="end"/>
      </w:r>
      <w:r>
        <w:t xml:space="preserve">: </w:t>
      </w:r>
      <w:r w:rsidRPr="00597D2C">
        <w:t>Wholly Owned Subsidiary Ownership Structure</w:t>
      </w:r>
      <w:bookmarkEnd w:id="33"/>
    </w:p>
    <w:p w14:paraId="7F644C34" w14:textId="3C604AF5" w:rsidR="00A522D7" w:rsidRDefault="008129A9" w:rsidP="00314659">
      <w:r w:rsidRPr="008129A9">
        <w:t>The wholly owned subsidiary would grant optimum strategic and operational control but would necessitate a significant investment of capital, increase exposure to regulatory and cultural risks, and long learning curve in the market. Empirical evidence shows that wholly owned structures are not suitable in a situation with less economic freedom and institutional intricacy, as the retail sector in India (Bhat et al., 2023).</w:t>
      </w:r>
    </w:p>
    <w:p w14:paraId="4EA44991" w14:textId="609758C8" w:rsidR="00A522D7" w:rsidRDefault="00A522D7" w:rsidP="00314659">
      <w:r>
        <w:rPr>
          <w:noProof/>
        </w:rPr>
        <w:lastRenderedPageBreak/>
        <w:drawing>
          <wp:inline distT="0" distB="0" distL="0" distR="0" wp14:anchorId="04A486BC" wp14:editId="0AE4A47D">
            <wp:extent cx="5943600" cy="2486025"/>
            <wp:effectExtent l="0" t="0" r="0" b="9525"/>
            <wp:docPr id="23" name="Picture 23" descr="Franchising | Meaning, Process, Real Examples and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ranchising | Meaning, Process, Real Examples and Types"/>
                    <pic:cNvPicPr>
                      <a:picLocks noChangeAspect="1" noChangeArrowheads="1"/>
                    </pic:cNvPicPr>
                  </pic:nvPicPr>
                  <pic:blipFill rotWithShape="1">
                    <a:blip r:embed="rId27">
                      <a:extLst>
                        <a:ext uri="{28A0092B-C50C-407E-A947-70E740481C1C}">
                          <a14:useLocalDpi xmlns:a14="http://schemas.microsoft.com/office/drawing/2010/main" val="0"/>
                        </a:ext>
                      </a:extLst>
                    </a:blip>
                    <a:srcRect t="17666"/>
                    <a:stretch/>
                  </pic:blipFill>
                  <pic:spPr bwMode="auto">
                    <a:xfrm>
                      <a:off x="0" y="0"/>
                      <a:ext cx="5943600" cy="2486025"/>
                    </a:xfrm>
                    <a:prstGeom prst="rect">
                      <a:avLst/>
                    </a:prstGeom>
                    <a:noFill/>
                    <a:ln>
                      <a:noFill/>
                    </a:ln>
                    <a:extLst>
                      <a:ext uri="{53640926-AAD7-44D8-BBD7-CCE9431645EC}">
                        <a14:shadowObscured xmlns:a14="http://schemas.microsoft.com/office/drawing/2010/main"/>
                      </a:ext>
                    </a:extLst>
                  </pic:spPr>
                </pic:pic>
              </a:graphicData>
            </a:graphic>
          </wp:inline>
        </w:drawing>
      </w:r>
    </w:p>
    <w:p w14:paraId="5D506BB3" w14:textId="571F9457" w:rsidR="00A522D7" w:rsidRDefault="00A522D7" w:rsidP="00314659">
      <w:pPr>
        <w:rPr>
          <w:rStyle w:val="Strong"/>
          <w:b w:val="0"/>
          <w:bCs w:val="0"/>
        </w:rPr>
      </w:pPr>
      <w:r w:rsidRPr="00A522D7">
        <w:rPr>
          <w:rStyle w:val="Strong"/>
          <w:b w:val="0"/>
          <w:bCs w:val="0"/>
        </w:rPr>
        <w:t xml:space="preserve">Franchising is light on capital and scalable but poses a big risk to a high-end retailer like Waitrose. Lack of control over the operation processes, quality assurance procedures and ethical sourcing programs may undermine brand equity and undermine the high-end positioning of the retailer. Franchising does not seem to be a strategic fit with the Waitrose value proposition since it relies on the quality of its own-label and a high level of ethical standards. </w:t>
      </w:r>
    </w:p>
    <w:p w14:paraId="5BDEC114" w14:textId="1A09B7D1" w:rsidR="00314659" w:rsidRDefault="00E66AD5" w:rsidP="00314659">
      <w:r w:rsidRPr="00E66AD5">
        <w:t>Overall, a joint venture provides the most preferable balance between control, risk sharing, and local sensitivity, thus being the most consistent entry mode that Waitrose can adopt to expand into India.</w:t>
      </w:r>
    </w:p>
    <w:p w14:paraId="65E977BD" w14:textId="77777777" w:rsidR="00314659" w:rsidRDefault="00314659" w:rsidP="00853496">
      <w:pPr>
        <w:pStyle w:val="Heading2"/>
        <w:rPr>
          <w:rFonts w:ascii="Times New Roman" w:hAnsi="Times New Roman"/>
        </w:rPr>
      </w:pPr>
      <w:bookmarkStart w:id="34" w:name="_Toc217239294"/>
      <w:r>
        <w:t>3.3 Competitive Advantage Strategy</w:t>
      </w:r>
      <w:bookmarkEnd w:id="34"/>
    </w:p>
    <w:p w14:paraId="6E7183DA" w14:textId="208FEFCC" w:rsidR="00314659" w:rsidRDefault="00314659" w:rsidP="00314659">
      <w:pPr>
        <w:pStyle w:val="Heading3"/>
        <w:rPr>
          <w:rStyle w:val="Strong"/>
          <w:b/>
          <w:bCs w:val="0"/>
        </w:rPr>
      </w:pPr>
      <w:bookmarkStart w:id="35" w:name="_Toc217239295"/>
      <w:r>
        <w:t xml:space="preserve">3.3.1 </w:t>
      </w:r>
      <w:r w:rsidRPr="00314659">
        <w:rPr>
          <w:rStyle w:val="Strong"/>
          <w:b/>
          <w:bCs w:val="0"/>
        </w:rPr>
        <w:t>Resource-Based View (RBV)</w:t>
      </w:r>
      <w:bookmarkEnd w:id="35"/>
    </w:p>
    <w:p w14:paraId="59F98452" w14:textId="3431A2D9" w:rsidR="00314659" w:rsidRDefault="00994F36" w:rsidP="00314659">
      <w:r w:rsidRPr="00994F36">
        <w:t>According to resource-based perspective, competitive advantage is based on valuable, rare, inimitable and embedded organisational resources. In Waitrose, the largest resources include high-end own-label portfolio, ethical sourcing systems, and good supplier governance systems (John Lewis Partnership, 2022; 2024).</w:t>
      </w:r>
      <w:r>
        <w:t xml:space="preserve"> </w:t>
      </w:r>
      <w:r w:rsidRPr="00994F36">
        <w:t xml:space="preserve">Waitrose has a share of its total sales in private-label products, which allow having a greater influence on quality, provenance, and pricing which, in turn, come into the limelight when entering a country like India, where trust and food safety are the key consumer priorities (David et al., 2022; Mishra et al., 2024). The strategic partnerships with the suppliers locally </w:t>
      </w:r>
      <w:r w:rsidRPr="00994F36">
        <w:lastRenderedPageBreak/>
        <w:t>increase this resource base as it allows adapting to the regional preferences without compromising the global quality standards.</w:t>
      </w:r>
    </w:p>
    <w:p w14:paraId="3233C6A9" w14:textId="77777777" w:rsidR="00667F1B" w:rsidRDefault="00667F1B" w:rsidP="00667F1B">
      <w:pPr>
        <w:jc w:val="center"/>
      </w:pPr>
      <w:r w:rsidRPr="001A6E22">
        <w:rPr>
          <w:noProof/>
        </w:rPr>
        <w:drawing>
          <wp:inline distT="0" distB="0" distL="0" distR="0" wp14:anchorId="7E9F33AD" wp14:editId="3C8E64EA">
            <wp:extent cx="5257800" cy="454327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5037"/>
                    <a:stretch/>
                  </pic:blipFill>
                  <pic:spPr bwMode="auto">
                    <a:xfrm>
                      <a:off x="0" y="0"/>
                      <a:ext cx="5260821" cy="4545888"/>
                    </a:xfrm>
                    <a:prstGeom prst="rect">
                      <a:avLst/>
                    </a:prstGeom>
                    <a:ln>
                      <a:noFill/>
                    </a:ln>
                    <a:extLst>
                      <a:ext uri="{53640926-AAD7-44D8-BBD7-CCE9431645EC}">
                        <a14:shadowObscured xmlns:a14="http://schemas.microsoft.com/office/drawing/2010/main"/>
                      </a:ext>
                    </a:extLst>
                  </pic:spPr>
                </pic:pic>
              </a:graphicData>
            </a:graphic>
          </wp:inline>
        </w:drawing>
      </w:r>
    </w:p>
    <w:p w14:paraId="6F412BA2" w14:textId="3DC24298" w:rsidR="00667F1B" w:rsidRDefault="00667F1B" w:rsidP="00667F1B">
      <w:pPr>
        <w:pStyle w:val="Caption"/>
      </w:pPr>
      <w:bookmarkStart w:id="36" w:name="_Toc217239318"/>
      <w:r>
        <w:t xml:space="preserve">Figure </w:t>
      </w:r>
      <w:fldSimple w:instr=" SEQ Figure \* ARABIC ">
        <w:r>
          <w:rPr>
            <w:noProof/>
          </w:rPr>
          <w:t>13</w:t>
        </w:r>
      </w:fldSimple>
      <w:r>
        <w:t xml:space="preserve">: </w:t>
      </w:r>
      <w:r w:rsidRPr="005B268F">
        <w:t>Waitrose Responsible Sourcing and Fairtrade Commitment</w:t>
      </w:r>
      <w:bookmarkEnd w:id="36"/>
    </w:p>
    <w:p w14:paraId="08EEA978" w14:textId="164038E2" w:rsidR="00314659" w:rsidRPr="00314659" w:rsidRDefault="00314659" w:rsidP="00314659">
      <w:pPr>
        <w:pStyle w:val="Heading3"/>
        <w:rPr>
          <w:bCs/>
        </w:rPr>
      </w:pPr>
      <w:bookmarkStart w:id="37" w:name="_Toc217239296"/>
      <w:r w:rsidRPr="00314659">
        <w:rPr>
          <w:rStyle w:val="Strong"/>
          <w:b/>
          <w:bCs w:val="0"/>
        </w:rPr>
        <w:t>3.3.2 VRIO framework</w:t>
      </w:r>
      <w:bookmarkEnd w:id="37"/>
    </w:p>
    <w:p w14:paraId="27DBA4B5" w14:textId="006DFE0A" w:rsidR="00314659" w:rsidRDefault="007C7C46" w:rsidP="0001637B">
      <w:r w:rsidRPr="007C7C46">
        <w:t>The strategic value that can be attributed to the assets of Waitrose can be highlighted through the VRIO framework. The reputation of the company as a quality and ethical brand has become a resource of significance in the growing premium consumer market in India where consumers are becoming conscious of food quality linked to health, safety, and sustainability (IBEF, 2024; Kininmonth et al., 2025). This brand image is quite niche in global grocery products, with the majority of organised Indian retailers focusing more on price and comfort.</w:t>
      </w:r>
      <w:r w:rsidR="0001637B">
        <w:t xml:space="preserve"> The ethical supply chain governance, as supported by the Waitrose Foundation, is hard to copy due to the deep-rooted long-term supplier relationships, strict certification processes, and corporate culture deeply embedded in the model of John </w:t>
      </w:r>
      <w:r w:rsidR="0001637B">
        <w:lastRenderedPageBreak/>
        <w:t>Lewis Partnership (Waitrose Foundation, 2025). Lastly, the maintenance of these resource bases is organised through employee ownership, governance, and reinvestment of profits hence the further creation of long-term value (John Lewis Partnership, 2023).</w:t>
      </w:r>
    </w:p>
    <w:p w14:paraId="4E64083A" w14:textId="648EC040" w:rsidR="00B55468" w:rsidRDefault="00B55468" w:rsidP="00314659">
      <w:r w:rsidRPr="00B55468">
        <w:rPr>
          <w:noProof/>
        </w:rPr>
        <w:drawing>
          <wp:inline distT="0" distB="0" distL="0" distR="0" wp14:anchorId="53724758" wp14:editId="39488011">
            <wp:extent cx="5943600" cy="131318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1313180"/>
                    </a:xfrm>
                    <a:prstGeom prst="rect">
                      <a:avLst/>
                    </a:prstGeom>
                  </pic:spPr>
                </pic:pic>
              </a:graphicData>
            </a:graphic>
          </wp:inline>
        </w:drawing>
      </w:r>
    </w:p>
    <w:p w14:paraId="204FD3D3" w14:textId="6E87BF47" w:rsidR="007C7C46" w:rsidRDefault="00B55468" w:rsidP="00B55468">
      <w:pPr>
        <w:pStyle w:val="Caption"/>
      </w:pPr>
      <w:bookmarkStart w:id="38" w:name="_Toc217239319"/>
      <w:r>
        <w:t xml:space="preserve">Figure </w:t>
      </w:r>
      <w:r w:rsidR="00D720A3">
        <w:fldChar w:fldCharType="begin"/>
      </w:r>
      <w:r w:rsidR="00D720A3">
        <w:instrText xml:space="preserve"> SEQ Figure \* ARABIC </w:instrText>
      </w:r>
      <w:r w:rsidR="00D720A3">
        <w:fldChar w:fldCharType="separate"/>
      </w:r>
      <w:r w:rsidR="001D2348">
        <w:rPr>
          <w:noProof/>
        </w:rPr>
        <w:t>14</w:t>
      </w:r>
      <w:r w:rsidR="00D720A3">
        <w:rPr>
          <w:noProof/>
        </w:rPr>
        <w:fldChar w:fldCharType="end"/>
      </w:r>
      <w:r>
        <w:t>: VRIO Analysis</w:t>
      </w:r>
      <w:bookmarkEnd w:id="38"/>
    </w:p>
    <w:p w14:paraId="33893B89" w14:textId="67E1315E" w:rsidR="00314659" w:rsidRDefault="00314659" w:rsidP="00314659">
      <w:pPr>
        <w:pStyle w:val="Heading3"/>
      </w:pPr>
      <w:bookmarkStart w:id="39" w:name="_Toc217239297"/>
      <w:r>
        <w:t>3.3.3 Differentiation Strategy as a Source of Sustainable Competitive Advantage</w:t>
      </w:r>
      <w:bookmarkEnd w:id="39"/>
    </w:p>
    <w:p w14:paraId="2B232DDC" w14:textId="17A9A8E2" w:rsidR="007212AB" w:rsidRDefault="007212AB" w:rsidP="007212AB">
      <w:r>
        <w:t xml:space="preserve">Waitrose should use a generic differentiation strategy, as opposed to the cost-leadership strategy, in line with its in-house capabilities. The nature of the Indian grocery retail market is highly competitive in terms of prices, where commodity retailers and informal kirana stores control the bulk of business (IBEF, 2025: Naga Lakshmi, 2025). </w:t>
      </w:r>
    </w:p>
    <w:p w14:paraId="1020AFB7" w14:textId="764F9335" w:rsidR="00516CD4" w:rsidRDefault="00516CD4" w:rsidP="00516CD4">
      <w:pPr>
        <w:jc w:val="center"/>
      </w:pPr>
      <w:r w:rsidRPr="00516CD4">
        <w:rPr>
          <w:noProof/>
        </w:rPr>
        <w:drawing>
          <wp:inline distT="0" distB="0" distL="0" distR="0" wp14:anchorId="35F2F289" wp14:editId="03043F53">
            <wp:extent cx="5660733" cy="355790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32025" b="-1"/>
                    <a:stretch/>
                  </pic:blipFill>
                  <pic:spPr bwMode="auto">
                    <a:xfrm>
                      <a:off x="0" y="0"/>
                      <a:ext cx="5661659" cy="3558487"/>
                    </a:xfrm>
                    <a:prstGeom prst="rect">
                      <a:avLst/>
                    </a:prstGeom>
                    <a:ln>
                      <a:noFill/>
                    </a:ln>
                    <a:extLst>
                      <a:ext uri="{53640926-AAD7-44D8-BBD7-CCE9431645EC}">
                        <a14:shadowObscured xmlns:a14="http://schemas.microsoft.com/office/drawing/2010/main"/>
                      </a:ext>
                    </a:extLst>
                  </pic:spPr>
                </pic:pic>
              </a:graphicData>
            </a:graphic>
          </wp:inline>
        </w:drawing>
      </w:r>
    </w:p>
    <w:p w14:paraId="65CF4247" w14:textId="71DCE493" w:rsidR="006A1AF7" w:rsidRDefault="006A1AF7" w:rsidP="006A1AF7">
      <w:pPr>
        <w:pStyle w:val="Caption"/>
      </w:pPr>
      <w:bookmarkStart w:id="40" w:name="_Toc217239320"/>
      <w:r>
        <w:lastRenderedPageBreak/>
        <w:t xml:space="preserve">Figure </w:t>
      </w:r>
      <w:r w:rsidR="00D720A3">
        <w:fldChar w:fldCharType="begin"/>
      </w:r>
      <w:r w:rsidR="00D720A3">
        <w:instrText xml:space="preserve"> SEQ Figure \* ARABIC </w:instrText>
      </w:r>
      <w:r w:rsidR="00D720A3">
        <w:fldChar w:fldCharType="separate"/>
      </w:r>
      <w:r w:rsidR="001D2348">
        <w:rPr>
          <w:noProof/>
        </w:rPr>
        <w:t>15</w:t>
      </w:r>
      <w:r w:rsidR="00D720A3">
        <w:rPr>
          <w:noProof/>
        </w:rPr>
        <w:fldChar w:fldCharType="end"/>
      </w:r>
      <w:r>
        <w:t xml:space="preserve">: </w:t>
      </w:r>
      <w:r w:rsidRPr="002D20D2">
        <w:t>Digital Transformation of Kirana Stores in India</w:t>
      </w:r>
      <w:bookmarkEnd w:id="40"/>
    </w:p>
    <w:p w14:paraId="4239C1D4" w14:textId="3CCDC78B" w:rsidR="00667F1B" w:rsidRPr="00667F1B" w:rsidRDefault="00667F1B" w:rsidP="00667F1B">
      <w:r>
        <w:t>Competitive position based on prices would make Waitrose subject to cut-throat competition and loss of brand equity. In contrast, the distinction conceptualized as high-end own-label products, including organic, free-from, and health segments, will help Waitrose appeal to high-income urban custom fast/secured by the brand in search of affordable luxury food experiences (IBEF, 2024).</w:t>
      </w:r>
    </w:p>
    <w:p w14:paraId="4D49E22B" w14:textId="34B9B869" w:rsidR="007B4E04" w:rsidRDefault="007B4E04" w:rsidP="00314659">
      <w:r w:rsidRPr="007B4E04">
        <w:t xml:space="preserve">Ethical sourcing and transparency is </w:t>
      </w:r>
      <w:r w:rsidR="006A1AF7">
        <w:t>the</w:t>
      </w:r>
      <w:r w:rsidRPr="007B4E04">
        <w:t xml:space="preserve"> second important area of advantage. Consumers in India are becoming more and more conscious of sustainability, environmental effects, and responsible operations, mostly in metropolitan regions (WWF, 2024; Sengar et al., 2025). Clear labeling, traceability, and welfare of suppliers appeal greatly to this population group and allow Waitrose to stand out among domestic mass retailers as well as international competitors, which use opaque supply chains.</w:t>
      </w:r>
    </w:p>
    <w:p w14:paraId="51A74A7B" w14:textId="77777777" w:rsidR="00A403CD" w:rsidRDefault="00A403CD" w:rsidP="00314659">
      <w:r w:rsidRPr="00A403CD">
        <w:t>Lastly, excellent in-store and online experience is a great complementary advantage. Urbanisation and digital adoptions have increased expectancies of the omnichannel retail in India, where consumers lay utmost emphasis on the importance of convenience, digital payment, and curated experiences (Balani, 2024; Jagannarayan, 2025). With the combination of high-end physical store design and high-quality e-grocery interface, Waitrose will be able to support brand equity and customer engagement and loyalty without getting directly involved in scale wars.</w:t>
      </w:r>
    </w:p>
    <w:p w14:paraId="70F98925" w14:textId="114DA820" w:rsidR="00314659" w:rsidRDefault="00984360" w:rsidP="00314659">
      <w:r w:rsidRPr="00984360">
        <w:t xml:space="preserve">Overall, through integration of RBV-based strengths and differentiation strategy, Waitrose will be able to develop a sustainable competitive advantage in the changing </w:t>
      </w:r>
      <w:r w:rsidR="00DD5178" w:rsidRPr="00984360">
        <w:t>high-end</w:t>
      </w:r>
      <w:r w:rsidRPr="00984360">
        <w:t xml:space="preserve"> grocery market of India.</w:t>
      </w:r>
    </w:p>
    <w:p w14:paraId="4ACD558B" w14:textId="5166B5E5" w:rsidR="00314659" w:rsidRPr="0058210B" w:rsidRDefault="00314659" w:rsidP="0058210B">
      <w:pPr>
        <w:pStyle w:val="Heading2"/>
        <w:rPr>
          <w:rFonts w:ascii="Times New Roman" w:hAnsi="Times New Roman"/>
        </w:rPr>
      </w:pPr>
      <w:bookmarkStart w:id="41" w:name="_Toc217239298"/>
      <w:r>
        <w:t>3.4 Risk Assessment and Strategic Controls</w:t>
      </w:r>
      <w:bookmarkEnd w:id="41"/>
    </w:p>
    <w:p w14:paraId="33A12E30" w14:textId="0AE0364D" w:rsidR="00314659" w:rsidRDefault="00314659" w:rsidP="0008045E">
      <w:pPr>
        <w:pStyle w:val="Heading3"/>
      </w:pPr>
      <w:bookmarkStart w:id="42" w:name="_Toc217239299"/>
      <w:r>
        <w:t>3.4.1 Risk Assessment and Mitigation Framework for Waitrose India</w:t>
      </w:r>
      <w:bookmarkEnd w:id="42"/>
    </w:p>
    <w:tbl>
      <w:tblPr>
        <w:tblStyle w:val="TableGrid"/>
        <w:tblW w:w="0" w:type="auto"/>
        <w:tblLook w:val="04A0" w:firstRow="1" w:lastRow="0" w:firstColumn="1" w:lastColumn="0" w:noHBand="0" w:noVBand="1"/>
      </w:tblPr>
      <w:tblGrid>
        <w:gridCol w:w="1729"/>
        <w:gridCol w:w="2854"/>
        <w:gridCol w:w="2201"/>
        <w:gridCol w:w="2566"/>
      </w:tblGrid>
      <w:tr w:rsidR="00314659" w14:paraId="6846A9AC" w14:textId="77777777" w:rsidTr="0008045E">
        <w:tc>
          <w:tcPr>
            <w:tcW w:w="0" w:type="auto"/>
            <w:shd w:val="clear" w:color="auto" w:fill="92D050"/>
            <w:vAlign w:val="center"/>
            <w:hideMark/>
          </w:tcPr>
          <w:p w14:paraId="4975AE65" w14:textId="77777777" w:rsidR="00314659" w:rsidRDefault="00314659" w:rsidP="0008045E">
            <w:pPr>
              <w:jc w:val="center"/>
              <w:rPr>
                <w:b/>
                <w:bCs/>
              </w:rPr>
            </w:pPr>
            <w:r>
              <w:rPr>
                <w:rStyle w:val="Strong"/>
              </w:rPr>
              <w:t>Risk Category</w:t>
            </w:r>
          </w:p>
        </w:tc>
        <w:tc>
          <w:tcPr>
            <w:tcW w:w="0" w:type="auto"/>
            <w:shd w:val="clear" w:color="auto" w:fill="92D050"/>
            <w:vAlign w:val="center"/>
            <w:hideMark/>
          </w:tcPr>
          <w:p w14:paraId="42B0330E" w14:textId="77777777" w:rsidR="00314659" w:rsidRDefault="00314659" w:rsidP="0008045E">
            <w:pPr>
              <w:jc w:val="center"/>
              <w:rPr>
                <w:b/>
                <w:bCs/>
              </w:rPr>
            </w:pPr>
            <w:r>
              <w:rPr>
                <w:rStyle w:val="Strong"/>
              </w:rPr>
              <w:t>Nature of Risk</w:t>
            </w:r>
          </w:p>
        </w:tc>
        <w:tc>
          <w:tcPr>
            <w:tcW w:w="0" w:type="auto"/>
            <w:shd w:val="clear" w:color="auto" w:fill="92D050"/>
            <w:vAlign w:val="center"/>
            <w:hideMark/>
          </w:tcPr>
          <w:p w14:paraId="7CA37C2B" w14:textId="77777777" w:rsidR="00314659" w:rsidRDefault="00314659" w:rsidP="0008045E">
            <w:pPr>
              <w:jc w:val="center"/>
              <w:rPr>
                <w:b/>
                <w:bCs/>
              </w:rPr>
            </w:pPr>
            <w:r>
              <w:rPr>
                <w:rStyle w:val="Strong"/>
              </w:rPr>
              <w:t>Strategic Impact</w:t>
            </w:r>
          </w:p>
        </w:tc>
        <w:tc>
          <w:tcPr>
            <w:tcW w:w="0" w:type="auto"/>
            <w:shd w:val="clear" w:color="auto" w:fill="92D050"/>
            <w:vAlign w:val="center"/>
            <w:hideMark/>
          </w:tcPr>
          <w:p w14:paraId="26DF86E4" w14:textId="77777777" w:rsidR="00314659" w:rsidRDefault="00314659" w:rsidP="0008045E">
            <w:pPr>
              <w:jc w:val="center"/>
              <w:rPr>
                <w:b/>
                <w:bCs/>
              </w:rPr>
            </w:pPr>
            <w:r>
              <w:rPr>
                <w:rStyle w:val="Strong"/>
              </w:rPr>
              <w:t>Mitigation Strategies</w:t>
            </w:r>
          </w:p>
        </w:tc>
      </w:tr>
      <w:tr w:rsidR="00314659" w14:paraId="2B95FE6F" w14:textId="77777777" w:rsidTr="0008045E">
        <w:tc>
          <w:tcPr>
            <w:tcW w:w="0" w:type="auto"/>
            <w:vAlign w:val="center"/>
            <w:hideMark/>
          </w:tcPr>
          <w:p w14:paraId="79E82B4F" w14:textId="77777777" w:rsidR="00314659" w:rsidRDefault="00314659" w:rsidP="0008045E">
            <w:pPr>
              <w:jc w:val="left"/>
            </w:pPr>
            <w:r>
              <w:rPr>
                <w:rStyle w:val="Strong"/>
              </w:rPr>
              <w:t xml:space="preserve">Cultural risk and </w:t>
            </w:r>
            <w:r>
              <w:rPr>
                <w:rStyle w:val="Strong"/>
              </w:rPr>
              <w:lastRenderedPageBreak/>
              <w:t>localisation challenges</w:t>
            </w:r>
          </w:p>
        </w:tc>
        <w:tc>
          <w:tcPr>
            <w:tcW w:w="0" w:type="auto"/>
            <w:hideMark/>
          </w:tcPr>
          <w:p w14:paraId="5AD27141" w14:textId="66590946" w:rsidR="00314659" w:rsidRPr="00AF2824" w:rsidRDefault="00314659" w:rsidP="00314659">
            <w:r w:rsidRPr="00AF2824">
              <w:lastRenderedPageBreak/>
              <w:t xml:space="preserve">Diverse food preferences, regional </w:t>
            </w:r>
            <w:r w:rsidRPr="00AF2824">
              <w:lastRenderedPageBreak/>
              <w:t xml:space="preserve">dietary norms, and differing expectations of freshness and value may reduce consumer acceptance of a foreign premium brand (Sirakaya </w:t>
            </w:r>
            <w:r w:rsidR="00AF2824">
              <w:t>et al.</w:t>
            </w:r>
            <w:r w:rsidRPr="00AF2824">
              <w:t>, 2024).</w:t>
            </w:r>
          </w:p>
        </w:tc>
        <w:tc>
          <w:tcPr>
            <w:tcW w:w="0" w:type="auto"/>
            <w:hideMark/>
          </w:tcPr>
          <w:p w14:paraId="564FB8AF" w14:textId="77777777" w:rsidR="00314659" w:rsidRPr="00AF2824" w:rsidRDefault="00314659" w:rsidP="00314659">
            <w:r w:rsidRPr="00AF2824">
              <w:lastRenderedPageBreak/>
              <w:t xml:space="preserve">Misalignment between product </w:t>
            </w:r>
            <w:r w:rsidRPr="00AF2824">
              <w:lastRenderedPageBreak/>
              <w:t>offerings and local tastes could weaken brand penetration and slow customer acquisition in metro markets.</w:t>
            </w:r>
          </w:p>
        </w:tc>
        <w:tc>
          <w:tcPr>
            <w:tcW w:w="0" w:type="auto"/>
            <w:hideMark/>
          </w:tcPr>
          <w:p w14:paraId="4B6CE4E5" w14:textId="77777777" w:rsidR="00314659" w:rsidRPr="00AF2824" w:rsidRDefault="00314659" w:rsidP="00314659">
            <w:r w:rsidRPr="00AF2824">
              <w:lastRenderedPageBreak/>
              <w:t xml:space="preserve">Develop local sourcing partnerships </w:t>
            </w:r>
            <w:r w:rsidRPr="00AF2824">
              <w:lastRenderedPageBreak/>
              <w:t>and adapt private-label ranges to regional tastes; employ local management expertise; pilot-test products before full rollout.</w:t>
            </w:r>
          </w:p>
        </w:tc>
      </w:tr>
      <w:tr w:rsidR="00314659" w14:paraId="7AC0D828" w14:textId="77777777" w:rsidTr="0008045E">
        <w:tc>
          <w:tcPr>
            <w:tcW w:w="0" w:type="auto"/>
            <w:vAlign w:val="center"/>
            <w:hideMark/>
          </w:tcPr>
          <w:p w14:paraId="344EA89D" w14:textId="77777777" w:rsidR="00314659" w:rsidRDefault="00314659" w:rsidP="0008045E">
            <w:pPr>
              <w:jc w:val="left"/>
            </w:pPr>
            <w:r>
              <w:rPr>
                <w:rStyle w:val="Strong"/>
              </w:rPr>
              <w:lastRenderedPageBreak/>
              <w:t>Supply chain complexity</w:t>
            </w:r>
          </w:p>
        </w:tc>
        <w:tc>
          <w:tcPr>
            <w:tcW w:w="0" w:type="auto"/>
            <w:hideMark/>
          </w:tcPr>
          <w:p w14:paraId="48A76308" w14:textId="77777777" w:rsidR="00314659" w:rsidRPr="00AF2824" w:rsidRDefault="00314659" w:rsidP="00314659">
            <w:r w:rsidRPr="00AF2824">
              <w:t>India’s food supply chains are fragmented, with uneven cold-chain infrastructure and high post-harvest losses, particularly for fresh and imported products (Jani, 2025).</w:t>
            </w:r>
          </w:p>
        </w:tc>
        <w:tc>
          <w:tcPr>
            <w:tcW w:w="0" w:type="auto"/>
            <w:hideMark/>
          </w:tcPr>
          <w:p w14:paraId="588EF522" w14:textId="77777777" w:rsidR="00314659" w:rsidRPr="00AF2824" w:rsidRDefault="00314659" w:rsidP="00314659">
            <w:r w:rsidRPr="00AF2824">
              <w:t>Supply disruptions could affect product quality, availability, and cost efficiency, undermining Waitrose’s premium positioning.</w:t>
            </w:r>
          </w:p>
        </w:tc>
        <w:tc>
          <w:tcPr>
            <w:tcW w:w="0" w:type="auto"/>
            <w:hideMark/>
          </w:tcPr>
          <w:p w14:paraId="7F5F0146" w14:textId="77777777" w:rsidR="00314659" w:rsidRPr="00AF2824" w:rsidRDefault="00314659" w:rsidP="00314659">
            <w:r w:rsidRPr="00AF2824">
              <w:t xml:space="preserve">Establish long-term partnerships with certified local suppliers; invest in cold-chain collaborations; use phased sourcing diversification to reduce dependency risks (Wedraogo </w:t>
            </w:r>
            <w:r w:rsidRPr="0015559A">
              <w:rPr>
                <w:rStyle w:val="Emphasis"/>
                <w:i w:val="0"/>
                <w:iCs w:val="0"/>
              </w:rPr>
              <w:t>et al</w:t>
            </w:r>
            <w:r w:rsidRPr="00AF2824">
              <w:rPr>
                <w:rStyle w:val="Emphasis"/>
              </w:rPr>
              <w:t>.</w:t>
            </w:r>
            <w:r w:rsidRPr="00AF2824">
              <w:t>, 2023).</w:t>
            </w:r>
          </w:p>
        </w:tc>
      </w:tr>
      <w:tr w:rsidR="00314659" w14:paraId="19F0B403" w14:textId="77777777" w:rsidTr="0008045E">
        <w:tc>
          <w:tcPr>
            <w:tcW w:w="0" w:type="auto"/>
            <w:vAlign w:val="center"/>
            <w:hideMark/>
          </w:tcPr>
          <w:p w14:paraId="53316EF1" w14:textId="77777777" w:rsidR="00314659" w:rsidRDefault="00314659" w:rsidP="0008045E">
            <w:pPr>
              <w:jc w:val="left"/>
            </w:pPr>
            <w:r>
              <w:rPr>
                <w:rStyle w:val="Strong"/>
              </w:rPr>
              <w:t>Pricing and affordability risks</w:t>
            </w:r>
          </w:p>
        </w:tc>
        <w:tc>
          <w:tcPr>
            <w:tcW w:w="0" w:type="auto"/>
            <w:hideMark/>
          </w:tcPr>
          <w:p w14:paraId="2A79E97F" w14:textId="77777777" w:rsidR="00314659" w:rsidRPr="00AF2824" w:rsidRDefault="00314659" w:rsidP="00314659">
            <w:r w:rsidRPr="00AF2824">
              <w:t xml:space="preserve">Inflationary pressures and income inequality increase price sensitivity, even among urban premium consumers (Dekimpe and Van Heerde, 2023). Imported goods face additional cost pressures from tariffs and logistics (Mukherjee </w:t>
            </w:r>
            <w:r w:rsidRPr="0015559A">
              <w:rPr>
                <w:rStyle w:val="Emphasis"/>
                <w:i w:val="0"/>
                <w:iCs w:val="0"/>
              </w:rPr>
              <w:t>et al</w:t>
            </w:r>
            <w:r w:rsidRPr="00AF2824">
              <w:rPr>
                <w:rStyle w:val="Emphasis"/>
              </w:rPr>
              <w:t>.</w:t>
            </w:r>
            <w:r w:rsidRPr="00AF2824">
              <w:t>, 2019).</w:t>
            </w:r>
          </w:p>
        </w:tc>
        <w:tc>
          <w:tcPr>
            <w:tcW w:w="0" w:type="auto"/>
            <w:hideMark/>
          </w:tcPr>
          <w:p w14:paraId="21FF6DBA" w14:textId="77777777" w:rsidR="00314659" w:rsidRPr="00AF2824" w:rsidRDefault="00314659" w:rsidP="00314659">
            <w:r w:rsidRPr="00AF2824">
              <w:t>Overpricing may restrict market reach, while aggressive price reductions could erode premium brand equity.</w:t>
            </w:r>
          </w:p>
        </w:tc>
        <w:tc>
          <w:tcPr>
            <w:tcW w:w="0" w:type="auto"/>
            <w:hideMark/>
          </w:tcPr>
          <w:p w14:paraId="5F214213" w14:textId="77777777" w:rsidR="00314659" w:rsidRPr="00AF2824" w:rsidRDefault="00314659" w:rsidP="00314659">
            <w:r w:rsidRPr="00AF2824">
              <w:t xml:space="preserve">Implement a tiered pricing strategy combining premium imported lines with locally sourced private-label products; apply value-based pricing to justify quality differentials (Witantri </w:t>
            </w:r>
            <w:r w:rsidRPr="0015559A">
              <w:rPr>
                <w:rStyle w:val="Emphasis"/>
                <w:i w:val="0"/>
                <w:iCs w:val="0"/>
              </w:rPr>
              <w:t>et al</w:t>
            </w:r>
            <w:r w:rsidRPr="00AF2824">
              <w:rPr>
                <w:rStyle w:val="Emphasis"/>
              </w:rPr>
              <w:t>.</w:t>
            </w:r>
            <w:r w:rsidRPr="00AF2824">
              <w:t>, 2025).</w:t>
            </w:r>
          </w:p>
        </w:tc>
      </w:tr>
      <w:tr w:rsidR="00314659" w14:paraId="35EAC2D4" w14:textId="77777777" w:rsidTr="0008045E">
        <w:tc>
          <w:tcPr>
            <w:tcW w:w="0" w:type="auto"/>
            <w:vAlign w:val="center"/>
            <w:hideMark/>
          </w:tcPr>
          <w:p w14:paraId="42369A27" w14:textId="77777777" w:rsidR="00314659" w:rsidRDefault="00314659" w:rsidP="0008045E">
            <w:pPr>
              <w:jc w:val="left"/>
            </w:pPr>
            <w:r>
              <w:rPr>
                <w:rStyle w:val="Strong"/>
              </w:rPr>
              <w:lastRenderedPageBreak/>
              <w:t>Regulatory uncertainty</w:t>
            </w:r>
          </w:p>
        </w:tc>
        <w:tc>
          <w:tcPr>
            <w:tcW w:w="0" w:type="auto"/>
            <w:hideMark/>
          </w:tcPr>
          <w:p w14:paraId="43C49373" w14:textId="77777777" w:rsidR="00314659" w:rsidRPr="00AF2824" w:rsidRDefault="00314659" w:rsidP="00314659">
            <w:r w:rsidRPr="00AF2824">
              <w:t xml:space="preserve">Retail FDI policies, food safety standards, and import regulations vary by state and may change over time (Maheshkumar </w:t>
            </w:r>
            <w:r w:rsidRPr="00AF2824">
              <w:rPr>
                <w:rStyle w:val="Emphasis"/>
              </w:rPr>
              <w:t>et al.</w:t>
            </w:r>
            <w:r w:rsidRPr="00AF2824">
              <w:t>, 2025). Compliance failures carry reputational and financial risks.</w:t>
            </w:r>
          </w:p>
        </w:tc>
        <w:tc>
          <w:tcPr>
            <w:tcW w:w="0" w:type="auto"/>
            <w:hideMark/>
          </w:tcPr>
          <w:p w14:paraId="67596EFA" w14:textId="77777777" w:rsidR="00314659" w:rsidRPr="00AF2824" w:rsidRDefault="00314659" w:rsidP="00314659">
            <w:r w:rsidRPr="00AF2824">
              <w:t>Regulatory delays or non-compliance could slow expansion and increase operating costs.</w:t>
            </w:r>
          </w:p>
        </w:tc>
        <w:tc>
          <w:tcPr>
            <w:tcW w:w="0" w:type="auto"/>
            <w:hideMark/>
          </w:tcPr>
          <w:p w14:paraId="6D03629B" w14:textId="77777777" w:rsidR="00314659" w:rsidRPr="00AF2824" w:rsidRDefault="00314659" w:rsidP="00314659">
            <w:r w:rsidRPr="00AF2824">
              <w:t xml:space="preserve">Enter through a joint venture structure to enhance regulatory navigation; maintain continuous legal monitoring; align sourcing with domestic procurement requirements (Cho </w:t>
            </w:r>
            <w:r w:rsidRPr="0015559A">
              <w:rPr>
                <w:rStyle w:val="Emphasis"/>
                <w:i w:val="0"/>
                <w:iCs w:val="0"/>
              </w:rPr>
              <w:t>et al</w:t>
            </w:r>
            <w:r w:rsidRPr="00AF2824">
              <w:rPr>
                <w:rStyle w:val="Emphasis"/>
              </w:rPr>
              <w:t>.</w:t>
            </w:r>
            <w:r w:rsidRPr="00AF2824">
              <w:t>, 2023).</w:t>
            </w:r>
          </w:p>
        </w:tc>
      </w:tr>
    </w:tbl>
    <w:p w14:paraId="04DBEF8D" w14:textId="7C13C34F" w:rsidR="00314659" w:rsidRDefault="0008045E" w:rsidP="0008045E">
      <w:pPr>
        <w:pStyle w:val="Caption"/>
      </w:pPr>
      <w:bookmarkStart w:id="43" w:name="_Toc217239327"/>
      <w:r>
        <w:t xml:space="preserve">Table </w:t>
      </w:r>
      <w:r w:rsidR="00D720A3">
        <w:fldChar w:fldCharType="begin"/>
      </w:r>
      <w:r w:rsidR="00D720A3">
        <w:instrText xml:space="preserve"> SEQ Table \* ARABIC </w:instrText>
      </w:r>
      <w:r w:rsidR="00D720A3">
        <w:fldChar w:fldCharType="separate"/>
      </w:r>
      <w:r w:rsidR="002376EA">
        <w:rPr>
          <w:noProof/>
        </w:rPr>
        <w:t>5</w:t>
      </w:r>
      <w:r w:rsidR="00D720A3">
        <w:rPr>
          <w:noProof/>
        </w:rPr>
        <w:fldChar w:fldCharType="end"/>
      </w:r>
      <w:r>
        <w:t xml:space="preserve">: </w:t>
      </w:r>
      <w:r w:rsidRPr="008F68BF">
        <w:t>Risk Assessment and Mitigation Framework for Waitrose India</w:t>
      </w:r>
      <w:bookmarkEnd w:id="43"/>
    </w:p>
    <w:p w14:paraId="0A4115DC" w14:textId="4F6E8FB8" w:rsidR="00314659" w:rsidRDefault="00314659" w:rsidP="00314659">
      <w:pPr>
        <w:pStyle w:val="Heading3"/>
      </w:pPr>
      <w:bookmarkStart w:id="44" w:name="_Toc217239300"/>
      <w:r>
        <w:t>3.4.2 Strategic Control Implications</w:t>
      </w:r>
      <w:bookmarkEnd w:id="44"/>
    </w:p>
    <w:p w14:paraId="54FBAF87" w14:textId="77777777" w:rsidR="00227B40" w:rsidRDefault="00227B40" w:rsidP="00314659">
      <w:r w:rsidRPr="00227B40">
        <w:t>A sound management of risk in international expansion requires the active identification and its gradual incorporation into the actions of strategies, and mitigation mechanisms should be integrated into strategic planning (Wedraogo et al., 2023). In the context of the Indian market, local sourcing alliances are at the core of the strategy as they would provide, simultaneously, cultural alignment, supply-chain resilience, and regulatory compliance.</w:t>
      </w:r>
    </w:p>
    <w:p w14:paraId="39A72F34" w14:textId="66BB9464" w:rsidR="002B4EC9" w:rsidRDefault="002B4EC9" w:rsidP="00314659">
      <w:r>
        <w:rPr>
          <w:noProof/>
        </w:rPr>
        <w:drawing>
          <wp:inline distT="0" distB="0" distL="0" distR="0" wp14:anchorId="648F3E95" wp14:editId="3170EA28">
            <wp:extent cx="5943600" cy="2255520"/>
            <wp:effectExtent l="0" t="0" r="0" b="0"/>
            <wp:docPr id="27" name="Picture 27" descr="Tiered Pricing Strategies: A Complete Guid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iered Pricing Strategies: A Complete Guide 2025"/>
                    <pic:cNvPicPr>
                      <a:picLocks noChangeAspect="1" noChangeArrowheads="1"/>
                    </pic:cNvPicPr>
                  </pic:nvPicPr>
                  <pic:blipFill rotWithShape="1">
                    <a:blip r:embed="rId31">
                      <a:extLst>
                        <a:ext uri="{28A0092B-C50C-407E-A947-70E740481C1C}">
                          <a14:useLocalDpi xmlns:a14="http://schemas.microsoft.com/office/drawing/2010/main" val="0"/>
                        </a:ext>
                      </a:extLst>
                    </a:blip>
                    <a:srcRect t="17150" b="13313"/>
                    <a:stretch/>
                  </pic:blipFill>
                  <pic:spPr bwMode="auto">
                    <a:xfrm>
                      <a:off x="0" y="0"/>
                      <a:ext cx="5943600" cy="2255520"/>
                    </a:xfrm>
                    <a:prstGeom prst="rect">
                      <a:avLst/>
                    </a:prstGeom>
                    <a:noFill/>
                    <a:ln>
                      <a:noFill/>
                    </a:ln>
                    <a:extLst>
                      <a:ext uri="{53640926-AAD7-44D8-BBD7-CCE9431645EC}">
                        <a14:shadowObscured xmlns:a14="http://schemas.microsoft.com/office/drawing/2010/main"/>
                      </a:ext>
                    </a:extLst>
                  </pic:spPr>
                </pic:pic>
              </a:graphicData>
            </a:graphic>
          </wp:inline>
        </w:drawing>
      </w:r>
    </w:p>
    <w:p w14:paraId="45389C91" w14:textId="18AA794A" w:rsidR="002B4EC9" w:rsidRDefault="002B4EC9" w:rsidP="002B4EC9">
      <w:pPr>
        <w:pStyle w:val="Caption"/>
      </w:pPr>
      <w:bookmarkStart w:id="45" w:name="_Toc217239321"/>
      <w:r>
        <w:t xml:space="preserve">Figure </w:t>
      </w:r>
      <w:r w:rsidR="00D720A3">
        <w:fldChar w:fldCharType="begin"/>
      </w:r>
      <w:r w:rsidR="00D720A3">
        <w:instrText xml:space="preserve"> SEQ Figure \* ARABIC </w:instrText>
      </w:r>
      <w:r w:rsidR="00D720A3">
        <w:fldChar w:fldCharType="separate"/>
      </w:r>
      <w:r w:rsidR="001D2348">
        <w:rPr>
          <w:noProof/>
        </w:rPr>
        <w:t>16</w:t>
      </w:r>
      <w:r w:rsidR="00D720A3">
        <w:rPr>
          <w:noProof/>
        </w:rPr>
        <w:fldChar w:fldCharType="end"/>
      </w:r>
      <w:r>
        <w:t xml:space="preserve"> : </w:t>
      </w:r>
      <w:r w:rsidRPr="008C44FC">
        <w:t>Tiered Pricing Strategy Framework</w:t>
      </w:r>
      <w:bookmarkEnd w:id="45"/>
    </w:p>
    <w:p w14:paraId="0241F69E" w14:textId="504AF591" w:rsidR="002B4EC9" w:rsidRDefault="002B4EC9" w:rsidP="00314659">
      <w:r w:rsidRPr="002B4EC9">
        <w:lastRenderedPageBreak/>
        <w:t>A tiered based pricing strategy will enable Waitrose to balance its high price status with consumer affordability and this will protect their profit margin as well as in the process continue to increase their market reach. Moreover, the gradual expansion of coverage to major metropolitan areas supports learning efficiencies, refinement of operations, and incremental commitment of capital, which curb the exposure to risks of uncertainty.</w:t>
      </w:r>
    </w:p>
    <w:p w14:paraId="4635AFA8" w14:textId="4F43CAC9" w:rsidR="00314659" w:rsidRDefault="00676BEC" w:rsidP="008B634E">
      <w:r w:rsidRPr="00676BEC">
        <w:t>Combined, these strategic controls can improve the flexibility of organisations and reduce the downside risk and support sustainable long-term growth in the complex environment of emerging economies.</w:t>
      </w:r>
    </w:p>
    <w:p w14:paraId="24AD28CE" w14:textId="77777777" w:rsidR="00C46EB3" w:rsidRDefault="00C46EB3" w:rsidP="00314659">
      <w:pPr>
        <w:pStyle w:val="Heading1"/>
        <w:rPr>
          <w:rFonts w:ascii="Times New Roman" w:hAnsi="Times New Roman"/>
        </w:rPr>
      </w:pPr>
      <w:bookmarkStart w:id="46" w:name="_Toc217239301"/>
      <w:r>
        <w:t>4. Performance Evaluation Framework</w:t>
      </w:r>
      <w:bookmarkEnd w:id="46"/>
    </w:p>
    <w:p w14:paraId="2CC59D0A" w14:textId="4DB5B44C" w:rsidR="00E62927" w:rsidRDefault="00E62927" w:rsidP="00E62927">
      <w:r>
        <w:t>The paper suggests a Balanced Scorecard (BSC) that is combined with the principles of Triple Bottom Line (TBL) in order to trace and measure the success of Waitrose expansion into India. The integrated framework helps make a multidimensional measurement of the performance, and the financial results are aligned to customer value, the development of internal capabilities, and long-term sustainability.</w:t>
      </w:r>
      <w:r w:rsidR="00E47A50">
        <w:t xml:space="preserve"> </w:t>
      </w:r>
      <w:r>
        <w:t>Balanced Scorecard is particularly useful in internationalisation when the strategies are connected in strategic goals with the quantifiable results in organisational functions (Madsen, 2025; Kushariyadi et al., 2025).</w:t>
      </w:r>
    </w:p>
    <w:p w14:paraId="1C07C108" w14:textId="77777777" w:rsidR="00C46EB3" w:rsidRDefault="00C46EB3" w:rsidP="00853496">
      <w:pPr>
        <w:pStyle w:val="Heading2"/>
      </w:pPr>
      <w:bookmarkStart w:id="47" w:name="_Toc217239302"/>
      <w:r>
        <w:t>4.1 Balanced Scorecard for Waitrose India</w:t>
      </w:r>
      <w:bookmarkEnd w:id="47"/>
    </w:p>
    <w:tbl>
      <w:tblPr>
        <w:tblStyle w:val="TableGrid"/>
        <w:tblW w:w="0" w:type="auto"/>
        <w:tblLook w:val="04A0" w:firstRow="1" w:lastRow="0" w:firstColumn="1" w:lastColumn="0" w:noHBand="0" w:noVBand="1"/>
      </w:tblPr>
      <w:tblGrid>
        <w:gridCol w:w="1759"/>
        <w:gridCol w:w="3323"/>
        <w:gridCol w:w="4268"/>
      </w:tblGrid>
      <w:tr w:rsidR="00C46EB3" w14:paraId="54E02AEE" w14:textId="77777777" w:rsidTr="005231DD">
        <w:tc>
          <w:tcPr>
            <w:tcW w:w="0" w:type="auto"/>
            <w:shd w:val="clear" w:color="auto" w:fill="92D050"/>
            <w:vAlign w:val="center"/>
            <w:hideMark/>
          </w:tcPr>
          <w:p w14:paraId="70852074" w14:textId="77777777" w:rsidR="00C46EB3" w:rsidRDefault="00C46EB3" w:rsidP="005231DD">
            <w:pPr>
              <w:spacing w:before="120" w:after="120"/>
              <w:jc w:val="center"/>
              <w:rPr>
                <w:b/>
                <w:bCs/>
              </w:rPr>
            </w:pPr>
            <w:r>
              <w:rPr>
                <w:rStyle w:val="Strong"/>
              </w:rPr>
              <w:t>Perspective</w:t>
            </w:r>
          </w:p>
        </w:tc>
        <w:tc>
          <w:tcPr>
            <w:tcW w:w="0" w:type="auto"/>
            <w:shd w:val="clear" w:color="auto" w:fill="92D050"/>
            <w:vAlign w:val="center"/>
            <w:hideMark/>
          </w:tcPr>
          <w:p w14:paraId="3E3AE618" w14:textId="77777777" w:rsidR="00C46EB3" w:rsidRDefault="00C46EB3" w:rsidP="005231DD">
            <w:pPr>
              <w:spacing w:before="120" w:after="120"/>
              <w:jc w:val="center"/>
              <w:rPr>
                <w:b/>
                <w:bCs/>
              </w:rPr>
            </w:pPr>
            <w:r>
              <w:rPr>
                <w:rStyle w:val="Strong"/>
              </w:rPr>
              <w:t>Key KPIs</w:t>
            </w:r>
          </w:p>
        </w:tc>
        <w:tc>
          <w:tcPr>
            <w:tcW w:w="0" w:type="auto"/>
            <w:shd w:val="clear" w:color="auto" w:fill="92D050"/>
            <w:vAlign w:val="center"/>
            <w:hideMark/>
          </w:tcPr>
          <w:p w14:paraId="749A0C8B" w14:textId="77777777" w:rsidR="00C46EB3" w:rsidRDefault="00C46EB3" w:rsidP="005231DD">
            <w:pPr>
              <w:spacing w:before="120" w:after="120"/>
              <w:jc w:val="center"/>
              <w:rPr>
                <w:b/>
                <w:bCs/>
              </w:rPr>
            </w:pPr>
            <w:r>
              <w:rPr>
                <w:rStyle w:val="Strong"/>
              </w:rPr>
              <w:t>Strategic Rationale</w:t>
            </w:r>
          </w:p>
        </w:tc>
      </w:tr>
      <w:tr w:rsidR="00C46EB3" w14:paraId="5F0BEED3" w14:textId="77777777" w:rsidTr="006C01BC">
        <w:tc>
          <w:tcPr>
            <w:tcW w:w="0" w:type="auto"/>
            <w:vAlign w:val="center"/>
            <w:hideMark/>
          </w:tcPr>
          <w:p w14:paraId="36DBBECF" w14:textId="77777777" w:rsidR="00C46EB3" w:rsidRDefault="00C46EB3" w:rsidP="006C01BC">
            <w:pPr>
              <w:jc w:val="left"/>
            </w:pPr>
            <w:r>
              <w:rPr>
                <w:rStyle w:val="Strong"/>
              </w:rPr>
              <w:t>Financial</w:t>
            </w:r>
          </w:p>
        </w:tc>
        <w:tc>
          <w:tcPr>
            <w:tcW w:w="0" w:type="auto"/>
            <w:hideMark/>
          </w:tcPr>
          <w:p w14:paraId="2733D694" w14:textId="77777777" w:rsidR="00C46EB3" w:rsidRDefault="00C46EB3" w:rsidP="00C46EB3">
            <w:r>
              <w:t>Revenue growth, operating margin, return on investment (ROI)</w:t>
            </w:r>
          </w:p>
        </w:tc>
        <w:tc>
          <w:tcPr>
            <w:tcW w:w="0" w:type="auto"/>
            <w:hideMark/>
          </w:tcPr>
          <w:p w14:paraId="0ABBBB45" w14:textId="77777777" w:rsidR="00C46EB3" w:rsidRDefault="00C46EB3" w:rsidP="00C46EB3">
            <w:r>
              <w:t>Measures commercial viability and value creation in a price-sensitive yet premium-oriented market.</w:t>
            </w:r>
          </w:p>
        </w:tc>
      </w:tr>
      <w:tr w:rsidR="00C46EB3" w14:paraId="5589A869" w14:textId="77777777" w:rsidTr="006C01BC">
        <w:tc>
          <w:tcPr>
            <w:tcW w:w="0" w:type="auto"/>
            <w:vAlign w:val="center"/>
            <w:hideMark/>
          </w:tcPr>
          <w:p w14:paraId="67D60DA9" w14:textId="77777777" w:rsidR="00C46EB3" w:rsidRDefault="00C46EB3" w:rsidP="006C01BC">
            <w:pPr>
              <w:jc w:val="left"/>
            </w:pPr>
            <w:r>
              <w:rPr>
                <w:rStyle w:val="Strong"/>
              </w:rPr>
              <w:t>Customer</w:t>
            </w:r>
          </w:p>
        </w:tc>
        <w:tc>
          <w:tcPr>
            <w:tcW w:w="0" w:type="auto"/>
            <w:hideMark/>
          </w:tcPr>
          <w:p w14:paraId="19D6F3A6" w14:textId="77777777" w:rsidR="00C46EB3" w:rsidRDefault="00C46EB3" w:rsidP="00C46EB3">
            <w:r>
              <w:t>Brand awareness, customer satisfaction index, customer retention rate</w:t>
            </w:r>
          </w:p>
        </w:tc>
        <w:tc>
          <w:tcPr>
            <w:tcW w:w="0" w:type="auto"/>
            <w:hideMark/>
          </w:tcPr>
          <w:p w14:paraId="664DE651" w14:textId="77777777" w:rsidR="00C46EB3" w:rsidRDefault="00C46EB3" w:rsidP="00C46EB3">
            <w:r>
              <w:t>Captures brand establishment and loyalty among urban premium consumers, critical for differentiation-led growth.</w:t>
            </w:r>
          </w:p>
        </w:tc>
      </w:tr>
      <w:tr w:rsidR="00C46EB3" w14:paraId="498E9FC1" w14:textId="77777777" w:rsidTr="006C01BC">
        <w:tc>
          <w:tcPr>
            <w:tcW w:w="0" w:type="auto"/>
            <w:vAlign w:val="center"/>
            <w:hideMark/>
          </w:tcPr>
          <w:p w14:paraId="1D0EAF12" w14:textId="77777777" w:rsidR="00C46EB3" w:rsidRDefault="00C46EB3" w:rsidP="006C01BC">
            <w:pPr>
              <w:jc w:val="left"/>
            </w:pPr>
            <w:r>
              <w:rPr>
                <w:rStyle w:val="Strong"/>
              </w:rPr>
              <w:t>Internal Processes</w:t>
            </w:r>
          </w:p>
        </w:tc>
        <w:tc>
          <w:tcPr>
            <w:tcW w:w="0" w:type="auto"/>
            <w:hideMark/>
          </w:tcPr>
          <w:p w14:paraId="575F00BB" w14:textId="77777777" w:rsidR="00C46EB3" w:rsidRDefault="00C46EB3" w:rsidP="00C46EB3">
            <w:r>
              <w:t>Supply chain efficiency, stock availability, order fulfilment accuracy</w:t>
            </w:r>
          </w:p>
        </w:tc>
        <w:tc>
          <w:tcPr>
            <w:tcW w:w="0" w:type="auto"/>
            <w:hideMark/>
          </w:tcPr>
          <w:p w14:paraId="72ABF2CD" w14:textId="3E44C8A0" w:rsidR="00C46EB3" w:rsidRDefault="00C46EB3" w:rsidP="00C46EB3">
            <w:r>
              <w:t>Ensures operational reliability, product freshness, and consistency</w:t>
            </w:r>
            <w:r w:rsidR="00512743">
              <w:t xml:space="preserve">, </w:t>
            </w:r>
            <w:r>
              <w:t>key success factors in food retail.</w:t>
            </w:r>
          </w:p>
        </w:tc>
      </w:tr>
      <w:tr w:rsidR="00C46EB3" w14:paraId="72DFA949" w14:textId="77777777" w:rsidTr="006C01BC">
        <w:tc>
          <w:tcPr>
            <w:tcW w:w="0" w:type="auto"/>
            <w:vAlign w:val="center"/>
            <w:hideMark/>
          </w:tcPr>
          <w:p w14:paraId="7F937D8F" w14:textId="77777777" w:rsidR="00C46EB3" w:rsidRDefault="00C46EB3" w:rsidP="006C01BC">
            <w:pPr>
              <w:jc w:val="left"/>
            </w:pPr>
            <w:r>
              <w:rPr>
                <w:rStyle w:val="Strong"/>
              </w:rPr>
              <w:lastRenderedPageBreak/>
              <w:t>Learning &amp; Growth</w:t>
            </w:r>
          </w:p>
        </w:tc>
        <w:tc>
          <w:tcPr>
            <w:tcW w:w="0" w:type="auto"/>
            <w:hideMark/>
          </w:tcPr>
          <w:p w14:paraId="5844DDF8" w14:textId="77777777" w:rsidR="00C46EB3" w:rsidRDefault="00C46EB3" w:rsidP="00C46EB3">
            <w:r>
              <w:t>Employee training hours, localisation capability, partner integration effectiveness</w:t>
            </w:r>
          </w:p>
        </w:tc>
        <w:tc>
          <w:tcPr>
            <w:tcW w:w="0" w:type="auto"/>
            <w:hideMark/>
          </w:tcPr>
          <w:p w14:paraId="65045938" w14:textId="77777777" w:rsidR="00C46EB3" w:rsidRDefault="00C46EB3" w:rsidP="00C46EB3">
            <w:r>
              <w:t>Supports long-term scalability by developing local talent, adaptive capabilities, and knowledge transfer.</w:t>
            </w:r>
          </w:p>
        </w:tc>
      </w:tr>
    </w:tbl>
    <w:p w14:paraId="653DD598" w14:textId="5EAF7C2E" w:rsidR="00C46EB3" w:rsidRDefault="00C54036" w:rsidP="00C46EB3">
      <w:r w:rsidRPr="00C54036">
        <w:t>Balanced Scorecard (BSC) can be used to align strategy by transforming expansion goals of Waitrose into performance-measurable indicators of operations, thus contributing to performance monitoring and implementing corrective actions. Empirical studies also show that when the performance management is predictive on the basis of key performance indicators (KPIs), it enhances organisational effectiveness, particularly in the context of complex and dynamic environments (Ionescu et al., 2024).</w:t>
      </w:r>
    </w:p>
    <w:p w14:paraId="10381F35" w14:textId="77777777" w:rsidR="00C46EB3" w:rsidRDefault="00C46EB3" w:rsidP="00853496">
      <w:pPr>
        <w:pStyle w:val="Heading2"/>
      </w:pPr>
      <w:bookmarkStart w:id="48" w:name="_Toc217239303"/>
      <w:r>
        <w:t>4.2 Sustainability and Ethical Performance: Integration of the Triple Bottom Line</w:t>
      </w:r>
      <w:bookmarkEnd w:id="48"/>
    </w:p>
    <w:p w14:paraId="35627F21" w14:textId="4735C0FB" w:rsidR="0012315A" w:rsidRDefault="0012315A" w:rsidP="0012315A">
      <w:r>
        <w:rPr>
          <w:noProof/>
        </w:rPr>
        <w:drawing>
          <wp:inline distT="0" distB="0" distL="0" distR="0" wp14:anchorId="745A552A" wp14:editId="48821D8D">
            <wp:extent cx="5943600" cy="4572000"/>
            <wp:effectExtent l="0" t="0" r="0" b="0"/>
            <wp:docPr id="28" name="Picture 28" descr="Ethical Leadership, the Triple Bottom Line, and Sustainable Business  Practices: Balancing Contemporary Business Requir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thical Leadership, the Triple Bottom Line, and Sustainable Business  Practices: Balancing Contemporary Business Requirement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4572000"/>
                    </a:xfrm>
                    <a:prstGeom prst="rect">
                      <a:avLst/>
                    </a:prstGeom>
                    <a:noFill/>
                    <a:ln>
                      <a:noFill/>
                    </a:ln>
                  </pic:spPr>
                </pic:pic>
              </a:graphicData>
            </a:graphic>
          </wp:inline>
        </w:drawing>
      </w:r>
    </w:p>
    <w:p w14:paraId="62461362" w14:textId="683A3D66" w:rsidR="0012315A" w:rsidRDefault="0012315A" w:rsidP="0012315A">
      <w:pPr>
        <w:pStyle w:val="Caption"/>
      </w:pPr>
      <w:bookmarkStart w:id="49" w:name="_Toc217239322"/>
      <w:r>
        <w:t xml:space="preserve">Figure </w:t>
      </w:r>
      <w:fldSimple w:instr=" SEQ Figure \* ARABIC ">
        <w:r>
          <w:rPr>
            <w:noProof/>
          </w:rPr>
          <w:t>17</w:t>
        </w:r>
      </w:fldSimple>
      <w:r>
        <w:t xml:space="preserve">: </w:t>
      </w:r>
      <w:r w:rsidRPr="00AE1129">
        <w:t>Triple Bottom Line (People, Planet, Profit) Framework</w:t>
      </w:r>
      <w:bookmarkEnd w:id="49"/>
    </w:p>
    <w:p w14:paraId="1D5266CC" w14:textId="5B13B36C" w:rsidR="003E3C49" w:rsidRPr="003E3C49" w:rsidRDefault="003E3C49" w:rsidP="003E3C49">
      <w:r w:rsidRPr="00DB33F4">
        <w:lastRenderedPageBreak/>
        <w:t>Along with the financial performance, the expansion strategy of Waitrose will imply the systematic assessment of environmental and social results, as the Triple Bottom Line (TBL) framework, including the economic, environmental, and social aspects, is considered (Jali et al., 2025). Implementation of TBL within the performance framework strengthens the legitimacy, attaining stakeholder trust, and increasing the resiliency of the emerging markets on the long run.</w:t>
      </w:r>
    </w:p>
    <w:p w14:paraId="343A69F5" w14:textId="0972191E" w:rsidR="00116D06" w:rsidRDefault="00116D06" w:rsidP="00C46EB3">
      <w:r w:rsidRPr="00116D06">
        <w:t xml:space="preserve">As an environmentally-friendly organization, the major indicators include the percentage of ethical certification suppliers, packaging waste reduction, and carbon efficiency in supply chain. In the retail markets, ethical sourcing and responsible procurement are also becoming interconnected with consumer trust and brand equity (Shukla </w:t>
      </w:r>
      <w:r w:rsidR="00D41241">
        <w:t>et al.</w:t>
      </w:r>
      <w:r w:rsidRPr="00116D06">
        <w:t>, 2025). By tracking these indicators, it can be ensured that the goals of sustainability are matched and reputational risk is reduced.</w:t>
      </w:r>
    </w:p>
    <w:p w14:paraId="2718FF8F" w14:textId="77777777" w:rsidR="00667904" w:rsidRDefault="00667904" w:rsidP="00C46EB3">
      <w:r w:rsidRPr="00667904">
        <w:t>The social aspect reflects on development of local suppliers, equitable trade, and welfare of the employees. The percentage of local sourcing, compliance between the suppliers and the labour laws, and training investment can testify to the idea that Waitrose strives to follow both the model of inclusive development and a socially oriented community contribution. Existing studies reveal that ethical leadership and social responsibility practices have a positive impact on sustainability performance and financial performance (AlHares, 2025).</w:t>
      </w:r>
    </w:p>
    <w:p w14:paraId="182B1C4D" w14:textId="6D380BB2" w:rsidR="007E2D6D" w:rsidRDefault="00D0160B" w:rsidP="00C46EB3">
      <w:r w:rsidRPr="00D0160B">
        <w:t>Balanced Scorecard framework combined with Triple Bottom Line (TBL) principles results in the creation of a sound and futuristic performance measurement framework, which helps to reconcile the short-term financial goals with the long-term ethical, environmental, and social value creation; therefore, this solution is the foundation of the ability of Waitrose to engage in sustainable growth in the Indian market.</w:t>
      </w:r>
    </w:p>
    <w:p w14:paraId="24DEAEEC" w14:textId="77777777" w:rsidR="007E2D6D" w:rsidRDefault="007E2D6D" w:rsidP="00314659">
      <w:pPr>
        <w:pStyle w:val="Heading1"/>
        <w:rPr>
          <w:rFonts w:ascii="Times New Roman" w:hAnsi="Times New Roman"/>
        </w:rPr>
      </w:pPr>
      <w:bookmarkStart w:id="50" w:name="_Toc217239304"/>
      <w:r>
        <w:t>Conclusion</w:t>
      </w:r>
      <w:bookmarkEnd w:id="50"/>
    </w:p>
    <w:p w14:paraId="3DA770A4" w14:textId="56C2F99D" w:rsidR="007E2D6D" w:rsidRDefault="00501872" w:rsidP="00C46EB3">
      <w:r w:rsidRPr="00501872">
        <w:t xml:space="preserve">This report has provided a strategic evaluation of the expansion of Waitrose into the Indian market in a global retail environment which is becoming volatile and competitive in nature. Through its use of proven strategic management tools, such as the PESTLE analysis, Porters Five Forces, the Resource-Based View, the VRIO analysis and the OLI </w:t>
      </w:r>
      <w:r w:rsidRPr="00501872">
        <w:lastRenderedPageBreak/>
        <w:t>paradigm, the paper proves that India is an attractive long-term growth opportunity. The basis of this potential is long-term economic growth, high rates of urbanisation, increasing numbers of affluent middle classes, and growing consumer demand of high-end, safe and ethically responsible food products.</w:t>
      </w:r>
    </w:p>
    <w:p w14:paraId="10EEE550" w14:textId="41FB6B7C" w:rsidR="00501872" w:rsidRDefault="00501872" w:rsidP="00501872">
      <w:r>
        <w:t>The findings indicate that joint venture is the most appropriate market-entry strategy which would allow Waitrose to balance strategic control with regulatory compliance, local market understanding and risk sharing. Waitrose can avoid direct price-based competition and serves a growing high-quality niche with a differentiation-based competitive strategy with roots in premium own-label products, ethical supply-chain management, and a high-quality omni-channel shopping experience.</w:t>
      </w:r>
    </w:p>
    <w:p w14:paraId="655748F0" w14:textId="3D59B3D2" w:rsidR="00751F1D" w:rsidRDefault="00751F1D" w:rsidP="00501872">
      <w:r w:rsidRPr="00751F1D">
        <w:t>Notably, a combination of a Balanced Scorecard and Triple Bottom Line concepts allows achieving financial goals without contradicting social and environmental duties. Altogether, the proposed plan places Waitrose in a place of achieving sustainable, ethical, and resilient expansion in India without compromising the brand integrity and contributing to long-term value-creation among the emerging markets.</w:t>
      </w:r>
    </w:p>
    <w:p w14:paraId="78CEB4AA" w14:textId="2CF5E1EF" w:rsidR="007C4D6C" w:rsidRDefault="007C4D6C" w:rsidP="00C46EB3"/>
    <w:p w14:paraId="6FE9512F" w14:textId="64DC5D3A" w:rsidR="007C4D6C" w:rsidRDefault="007C4D6C" w:rsidP="00C46EB3"/>
    <w:p w14:paraId="74F15C4C" w14:textId="6A6ED4D4" w:rsidR="007C4D6C" w:rsidRDefault="007C4D6C" w:rsidP="00C46EB3"/>
    <w:p w14:paraId="38E7C7B8" w14:textId="2EE5BD9A" w:rsidR="007C4D6C" w:rsidRDefault="007C4D6C" w:rsidP="00C46EB3"/>
    <w:p w14:paraId="3EA79C08" w14:textId="3F19A5A4" w:rsidR="007C4D6C" w:rsidRDefault="007C4D6C" w:rsidP="00C46EB3"/>
    <w:p w14:paraId="55F44A09" w14:textId="17C923B9" w:rsidR="007C4D6C" w:rsidRDefault="007C4D6C" w:rsidP="00C46EB3"/>
    <w:p w14:paraId="1A6C2BA1" w14:textId="42D2748A" w:rsidR="007C4D6C" w:rsidRDefault="007C4D6C" w:rsidP="00C46EB3"/>
    <w:p w14:paraId="1ECD9CB0" w14:textId="5100DB83" w:rsidR="007C4D6C" w:rsidRDefault="007C4D6C" w:rsidP="00C46EB3"/>
    <w:p w14:paraId="28F206AF" w14:textId="67F73619" w:rsidR="007C4D6C" w:rsidRDefault="007C4D6C" w:rsidP="00C46EB3"/>
    <w:p w14:paraId="11E344B6" w14:textId="56CFB59C" w:rsidR="007C4D6C" w:rsidRDefault="007C4D6C" w:rsidP="00C46EB3"/>
    <w:p w14:paraId="56FB48EF" w14:textId="5A02925F" w:rsidR="007C4D6C" w:rsidRDefault="007C4D6C" w:rsidP="007C4D6C">
      <w:pPr>
        <w:pStyle w:val="Heading1"/>
        <w:rPr>
          <w:rFonts w:ascii="Times New Roman" w:hAnsi="Times New Roman"/>
        </w:rPr>
      </w:pPr>
      <w:bookmarkStart w:id="51" w:name="_Toc217239305"/>
      <w:r>
        <w:lastRenderedPageBreak/>
        <w:t>Reference List</w:t>
      </w:r>
      <w:bookmarkEnd w:id="51"/>
      <w:r>
        <w:t xml:space="preserve"> </w:t>
      </w:r>
    </w:p>
    <w:p w14:paraId="0129E9D2" w14:textId="77777777" w:rsidR="007C4D6C" w:rsidRDefault="007C4D6C" w:rsidP="007C4D6C">
      <w:r>
        <w:t xml:space="preserve">AlHares, A. (2025) ‘Ethical leadership and its impact on corporate sustainability and financial performance’, </w:t>
      </w:r>
      <w:r>
        <w:rPr>
          <w:rStyle w:val="Emphasis"/>
        </w:rPr>
        <w:t>Sustainability</w:t>
      </w:r>
      <w:r>
        <w:t xml:space="preserve">, 17, 6682. </w:t>
      </w:r>
      <w:hyperlink r:id="rId33" w:tgtFrame="_new" w:history="1">
        <w:r>
          <w:rPr>
            <w:rStyle w:val="Hyperlink"/>
          </w:rPr>
          <w:t>https://doi.org/10.3390/su17156682</w:t>
        </w:r>
      </w:hyperlink>
    </w:p>
    <w:p w14:paraId="3FFBCD78" w14:textId="77777777" w:rsidR="007C4D6C" w:rsidRDefault="007C4D6C" w:rsidP="007C4D6C">
      <w:r>
        <w:t xml:space="preserve">Andersen, P.D. (2024) </w:t>
      </w:r>
      <w:r>
        <w:rPr>
          <w:rStyle w:val="Emphasis"/>
        </w:rPr>
        <w:t>The PESTEL framework and its variants for analysing the strategic environment</w:t>
      </w:r>
      <w:r>
        <w:t xml:space="preserve">. SSRN. </w:t>
      </w:r>
      <w:hyperlink r:id="rId34" w:tgtFrame="_new" w:history="1">
        <w:r>
          <w:rPr>
            <w:rStyle w:val="Hyperlink"/>
          </w:rPr>
          <w:t>https://doi.org/10.2139/ssrn.5266562</w:t>
        </w:r>
      </w:hyperlink>
    </w:p>
    <w:p w14:paraId="3A064691" w14:textId="77777777" w:rsidR="007C4D6C" w:rsidRDefault="007C4D6C" w:rsidP="007C4D6C">
      <w:r>
        <w:t xml:space="preserve">Balani, K. (2024) ‘To analyze e-commerce growth of India’, </w:t>
      </w:r>
      <w:r>
        <w:rPr>
          <w:rStyle w:val="Emphasis"/>
        </w:rPr>
        <w:t>Effulgence – A Management Journal</w:t>
      </w:r>
      <w:r>
        <w:t xml:space="preserve">, 22(1), pp. 48–56. </w:t>
      </w:r>
      <w:hyperlink r:id="rId35" w:tgtFrame="_new" w:history="1">
        <w:r>
          <w:rPr>
            <w:rStyle w:val="Hyperlink"/>
          </w:rPr>
          <w:t>https://doi.org/10.33601/effulgence.rdias/v22/i1/2024/48-56</w:t>
        </w:r>
      </w:hyperlink>
    </w:p>
    <w:p w14:paraId="1DCE030B" w14:textId="77777777" w:rsidR="007C4D6C" w:rsidRDefault="007C4D6C" w:rsidP="007C4D6C">
      <w:r>
        <w:t xml:space="preserve">Bhat, M., Ikram, F., Rahman, M. and Naeem, M. (2023) ‘Economic freedom of the world: Wholly owned subsidiaries and joint ventures as binary response’, </w:t>
      </w:r>
      <w:r>
        <w:rPr>
          <w:rStyle w:val="Emphasis"/>
        </w:rPr>
        <w:t>Transnational Corporations Review</w:t>
      </w:r>
      <w:r>
        <w:t xml:space="preserve">. </w:t>
      </w:r>
      <w:hyperlink r:id="rId36" w:tgtFrame="_new" w:history="1">
        <w:r>
          <w:rPr>
            <w:rStyle w:val="Hyperlink"/>
          </w:rPr>
          <w:t>https://doi.org/10.1016/j.tncr.2023.09.005</w:t>
        </w:r>
      </w:hyperlink>
    </w:p>
    <w:p w14:paraId="035772B9" w14:textId="77777777" w:rsidR="007C4D6C" w:rsidRDefault="007C4D6C" w:rsidP="007C4D6C">
      <w:r>
        <w:t xml:space="preserve">Bouteraa, M. </w:t>
      </w:r>
      <w:r>
        <w:rPr>
          <w:rStyle w:val="Emphasis"/>
        </w:rPr>
        <w:t>et al.</w:t>
      </w:r>
      <w:r>
        <w:t xml:space="preserve"> (2023) ‘International joint ventures’ knowledge acquisition: A critical literature review’, </w:t>
      </w:r>
      <w:r>
        <w:rPr>
          <w:rStyle w:val="Emphasis"/>
        </w:rPr>
        <w:t>Sustainability</w:t>
      </w:r>
      <w:r>
        <w:t xml:space="preserve">, 15(8), 6364. </w:t>
      </w:r>
      <w:hyperlink r:id="rId37" w:tgtFrame="_new" w:history="1">
        <w:r>
          <w:rPr>
            <w:rStyle w:val="Hyperlink"/>
          </w:rPr>
          <w:t>https://doi.org/10.3390/su15086364</w:t>
        </w:r>
      </w:hyperlink>
    </w:p>
    <w:p w14:paraId="4CD8DFC0" w14:textId="77777777" w:rsidR="007C4D6C" w:rsidRDefault="007C4D6C" w:rsidP="007C4D6C">
      <w:r>
        <w:t xml:space="preserve">Cho, W.C., Atukeren, E. and Yim, H. (2023) ‘Overseas market expansion strategy based on technology, organisation and environment factors’, </w:t>
      </w:r>
      <w:r>
        <w:rPr>
          <w:rStyle w:val="Emphasis"/>
        </w:rPr>
        <w:t>Systems</w:t>
      </w:r>
      <w:r>
        <w:t>, 11(11), 532.</w:t>
      </w:r>
    </w:p>
    <w:p w14:paraId="370C9999" w14:textId="77777777" w:rsidR="007C4D6C" w:rsidRDefault="007C4D6C" w:rsidP="007C4D6C">
      <w:r>
        <w:t xml:space="preserve">Companies House (2025) </w:t>
      </w:r>
      <w:r>
        <w:rPr>
          <w:rStyle w:val="Emphasis"/>
        </w:rPr>
        <w:t>Waitrose Limited – Company Information</w:t>
      </w:r>
      <w:r>
        <w:t xml:space="preserve">. Available at: </w:t>
      </w:r>
      <w:hyperlink r:id="rId38" w:tgtFrame="_new" w:history="1">
        <w:r>
          <w:rPr>
            <w:rStyle w:val="Hyperlink"/>
          </w:rPr>
          <w:t>https://find-and-update.company-information.service.gov.uk/company/00099405</w:t>
        </w:r>
      </w:hyperlink>
    </w:p>
    <w:p w14:paraId="796D5C0B" w14:textId="77777777" w:rsidR="007C4D6C" w:rsidRDefault="007C4D6C" w:rsidP="007C4D6C">
      <w:r>
        <w:t xml:space="preserve">David, A., Ganeshkumar, C. and Sankar, J.G. (2022) </w:t>
      </w:r>
      <w:r>
        <w:rPr>
          <w:rStyle w:val="Emphasis"/>
        </w:rPr>
        <w:t>Impact of food safety and standards regulation on food business operators</w:t>
      </w:r>
      <w:r>
        <w:t>.</w:t>
      </w:r>
    </w:p>
    <w:p w14:paraId="73710D8D" w14:textId="77777777" w:rsidR="007C4D6C" w:rsidRDefault="007C4D6C" w:rsidP="007C4D6C">
      <w:r>
        <w:t xml:space="preserve">Dekimpe, M.G. and Van Heerde, H.J. (2023) ‘Retailing in times of soaring inflation’, </w:t>
      </w:r>
      <w:r>
        <w:rPr>
          <w:rStyle w:val="Emphasis"/>
        </w:rPr>
        <w:t>Journal of Retailing</w:t>
      </w:r>
      <w:r>
        <w:t xml:space="preserve">, 99(3), pp. 322–336. </w:t>
      </w:r>
      <w:hyperlink r:id="rId39" w:tgtFrame="_new" w:history="1">
        <w:r>
          <w:rPr>
            <w:rStyle w:val="Hyperlink"/>
          </w:rPr>
          <w:t>https://doi.org/10.1016/j.jretai.2023.07.002</w:t>
        </w:r>
      </w:hyperlink>
    </w:p>
    <w:p w14:paraId="5321C84B" w14:textId="77777777" w:rsidR="007C4D6C" w:rsidRDefault="007C4D6C" w:rsidP="007C4D6C">
      <w:r>
        <w:t xml:space="preserve">Dinu, A.-M. (2018) ‘International market entry strategies’, </w:t>
      </w:r>
      <w:r>
        <w:rPr>
          <w:rStyle w:val="Emphasis"/>
        </w:rPr>
        <w:t>Journal of Economic Studies</w:t>
      </w:r>
      <w:r>
        <w:t>, 4, pp. 20–25.</w:t>
      </w:r>
    </w:p>
    <w:p w14:paraId="520DB8A4" w14:textId="77777777" w:rsidR="007C4D6C" w:rsidRDefault="007C4D6C" w:rsidP="007C4D6C">
      <w:r>
        <w:t xml:space="preserve">IBEF (2024) </w:t>
      </w:r>
      <w:r>
        <w:rPr>
          <w:rStyle w:val="Emphasis"/>
        </w:rPr>
        <w:t>Affordable luxury: Understanding premiumisation and evolving consumer preferences in India</w:t>
      </w:r>
      <w:r>
        <w:t xml:space="preserve">. Available at: </w:t>
      </w:r>
      <w:hyperlink r:id="rId40" w:tgtFrame="_new" w:history="1">
        <w:r>
          <w:rPr>
            <w:rStyle w:val="Hyperlink"/>
          </w:rPr>
          <w:t>https://www.ibef.org/research/case-study/affordable-luxury-understanding-premiumisation-and-evolving-consumer-preferences</w:t>
        </w:r>
      </w:hyperlink>
    </w:p>
    <w:p w14:paraId="73714BC9" w14:textId="77777777" w:rsidR="007C4D6C" w:rsidRDefault="007C4D6C" w:rsidP="007C4D6C">
      <w:r>
        <w:t xml:space="preserve">IBEF (2025) </w:t>
      </w:r>
      <w:r>
        <w:rPr>
          <w:rStyle w:val="Emphasis"/>
        </w:rPr>
        <w:t>Retail industry in India</w:t>
      </w:r>
      <w:r>
        <w:t xml:space="preserve">. Available at: </w:t>
      </w:r>
      <w:hyperlink r:id="rId41" w:tgtFrame="_new" w:history="1">
        <w:r>
          <w:rPr>
            <w:rStyle w:val="Hyperlink"/>
          </w:rPr>
          <w:t>https://www.ibef.org/industry/retail-india</w:t>
        </w:r>
      </w:hyperlink>
    </w:p>
    <w:p w14:paraId="5C75408D" w14:textId="77777777" w:rsidR="007C4D6C" w:rsidRDefault="007C4D6C" w:rsidP="007C4D6C">
      <w:r>
        <w:lastRenderedPageBreak/>
        <w:t xml:space="preserve">Ionescu, Ș., Dumitrescu, G., Ioanăș, C. and Delcea, C. (2024) ‘Mapping the landscape of key performance and key risk indicators in business’, </w:t>
      </w:r>
      <w:r>
        <w:rPr>
          <w:rStyle w:val="Emphasis"/>
        </w:rPr>
        <w:t>Risks</w:t>
      </w:r>
      <w:r>
        <w:t xml:space="preserve">, 12(8), 125. </w:t>
      </w:r>
      <w:hyperlink r:id="rId42" w:tgtFrame="_new" w:history="1">
        <w:r>
          <w:rPr>
            <w:rStyle w:val="Hyperlink"/>
          </w:rPr>
          <w:t>https://doi.org/10.3390/risks12080125</w:t>
        </w:r>
      </w:hyperlink>
    </w:p>
    <w:p w14:paraId="193A35AB" w14:textId="77777777" w:rsidR="007C4D6C" w:rsidRDefault="007C4D6C" w:rsidP="007C4D6C">
      <w:r>
        <w:t xml:space="preserve">Jagannarayan, N. (2025) </w:t>
      </w:r>
      <w:r>
        <w:rPr>
          <w:rStyle w:val="Emphasis"/>
        </w:rPr>
        <w:t>India’s digital payment boom: Trends, impact &amp; future</w:t>
      </w:r>
      <w:r>
        <w:t>.</w:t>
      </w:r>
    </w:p>
    <w:p w14:paraId="6929AFCB" w14:textId="77777777" w:rsidR="007C4D6C" w:rsidRDefault="007C4D6C" w:rsidP="007C4D6C">
      <w:r>
        <w:t xml:space="preserve">Jali, N., Doorasamy, M. and Gregory, V. (2025) ‘The interplay between triple bottom line elements and organizational sustainability’, </w:t>
      </w:r>
      <w:r>
        <w:rPr>
          <w:rStyle w:val="Emphasis"/>
        </w:rPr>
        <w:t>International Journal of Research in Business and Social Science</w:t>
      </w:r>
      <w:r>
        <w:t xml:space="preserve">, 14, pp. 100–109. </w:t>
      </w:r>
      <w:hyperlink r:id="rId43" w:tgtFrame="_new" w:history="1">
        <w:r>
          <w:rPr>
            <w:rStyle w:val="Hyperlink"/>
          </w:rPr>
          <w:t>https://doi.org/10.20525/ijrbs.v14i8.4387</w:t>
        </w:r>
      </w:hyperlink>
    </w:p>
    <w:p w14:paraId="7F49F44E" w14:textId="77777777" w:rsidR="007C4D6C" w:rsidRDefault="007C4D6C" w:rsidP="007C4D6C">
      <w:r>
        <w:t xml:space="preserve">Jani, D.B. (2025) ‘Development and opportunities in cold supply chain in India’, </w:t>
      </w:r>
      <w:r>
        <w:rPr>
          <w:rStyle w:val="Emphasis"/>
        </w:rPr>
        <w:t>International Journal</w:t>
      </w:r>
      <w:r>
        <w:t>, 20, pp. 32–35.</w:t>
      </w:r>
    </w:p>
    <w:p w14:paraId="532E5450" w14:textId="77777777" w:rsidR="007C4D6C" w:rsidRDefault="007C4D6C" w:rsidP="007C4D6C">
      <w:r>
        <w:t xml:space="preserve">John Lewis Partnership (2022) </w:t>
      </w:r>
      <w:r>
        <w:rPr>
          <w:rStyle w:val="Emphasis"/>
        </w:rPr>
        <w:t>Annual Report and Accounts 2022</w:t>
      </w:r>
      <w:r>
        <w:t xml:space="preserve">. Available at: </w:t>
      </w:r>
      <w:hyperlink r:id="rId44" w:tgtFrame="_new" w:history="1">
        <w:r>
          <w:rPr>
            <w:rStyle w:val="Hyperlink"/>
          </w:rPr>
          <w:t>https://www.johnlewispartnership.co.uk</w:t>
        </w:r>
      </w:hyperlink>
    </w:p>
    <w:p w14:paraId="33656432" w14:textId="77777777" w:rsidR="007C4D6C" w:rsidRDefault="007C4D6C" w:rsidP="007C4D6C">
      <w:r>
        <w:t xml:space="preserve">John Lewis Partnership (2023) </w:t>
      </w:r>
      <w:r>
        <w:rPr>
          <w:rStyle w:val="Emphasis"/>
        </w:rPr>
        <w:t>Annual Report and Accounts 2023</w:t>
      </w:r>
      <w:r>
        <w:t xml:space="preserve">. Available at: </w:t>
      </w:r>
      <w:hyperlink r:id="rId45" w:tgtFrame="_new" w:history="1">
        <w:r>
          <w:rPr>
            <w:rStyle w:val="Hyperlink"/>
          </w:rPr>
          <w:t>https://www.johnlewispartnership.co.uk</w:t>
        </w:r>
      </w:hyperlink>
    </w:p>
    <w:p w14:paraId="53C1918D" w14:textId="77777777" w:rsidR="007C4D6C" w:rsidRDefault="007C4D6C" w:rsidP="007C4D6C">
      <w:r>
        <w:t xml:space="preserve">John Lewis Partnership (2024) </w:t>
      </w:r>
      <w:r>
        <w:rPr>
          <w:rStyle w:val="Emphasis"/>
        </w:rPr>
        <w:t>Annual Report and Accounts 2024</w:t>
      </w:r>
      <w:r>
        <w:t xml:space="preserve">. Available at: </w:t>
      </w:r>
      <w:hyperlink r:id="rId46" w:tgtFrame="_new" w:history="1">
        <w:r>
          <w:rPr>
            <w:rStyle w:val="Hyperlink"/>
          </w:rPr>
          <w:t>https://www.johnlewispartnership.co.uk</w:t>
        </w:r>
      </w:hyperlink>
    </w:p>
    <w:p w14:paraId="43F9C1B0" w14:textId="77777777" w:rsidR="007C4D6C" w:rsidRDefault="007C4D6C" w:rsidP="007C4D6C">
      <w:r>
        <w:t xml:space="preserve">Kaul, P. (2024) ‘Re-examining the relevance of Michael Porter’s Five Forces Framework’, </w:t>
      </w:r>
      <w:r>
        <w:rPr>
          <w:rStyle w:val="Emphasis"/>
        </w:rPr>
        <w:t>International Journal for Multidisciplinary Research</w:t>
      </w:r>
      <w:r>
        <w:t>, 6.</w:t>
      </w:r>
    </w:p>
    <w:p w14:paraId="5F885341" w14:textId="77777777" w:rsidR="007C4D6C" w:rsidRDefault="007C4D6C" w:rsidP="007C4D6C">
      <w:r>
        <w:t xml:space="preserve">Kininmonth, A.R. </w:t>
      </w:r>
      <w:r>
        <w:rPr>
          <w:rStyle w:val="Emphasis"/>
        </w:rPr>
        <w:t>et al.</w:t>
      </w:r>
      <w:r>
        <w:t xml:space="preserve"> (2025) ‘Customer awareness and perceptions of HFSS placement legislation’, </w:t>
      </w:r>
      <w:r>
        <w:rPr>
          <w:rStyle w:val="Emphasis"/>
        </w:rPr>
        <w:t>Food Policy</w:t>
      </w:r>
      <w:r>
        <w:t xml:space="preserve">, 135, 102941. </w:t>
      </w:r>
      <w:hyperlink r:id="rId47" w:tgtFrame="_new" w:history="1">
        <w:r>
          <w:rPr>
            <w:rStyle w:val="Hyperlink"/>
          </w:rPr>
          <w:t>https://doi.org/10.1016/j.foodpol.2025.102941</w:t>
        </w:r>
      </w:hyperlink>
    </w:p>
    <w:p w14:paraId="0BEEC80C" w14:textId="77777777" w:rsidR="007C4D6C" w:rsidRDefault="007C4D6C" w:rsidP="007C4D6C">
      <w:r>
        <w:t xml:space="preserve">Kocúrek, M. (2024) ‘Impact of ownership-location-internalization (OLI) paradigm on foreign direct investment’, </w:t>
      </w:r>
      <w:r>
        <w:rPr>
          <w:rStyle w:val="Emphasis"/>
        </w:rPr>
        <w:t>Ekonomické rozhľady – Economic Review</w:t>
      </w:r>
      <w:r>
        <w:t xml:space="preserve">, 53, pp. 109–130. </w:t>
      </w:r>
      <w:hyperlink r:id="rId48" w:tgtFrame="_new" w:history="1">
        <w:r>
          <w:rPr>
            <w:rStyle w:val="Hyperlink"/>
          </w:rPr>
          <w:t>https://doi.org/10.53465/ER.2644-7185.2024.2.109-130</w:t>
        </w:r>
      </w:hyperlink>
    </w:p>
    <w:p w14:paraId="627D2942" w14:textId="77777777" w:rsidR="007C4D6C" w:rsidRDefault="007C4D6C" w:rsidP="007C4D6C">
      <w:r>
        <w:t xml:space="preserve">Kushariyadi </w:t>
      </w:r>
      <w:r>
        <w:rPr>
          <w:rStyle w:val="Emphasis"/>
        </w:rPr>
        <w:t>et al.</w:t>
      </w:r>
      <w:r>
        <w:t xml:space="preserve"> (2025) ‘Performance management based on key performance indicators’, </w:t>
      </w:r>
      <w:r>
        <w:rPr>
          <w:rStyle w:val="Emphasis"/>
        </w:rPr>
        <w:t>Maneggio</w:t>
      </w:r>
      <w:r>
        <w:t xml:space="preserve">, 2, pp. 90–102. </w:t>
      </w:r>
      <w:hyperlink r:id="rId49" w:tgtFrame="_new" w:history="1">
        <w:r>
          <w:rPr>
            <w:rStyle w:val="Hyperlink"/>
          </w:rPr>
          <w:t>https://doi.org/10.62872/7yx54j15</w:t>
        </w:r>
      </w:hyperlink>
    </w:p>
    <w:p w14:paraId="76A4ABF4" w14:textId="77777777" w:rsidR="007C4D6C" w:rsidRDefault="007C4D6C" w:rsidP="007C4D6C">
      <w:r>
        <w:t xml:space="preserve">Mahajan, S. </w:t>
      </w:r>
      <w:r>
        <w:rPr>
          <w:rStyle w:val="Emphasis"/>
        </w:rPr>
        <w:t>et al.</w:t>
      </w:r>
      <w:r>
        <w:t xml:space="preserve"> (2024) </w:t>
      </w:r>
      <w:r>
        <w:rPr>
          <w:rStyle w:val="Emphasis"/>
        </w:rPr>
        <w:t>FabIndia: Navigating the crossroads of tradition and enterprise</w:t>
      </w:r>
      <w:r>
        <w:t xml:space="preserve">. </w:t>
      </w:r>
      <w:hyperlink r:id="rId50" w:tgtFrame="_new" w:history="1">
        <w:r>
          <w:rPr>
            <w:rStyle w:val="Hyperlink"/>
          </w:rPr>
          <w:t>https://doi.org/10.13140/RG.2.2.31177.93285</w:t>
        </w:r>
      </w:hyperlink>
    </w:p>
    <w:p w14:paraId="2665ADD2" w14:textId="77777777" w:rsidR="007C4D6C" w:rsidRDefault="007C4D6C" w:rsidP="007C4D6C">
      <w:r>
        <w:lastRenderedPageBreak/>
        <w:t xml:space="preserve">Maheshkumar, S., Kedar, M., Karlekar, S. and Gosavi, G. (2025) ‘Foreign direct investment in Indian retail sector’, </w:t>
      </w:r>
      <w:r>
        <w:rPr>
          <w:rStyle w:val="Emphasis"/>
        </w:rPr>
        <w:t>ACADEMICIA</w:t>
      </w:r>
      <w:r>
        <w:t xml:space="preserve">, 15. </w:t>
      </w:r>
      <w:hyperlink r:id="rId51" w:tgtFrame="_new" w:history="1">
        <w:r>
          <w:rPr>
            <w:rStyle w:val="Hyperlink"/>
          </w:rPr>
          <w:t>https://doi.org/10.5958/2249-7137.2025.00039.3</w:t>
        </w:r>
      </w:hyperlink>
    </w:p>
    <w:p w14:paraId="25CA26A2" w14:textId="77777777" w:rsidR="007C4D6C" w:rsidRDefault="007C4D6C" w:rsidP="007C4D6C">
      <w:r>
        <w:t xml:space="preserve">Madsen, D. (2025) ‘Balanced Scorecard: History, implementation, and impact’, </w:t>
      </w:r>
      <w:r>
        <w:rPr>
          <w:rStyle w:val="Emphasis"/>
        </w:rPr>
        <w:t>Encyclopedia</w:t>
      </w:r>
      <w:r>
        <w:t xml:space="preserve">, 5, p. 39. </w:t>
      </w:r>
      <w:hyperlink r:id="rId52" w:tgtFrame="_new" w:history="1">
        <w:r>
          <w:rPr>
            <w:rStyle w:val="Hyperlink"/>
          </w:rPr>
          <w:t>https://doi.org/10.3390/encyclopedia5010039</w:t>
        </w:r>
      </w:hyperlink>
    </w:p>
    <w:p w14:paraId="5738EA6B" w14:textId="77777777" w:rsidR="007C4D6C" w:rsidRDefault="007C4D6C" w:rsidP="007C4D6C">
      <w:r>
        <w:t xml:space="preserve">Mishra, S. </w:t>
      </w:r>
      <w:r>
        <w:rPr>
          <w:rStyle w:val="Emphasis"/>
        </w:rPr>
        <w:t>et al.</w:t>
      </w:r>
      <w:r>
        <w:t xml:space="preserve"> (2024) </w:t>
      </w:r>
      <w:r>
        <w:rPr>
          <w:rStyle w:val="Emphasis"/>
        </w:rPr>
        <w:t>The transformation of the food and grocery retail sector in India</w:t>
      </w:r>
      <w:r>
        <w:t xml:space="preserve">. </w:t>
      </w:r>
      <w:hyperlink r:id="rId53" w:tgtFrame="_new" w:history="1">
        <w:r>
          <w:rPr>
            <w:rStyle w:val="Hyperlink"/>
          </w:rPr>
          <w:t>https://doi.org/10.5281/zenodo.14313005</w:t>
        </w:r>
      </w:hyperlink>
    </w:p>
    <w:p w14:paraId="3D85F558" w14:textId="77777777" w:rsidR="007C4D6C" w:rsidRDefault="007C4D6C" w:rsidP="007C4D6C">
      <w:r>
        <w:t xml:space="preserve">Mukherjee, A. </w:t>
      </w:r>
      <w:r>
        <w:rPr>
          <w:rStyle w:val="Emphasis"/>
        </w:rPr>
        <w:t>et al.</w:t>
      </w:r>
      <w:r>
        <w:t xml:space="preserve"> (2019) ‘Food imports in India: Prospects, issues and way forward’, </w:t>
      </w:r>
      <w:r>
        <w:rPr>
          <w:rStyle w:val="Emphasis"/>
        </w:rPr>
        <w:t>Journal of Economic Science Research</w:t>
      </w:r>
      <w:r>
        <w:t xml:space="preserve">, 2. </w:t>
      </w:r>
      <w:hyperlink r:id="rId54" w:tgtFrame="_new" w:history="1">
        <w:r>
          <w:rPr>
            <w:rStyle w:val="Hyperlink"/>
          </w:rPr>
          <w:t>https://doi.org/10.30564/jesr.v2i3.841</w:t>
        </w:r>
      </w:hyperlink>
    </w:p>
    <w:p w14:paraId="57220F14" w14:textId="77777777" w:rsidR="007C4D6C" w:rsidRDefault="007C4D6C" w:rsidP="007C4D6C">
      <w:r>
        <w:t xml:space="preserve">Mukherjee, S. (2025) ‘Food retail market in India’, </w:t>
      </w:r>
      <w:r>
        <w:rPr>
          <w:rStyle w:val="Emphasis"/>
        </w:rPr>
        <w:t>Journal</w:t>
      </w:r>
      <w:r>
        <w:t>, 5, pp. 95–99.</w:t>
      </w:r>
    </w:p>
    <w:p w14:paraId="50A95180" w14:textId="77777777" w:rsidR="007C4D6C" w:rsidRDefault="007C4D6C" w:rsidP="007C4D6C">
      <w:r>
        <w:t xml:space="preserve">Naga Lakshmi, M.V.N. (2025) ‘The future of retail in India’, </w:t>
      </w:r>
      <w:r>
        <w:rPr>
          <w:rStyle w:val="Emphasis"/>
        </w:rPr>
        <w:t>Journal of Marketing &amp; Social Research</w:t>
      </w:r>
      <w:r>
        <w:t>, 2(4), pp. 185–198.</w:t>
      </w:r>
    </w:p>
    <w:p w14:paraId="0AA8702C" w14:textId="77777777" w:rsidR="007C4D6C" w:rsidRDefault="007C4D6C" w:rsidP="007C4D6C">
      <w:r>
        <w:t xml:space="preserve">Pangarkar, N. and Prabhudesai, R. (2024) ‘Using Porter’s Five Forces analysis to drive strategy’, </w:t>
      </w:r>
      <w:r>
        <w:rPr>
          <w:rStyle w:val="Emphasis"/>
        </w:rPr>
        <w:t>Global Business and Organizational Excellence</w:t>
      </w:r>
      <w:r>
        <w:t xml:space="preserve">. </w:t>
      </w:r>
      <w:hyperlink r:id="rId55" w:tgtFrame="_new" w:history="1">
        <w:r>
          <w:rPr>
            <w:rStyle w:val="Hyperlink"/>
          </w:rPr>
          <w:t>https://doi.org/10.1002/joe.22250</w:t>
        </w:r>
      </w:hyperlink>
    </w:p>
    <w:p w14:paraId="7AE40533" w14:textId="77777777" w:rsidR="007C4D6C" w:rsidRDefault="007C4D6C" w:rsidP="007C4D6C">
      <w:r>
        <w:t xml:space="preserve">Ramsudeen, R. (2025) ‘A theoretical, diagnostic review of SWOT, PESTLE and Porter’s models’, </w:t>
      </w:r>
      <w:r>
        <w:rPr>
          <w:rStyle w:val="Emphasis"/>
        </w:rPr>
        <w:t>Texila International Journal of Management</w:t>
      </w:r>
      <w:r>
        <w:t>.</w:t>
      </w:r>
    </w:p>
    <w:p w14:paraId="18A85EBB" w14:textId="77777777" w:rsidR="007C4D6C" w:rsidRDefault="007C4D6C" w:rsidP="007C4D6C">
      <w:r>
        <w:t xml:space="preserve">Sengar, L.S. </w:t>
      </w:r>
      <w:r>
        <w:rPr>
          <w:rStyle w:val="Emphasis"/>
        </w:rPr>
        <w:t>et al.</w:t>
      </w:r>
      <w:r>
        <w:t xml:space="preserve"> (2025) ‘Sustainability practices in retail’, </w:t>
      </w:r>
      <w:r>
        <w:rPr>
          <w:rStyle w:val="Emphasis"/>
        </w:rPr>
        <w:t>International Journal for Multidisciplinary Research</w:t>
      </w:r>
      <w:r>
        <w:t>, 7(4).</w:t>
      </w:r>
    </w:p>
    <w:p w14:paraId="0E46E050" w14:textId="77777777" w:rsidR="007C4D6C" w:rsidRDefault="007C4D6C" w:rsidP="007C4D6C">
      <w:r>
        <w:t xml:space="preserve">Shukla, B. and Pandey, D. (2025) ‘Ethical business practices for sustainability’, </w:t>
      </w:r>
      <w:r>
        <w:rPr>
          <w:rStyle w:val="Emphasis"/>
        </w:rPr>
        <w:t>EPRA International Journal of Environmental Economics, Commerce and Educational Management</w:t>
      </w:r>
      <w:r>
        <w:t>, 12(3).</w:t>
      </w:r>
    </w:p>
    <w:p w14:paraId="50180F44" w14:textId="77777777" w:rsidR="007C4D6C" w:rsidRDefault="007C4D6C" w:rsidP="007C4D6C">
      <w:r>
        <w:t xml:space="preserve">Sirakaya, Y. and Polat, Z. (2024) ‘Challenges, cultural differences and global business strategies’, </w:t>
      </w:r>
      <w:r>
        <w:rPr>
          <w:rStyle w:val="Emphasis"/>
        </w:rPr>
        <w:t>Current Science</w:t>
      </w:r>
      <w:r>
        <w:t xml:space="preserve">, 5, pp. 1–10. </w:t>
      </w:r>
      <w:hyperlink r:id="rId56" w:tgtFrame="_new" w:history="1">
        <w:r>
          <w:rPr>
            <w:rStyle w:val="Hyperlink"/>
          </w:rPr>
          <w:t>https://doi.org/10.5281/zenodo.12675317</w:t>
        </w:r>
      </w:hyperlink>
    </w:p>
    <w:p w14:paraId="460E7201" w14:textId="77777777" w:rsidR="007C4D6C" w:rsidRDefault="007C4D6C" w:rsidP="007C4D6C">
      <w:r>
        <w:t xml:space="preserve">Thampi, A. (2025) ‘Urbanization in India: Trends, challenges and strategies’, </w:t>
      </w:r>
      <w:r>
        <w:rPr>
          <w:rStyle w:val="Emphasis"/>
        </w:rPr>
        <w:t>International Journal of Advanced Research</w:t>
      </w:r>
      <w:r>
        <w:t xml:space="preserve">, 13, pp. 1374–1383. </w:t>
      </w:r>
      <w:hyperlink r:id="rId57" w:tgtFrame="_new" w:history="1">
        <w:r>
          <w:rPr>
            <w:rStyle w:val="Hyperlink"/>
          </w:rPr>
          <w:t>https://doi.org/10.21474/IJAR01/20848</w:t>
        </w:r>
      </w:hyperlink>
    </w:p>
    <w:p w14:paraId="33386316" w14:textId="77777777" w:rsidR="007C4D6C" w:rsidRDefault="007C4D6C" w:rsidP="007C4D6C">
      <w:r>
        <w:lastRenderedPageBreak/>
        <w:t xml:space="preserve">Waitrose Foundation (2025) </w:t>
      </w:r>
      <w:r>
        <w:rPr>
          <w:rStyle w:val="Emphasis"/>
        </w:rPr>
        <w:t>Waitrose Foundation Annual Report</w:t>
      </w:r>
      <w:r>
        <w:t xml:space="preserve">. Available at: </w:t>
      </w:r>
      <w:hyperlink r:id="rId58" w:tgtFrame="_new" w:history="1">
        <w:r>
          <w:rPr>
            <w:rStyle w:val="Hyperlink"/>
          </w:rPr>
          <w:t>https://www.johnlewispartnership.co.uk</w:t>
        </w:r>
      </w:hyperlink>
    </w:p>
    <w:p w14:paraId="153E0ADA" w14:textId="77777777" w:rsidR="007C4D6C" w:rsidRDefault="007C4D6C" w:rsidP="007C4D6C">
      <w:r>
        <w:t xml:space="preserve">Wedraogo, L. </w:t>
      </w:r>
      <w:r>
        <w:rPr>
          <w:rStyle w:val="Emphasis"/>
        </w:rPr>
        <w:t>et al.</w:t>
      </w:r>
      <w:r>
        <w:t xml:space="preserve"> (2023) ‘Analyzing risk management practices in international business expansion’, </w:t>
      </w:r>
      <w:r>
        <w:rPr>
          <w:rStyle w:val="Emphasis"/>
        </w:rPr>
        <w:t>Journal of Frontiers in Multidisciplinary Research</w:t>
      </w:r>
      <w:r>
        <w:t xml:space="preserve">, 4(2), pp. 300–313. </w:t>
      </w:r>
      <w:hyperlink r:id="rId59" w:tgtFrame="_new" w:history="1">
        <w:r>
          <w:rPr>
            <w:rStyle w:val="Hyperlink"/>
          </w:rPr>
          <w:t>https://doi.org/10.54660/.JFMR.2023.4.2.300-313</w:t>
        </w:r>
      </w:hyperlink>
    </w:p>
    <w:p w14:paraId="08330818" w14:textId="77777777" w:rsidR="007C4D6C" w:rsidRDefault="007C4D6C" w:rsidP="007C4D6C">
      <w:r>
        <w:t xml:space="preserve">Witantri, G. </w:t>
      </w:r>
      <w:r>
        <w:rPr>
          <w:rStyle w:val="Emphasis"/>
        </w:rPr>
        <w:t>et al.</w:t>
      </w:r>
      <w:r>
        <w:t xml:space="preserve"> (2025) ‘Financial risk management strategies in SME international expansion’, </w:t>
      </w:r>
      <w:r>
        <w:rPr>
          <w:rStyle w:val="Emphasis"/>
        </w:rPr>
        <w:t>SHS Web of Conferences</w:t>
      </w:r>
      <w:r>
        <w:t xml:space="preserve">, 217. </w:t>
      </w:r>
      <w:hyperlink r:id="rId60" w:tgtFrame="_new" w:history="1">
        <w:r>
          <w:rPr>
            <w:rStyle w:val="Hyperlink"/>
          </w:rPr>
          <w:t>https://doi.org/10.1051/shsconf/202521702003</w:t>
        </w:r>
      </w:hyperlink>
    </w:p>
    <w:p w14:paraId="28CA2B5B" w14:textId="77777777" w:rsidR="007C4D6C" w:rsidRDefault="007C4D6C" w:rsidP="007C4D6C">
      <w:r>
        <w:t xml:space="preserve">World Bank (2025) </w:t>
      </w:r>
      <w:r>
        <w:rPr>
          <w:rStyle w:val="Emphasis"/>
        </w:rPr>
        <w:t>India country overview</w:t>
      </w:r>
      <w:r>
        <w:t xml:space="preserve">. Available at: </w:t>
      </w:r>
      <w:hyperlink r:id="rId61" w:tgtFrame="_new" w:history="1">
        <w:r>
          <w:rPr>
            <w:rStyle w:val="Hyperlink"/>
          </w:rPr>
          <w:t>https://www.worldbank.org/ext/en/country/india</w:t>
        </w:r>
      </w:hyperlink>
    </w:p>
    <w:p w14:paraId="6EEE0318" w14:textId="77777777" w:rsidR="007C4D6C" w:rsidRDefault="007C4D6C" w:rsidP="007C4D6C">
      <w:r>
        <w:t xml:space="preserve">WWF (2024) </w:t>
      </w:r>
      <w:r>
        <w:rPr>
          <w:rStyle w:val="Emphasis"/>
        </w:rPr>
        <w:t>Responsible sourcing and the future of Indian retail</w:t>
      </w:r>
      <w:r>
        <w:t xml:space="preserve">. Available at: </w:t>
      </w:r>
      <w:hyperlink r:id="rId62" w:tgtFrame="_new" w:history="1">
        <w:r>
          <w:rPr>
            <w:rStyle w:val="Hyperlink"/>
          </w:rPr>
          <w:t>https://wwfin.awsassets.panda.org</w:t>
        </w:r>
      </w:hyperlink>
    </w:p>
    <w:p w14:paraId="3BF9A309" w14:textId="77777777" w:rsidR="007C4D6C" w:rsidRDefault="007C4D6C" w:rsidP="007C4D6C">
      <w:r>
        <w:t xml:space="preserve">Yadav, J. and Yadav, R.N. (2025) ‘Impact of tariff and non-tariff measures in the Indian retail sector’, </w:t>
      </w:r>
      <w:r>
        <w:rPr>
          <w:rStyle w:val="Emphasis"/>
        </w:rPr>
        <w:t>International Journal for Multidisciplinary Research</w:t>
      </w:r>
      <w:r>
        <w:t>, 7(3).</w:t>
      </w:r>
    </w:p>
    <w:p w14:paraId="7977040D" w14:textId="77777777" w:rsidR="007C4D6C" w:rsidRDefault="007C4D6C" w:rsidP="00C46EB3"/>
    <w:p w14:paraId="7309330E" w14:textId="77777777" w:rsidR="00C46EB3" w:rsidRPr="008B634E" w:rsidRDefault="00C46EB3" w:rsidP="008B634E"/>
    <w:sectPr w:rsidR="00C46EB3" w:rsidRPr="008B634E">
      <w:footerReference w:type="default" r:id="rId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36D99" w14:textId="77777777" w:rsidR="00D720A3" w:rsidRDefault="00D720A3" w:rsidP="0066428B">
      <w:pPr>
        <w:spacing w:after="0" w:line="240" w:lineRule="auto"/>
      </w:pPr>
      <w:r>
        <w:separator/>
      </w:r>
    </w:p>
  </w:endnote>
  <w:endnote w:type="continuationSeparator" w:id="0">
    <w:p w14:paraId="4FB016D1" w14:textId="77777777" w:rsidR="00D720A3" w:rsidRDefault="00D720A3" w:rsidP="00664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6500949"/>
      <w:docPartObj>
        <w:docPartGallery w:val="Page Numbers (Bottom of Page)"/>
        <w:docPartUnique/>
      </w:docPartObj>
    </w:sdtPr>
    <w:sdtEndPr>
      <w:rPr>
        <w:noProof/>
      </w:rPr>
    </w:sdtEndPr>
    <w:sdtContent>
      <w:p w14:paraId="4AFC79B9" w14:textId="0A846DAA" w:rsidR="00E81512" w:rsidRDefault="00E815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1B51D3" w14:textId="77777777" w:rsidR="00E81512" w:rsidRDefault="00E81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02E43A" w14:textId="77777777" w:rsidR="00D720A3" w:rsidRDefault="00D720A3" w:rsidP="0066428B">
      <w:pPr>
        <w:spacing w:after="0" w:line="240" w:lineRule="auto"/>
      </w:pPr>
      <w:r>
        <w:separator/>
      </w:r>
    </w:p>
  </w:footnote>
  <w:footnote w:type="continuationSeparator" w:id="0">
    <w:p w14:paraId="36B8840E" w14:textId="77777777" w:rsidR="00D720A3" w:rsidRDefault="00D720A3" w:rsidP="00664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5D7B81"/>
    <w:multiLevelType w:val="hybridMultilevel"/>
    <w:tmpl w:val="A412C3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C4B54E2"/>
    <w:multiLevelType w:val="hybridMultilevel"/>
    <w:tmpl w:val="2F5A1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F60B7"/>
    <w:multiLevelType w:val="hybridMultilevel"/>
    <w:tmpl w:val="1C1A7F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1C446CC"/>
    <w:multiLevelType w:val="hybridMultilevel"/>
    <w:tmpl w:val="6B168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FC3885"/>
    <w:multiLevelType w:val="hybridMultilevel"/>
    <w:tmpl w:val="286289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B837D60"/>
    <w:multiLevelType w:val="hybridMultilevel"/>
    <w:tmpl w:val="1A720B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B3F61CF"/>
    <w:multiLevelType w:val="hybridMultilevel"/>
    <w:tmpl w:val="23467D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6"/>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D"/>
    <w:rsid w:val="00013387"/>
    <w:rsid w:val="000147FA"/>
    <w:rsid w:val="0001637B"/>
    <w:rsid w:val="00020C3B"/>
    <w:rsid w:val="00021A29"/>
    <w:rsid w:val="00022D18"/>
    <w:rsid w:val="00023BF2"/>
    <w:rsid w:val="0004302C"/>
    <w:rsid w:val="00052DF0"/>
    <w:rsid w:val="0006124E"/>
    <w:rsid w:val="00061D77"/>
    <w:rsid w:val="00066C53"/>
    <w:rsid w:val="000749FE"/>
    <w:rsid w:val="00074A55"/>
    <w:rsid w:val="00077C87"/>
    <w:rsid w:val="0008045E"/>
    <w:rsid w:val="0008124C"/>
    <w:rsid w:val="000A3AEC"/>
    <w:rsid w:val="000A7CDF"/>
    <w:rsid w:val="000B5C22"/>
    <w:rsid w:val="000B6A2B"/>
    <w:rsid w:val="000B6A4A"/>
    <w:rsid w:val="000B6E1A"/>
    <w:rsid w:val="000C3B79"/>
    <w:rsid w:val="000C6D89"/>
    <w:rsid w:val="000D576F"/>
    <w:rsid w:val="000F1DBB"/>
    <w:rsid w:val="0011217D"/>
    <w:rsid w:val="00116D06"/>
    <w:rsid w:val="0012315A"/>
    <w:rsid w:val="00140C73"/>
    <w:rsid w:val="001464BB"/>
    <w:rsid w:val="001523F4"/>
    <w:rsid w:val="0015559A"/>
    <w:rsid w:val="0015759D"/>
    <w:rsid w:val="00160148"/>
    <w:rsid w:val="001758F2"/>
    <w:rsid w:val="00190BBD"/>
    <w:rsid w:val="0019114A"/>
    <w:rsid w:val="0019384D"/>
    <w:rsid w:val="00193BEF"/>
    <w:rsid w:val="001A6E22"/>
    <w:rsid w:val="001D08AF"/>
    <w:rsid w:val="001D2348"/>
    <w:rsid w:val="001E2E9C"/>
    <w:rsid w:val="001E3B03"/>
    <w:rsid w:val="001F3581"/>
    <w:rsid w:val="001F5953"/>
    <w:rsid w:val="00200442"/>
    <w:rsid w:val="00205085"/>
    <w:rsid w:val="002077DD"/>
    <w:rsid w:val="00212171"/>
    <w:rsid w:val="00212306"/>
    <w:rsid w:val="002250E7"/>
    <w:rsid w:val="00227B40"/>
    <w:rsid w:val="00237049"/>
    <w:rsid w:val="002376EA"/>
    <w:rsid w:val="00241815"/>
    <w:rsid w:val="00243C0E"/>
    <w:rsid w:val="00245B84"/>
    <w:rsid w:val="002467D5"/>
    <w:rsid w:val="002477C6"/>
    <w:rsid w:val="00251E9D"/>
    <w:rsid w:val="002704DF"/>
    <w:rsid w:val="00271276"/>
    <w:rsid w:val="00273FCF"/>
    <w:rsid w:val="00275D25"/>
    <w:rsid w:val="00277042"/>
    <w:rsid w:val="00281FA8"/>
    <w:rsid w:val="002918E1"/>
    <w:rsid w:val="0029513E"/>
    <w:rsid w:val="002A31E2"/>
    <w:rsid w:val="002A515F"/>
    <w:rsid w:val="002A64F7"/>
    <w:rsid w:val="002B4985"/>
    <w:rsid w:val="002B4EC9"/>
    <w:rsid w:val="002B6D42"/>
    <w:rsid w:val="002C21F9"/>
    <w:rsid w:val="002E6CBC"/>
    <w:rsid w:val="002E731A"/>
    <w:rsid w:val="002F29C7"/>
    <w:rsid w:val="002F42D4"/>
    <w:rsid w:val="00314659"/>
    <w:rsid w:val="00323294"/>
    <w:rsid w:val="00324E9B"/>
    <w:rsid w:val="00337952"/>
    <w:rsid w:val="0034632A"/>
    <w:rsid w:val="00354D61"/>
    <w:rsid w:val="003572F0"/>
    <w:rsid w:val="00372DFE"/>
    <w:rsid w:val="003A6D41"/>
    <w:rsid w:val="003C1187"/>
    <w:rsid w:val="003E3C49"/>
    <w:rsid w:val="003E61D9"/>
    <w:rsid w:val="003F7162"/>
    <w:rsid w:val="00404EC8"/>
    <w:rsid w:val="00410AFE"/>
    <w:rsid w:val="00412019"/>
    <w:rsid w:val="00437E58"/>
    <w:rsid w:val="0044097A"/>
    <w:rsid w:val="00455EBC"/>
    <w:rsid w:val="00457FDC"/>
    <w:rsid w:val="00462267"/>
    <w:rsid w:val="004729E4"/>
    <w:rsid w:val="00475B03"/>
    <w:rsid w:val="00477922"/>
    <w:rsid w:val="00481301"/>
    <w:rsid w:val="004955EA"/>
    <w:rsid w:val="00495B12"/>
    <w:rsid w:val="004D03DE"/>
    <w:rsid w:val="004D2D33"/>
    <w:rsid w:val="004F0BD0"/>
    <w:rsid w:val="004F6E9A"/>
    <w:rsid w:val="00500B5B"/>
    <w:rsid w:val="00501164"/>
    <w:rsid w:val="00501872"/>
    <w:rsid w:val="00512743"/>
    <w:rsid w:val="00516CD4"/>
    <w:rsid w:val="005231DD"/>
    <w:rsid w:val="00524F72"/>
    <w:rsid w:val="00526037"/>
    <w:rsid w:val="00553F75"/>
    <w:rsid w:val="0057245B"/>
    <w:rsid w:val="0058210B"/>
    <w:rsid w:val="0059214B"/>
    <w:rsid w:val="005A5FCE"/>
    <w:rsid w:val="005B5023"/>
    <w:rsid w:val="005C6CE7"/>
    <w:rsid w:val="005D3125"/>
    <w:rsid w:val="005D67C6"/>
    <w:rsid w:val="005E10B3"/>
    <w:rsid w:val="005F3272"/>
    <w:rsid w:val="005F4779"/>
    <w:rsid w:val="005F7CAE"/>
    <w:rsid w:val="00615E63"/>
    <w:rsid w:val="00616A9E"/>
    <w:rsid w:val="006272FA"/>
    <w:rsid w:val="0063709A"/>
    <w:rsid w:val="00641B64"/>
    <w:rsid w:val="006472C1"/>
    <w:rsid w:val="00662CE2"/>
    <w:rsid w:val="0066428B"/>
    <w:rsid w:val="00667904"/>
    <w:rsid w:val="00667F1B"/>
    <w:rsid w:val="0067373C"/>
    <w:rsid w:val="00675373"/>
    <w:rsid w:val="006763DD"/>
    <w:rsid w:val="00676BEC"/>
    <w:rsid w:val="006A1AF7"/>
    <w:rsid w:val="006C01BC"/>
    <w:rsid w:val="006C17E8"/>
    <w:rsid w:val="006C59E1"/>
    <w:rsid w:val="006C5FA6"/>
    <w:rsid w:val="006E027B"/>
    <w:rsid w:val="006F1039"/>
    <w:rsid w:val="006F42F5"/>
    <w:rsid w:val="0070338F"/>
    <w:rsid w:val="00703605"/>
    <w:rsid w:val="007102FC"/>
    <w:rsid w:val="0071113C"/>
    <w:rsid w:val="007148CB"/>
    <w:rsid w:val="00716DF9"/>
    <w:rsid w:val="007212AB"/>
    <w:rsid w:val="007259F7"/>
    <w:rsid w:val="00732246"/>
    <w:rsid w:val="00734D2A"/>
    <w:rsid w:val="00751F1D"/>
    <w:rsid w:val="00755B34"/>
    <w:rsid w:val="007A25C4"/>
    <w:rsid w:val="007A496A"/>
    <w:rsid w:val="007A7DCB"/>
    <w:rsid w:val="007B2F8A"/>
    <w:rsid w:val="007B4E04"/>
    <w:rsid w:val="007C4D6C"/>
    <w:rsid w:val="007C70C5"/>
    <w:rsid w:val="007C7C46"/>
    <w:rsid w:val="007E2617"/>
    <w:rsid w:val="007E2D6D"/>
    <w:rsid w:val="007E349E"/>
    <w:rsid w:val="007F41B5"/>
    <w:rsid w:val="007F5511"/>
    <w:rsid w:val="00800F43"/>
    <w:rsid w:val="008031B6"/>
    <w:rsid w:val="008064AA"/>
    <w:rsid w:val="0081270E"/>
    <w:rsid w:val="008129A9"/>
    <w:rsid w:val="008260A7"/>
    <w:rsid w:val="00841151"/>
    <w:rsid w:val="00844C3A"/>
    <w:rsid w:val="00846B6D"/>
    <w:rsid w:val="00853496"/>
    <w:rsid w:val="008617F6"/>
    <w:rsid w:val="00886572"/>
    <w:rsid w:val="008A0A67"/>
    <w:rsid w:val="008A4D16"/>
    <w:rsid w:val="008A5D5A"/>
    <w:rsid w:val="008A74E9"/>
    <w:rsid w:val="008A76B5"/>
    <w:rsid w:val="008B634E"/>
    <w:rsid w:val="008D027E"/>
    <w:rsid w:val="008E0903"/>
    <w:rsid w:val="00901FE6"/>
    <w:rsid w:val="0091338B"/>
    <w:rsid w:val="00924847"/>
    <w:rsid w:val="00927CF1"/>
    <w:rsid w:val="00927EC1"/>
    <w:rsid w:val="00930073"/>
    <w:rsid w:val="00940196"/>
    <w:rsid w:val="00941148"/>
    <w:rsid w:val="009417B8"/>
    <w:rsid w:val="009456DE"/>
    <w:rsid w:val="00951452"/>
    <w:rsid w:val="00952798"/>
    <w:rsid w:val="00964574"/>
    <w:rsid w:val="00972DB1"/>
    <w:rsid w:val="00984360"/>
    <w:rsid w:val="00994F36"/>
    <w:rsid w:val="009A0777"/>
    <w:rsid w:val="009A4E30"/>
    <w:rsid w:val="009B00D4"/>
    <w:rsid w:val="009B03F9"/>
    <w:rsid w:val="009C0E4D"/>
    <w:rsid w:val="009E1329"/>
    <w:rsid w:val="009E677D"/>
    <w:rsid w:val="00A17881"/>
    <w:rsid w:val="00A2215D"/>
    <w:rsid w:val="00A3162E"/>
    <w:rsid w:val="00A35770"/>
    <w:rsid w:val="00A403CD"/>
    <w:rsid w:val="00A4224D"/>
    <w:rsid w:val="00A521FD"/>
    <w:rsid w:val="00A522D7"/>
    <w:rsid w:val="00A52863"/>
    <w:rsid w:val="00A800E9"/>
    <w:rsid w:val="00A867E2"/>
    <w:rsid w:val="00A93BF6"/>
    <w:rsid w:val="00AA0EB1"/>
    <w:rsid w:val="00AA1EC0"/>
    <w:rsid w:val="00AB2FF6"/>
    <w:rsid w:val="00AB6350"/>
    <w:rsid w:val="00AB6E09"/>
    <w:rsid w:val="00AC375D"/>
    <w:rsid w:val="00AC3C57"/>
    <w:rsid w:val="00AD679A"/>
    <w:rsid w:val="00AE34AF"/>
    <w:rsid w:val="00AF1CF4"/>
    <w:rsid w:val="00AF2824"/>
    <w:rsid w:val="00B013E7"/>
    <w:rsid w:val="00B01F04"/>
    <w:rsid w:val="00B024A4"/>
    <w:rsid w:val="00B025F9"/>
    <w:rsid w:val="00B13CCA"/>
    <w:rsid w:val="00B233F2"/>
    <w:rsid w:val="00B26240"/>
    <w:rsid w:val="00B30638"/>
    <w:rsid w:val="00B4303B"/>
    <w:rsid w:val="00B55354"/>
    <w:rsid w:val="00B55468"/>
    <w:rsid w:val="00B65E95"/>
    <w:rsid w:val="00B70315"/>
    <w:rsid w:val="00B70630"/>
    <w:rsid w:val="00B754B9"/>
    <w:rsid w:val="00B761DD"/>
    <w:rsid w:val="00B90787"/>
    <w:rsid w:val="00BB1F8C"/>
    <w:rsid w:val="00BB3BC1"/>
    <w:rsid w:val="00BD1701"/>
    <w:rsid w:val="00BD2F4F"/>
    <w:rsid w:val="00BE2D71"/>
    <w:rsid w:val="00BE54BE"/>
    <w:rsid w:val="00BF3819"/>
    <w:rsid w:val="00C15A4E"/>
    <w:rsid w:val="00C2465E"/>
    <w:rsid w:val="00C25E8C"/>
    <w:rsid w:val="00C36DCE"/>
    <w:rsid w:val="00C416DB"/>
    <w:rsid w:val="00C46669"/>
    <w:rsid w:val="00C46EB3"/>
    <w:rsid w:val="00C54036"/>
    <w:rsid w:val="00C80CAE"/>
    <w:rsid w:val="00C82DA2"/>
    <w:rsid w:val="00C8505A"/>
    <w:rsid w:val="00C957F5"/>
    <w:rsid w:val="00CA40D1"/>
    <w:rsid w:val="00CB624A"/>
    <w:rsid w:val="00CC67DB"/>
    <w:rsid w:val="00CD4562"/>
    <w:rsid w:val="00CE1401"/>
    <w:rsid w:val="00CE41E6"/>
    <w:rsid w:val="00CF1947"/>
    <w:rsid w:val="00D0160B"/>
    <w:rsid w:val="00D053AD"/>
    <w:rsid w:val="00D17F69"/>
    <w:rsid w:val="00D21CB6"/>
    <w:rsid w:val="00D26AAA"/>
    <w:rsid w:val="00D37382"/>
    <w:rsid w:val="00D41241"/>
    <w:rsid w:val="00D44829"/>
    <w:rsid w:val="00D52F98"/>
    <w:rsid w:val="00D53736"/>
    <w:rsid w:val="00D559E6"/>
    <w:rsid w:val="00D720A3"/>
    <w:rsid w:val="00D769E5"/>
    <w:rsid w:val="00D839D5"/>
    <w:rsid w:val="00D91825"/>
    <w:rsid w:val="00DB33F4"/>
    <w:rsid w:val="00DC5846"/>
    <w:rsid w:val="00DD5178"/>
    <w:rsid w:val="00DF5C70"/>
    <w:rsid w:val="00DF5DDA"/>
    <w:rsid w:val="00DF71D7"/>
    <w:rsid w:val="00E12712"/>
    <w:rsid w:val="00E31689"/>
    <w:rsid w:val="00E47A50"/>
    <w:rsid w:val="00E50235"/>
    <w:rsid w:val="00E6235F"/>
    <w:rsid w:val="00E62927"/>
    <w:rsid w:val="00E63A88"/>
    <w:rsid w:val="00E66613"/>
    <w:rsid w:val="00E66AD5"/>
    <w:rsid w:val="00E67901"/>
    <w:rsid w:val="00E7301D"/>
    <w:rsid w:val="00E74496"/>
    <w:rsid w:val="00E81512"/>
    <w:rsid w:val="00EB2F76"/>
    <w:rsid w:val="00EB33C8"/>
    <w:rsid w:val="00EB373E"/>
    <w:rsid w:val="00EB6221"/>
    <w:rsid w:val="00EC6396"/>
    <w:rsid w:val="00EE572D"/>
    <w:rsid w:val="00EF4B77"/>
    <w:rsid w:val="00F04949"/>
    <w:rsid w:val="00F05CBC"/>
    <w:rsid w:val="00F106A9"/>
    <w:rsid w:val="00F52478"/>
    <w:rsid w:val="00F5516E"/>
    <w:rsid w:val="00F64748"/>
    <w:rsid w:val="00F65AC0"/>
    <w:rsid w:val="00F801D2"/>
    <w:rsid w:val="00F829F2"/>
    <w:rsid w:val="00FA1682"/>
    <w:rsid w:val="00FA5E8B"/>
    <w:rsid w:val="00FB12B2"/>
    <w:rsid w:val="00FB322E"/>
    <w:rsid w:val="00FC7CC5"/>
    <w:rsid w:val="00FE062A"/>
    <w:rsid w:val="00FE21E1"/>
    <w:rsid w:val="00FE4960"/>
    <w:rsid w:val="00FF3C62"/>
    <w:rsid w:val="00FF69F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6455"/>
  <w15:chartTrackingRefBased/>
  <w15:docId w15:val="{B7884419-0E7B-4583-BC91-9917D055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01D"/>
    <w:pPr>
      <w:spacing w:line="360" w:lineRule="auto"/>
      <w:jc w:val="both"/>
    </w:pPr>
    <w:rPr>
      <w:rFonts w:ascii="Arial" w:hAnsi="Arial"/>
    </w:rPr>
  </w:style>
  <w:style w:type="paragraph" w:styleId="Heading1">
    <w:name w:val="heading 1"/>
    <w:basedOn w:val="Normal"/>
    <w:next w:val="Normal"/>
    <w:link w:val="Heading1Char"/>
    <w:uiPriority w:val="9"/>
    <w:qFormat/>
    <w:rsid w:val="00D91825"/>
    <w:pPr>
      <w:keepNext/>
      <w:keepLines/>
      <w:spacing w:before="360" w:after="80"/>
      <w:outlineLvl w:val="0"/>
    </w:pPr>
    <w:rPr>
      <w:rFonts w:eastAsiaTheme="majorEastAsia" w:cstheme="majorBidi"/>
      <w:b/>
      <w:sz w:val="28"/>
      <w:szCs w:val="40"/>
    </w:rPr>
  </w:style>
  <w:style w:type="paragraph" w:styleId="Heading2">
    <w:name w:val="heading 2"/>
    <w:basedOn w:val="Heading1"/>
    <w:next w:val="Normal"/>
    <w:link w:val="Heading2Char"/>
    <w:uiPriority w:val="9"/>
    <w:unhideWhenUsed/>
    <w:qFormat/>
    <w:rsid w:val="00853496"/>
    <w:pPr>
      <w:spacing w:before="120" w:after="0"/>
      <w:outlineLvl w:val="1"/>
    </w:pPr>
  </w:style>
  <w:style w:type="paragraph" w:styleId="Heading3">
    <w:name w:val="heading 3"/>
    <w:basedOn w:val="Normal"/>
    <w:next w:val="Normal"/>
    <w:link w:val="Heading3Char"/>
    <w:uiPriority w:val="9"/>
    <w:unhideWhenUsed/>
    <w:qFormat/>
    <w:rsid w:val="0044097A"/>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730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825"/>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853496"/>
    <w:rPr>
      <w:rFonts w:ascii="Arial" w:eastAsiaTheme="majorEastAsia" w:hAnsi="Arial" w:cstheme="majorBidi"/>
      <w:b/>
      <w:sz w:val="28"/>
      <w:szCs w:val="40"/>
    </w:rPr>
  </w:style>
  <w:style w:type="character" w:customStyle="1" w:styleId="Heading3Char">
    <w:name w:val="Heading 3 Char"/>
    <w:basedOn w:val="DefaultParagraphFont"/>
    <w:link w:val="Heading3"/>
    <w:uiPriority w:val="9"/>
    <w:rsid w:val="0044097A"/>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E730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D"/>
    <w:rPr>
      <w:rFonts w:eastAsiaTheme="majorEastAsia" w:cstheme="majorBidi"/>
      <w:color w:val="272727" w:themeColor="text1" w:themeTint="D8"/>
    </w:rPr>
  </w:style>
  <w:style w:type="paragraph" w:styleId="Title">
    <w:name w:val="Title"/>
    <w:basedOn w:val="Normal"/>
    <w:next w:val="Normal"/>
    <w:link w:val="TitleChar"/>
    <w:uiPriority w:val="10"/>
    <w:qFormat/>
    <w:rsid w:val="00E73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D"/>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D"/>
    <w:rPr>
      <w:i/>
      <w:iCs/>
      <w:color w:val="404040" w:themeColor="text1" w:themeTint="BF"/>
    </w:rPr>
  </w:style>
  <w:style w:type="paragraph" w:styleId="ListParagraph">
    <w:name w:val="List Paragraph"/>
    <w:basedOn w:val="Normal"/>
    <w:uiPriority w:val="34"/>
    <w:qFormat/>
    <w:rsid w:val="00E7301D"/>
    <w:pPr>
      <w:ind w:left="720"/>
      <w:contextualSpacing/>
    </w:pPr>
  </w:style>
  <w:style w:type="character" w:styleId="IntenseEmphasis">
    <w:name w:val="Intense Emphasis"/>
    <w:basedOn w:val="DefaultParagraphFont"/>
    <w:uiPriority w:val="21"/>
    <w:qFormat/>
    <w:rsid w:val="00E7301D"/>
    <w:rPr>
      <w:i/>
      <w:iCs/>
      <w:color w:val="2F5496" w:themeColor="accent1" w:themeShade="BF"/>
    </w:rPr>
  </w:style>
  <w:style w:type="paragraph" w:styleId="IntenseQuote">
    <w:name w:val="Intense Quote"/>
    <w:basedOn w:val="Normal"/>
    <w:next w:val="Normal"/>
    <w:link w:val="IntenseQuoteChar"/>
    <w:uiPriority w:val="30"/>
    <w:qFormat/>
    <w:rsid w:val="00E730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D"/>
    <w:rPr>
      <w:i/>
      <w:iCs/>
      <w:color w:val="2F5496" w:themeColor="accent1" w:themeShade="BF"/>
    </w:rPr>
  </w:style>
  <w:style w:type="character" w:styleId="IntenseReference">
    <w:name w:val="Intense Reference"/>
    <w:basedOn w:val="DefaultParagraphFont"/>
    <w:uiPriority w:val="32"/>
    <w:qFormat/>
    <w:rsid w:val="00E7301D"/>
    <w:rPr>
      <w:b/>
      <w:bCs/>
      <w:smallCaps/>
      <w:color w:val="2F5496" w:themeColor="accent1" w:themeShade="BF"/>
      <w:spacing w:val="5"/>
    </w:rPr>
  </w:style>
  <w:style w:type="paragraph" w:styleId="NormalWeb">
    <w:name w:val="Normal (Web)"/>
    <w:basedOn w:val="Normal"/>
    <w:uiPriority w:val="99"/>
    <w:unhideWhenUsed/>
    <w:rsid w:val="00D91825"/>
    <w:pPr>
      <w:spacing w:before="100" w:beforeAutospacing="1" w:after="100" w:afterAutospacing="1" w:line="240" w:lineRule="auto"/>
      <w:jc w:val="left"/>
    </w:pPr>
    <w:rPr>
      <w:rFonts w:ascii="Times New Roman" w:eastAsia="Times New Roman" w:hAnsi="Times New Roman" w:cs="Times New Roman"/>
      <w:kern w:val="0"/>
      <w:lang w:bidi="si-LK"/>
      <w14:ligatures w14:val="none"/>
    </w:rPr>
  </w:style>
  <w:style w:type="character" w:styleId="Strong">
    <w:name w:val="Strong"/>
    <w:basedOn w:val="DefaultParagraphFont"/>
    <w:uiPriority w:val="22"/>
    <w:qFormat/>
    <w:rsid w:val="00927EC1"/>
    <w:rPr>
      <w:b/>
      <w:bCs/>
    </w:rPr>
  </w:style>
  <w:style w:type="character" w:styleId="Emphasis">
    <w:name w:val="Emphasis"/>
    <w:basedOn w:val="DefaultParagraphFont"/>
    <w:uiPriority w:val="20"/>
    <w:qFormat/>
    <w:rsid w:val="00927EC1"/>
    <w:rPr>
      <w:i/>
      <w:iCs/>
    </w:rPr>
  </w:style>
  <w:style w:type="character" w:styleId="Hyperlink">
    <w:name w:val="Hyperlink"/>
    <w:basedOn w:val="DefaultParagraphFont"/>
    <w:uiPriority w:val="99"/>
    <w:unhideWhenUsed/>
    <w:rsid w:val="00B024A4"/>
    <w:rPr>
      <w:color w:val="0000FF"/>
      <w:u w:val="single"/>
    </w:rPr>
  </w:style>
  <w:style w:type="table" w:styleId="TableGrid">
    <w:name w:val="Table Grid"/>
    <w:basedOn w:val="TableNormal"/>
    <w:uiPriority w:val="39"/>
    <w:rsid w:val="00B02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4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28B"/>
    <w:rPr>
      <w:rFonts w:ascii="Arial" w:hAnsi="Arial"/>
    </w:rPr>
  </w:style>
  <w:style w:type="paragraph" w:styleId="Footer">
    <w:name w:val="footer"/>
    <w:basedOn w:val="Normal"/>
    <w:link w:val="FooterChar"/>
    <w:uiPriority w:val="99"/>
    <w:unhideWhenUsed/>
    <w:rsid w:val="006642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28B"/>
    <w:rPr>
      <w:rFonts w:ascii="Arial" w:hAnsi="Arial"/>
    </w:rPr>
  </w:style>
  <w:style w:type="paragraph" w:styleId="Caption">
    <w:name w:val="caption"/>
    <w:basedOn w:val="Normal"/>
    <w:next w:val="Normal"/>
    <w:uiPriority w:val="35"/>
    <w:unhideWhenUsed/>
    <w:qFormat/>
    <w:rsid w:val="001D08AF"/>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D37382"/>
    <w:pPr>
      <w:spacing w:after="100"/>
    </w:pPr>
  </w:style>
  <w:style w:type="paragraph" w:styleId="TOC2">
    <w:name w:val="toc 2"/>
    <w:basedOn w:val="Normal"/>
    <w:next w:val="Normal"/>
    <w:autoRedefine/>
    <w:uiPriority w:val="39"/>
    <w:unhideWhenUsed/>
    <w:rsid w:val="00D37382"/>
    <w:pPr>
      <w:spacing w:after="100"/>
      <w:ind w:left="240"/>
    </w:pPr>
  </w:style>
  <w:style w:type="paragraph" w:styleId="TOC3">
    <w:name w:val="toc 3"/>
    <w:basedOn w:val="Normal"/>
    <w:next w:val="Normal"/>
    <w:autoRedefine/>
    <w:uiPriority w:val="39"/>
    <w:unhideWhenUsed/>
    <w:rsid w:val="00D37382"/>
    <w:pPr>
      <w:spacing w:after="100"/>
      <w:ind w:left="480"/>
    </w:pPr>
  </w:style>
  <w:style w:type="paragraph" w:styleId="TableofFigures">
    <w:name w:val="table of figures"/>
    <w:basedOn w:val="Normal"/>
    <w:next w:val="Normal"/>
    <w:uiPriority w:val="99"/>
    <w:unhideWhenUsed/>
    <w:rsid w:val="00C46669"/>
    <w:pPr>
      <w:spacing w:after="0"/>
    </w:pPr>
  </w:style>
  <w:style w:type="character" w:customStyle="1" w:styleId="whitespace-normal">
    <w:name w:val="whitespace-normal"/>
    <w:basedOn w:val="DefaultParagraphFont"/>
    <w:rsid w:val="005A5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11502">
      <w:bodyDiv w:val="1"/>
      <w:marLeft w:val="0"/>
      <w:marRight w:val="0"/>
      <w:marTop w:val="0"/>
      <w:marBottom w:val="0"/>
      <w:divBdr>
        <w:top w:val="none" w:sz="0" w:space="0" w:color="auto"/>
        <w:left w:val="none" w:sz="0" w:space="0" w:color="auto"/>
        <w:bottom w:val="none" w:sz="0" w:space="0" w:color="auto"/>
        <w:right w:val="none" w:sz="0" w:space="0" w:color="auto"/>
      </w:divBdr>
    </w:div>
    <w:div w:id="83697275">
      <w:bodyDiv w:val="1"/>
      <w:marLeft w:val="0"/>
      <w:marRight w:val="0"/>
      <w:marTop w:val="0"/>
      <w:marBottom w:val="0"/>
      <w:divBdr>
        <w:top w:val="none" w:sz="0" w:space="0" w:color="auto"/>
        <w:left w:val="none" w:sz="0" w:space="0" w:color="auto"/>
        <w:bottom w:val="none" w:sz="0" w:space="0" w:color="auto"/>
        <w:right w:val="none" w:sz="0" w:space="0" w:color="auto"/>
      </w:divBdr>
    </w:div>
    <w:div w:id="247421250">
      <w:bodyDiv w:val="1"/>
      <w:marLeft w:val="0"/>
      <w:marRight w:val="0"/>
      <w:marTop w:val="0"/>
      <w:marBottom w:val="0"/>
      <w:divBdr>
        <w:top w:val="none" w:sz="0" w:space="0" w:color="auto"/>
        <w:left w:val="none" w:sz="0" w:space="0" w:color="auto"/>
        <w:bottom w:val="none" w:sz="0" w:space="0" w:color="auto"/>
        <w:right w:val="none" w:sz="0" w:space="0" w:color="auto"/>
      </w:divBdr>
    </w:div>
    <w:div w:id="294533828">
      <w:bodyDiv w:val="1"/>
      <w:marLeft w:val="0"/>
      <w:marRight w:val="0"/>
      <w:marTop w:val="0"/>
      <w:marBottom w:val="0"/>
      <w:divBdr>
        <w:top w:val="none" w:sz="0" w:space="0" w:color="auto"/>
        <w:left w:val="none" w:sz="0" w:space="0" w:color="auto"/>
        <w:bottom w:val="none" w:sz="0" w:space="0" w:color="auto"/>
        <w:right w:val="none" w:sz="0" w:space="0" w:color="auto"/>
      </w:divBdr>
      <w:divsChild>
        <w:div w:id="1061950112">
          <w:marLeft w:val="0"/>
          <w:marRight w:val="0"/>
          <w:marTop w:val="0"/>
          <w:marBottom w:val="0"/>
          <w:divBdr>
            <w:top w:val="none" w:sz="0" w:space="0" w:color="auto"/>
            <w:left w:val="none" w:sz="0" w:space="0" w:color="auto"/>
            <w:bottom w:val="none" w:sz="0" w:space="0" w:color="auto"/>
            <w:right w:val="none" w:sz="0" w:space="0" w:color="auto"/>
          </w:divBdr>
          <w:divsChild>
            <w:div w:id="47553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921066">
      <w:bodyDiv w:val="1"/>
      <w:marLeft w:val="0"/>
      <w:marRight w:val="0"/>
      <w:marTop w:val="0"/>
      <w:marBottom w:val="0"/>
      <w:divBdr>
        <w:top w:val="none" w:sz="0" w:space="0" w:color="auto"/>
        <w:left w:val="none" w:sz="0" w:space="0" w:color="auto"/>
        <w:bottom w:val="none" w:sz="0" w:space="0" w:color="auto"/>
        <w:right w:val="none" w:sz="0" w:space="0" w:color="auto"/>
      </w:divBdr>
    </w:div>
    <w:div w:id="486284197">
      <w:bodyDiv w:val="1"/>
      <w:marLeft w:val="0"/>
      <w:marRight w:val="0"/>
      <w:marTop w:val="0"/>
      <w:marBottom w:val="0"/>
      <w:divBdr>
        <w:top w:val="none" w:sz="0" w:space="0" w:color="auto"/>
        <w:left w:val="none" w:sz="0" w:space="0" w:color="auto"/>
        <w:bottom w:val="none" w:sz="0" w:space="0" w:color="auto"/>
        <w:right w:val="none" w:sz="0" w:space="0" w:color="auto"/>
      </w:divBdr>
    </w:div>
    <w:div w:id="570697715">
      <w:bodyDiv w:val="1"/>
      <w:marLeft w:val="0"/>
      <w:marRight w:val="0"/>
      <w:marTop w:val="0"/>
      <w:marBottom w:val="0"/>
      <w:divBdr>
        <w:top w:val="none" w:sz="0" w:space="0" w:color="auto"/>
        <w:left w:val="none" w:sz="0" w:space="0" w:color="auto"/>
        <w:bottom w:val="none" w:sz="0" w:space="0" w:color="auto"/>
        <w:right w:val="none" w:sz="0" w:space="0" w:color="auto"/>
      </w:divBdr>
      <w:divsChild>
        <w:div w:id="1382559421">
          <w:marLeft w:val="0"/>
          <w:marRight w:val="0"/>
          <w:marTop w:val="0"/>
          <w:marBottom w:val="0"/>
          <w:divBdr>
            <w:top w:val="none" w:sz="0" w:space="0" w:color="auto"/>
            <w:left w:val="none" w:sz="0" w:space="0" w:color="auto"/>
            <w:bottom w:val="none" w:sz="0" w:space="0" w:color="auto"/>
            <w:right w:val="none" w:sz="0" w:space="0" w:color="auto"/>
          </w:divBdr>
          <w:divsChild>
            <w:div w:id="13784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773">
      <w:bodyDiv w:val="1"/>
      <w:marLeft w:val="0"/>
      <w:marRight w:val="0"/>
      <w:marTop w:val="0"/>
      <w:marBottom w:val="0"/>
      <w:divBdr>
        <w:top w:val="none" w:sz="0" w:space="0" w:color="auto"/>
        <w:left w:val="none" w:sz="0" w:space="0" w:color="auto"/>
        <w:bottom w:val="none" w:sz="0" w:space="0" w:color="auto"/>
        <w:right w:val="none" w:sz="0" w:space="0" w:color="auto"/>
      </w:divBdr>
    </w:div>
    <w:div w:id="858157123">
      <w:bodyDiv w:val="1"/>
      <w:marLeft w:val="0"/>
      <w:marRight w:val="0"/>
      <w:marTop w:val="0"/>
      <w:marBottom w:val="0"/>
      <w:divBdr>
        <w:top w:val="none" w:sz="0" w:space="0" w:color="auto"/>
        <w:left w:val="none" w:sz="0" w:space="0" w:color="auto"/>
        <w:bottom w:val="none" w:sz="0" w:space="0" w:color="auto"/>
        <w:right w:val="none" w:sz="0" w:space="0" w:color="auto"/>
      </w:divBdr>
    </w:div>
    <w:div w:id="864319992">
      <w:bodyDiv w:val="1"/>
      <w:marLeft w:val="0"/>
      <w:marRight w:val="0"/>
      <w:marTop w:val="0"/>
      <w:marBottom w:val="0"/>
      <w:divBdr>
        <w:top w:val="none" w:sz="0" w:space="0" w:color="auto"/>
        <w:left w:val="none" w:sz="0" w:space="0" w:color="auto"/>
        <w:bottom w:val="none" w:sz="0" w:space="0" w:color="auto"/>
        <w:right w:val="none" w:sz="0" w:space="0" w:color="auto"/>
      </w:divBdr>
      <w:divsChild>
        <w:div w:id="2116510775">
          <w:marLeft w:val="0"/>
          <w:marRight w:val="0"/>
          <w:marTop w:val="0"/>
          <w:marBottom w:val="0"/>
          <w:divBdr>
            <w:top w:val="none" w:sz="0" w:space="0" w:color="auto"/>
            <w:left w:val="none" w:sz="0" w:space="0" w:color="auto"/>
            <w:bottom w:val="none" w:sz="0" w:space="0" w:color="auto"/>
            <w:right w:val="none" w:sz="0" w:space="0" w:color="auto"/>
          </w:divBdr>
          <w:divsChild>
            <w:div w:id="199295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74276">
      <w:bodyDiv w:val="1"/>
      <w:marLeft w:val="0"/>
      <w:marRight w:val="0"/>
      <w:marTop w:val="0"/>
      <w:marBottom w:val="0"/>
      <w:divBdr>
        <w:top w:val="none" w:sz="0" w:space="0" w:color="auto"/>
        <w:left w:val="none" w:sz="0" w:space="0" w:color="auto"/>
        <w:bottom w:val="none" w:sz="0" w:space="0" w:color="auto"/>
        <w:right w:val="none" w:sz="0" w:space="0" w:color="auto"/>
      </w:divBdr>
      <w:divsChild>
        <w:div w:id="2059237172">
          <w:marLeft w:val="0"/>
          <w:marRight w:val="0"/>
          <w:marTop w:val="0"/>
          <w:marBottom w:val="0"/>
          <w:divBdr>
            <w:top w:val="none" w:sz="0" w:space="0" w:color="auto"/>
            <w:left w:val="none" w:sz="0" w:space="0" w:color="auto"/>
            <w:bottom w:val="none" w:sz="0" w:space="0" w:color="auto"/>
            <w:right w:val="none" w:sz="0" w:space="0" w:color="auto"/>
          </w:divBdr>
          <w:divsChild>
            <w:div w:id="7108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70064">
      <w:bodyDiv w:val="1"/>
      <w:marLeft w:val="0"/>
      <w:marRight w:val="0"/>
      <w:marTop w:val="0"/>
      <w:marBottom w:val="0"/>
      <w:divBdr>
        <w:top w:val="none" w:sz="0" w:space="0" w:color="auto"/>
        <w:left w:val="none" w:sz="0" w:space="0" w:color="auto"/>
        <w:bottom w:val="none" w:sz="0" w:space="0" w:color="auto"/>
        <w:right w:val="none" w:sz="0" w:space="0" w:color="auto"/>
      </w:divBdr>
      <w:divsChild>
        <w:div w:id="950893311">
          <w:marLeft w:val="0"/>
          <w:marRight w:val="0"/>
          <w:marTop w:val="0"/>
          <w:marBottom w:val="0"/>
          <w:divBdr>
            <w:top w:val="none" w:sz="0" w:space="0" w:color="auto"/>
            <w:left w:val="none" w:sz="0" w:space="0" w:color="auto"/>
            <w:bottom w:val="none" w:sz="0" w:space="0" w:color="auto"/>
            <w:right w:val="none" w:sz="0" w:space="0" w:color="auto"/>
          </w:divBdr>
          <w:divsChild>
            <w:div w:id="58538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334265">
      <w:bodyDiv w:val="1"/>
      <w:marLeft w:val="0"/>
      <w:marRight w:val="0"/>
      <w:marTop w:val="0"/>
      <w:marBottom w:val="0"/>
      <w:divBdr>
        <w:top w:val="none" w:sz="0" w:space="0" w:color="auto"/>
        <w:left w:val="none" w:sz="0" w:space="0" w:color="auto"/>
        <w:bottom w:val="none" w:sz="0" w:space="0" w:color="auto"/>
        <w:right w:val="none" w:sz="0" w:space="0" w:color="auto"/>
      </w:divBdr>
    </w:div>
    <w:div w:id="1044908940">
      <w:bodyDiv w:val="1"/>
      <w:marLeft w:val="0"/>
      <w:marRight w:val="0"/>
      <w:marTop w:val="0"/>
      <w:marBottom w:val="0"/>
      <w:divBdr>
        <w:top w:val="none" w:sz="0" w:space="0" w:color="auto"/>
        <w:left w:val="none" w:sz="0" w:space="0" w:color="auto"/>
        <w:bottom w:val="none" w:sz="0" w:space="0" w:color="auto"/>
        <w:right w:val="none" w:sz="0" w:space="0" w:color="auto"/>
      </w:divBdr>
    </w:div>
    <w:div w:id="1108040174">
      <w:bodyDiv w:val="1"/>
      <w:marLeft w:val="0"/>
      <w:marRight w:val="0"/>
      <w:marTop w:val="0"/>
      <w:marBottom w:val="0"/>
      <w:divBdr>
        <w:top w:val="none" w:sz="0" w:space="0" w:color="auto"/>
        <w:left w:val="none" w:sz="0" w:space="0" w:color="auto"/>
        <w:bottom w:val="none" w:sz="0" w:space="0" w:color="auto"/>
        <w:right w:val="none" w:sz="0" w:space="0" w:color="auto"/>
      </w:divBdr>
    </w:div>
    <w:div w:id="1126964992">
      <w:bodyDiv w:val="1"/>
      <w:marLeft w:val="0"/>
      <w:marRight w:val="0"/>
      <w:marTop w:val="0"/>
      <w:marBottom w:val="0"/>
      <w:divBdr>
        <w:top w:val="none" w:sz="0" w:space="0" w:color="auto"/>
        <w:left w:val="none" w:sz="0" w:space="0" w:color="auto"/>
        <w:bottom w:val="none" w:sz="0" w:space="0" w:color="auto"/>
        <w:right w:val="none" w:sz="0" w:space="0" w:color="auto"/>
      </w:divBdr>
      <w:divsChild>
        <w:div w:id="1964380360">
          <w:marLeft w:val="0"/>
          <w:marRight w:val="0"/>
          <w:marTop w:val="0"/>
          <w:marBottom w:val="0"/>
          <w:divBdr>
            <w:top w:val="none" w:sz="0" w:space="0" w:color="auto"/>
            <w:left w:val="none" w:sz="0" w:space="0" w:color="auto"/>
            <w:bottom w:val="none" w:sz="0" w:space="0" w:color="auto"/>
            <w:right w:val="none" w:sz="0" w:space="0" w:color="auto"/>
          </w:divBdr>
          <w:divsChild>
            <w:div w:id="4276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03886">
      <w:bodyDiv w:val="1"/>
      <w:marLeft w:val="0"/>
      <w:marRight w:val="0"/>
      <w:marTop w:val="0"/>
      <w:marBottom w:val="0"/>
      <w:divBdr>
        <w:top w:val="none" w:sz="0" w:space="0" w:color="auto"/>
        <w:left w:val="none" w:sz="0" w:space="0" w:color="auto"/>
        <w:bottom w:val="none" w:sz="0" w:space="0" w:color="auto"/>
        <w:right w:val="none" w:sz="0" w:space="0" w:color="auto"/>
      </w:divBdr>
    </w:div>
    <w:div w:id="1582834591">
      <w:bodyDiv w:val="1"/>
      <w:marLeft w:val="0"/>
      <w:marRight w:val="0"/>
      <w:marTop w:val="0"/>
      <w:marBottom w:val="0"/>
      <w:divBdr>
        <w:top w:val="none" w:sz="0" w:space="0" w:color="auto"/>
        <w:left w:val="none" w:sz="0" w:space="0" w:color="auto"/>
        <w:bottom w:val="none" w:sz="0" w:space="0" w:color="auto"/>
        <w:right w:val="none" w:sz="0" w:space="0" w:color="auto"/>
      </w:divBdr>
    </w:div>
    <w:div w:id="1695839771">
      <w:bodyDiv w:val="1"/>
      <w:marLeft w:val="0"/>
      <w:marRight w:val="0"/>
      <w:marTop w:val="0"/>
      <w:marBottom w:val="0"/>
      <w:divBdr>
        <w:top w:val="none" w:sz="0" w:space="0" w:color="auto"/>
        <w:left w:val="none" w:sz="0" w:space="0" w:color="auto"/>
        <w:bottom w:val="none" w:sz="0" w:space="0" w:color="auto"/>
        <w:right w:val="none" w:sz="0" w:space="0" w:color="auto"/>
      </w:divBdr>
    </w:div>
    <w:div w:id="1716813309">
      <w:bodyDiv w:val="1"/>
      <w:marLeft w:val="0"/>
      <w:marRight w:val="0"/>
      <w:marTop w:val="0"/>
      <w:marBottom w:val="0"/>
      <w:divBdr>
        <w:top w:val="none" w:sz="0" w:space="0" w:color="auto"/>
        <w:left w:val="none" w:sz="0" w:space="0" w:color="auto"/>
        <w:bottom w:val="none" w:sz="0" w:space="0" w:color="auto"/>
        <w:right w:val="none" w:sz="0" w:space="0" w:color="auto"/>
      </w:divBdr>
    </w:div>
    <w:div w:id="1729525129">
      <w:bodyDiv w:val="1"/>
      <w:marLeft w:val="0"/>
      <w:marRight w:val="0"/>
      <w:marTop w:val="0"/>
      <w:marBottom w:val="0"/>
      <w:divBdr>
        <w:top w:val="none" w:sz="0" w:space="0" w:color="auto"/>
        <w:left w:val="none" w:sz="0" w:space="0" w:color="auto"/>
        <w:bottom w:val="none" w:sz="0" w:space="0" w:color="auto"/>
        <w:right w:val="none" w:sz="0" w:space="0" w:color="auto"/>
      </w:divBdr>
      <w:divsChild>
        <w:div w:id="845360871">
          <w:marLeft w:val="0"/>
          <w:marRight w:val="0"/>
          <w:marTop w:val="0"/>
          <w:marBottom w:val="0"/>
          <w:divBdr>
            <w:top w:val="none" w:sz="0" w:space="0" w:color="auto"/>
            <w:left w:val="none" w:sz="0" w:space="0" w:color="auto"/>
            <w:bottom w:val="none" w:sz="0" w:space="0" w:color="auto"/>
            <w:right w:val="none" w:sz="0" w:space="0" w:color="auto"/>
          </w:divBdr>
          <w:divsChild>
            <w:div w:id="49696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017155">
      <w:bodyDiv w:val="1"/>
      <w:marLeft w:val="0"/>
      <w:marRight w:val="0"/>
      <w:marTop w:val="0"/>
      <w:marBottom w:val="0"/>
      <w:divBdr>
        <w:top w:val="none" w:sz="0" w:space="0" w:color="auto"/>
        <w:left w:val="none" w:sz="0" w:space="0" w:color="auto"/>
        <w:bottom w:val="none" w:sz="0" w:space="0" w:color="auto"/>
        <w:right w:val="none" w:sz="0" w:space="0" w:color="auto"/>
      </w:divBdr>
      <w:divsChild>
        <w:div w:id="2104841935">
          <w:marLeft w:val="0"/>
          <w:marRight w:val="0"/>
          <w:marTop w:val="0"/>
          <w:marBottom w:val="0"/>
          <w:divBdr>
            <w:top w:val="none" w:sz="0" w:space="0" w:color="auto"/>
            <w:left w:val="none" w:sz="0" w:space="0" w:color="auto"/>
            <w:bottom w:val="none" w:sz="0" w:space="0" w:color="auto"/>
            <w:right w:val="none" w:sz="0" w:space="0" w:color="auto"/>
          </w:divBdr>
          <w:divsChild>
            <w:div w:id="15866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535061">
      <w:bodyDiv w:val="1"/>
      <w:marLeft w:val="0"/>
      <w:marRight w:val="0"/>
      <w:marTop w:val="0"/>
      <w:marBottom w:val="0"/>
      <w:divBdr>
        <w:top w:val="none" w:sz="0" w:space="0" w:color="auto"/>
        <w:left w:val="none" w:sz="0" w:space="0" w:color="auto"/>
        <w:bottom w:val="none" w:sz="0" w:space="0" w:color="auto"/>
        <w:right w:val="none" w:sz="0" w:space="0" w:color="auto"/>
      </w:divBdr>
    </w:div>
    <w:div w:id="1966816193">
      <w:bodyDiv w:val="1"/>
      <w:marLeft w:val="0"/>
      <w:marRight w:val="0"/>
      <w:marTop w:val="0"/>
      <w:marBottom w:val="0"/>
      <w:divBdr>
        <w:top w:val="none" w:sz="0" w:space="0" w:color="auto"/>
        <w:left w:val="none" w:sz="0" w:space="0" w:color="auto"/>
        <w:bottom w:val="none" w:sz="0" w:space="0" w:color="auto"/>
        <w:right w:val="none" w:sz="0" w:space="0" w:color="auto"/>
      </w:divBdr>
    </w:div>
    <w:div w:id="1970357462">
      <w:bodyDiv w:val="1"/>
      <w:marLeft w:val="0"/>
      <w:marRight w:val="0"/>
      <w:marTop w:val="0"/>
      <w:marBottom w:val="0"/>
      <w:divBdr>
        <w:top w:val="none" w:sz="0" w:space="0" w:color="auto"/>
        <w:left w:val="none" w:sz="0" w:space="0" w:color="auto"/>
        <w:bottom w:val="none" w:sz="0" w:space="0" w:color="auto"/>
        <w:right w:val="none" w:sz="0" w:space="0" w:color="auto"/>
      </w:divBdr>
    </w:div>
    <w:div w:id="1985312266">
      <w:bodyDiv w:val="1"/>
      <w:marLeft w:val="0"/>
      <w:marRight w:val="0"/>
      <w:marTop w:val="0"/>
      <w:marBottom w:val="0"/>
      <w:divBdr>
        <w:top w:val="none" w:sz="0" w:space="0" w:color="auto"/>
        <w:left w:val="none" w:sz="0" w:space="0" w:color="auto"/>
        <w:bottom w:val="none" w:sz="0" w:space="0" w:color="auto"/>
        <w:right w:val="none" w:sz="0" w:space="0" w:color="auto"/>
      </w:divBdr>
    </w:div>
    <w:div w:id="2031565289">
      <w:bodyDiv w:val="1"/>
      <w:marLeft w:val="0"/>
      <w:marRight w:val="0"/>
      <w:marTop w:val="0"/>
      <w:marBottom w:val="0"/>
      <w:divBdr>
        <w:top w:val="none" w:sz="0" w:space="0" w:color="auto"/>
        <w:left w:val="none" w:sz="0" w:space="0" w:color="auto"/>
        <w:bottom w:val="none" w:sz="0" w:space="0" w:color="auto"/>
        <w:right w:val="none" w:sz="0" w:space="0" w:color="auto"/>
      </w:divBdr>
    </w:div>
    <w:div w:id="203450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doi.org/10.1016/j.jretai.2023.07.002" TargetMode="External"/><Relationship Id="rId21" Type="http://schemas.openxmlformats.org/officeDocument/2006/relationships/image" Target="media/image14.png"/><Relationship Id="rId34" Type="http://schemas.openxmlformats.org/officeDocument/2006/relationships/hyperlink" Target="https://doi.org/10.2139/ssrn.5266562" TargetMode="External"/><Relationship Id="rId42" Type="http://schemas.openxmlformats.org/officeDocument/2006/relationships/hyperlink" Target="https://doi.org/10.3390/risks12080125" TargetMode="External"/><Relationship Id="rId47" Type="http://schemas.openxmlformats.org/officeDocument/2006/relationships/hyperlink" Target="https://doi.org/10.1016/j.foodpol.2025.102941" TargetMode="External"/><Relationship Id="rId50" Type="http://schemas.openxmlformats.org/officeDocument/2006/relationships/hyperlink" Target="https://doi.org/10.13140/RG.2.2.31177.93285" TargetMode="External"/><Relationship Id="rId55" Type="http://schemas.openxmlformats.org/officeDocument/2006/relationships/hyperlink" Target="https://doi.org/10.1002/joe.22250"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hyperlink" Target="https://www.ibef.org/industry/retail-india" TargetMode="External"/><Relationship Id="rId54" Type="http://schemas.openxmlformats.org/officeDocument/2006/relationships/hyperlink" Target="https://doi.org/10.30564/jesr.v2i3.841" TargetMode="External"/><Relationship Id="rId62" Type="http://schemas.openxmlformats.org/officeDocument/2006/relationships/hyperlink" Target="https://wwfin.awsassets.panda.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doi.org/10.3390/su15086364" TargetMode="External"/><Relationship Id="rId40" Type="http://schemas.openxmlformats.org/officeDocument/2006/relationships/hyperlink" Target="https://www.ibef.org/research/case-study/affordable-luxury-understanding-premiumisation-and-evolving-consumer-preferences" TargetMode="External"/><Relationship Id="rId45" Type="http://schemas.openxmlformats.org/officeDocument/2006/relationships/hyperlink" Target="https://www.johnlewispartnership.co.uk" TargetMode="External"/><Relationship Id="rId53" Type="http://schemas.openxmlformats.org/officeDocument/2006/relationships/hyperlink" Target="https://doi.org/10.5281/zenodo.14313005" TargetMode="External"/><Relationship Id="rId58" Type="http://schemas.openxmlformats.org/officeDocument/2006/relationships/hyperlink" Target="https://www.johnlewispartnership.co.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hyperlink" Target="https://doi.org/10.1016/j.tncr.2023.09.005" TargetMode="External"/><Relationship Id="rId49" Type="http://schemas.openxmlformats.org/officeDocument/2006/relationships/hyperlink" Target="https://doi.org/10.62872/7yx54j15" TargetMode="External"/><Relationship Id="rId57" Type="http://schemas.openxmlformats.org/officeDocument/2006/relationships/hyperlink" Target="https://doi.org/10.21474/IJAR01/20848" TargetMode="External"/><Relationship Id="rId61" Type="http://schemas.openxmlformats.org/officeDocument/2006/relationships/hyperlink" Target="https://www.worldbank.org/ext/en/country/india"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johnlewispartnership.co.uk" TargetMode="External"/><Relationship Id="rId52" Type="http://schemas.openxmlformats.org/officeDocument/2006/relationships/hyperlink" Target="https://doi.org/10.3390/encyclopedia5010039" TargetMode="External"/><Relationship Id="rId60" Type="http://schemas.openxmlformats.org/officeDocument/2006/relationships/hyperlink" Target="https://doi.org/10.1051/shsconf/202521702003"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33601/effulgence.rdias/v22/i1/2024/48-56" TargetMode="External"/><Relationship Id="rId43" Type="http://schemas.openxmlformats.org/officeDocument/2006/relationships/hyperlink" Target="https://doi.org/10.20525/ijrbs.v14i8.4387" TargetMode="External"/><Relationship Id="rId48" Type="http://schemas.openxmlformats.org/officeDocument/2006/relationships/hyperlink" Target="https://doi.org/10.53465/ER.2644-7185.2024.2.109-130" TargetMode="External"/><Relationship Id="rId56" Type="http://schemas.openxmlformats.org/officeDocument/2006/relationships/hyperlink" Target="https://doi.org/10.5281/zenodo.12675317"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5958/2249-7137.2025.00039.3"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doi.org/10.3390/su17156682" TargetMode="External"/><Relationship Id="rId38" Type="http://schemas.openxmlformats.org/officeDocument/2006/relationships/hyperlink" Target="https://find-and-update.company-information.service.gov.uk/company/00099405" TargetMode="External"/><Relationship Id="rId46" Type="http://schemas.openxmlformats.org/officeDocument/2006/relationships/hyperlink" Target="https://www.johnlewispartnership.co.uk" TargetMode="External"/><Relationship Id="rId59" Type="http://schemas.openxmlformats.org/officeDocument/2006/relationships/hyperlink" Target="https://doi.org/10.54660/.JFMR.2023.4.2.300-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29FB7B-22F4-4147-9233-1BDA4D0D3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38</Pages>
  <Words>7998</Words>
  <Characters>45590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Yoganshi Soni</cp:lastModifiedBy>
  <cp:revision>681</cp:revision>
  <dcterms:created xsi:type="dcterms:W3CDTF">2025-12-14T12:25:00Z</dcterms:created>
  <dcterms:modified xsi:type="dcterms:W3CDTF">2025-12-22T09:56:00Z</dcterms:modified>
</cp:coreProperties>
</file>