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07F46" w14:textId="77777777" w:rsidR="00B83C14" w:rsidRPr="00B83C14" w:rsidRDefault="00B83C14" w:rsidP="00B83C14">
      <w:pPr>
        <w:rPr>
          <w:b/>
          <w:bCs/>
        </w:rPr>
      </w:pPr>
      <w:r w:rsidRPr="00B83C14">
        <w:rPr>
          <w:b/>
          <w:bCs/>
        </w:rPr>
        <w:t>Academic Skills Report</w:t>
      </w:r>
    </w:p>
    <w:p w14:paraId="3C4F466B" w14:textId="77777777" w:rsidR="00B83C14" w:rsidRPr="00B83C14" w:rsidRDefault="00B83C14" w:rsidP="00B83C14">
      <w:pPr>
        <w:rPr>
          <w:b/>
          <w:bCs/>
        </w:rPr>
      </w:pPr>
      <w:r w:rsidRPr="00B83C14">
        <w:rPr>
          <w:b/>
          <w:bCs/>
        </w:rPr>
        <w:t>Topics: Presentation Skills and Note-Taking Skills</w:t>
      </w:r>
    </w:p>
    <w:p w14:paraId="484D543B" w14:textId="77777777" w:rsidR="00B83C14" w:rsidRDefault="00B83C14" w:rsidP="00B83C14">
      <w:r w:rsidRPr="00B83C14">
        <w:rPr>
          <w:b/>
          <w:bCs/>
        </w:rPr>
        <w:t>Module:</w:t>
      </w:r>
      <w:r w:rsidRPr="00B83C14">
        <w:t xml:space="preserve"> LCBB4012 – Academic Skills</w:t>
      </w:r>
      <w:r w:rsidRPr="00B83C14">
        <w:br/>
      </w:r>
      <w:r w:rsidRPr="00B83C14">
        <w:rPr>
          <w:b/>
          <w:bCs/>
        </w:rPr>
        <w:t>Programme:</w:t>
      </w:r>
      <w:r w:rsidRPr="00B83C14">
        <w:t xml:space="preserve"> BA (Hons) Business Management</w:t>
      </w:r>
    </w:p>
    <w:p w14:paraId="20B2781F" w14:textId="44C45E09" w:rsidR="00355A29" w:rsidRPr="00B83C14" w:rsidRDefault="00355A29" w:rsidP="00B83C14">
      <w:pPr>
        <w:rPr>
          <w:b/>
          <w:bCs/>
        </w:rPr>
      </w:pPr>
      <w:r w:rsidRPr="00355A29">
        <w:rPr>
          <w:b/>
          <w:bCs/>
        </w:rPr>
        <w:t>Team members:</w:t>
      </w:r>
    </w:p>
    <w:p w14:paraId="564AF235" w14:textId="79EF7301" w:rsidR="00355A29" w:rsidRDefault="00355A29" w:rsidP="00355A29">
      <w:r>
        <w:t xml:space="preserve">Gheorghita Denisa </w:t>
      </w:r>
      <w:proofErr w:type="gramStart"/>
      <w:r>
        <w:t xml:space="preserve">Chitu </w:t>
      </w:r>
      <w:r>
        <w:t xml:space="preserve"> -</w:t>
      </w:r>
      <w:proofErr w:type="gramEnd"/>
      <w:r>
        <w:t xml:space="preserve">  </w:t>
      </w:r>
      <w:r>
        <w:t>2025150141</w:t>
      </w:r>
    </w:p>
    <w:p w14:paraId="1CB73C7C" w14:textId="721BDEF4" w:rsidR="00C11AEB" w:rsidRDefault="00355A29" w:rsidP="00355A29">
      <w:proofErr w:type="gramStart"/>
      <w:r>
        <w:t>Emanuel  Gabriel</w:t>
      </w:r>
      <w:proofErr w:type="gramEnd"/>
      <w:r>
        <w:t xml:space="preserve"> </w:t>
      </w:r>
      <w:proofErr w:type="spellStart"/>
      <w:r>
        <w:t>Repede</w:t>
      </w:r>
      <w:proofErr w:type="spellEnd"/>
      <w:r>
        <w:t> </w:t>
      </w:r>
      <w:r>
        <w:t xml:space="preserve">- </w:t>
      </w:r>
      <w:r>
        <w:t>2025150151</w:t>
      </w:r>
    </w:p>
    <w:p w14:paraId="58DA67FE" w14:textId="31526F22" w:rsidR="00B83C14" w:rsidRDefault="00355A29">
      <w:r w:rsidRPr="00355A29">
        <w:t xml:space="preserve">Claudiu Sebastian Ana </w:t>
      </w:r>
      <w:r>
        <w:t xml:space="preserve">    </w:t>
      </w:r>
      <w:proofErr w:type="gramStart"/>
      <w:r>
        <w:t xml:space="preserve">-  </w:t>
      </w:r>
      <w:r w:rsidRPr="00355A29">
        <w:t>2025136661</w:t>
      </w:r>
      <w:proofErr w:type="gramEnd"/>
    </w:p>
    <w:p w14:paraId="65F1A9C8" w14:textId="2CCAC4DF" w:rsidR="00B83C14" w:rsidRDefault="00355A29" w:rsidP="00355A29">
      <w:r>
        <w:t>Mihaela Vasilica Toader</w:t>
      </w:r>
      <w:r>
        <w:t xml:space="preserve">   -   </w:t>
      </w:r>
      <w:r>
        <w:t>2025150131</w:t>
      </w:r>
    </w:p>
    <w:p w14:paraId="64FFFF65" w14:textId="77777777" w:rsidR="00B83C14" w:rsidRDefault="00B83C14"/>
    <w:p w14:paraId="2C8B03D4" w14:textId="77777777" w:rsidR="00B83C14" w:rsidRDefault="00B83C14"/>
    <w:p w14:paraId="6E3C865F" w14:textId="77777777" w:rsidR="00B83C14" w:rsidRDefault="00B83C14"/>
    <w:p w14:paraId="31ADEB2A" w14:textId="77777777" w:rsidR="00B83C14" w:rsidRDefault="00B83C14"/>
    <w:p w14:paraId="049B2FC0" w14:textId="77777777" w:rsidR="00B83C14" w:rsidRDefault="00B83C14"/>
    <w:p w14:paraId="625996B9" w14:textId="77777777" w:rsidR="00B83C14" w:rsidRDefault="00B83C14"/>
    <w:p w14:paraId="4695B54E" w14:textId="77777777" w:rsidR="00B83C14" w:rsidRDefault="00B83C14"/>
    <w:p w14:paraId="144F92E7" w14:textId="77777777" w:rsidR="00B83C14" w:rsidRDefault="00B83C14"/>
    <w:p w14:paraId="21CC7566" w14:textId="77777777" w:rsidR="00B83C14" w:rsidRDefault="00B83C14"/>
    <w:p w14:paraId="64D5C278" w14:textId="77777777" w:rsidR="00B83C14" w:rsidRDefault="00B83C14"/>
    <w:p w14:paraId="471FF767" w14:textId="77777777" w:rsidR="00B83C14" w:rsidRDefault="00B83C14"/>
    <w:p w14:paraId="644D8B20" w14:textId="77777777" w:rsidR="00B83C14" w:rsidRDefault="00B83C14"/>
    <w:p w14:paraId="482FD0BE" w14:textId="77777777" w:rsidR="00B83C14" w:rsidRDefault="00B83C14"/>
    <w:p w14:paraId="45490C07" w14:textId="77777777" w:rsidR="00B83C14" w:rsidRDefault="00B83C14"/>
    <w:p w14:paraId="45D90E6A" w14:textId="77777777" w:rsidR="00B83C14" w:rsidRDefault="00B83C14"/>
    <w:p w14:paraId="408DB981" w14:textId="77777777" w:rsidR="00B83C14" w:rsidRDefault="00B83C14"/>
    <w:p w14:paraId="15C9B395" w14:textId="77777777" w:rsidR="00B83C14" w:rsidRDefault="00B83C14"/>
    <w:p w14:paraId="3B2CE4D4" w14:textId="77777777" w:rsidR="00B83C14" w:rsidRDefault="00B83C14"/>
    <w:p w14:paraId="4CAFB82B" w14:textId="77777777" w:rsidR="00B83C14" w:rsidRDefault="00B83C14"/>
    <w:p w14:paraId="05128E90" w14:textId="77777777" w:rsidR="00B83C14" w:rsidRDefault="00B83C14"/>
    <w:p w14:paraId="2E3158D0" w14:textId="77777777" w:rsidR="00B83C14" w:rsidRDefault="00B83C14"/>
    <w:p w14:paraId="5D65EBE6" w14:textId="77777777" w:rsidR="00B83C14" w:rsidRDefault="00B83C14"/>
    <w:p w14:paraId="6CAB43C5" w14:textId="77777777" w:rsidR="00B83C14" w:rsidRDefault="00B83C14"/>
    <w:p w14:paraId="08D088C0" w14:textId="77777777" w:rsidR="00B83C14" w:rsidRDefault="00B83C14"/>
    <w:sdt>
      <w:sdtPr>
        <w:id w:val="-135325944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CE33A58" w14:textId="6E79F4A8" w:rsidR="00355A29" w:rsidRDefault="00355A29">
          <w:pPr>
            <w:pStyle w:val="TOCHeading"/>
          </w:pPr>
          <w:r>
            <w:t>Contents</w:t>
          </w:r>
        </w:p>
        <w:p w14:paraId="3233F24C" w14:textId="22D85712" w:rsidR="00355A29" w:rsidRDefault="00355A2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909088" w:history="1">
            <w:r w:rsidRPr="00B46C77">
              <w:rPr>
                <w:rStyle w:val="Hyperlink"/>
                <w:noProof/>
              </w:rPr>
              <w:t>Introduction</w:t>
            </w:r>
            <w:r>
              <w:rPr>
                <w:noProof/>
                <w:webHidden/>
              </w:rPr>
              <w:tab/>
            </w:r>
            <w:r>
              <w:rPr>
                <w:noProof/>
                <w:webHidden/>
              </w:rPr>
              <w:fldChar w:fldCharType="begin"/>
            </w:r>
            <w:r>
              <w:rPr>
                <w:noProof/>
                <w:webHidden/>
              </w:rPr>
              <w:instrText xml:space="preserve"> PAGEREF _Toc212909088 \h </w:instrText>
            </w:r>
            <w:r>
              <w:rPr>
                <w:noProof/>
                <w:webHidden/>
              </w:rPr>
            </w:r>
            <w:r>
              <w:rPr>
                <w:noProof/>
                <w:webHidden/>
              </w:rPr>
              <w:fldChar w:fldCharType="separate"/>
            </w:r>
            <w:r>
              <w:rPr>
                <w:noProof/>
                <w:webHidden/>
              </w:rPr>
              <w:t>3</w:t>
            </w:r>
            <w:r>
              <w:rPr>
                <w:noProof/>
                <w:webHidden/>
              </w:rPr>
              <w:fldChar w:fldCharType="end"/>
            </w:r>
          </w:hyperlink>
        </w:p>
        <w:p w14:paraId="0DE32341" w14:textId="3B4D29A9" w:rsidR="00355A29" w:rsidRDefault="00355A29">
          <w:pPr>
            <w:pStyle w:val="TOC1"/>
            <w:tabs>
              <w:tab w:val="right" w:leader="dot" w:pos="9016"/>
            </w:tabs>
            <w:rPr>
              <w:rFonts w:eastAsiaTheme="minorEastAsia"/>
              <w:noProof/>
              <w:sz w:val="24"/>
              <w:szCs w:val="24"/>
              <w:lang w:eastAsia="en-GB"/>
            </w:rPr>
          </w:pPr>
          <w:hyperlink w:anchor="_Toc212909089" w:history="1">
            <w:r w:rsidRPr="00B46C77">
              <w:rPr>
                <w:rStyle w:val="Hyperlink"/>
                <w:noProof/>
              </w:rPr>
              <w:t>Definition of the Skills</w:t>
            </w:r>
            <w:r>
              <w:rPr>
                <w:noProof/>
                <w:webHidden/>
              </w:rPr>
              <w:tab/>
            </w:r>
            <w:r>
              <w:rPr>
                <w:noProof/>
                <w:webHidden/>
              </w:rPr>
              <w:fldChar w:fldCharType="begin"/>
            </w:r>
            <w:r>
              <w:rPr>
                <w:noProof/>
                <w:webHidden/>
              </w:rPr>
              <w:instrText xml:space="preserve"> PAGEREF _Toc212909089 \h </w:instrText>
            </w:r>
            <w:r>
              <w:rPr>
                <w:noProof/>
                <w:webHidden/>
              </w:rPr>
            </w:r>
            <w:r>
              <w:rPr>
                <w:noProof/>
                <w:webHidden/>
              </w:rPr>
              <w:fldChar w:fldCharType="separate"/>
            </w:r>
            <w:r>
              <w:rPr>
                <w:noProof/>
                <w:webHidden/>
              </w:rPr>
              <w:t>3</w:t>
            </w:r>
            <w:r>
              <w:rPr>
                <w:noProof/>
                <w:webHidden/>
              </w:rPr>
              <w:fldChar w:fldCharType="end"/>
            </w:r>
          </w:hyperlink>
        </w:p>
        <w:p w14:paraId="5DCC3FB1" w14:textId="4114B29D" w:rsidR="00355A29" w:rsidRDefault="00355A29">
          <w:pPr>
            <w:pStyle w:val="TOC1"/>
            <w:tabs>
              <w:tab w:val="right" w:leader="dot" w:pos="9016"/>
            </w:tabs>
            <w:rPr>
              <w:rFonts w:eastAsiaTheme="minorEastAsia"/>
              <w:noProof/>
              <w:sz w:val="24"/>
              <w:szCs w:val="24"/>
              <w:lang w:eastAsia="en-GB"/>
            </w:rPr>
          </w:pPr>
          <w:hyperlink w:anchor="_Toc212909090" w:history="1">
            <w:r w:rsidRPr="00B46C77">
              <w:rPr>
                <w:rStyle w:val="Hyperlink"/>
                <w:noProof/>
              </w:rPr>
              <w:t>Importance of Presentation Skills</w:t>
            </w:r>
            <w:r>
              <w:rPr>
                <w:noProof/>
                <w:webHidden/>
              </w:rPr>
              <w:tab/>
            </w:r>
            <w:r>
              <w:rPr>
                <w:noProof/>
                <w:webHidden/>
              </w:rPr>
              <w:fldChar w:fldCharType="begin"/>
            </w:r>
            <w:r>
              <w:rPr>
                <w:noProof/>
                <w:webHidden/>
              </w:rPr>
              <w:instrText xml:space="preserve"> PAGEREF _Toc212909090 \h </w:instrText>
            </w:r>
            <w:r>
              <w:rPr>
                <w:noProof/>
                <w:webHidden/>
              </w:rPr>
            </w:r>
            <w:r>
              <w:rPr>
                <w:noProof/>
                <w:webHidden/>
              </w:rPr>
              <w:fldChar w:fldCharType="separate"/>
            </w:r>
            <w:r>
              <w:rPr>
                <w:noProof/>
                <w:webHidden/>
              </w:rPr>
              <w:t>4</w:t>
            </w:r>
            <w:r>
              <w:rPr>
                <w:noProof/>
                <w:webHidden/>
              </w:rPr>
              <w:fldChar w:fldCharType="end"/>
            </w:r>
          </w:hyperlink>
        </w:p>
        <w:p w14:paraId="7FB44349" w14:textId="0E011186" w:rsidR="00355A29" w:rsidRDefault="00355A29">
          <w:pPr>
            <w:pStyle w:val="TOC1"/>
            <w:tabs>
              <w:tab w:val="right" w:leader="dot" w:pos="9016"/>
            </w:tabs>
            <w:rPr>
              <w:rFonts w:eastAsiaTheme="minorEastAsia"/>
              <w:noProof/>
              <w:sz w:val="24"/>
              <w:szCs w:val="24"/>
              <w:lang w:eastAsia="en-GB"/>
            </w:rPr>
          </w:pPr>
          <w:hyperlink w:anchor="_Toc212909091" w:history="1">
            <w:r w:rsidRPr="00B46C77">
              <w:rPr>
                <w:rStyle w:val="Hyperlink"/>
                <w:noProof/>
              </w:rPr>
              <w:t>Importance of Note-Taking Skills</w:t>
            </w:r>
            <w:r>
              <w:rPr>
                <w:noProof/>
                <w:webHidden/>
              </w:rPr>
              <w:tab/>
            </w:r>
            <w:r>
              <w:rPr>
                <w:noProof/>
                <w:webHidden/>
              </w:rPr>
              <w:fldChar w:fldCharType="begin"/>
            </w:r>
            <w:r>
              <w:rPr>
                <w:noProof/>
                <w:webHidden/>
              </w:rPr>
              <w:instrText xml:space="preserve"> PAGEREF _Toc212909091 \h </w:instrText>
            </w:r>
            <w:r>
              <w:rPr>
                <w:noProof/>
                <w:webHidden/>
              </w:rPr>
            </w:r>
            <w:r>
              <w:rPr>
                <w:noProof/>
                <w:webHidden/>
              </w:rPr>
              <w:fldChar w:fldCharType="separate"/>
            </w:r>
            <w:r>
              <w:rPr>
                <w:noProof/>
                <w:webHidden/>
              </w:rPr>
              <w:t>5</w:t>
            </w:r>
            <w:r>
              <w:rPr>
                <w:noProof/>
                <w:webHidden/>
              </w:rPr>
              <w:fldChar w:fldCharType="end"/>
            </w:r>
          </w:hyperlink>
        </w:p>
        <w:p w14:paraId="41864D7E" w14:textId="49B8C098" w:rsidR="00355A29" w:rsidRDefault="00355A29">
          <w:pPr>
            <w:pStyle w:val="TOC1"/>
            <w:tabs>
              <w:tab w:val="right" w:leader="dot" w:pos="9016"/>
            </w:tabs>
            <w:rPr>
              <w:rFonts w:eastAsiaTheme="minorEastAsia"/>
              <w:noProof/>
              <w:sz w:val="24"/>
              <w:szCs w:val="24"/>
              <w:lang w:eastAsia="en-GB"/>
            </w:rPr>
          </w:pPr>
          <w:hyperlink w:anchor="_Toc212909092" w:history="1">
            <w:r w:rsidRPr="00B46C77">
              <w:rPr>
                <w:rStyle w:val="Hyperlink"/>
                <w:noProof/>
              </w:rPr>
              <w:t>Strategies to Improve Presentation Skills</w:t>
            </w:r>
            <w:r>
              <w:rPr>
                <w:noProof/>
                <w:webHidden/>
              </w:rPr>
              <w:tab/>
            </w:r>
            <w:r>
              <w:rPr>
                <w:noProof/>
                <w:webHidden/>
              </w:rPr>
              <w:fldChar w:fldCharType="begin"/>
            </w:r>
            <w:r>
              <w:rPr>
                <w:noProof/>
                <w:webHidden/>
              </w:rPr>
              <w:instrText xml:space="preserve"> PAGEREF _Toc212909092 \h </w:instrText>
            </w:r>
            <w:r>
              <w:rPr>
                <w:noProof/>
                <w:webHidden/>
              </w:rPr>
            </w:r>
            <w:r>
              <w:rPr>
                <w:noProof/>
                <w:webHidden/>
              </w:rPr>
              <w:fldChar w:fldCharType="separate"/>
            </w:r>
            <w:r>
              <w:rPr>
                <w:noProof/>
                <w:webHidden/>
              </w:rPr>
              <w:t>6</w:t>
            </w:r>
            <w:r>
              <w:rPr>
                <w:noProof/>
                <w:webHidden/>
              </w:rPr>
              <w:fldChar w:fldCharType="end"/>
            </w:r>
          </w:hyperlink>
        </w:p>
        <w:p w14:paraId="5857ABEB" w14:textId="4764FD41" w:rsidR="00355A29" w:rsidRDefault="00355A29">
          <w:pPr>
            <w:pStyle w:val="TOC1"/>
            <w:tabs>
              <w:tab w:val="right" w:leader="dot" w:pos="9016"/>
            </w:tabs>
            <w:rPr>
              <w:rFonts w:eastAsiaTheme="minorEastAsia"/>
              <w:noProof/>
              <w:sz w:val="24"/>
              <w:szCs w:val="24"/>
              <w:lang w:eastAsia="en-GB"/>
            </w:rPr>
          </w:pPr>
          <w:hyperlink w:anchor="_Toc212909093" w:history="1">
            <w:r w:rsidRPr="00B46C77">
              <w:rPr>
                <w:rStyle w:val="Hyperlink"/>
                <w:noProof/>
              </w:rPr>
              <w:t>Conclusion</w:t>
            </w:r>
            <w:r>
              <w:rPr>
                <w:noProof/>
                <w:webHidden/>
              </w:rPr>
              <w:tab/>
            </w:r>
            <w:r>
              <w:rPr>
                <w:noProof/>
                <w:webHidden/>
              </w:rPr>
              <w:fldChar w:fldCharType="begin"/>
            </w:r>
            <w:r>
              <w:rPr>
                <w:noProof/>
                <w:webHidden/>
              </w:rPr>
              <w:instrText xml:space="preserve"> PAGEREF _Toc212909093 \h </w:instrText>
            </w:r>
            <w:r>
              <w:rPr>
                <w:noProof/>
                <w:webHidden/>
              </w:rPr>
            </w:r>
            <w:r>
              <w:rPr>
                <w:noProof/>
                <w:webHidden/>
              </w:rPr>
              <w:fldChar w:fldCharType="separate"/>
            </w:r>
            <w:r>
              <w:rPr>
                <w:noProof/>
                <w:webHidden/>
              </w:rPr>
              <w:t>7</w:t>
            </w:r>
            <w:r>
              <w:rPr>
                <w:noProof/>
                <w:webHidden/>
              </w:rPr>
              <w:fldChar w:fldCharType="end"/>
            </w:r>
          </w:hyperlink>
        </w:p>
        <w:p w14:paraId="366B4BB6" w14:textId="2A44312C" w:rsidR="00355A29" w:rsidRDefault="00355A29">
          <w:pPr>
            <w:pStyle w:val="TOC1"/>
            <w:tabs>
              <w:tab w:val="right" w:leader="dot" w:pos="9016"/>
            </w:tabs>
            <w:rPr>
              <w:rFonts w:eastAsiaTheme="minorEastAsia"/>
              <w:noProof/>
              <w:sz w:val="24"/>
              <w:szCs w:val="24"/>
              <w:lang w:eastAsia="en-GB"/>
            </w:rPr>
          </w:pPr>
          <w:hyperlink w:anchor="_Toc212909094" w:history="1">
            <w:r w:rsidRPr="00B46C77">
              <w:rPr>
                <w:rStyle w:val="Hyperlink"/>
                <w:noProof/>
              </w:rPr>
              <w:t>List of references</w:t>
            </w:r>
            <w:r>
              <w:rPr>
                <w:noProof/>
                <w:webHidden/>
              </w:rPr>
              <w:tab/>
            </w:r>
            <w:r>
              <w:rPr>
                <w:noProof/>
                <w:webHidden/>
              </w:rPr>
              <w:fldChar w:fldCharType="begin"/>
            </w:r>
            <w:r>
              <w:rPr>
                <w:noProof/>
                <w:webHidden/>
              </w:rPr>
              <w:instrText xml:space="preserve"> PAGEREF _Toc212909094 \h </w:instrText>
            </w:r>
            <w:r>
              <w:rPr>
                <w:noProof/>
                <w:webHidden/>
              </w:rPr>
            </w:r>
            <w:r>
              <w:rPr>
                <w:noProof/>
                <w:webHidden/>
              </w:rPr>
              <w:fldChar w:fldCharType="separate"/>
            </w:r>
            <w:r>
              <w:rPr>
                <w:noProof/>
                <w:webHidden/>
              </w:rPr>
              <w:t>8</w:t>
            </w:r>
            <w:r>
              <w:rPr>
                <w:noProof/>
                <w:webHidden/>
              </w:rPr>
              <w:fldChar w:fldCharType="end"/>
            </w:r>
          </w:hyperlink>
        </w:p>
        <w:p w14:paraId="744218F5" w14:textId="4D4449D3" w:rsidR="00355A29" w:rsidRDefault="00355A29">
          <w:r>
            <w:rPr>
              <w:b/>
              <w:bCs/>
            </w:rPr>
            <w:fldChar w:fldCharType="end"/>
          </w:r>
        </w:p>
      </w:sdtContent>
    </w:sdt>
    <w:p w14:paraId="4A536572" w14:textId="77777777" w:rsidR="00355A29" w:rsidRDefault="00355A29"/>
    <w:p w14:paraId="79F0034A" w14:textId="77777777" w:rsidR="00355A29" w:rsidRDefault="00355A29"/>
    <w:p w14:paraId="2FD5F6EB" w14:textId="77777777" w:rsidR="00355A29" w:rsidRDefault="00355A29"/>
    <w:p w14:paraId="64B63D8E" w14:textId="77777777" w:rsidR="00355A29" w:rsidRDefault="00355A29"/>
    <w:p w14:paraId="7882F66D" w14:textId="77777777" w:rsidR="00355A29" w:rsidRDefault="00355A29"/>
    <w:p w14:paraId="55578679" w14:textId="77777777" w:rsidR="00355A29" w:rsidRDefault="00355A29"/>
    <w:p w14:paraId="02D22275" w14:textId="77777777" w:rsidR="00355A29" w:rsidRDefault="00355A29"/>
    <w:p w14:paraId="2EDFD166" w14:textId="77777777" w:rsidR="00355A29" w:rsidRDefault="00355A29"/>
    <w:p w14:paraId="5298C27F" w14:textId="77777777" w:rsidR="00355A29" w:rsidRDefault="00355A29"/>
    <w:p w14:paraId="0E5A58C4" w14:textId="77777777" w:rsidR="00355A29" w:rsidRDefault="00355A29"/>
    <w:p w14:paraId="45E8D6D7" w14:textId="77777777" w:rsidR="00355A29" w:rsidRDefault="00355A29"/>
    <w:p w14:paraId="0D6E6A41" w14:textId="77777777" w:rsidR="00355A29" w:rsidRDefault="00355A29"/>
    <w:p w14:paraId="6DDE9397" w14:textId="77777777" w:rsidR="00355A29" w:rsidRDefault="00355A29"/>
    <w:p w14:paraId="0F4B2810" w14:textId="77777777" w:rsidR="00355A29" w:rsidRDefault="00355A29"/>
    <w:p w14:paraId="5A21C3F6" w14:textId="77777777" w:rsidR="00355A29" w:rsidRDefault="00355A29"/>
    <w:p w14:paraId="58CB497A" w14:textId="77777777" w:rsidR="00355A29" w:rsidRDefault="00355A29"/>
    <w:p w14:paraId="17A11378" w14:textId="77777777" w:rsidR="00355A29" w:rsidRDefault="00355A29"/>
    <w:p w14:paraId="60264A22" w14:textId="77777777" w:rsidR="00355A29" w:rsidRDefault="00355A29"/>
    <w:p w14:paraId="4A16546F" w14:textId="77777777" w:rsidR="00355A29" w:rsidRDefault="00355A29"/>
    <w:p w14:paraId="579190B1" w14:textId="77777777" w:rsidR="00355A29" w:rsidRDefault="00355A29"/>
    <w:p w14:paraId="70928C58" w14:textId="77777777" w:rsidR="00355A29" w:rsidRDefault="00355A29"/>
    <w:p w14:paraId="47DF9A3F" w14:textId="77777777" w:rsidR="00355A29" w:rsidRDefault="00355A29"/>
    <w:p w14:paraId="0619CEFD" w14:textId="4084818E" w:rsidR="00B83C14" w:rsidRDefault="002242FA" w:rsidP="002242FA">
      <w:pPr>
        <w:pStyle w:val="Heading1"/>
      </w:pPr>
      <w:bookmarkStart w:id="0" w:name="_Toc212909088"/>
      <w:r w:rsidRPr="002242FA">
        <w:t>Introduction</w:t>
      </w:r>
      <w:bookmarkEnd w:id="0"/>
    </w:p>
    <w:p w14:paraId="6A05291F" w14:textId="77777777" w:rsidR="002242FA" w:rsidRPr="002242FA" w:rsidRDefault="002242FA" w:rsidP="002242FA">
      <w:r w:rsidRPr="002242FA">
        <w:t xml:space="preserve">Beyond mastering course material, university study entails the acquisition of advanced, practical, scholarly abilities that are essential for self-learning, autonomous knowledge construction, and articulating ideas in writing. A case in point, among the most critical of the scholarly practical abilities, are the skills of </w:t>
      </w:r>
      <w:proofErr w:type="gramStart"/>
      <w:r w:rsidRPr="002242FA">
        <w:t>note-taking</w:t>
      </w:r>
      <w:proofErr w:type="gramEnd"/>
      <w:r w:rsidRPr="002242FA">
        <w:t xml:space="preserve"> and the skills of presentation. Presentation skills enable students to articulate thoughts and ideas to an audience in a logical and comprehensible manner, verbally, with the aid of a practical outline, along with relevant slides and pictures (Lucas, 2020). Note-taking skills, however, enhance learning by enabling students to promptly write and systematically arrange relevant concepts in a coherent pattern during class lectures, group discussions, and individual study sessions (Pauk and Owens, 2019).</w:t>
      </w:r>
    </w:p>
    <w:p w14:paraId="63078CC9" w14:textId="77777777" w:rsidR="002242FA" w:rsidRPr="002242FA" w:rsidRDefault="002242FA" w:rsidP="002242FA">
      <w:r w:rsidRPr="002242FA">
        <w:t xml:space="preserve">Both skills are interdependent. For example, the advanced note-taking skills and the strong presentation skills are intricately tied; a good presentation is built on synthesized notes. As well, the student </w:t>
      </w:r>
      <w:proofErr w:type="gramStart"/>
      <w:r w:rsidRPr="002242FA">
        <w:t>is able to</w:t>
      </w:r>
      <w:proofErr w:type="gramEnd"/>
      <w:r w:rsidRPr="002242FA">
        <w:t xml:space="preserve"> understand the material better if he </w:t>
      </w:r>
      <w:proofErr w:type="gramStart"/>
      <w:r w:rsidRPr="002242FA">
        <w:t>is able to</w:t>
      </w:r>
      <w:proofErr w:type="gramEnd"/>
      <w:r w:rsidRPr="002242FA">
        <w:t xml:space="preserve"> explain it to the audience. Acquiring these skills improves not only the individual’s scholarly level but also the individual’s employment chances because these skills are in high demand in communication and other fields that require a high level of information control (CIPD, 2022).</w:t>
      </w:r>
    </w:p>
    <w:p w14:paraId="33B0E4E5" w14:textId="77777777" w:rsidR="002242FA" w:rsidRPr="002242FA" w:rsidRDefault="002242FA" w:rsidP="002242FA">
      <w:r w:rsidRPr="002242FA">
        <w:t xml:space="preserve">This report seeks to analyse the importance of these two skills and discuss practical ways to devise programmes to improve them. It will start with presenting and defining the skills of </w:t>
      </w:r>
      <w:proofErr w:type="gramStart"/>
      <w:r w:rsidRPr="002242FA">
        <w:t>note-taking</w:t>
      </w:r>
      <w:proofErr w:type="gramEnd"/>
      <w:r w:rsidRPr="002242FA">
        <w:t>, then discuss their relevance in the workplace and in the world of academia. As for the conclusion, the report will try to establish some baseline techniques that students may use to improve these skills and enhance their success in university and in future professional endeavours.</w:t>
      </w:r>
    </w:p>
    <w:p w14:paraId="1C23871B" w14:textId="0C0B63FE" w:rsidR="002242FA" w:rsidRDefault="002242FA" w:rsidP="002242FA">
      <w:pPr>
        <w:pStyle w:val="Heading1"/>
      </w:pPr>
      <w:bookmarkStart w:id="1" w:name="_Toc212909089"/>
      <w:r w:rsidRPr="002242FA">
        <w:t>Definition of the Skills</w:t>
      </w:r>
      <w:bookmarkEnd w:id="1"/>
    </w:p>
    <w:p w14:paraId="124EE9E5" w14:textId="77777777" w:rsidR="002242FA" w:rsidRPr="002242FA" w:rsidRDefault="002242FA" w:rsidP="002242FA">
      <w:r w:rsidRPr="002242FA">
        <w:t>Presentation Skills</w:t>
      </w:r>
    </w:p>
    <w:p w14:paraId="786FB6ED" w14:textId="77777777" w:rsidR="002242FA" w:rsidRPr="002242FA" w:rsidRDefault="002242FA" w:rsidP="002242FA">
      <w:r w:rsidRPr="002242FA">
        <w:t>Presentation skills entail the structuring and systematic delivery of information to an audience in the most engaging way possible. It is a professional skill beyond telling a story. It includes, as Gallo (2018) states, a seamless blend of communication, storytelling, and confidence. Swaying audiences with a speaker's presence is all about presentation. This, however, requires more than just stating the facts. It is a matter of crafting concepts in a way that they attract and communicate the intended message effectively. Presentation skills encompass the verbal aspects of communication such as the tone, clarity, and pacing, as well as non-verbal communication elements such as body language, posture, and eye contact (Lucas, 2020). Additional aids to a presentation such as slides, infographics, and charts, all assist the audience in visualising and retaining the most important ideas. In an academic setting, presentation skills are applicable in group work assignments, seminars, and research presentations. In a professional setting, these skills are critical in meetings, reports, and discussions with clients.</w:t>
      </w:r>
    </w:p>
    <w:p w14:paraId="70C99FE6" w14:textId="77777777" w:rsidR="002242FA" w:rsidRPr="002242FA" w:rsidRDefault="002242FA" w:rsidP="002242FA">
      <w:r w:rsidRPr="002242FA">
        <w:t>Note Taking Skills</w:t>
      </w:r>
    </w:p>
    <w:p w14:paraId="020839DD" w14:textId="77777777" w:rsidR="002242FA" w:rsidRPr="002242FA" w:rsidRDefault="002242FA" w:rsidP="002242FA">
      <w:r w:rsidRPr="002242FA">
        <w:t xml:space="preserve">Note-taking skills include recording, summarising, and organising necessary parts of lectures, readings, and discussions. As Pauk and Owens (2019) put it, “note-taking is an active learning </w:t>
      </w:r>
      <w:r w:rsidRPr="002242FA">
        <w:lastRenderedPageBreak/>
        <w:t xml:space="preserve">process where listening or reading is changed into understanding through filtering necessary ideas and formulating them into smaller, more manageable parts” (p.68). This involves paying attention, understanding, and synthesising vital and non-vital details. Note-taking is a skill, and it can take different forms for different learners. Some learners will prefer structured, linear notes, others will prefer visual documents like mind maps. Some learners prefer the Cornell system of </w:t>
      </w:r>
      <w:proofErr w:type="gramStart"/>
      <w:r w:rsidRPr="002242FA">
        <w:t>note-taking</w:t>
      </w:r>
      <w:proofErr w:type="gramEnd"/>
      <w:r w:rsidRPr="002242FA">
        <w:t xml:space="preserve"> (Buzan, 2018).</w:t>
      </w:r>
    </w:p>
    <w:p w14:paraId="10A077C7" w14:textId="77777777" w:rsidR="002242FA" w:rsidRPr="002242FA" w:rsidRDefault="002242FA" w:rsidP="002242FA">
      <w:r w:rsidRPr="002242FA">
        <w:t>Note-taking transcends mere transcription. It is a cognitive function, whereby students are encouraged to examine, interpret, and synthesise ideas and concepts (</w:t>
      </w:r>
      <w:proofErr w:type="spellStart"/>
      <w:r w:rsidRPr="002242FA">
        <w:t>Piolat</w:t>
      </w:r>
      <w:proofErr w:type="spellEnd"/>
      <w:r w:rsidRPr="002242FA">
        <w:t>, Olive, and Kellogg, 2005). It is a valuable resource in learning because it aids in examination preparation, essay outlining, and in the development of long-term memory. In the professional environment, note-taking is beneficial for recording the content of meetings, updating specific tasks, and capturing strategic ideas. It serves to increase retention, accuracy, and organisation regarding the information captured, thereby improving performance in academic and professional settings.</w:t>
      </w:r>
    </w:p>
    <w:p w14:paraId="2775146C" w14:textId="033EA32A" w:rsidR="002242FA" w:rsidRDefault="002242FA" w:rsidP="002242FA">
      <w:pPr>
        <w:pStyle w:val="Heading1"/>
      </w:pPr>
      <w:bookmarkStart w:id="2" w:name="_Toc212909090"/>
      <w:r w:rsidRPr="002242FA">
        <w:t>Importance of Presentation Skills</w:t>
      </w:r>
      <w:bookmarkEnd w:id="2"/>
    </w:p>
    <w:p w14:paraId="3E97F386" w14:textId="77777777" w:rsidR="002242FA" w:rsidRPr="002242FA" w:rsidRDefault="002242FA" w:rsidP="002242FA">
      <w:r w:rsidRPr="002242FA">
        <w:t xml:space="preserve">The ability to present is crucial in an educational context and professional context. It is the linkage of the two. In university contexts, learners </w:t>
      </w:r>
      <w:proofErr w:type="gramStart"/>
      <w:r w:rsidRPr="002242FA">
        <w:t>have to</w:t>
      </w:r>
      <w:proofErr w:type="gramEnd"/>
      <w:r w:rsidRPr="002242FA">
        <w:t xml:space="preserve"> take oral examinations, participate in group work, and take part in seminars. These activities test the ability of learners to express themselves, think critically, and show the level of practical application of the theoretical concepts mastered. As noted by Morreale, Worley and Hugenberg (2017), the ability to present results in a strong growth of critical thinking, as students need to break, analyse, and construct relevant information in a manner suitable for the target audience. The act of preparing a presentation helps individuals develop time management skills, organisational skills, and the ability to foster presentation, as there are guidelines for them to plan, create, and deliver the presentation.</w:t>
      </w:r>
    </w:p>
    <w:p w14:paraId="66661EE3" w14:textId="77777777" w:rsidR="002242FA" w:rsidRPr="002242FA" w:rsidRDefault="002242FA" w:rsidP="002242FA">
      <w:r w:rsidRPr="002242FA">
        <w:t xml:space="preserve">The ability to present results to an audience also enhances self-esteem and self-perception. The phenomenon of stage fright is common in students </w:t>
      </w:r>
      <w:proofErr w:type="gramStart"/>
      <w:r w:rsidRPr="002242FA">
        <w:t>as a result of</w:t>
      </w:r>
      <w:proofErr w:type="gramEnd"/>
      <w:r w:rsidRPr="002242FA">
        <w:t xml:space="preserve"> public speaking, and presentation tasks of all types increasingly build this controlled and adaptive behaviour (Lucas, 2020). It is worth noting that this newfound self-confidence only goes as far as the academic context. It includes presentation, interviews, networking, and general professional interaction. As noted by Gallo (2018), the ability to present results to the audience aids in increasing the amount of presence and credibility, which in turn affects the perception of competence and leadership qualities.</w:t>
      </w:r>
    </w:p>
    <w:p w14:paraId="76BBE80B" w14:textId="77777777" w:rsidR="002242FA" w:rsidRPr="002242FA" w:rsidRDefault="002242FA" w:rsidP="002242FA">
      <w:r w:rsidRPr="002242FA">
        <w:t>Within the professional sphere, communication skills are also increasingly important. Modern organisations depend on employees who can communicate data efficiently and persuasively. In all cases, and particularly when someone wants to lead a meeting, give a pitching business proposal, or communicate a business update to an organisation, members need to communicate complex issues in a simplified and interesting manner (CIPD, 2022). According to Duarte (2019), the impact a professional has in a presentation is attributed to the ability to connect not only the logical technical aspects but the emotional components as well — the capacity to inspire people through storytelling and empathy. Employees who relate and connect well and in a genuine manner are the people who are very likely to emerge as informal leaders, the people who sway others’ decisions and enhance the value of collaboration.</w:t>
      </w:r>
    </w:p>
    <w:p w14:paraId="21C1D852" w14:textId="77777777" w:rsidR="002242FA" w:rsidRPr="002242FA" w:rsidRDefault="002242FA" w:rsidP="002242FA">
      <w:r w:rsidRPr="002242FA">
        <w:lastRenderedPageBreak/>
        <w:t xml:space="preserve">Moreover, employees with good presentation skills are likely to move up the corporate ladder faster. In most cases, the </w:t>
      </w:r>
      <w:proofErr w:type="gramStart"/>
      <w:r w:rsidRPr="002242FA">
        <w:t>manner in which</w:t>
      </w:r>
      <w:proofErr w:type="gramEnd"/>
      <w:r w:rsidRPr="002242FA">
        <w:t xml:space="preserve"> a person communicates determines whether they are seen as able to solve problems or not, and therefore, whether they </w:t>
      </w:r>
      <w:proofErr w:type="gramStart"/>
      <w:r w:rsidRPr="002242FA">
        <w:t>are capable of representing</w:t>
      </w:r>
      <w:proofErr w:type="gramEnd"/>
      <w:r w:rsidRPr="002242FA">
        <w:t xml:space="preserve"> an organisation internationally. An employee who takes the extra step and has the professional standing to break down complex issues and communicate the presentation effectively stands out. For this reason, it is one of the most important presentation skills that one can have in any industry.</w:t>
      </w:r>
    </w:p>
    <w:p w14:paraId="2494920A" w14:textId="77777777" w:rsidR="002242FA" w:rsidRPr="002242FA" w:rsidRDefault="002242FA" w:rsidP="002242FA">
      <w:r w:rsidRPr="002242FA">
        <w:t>As seen, presentation skills go beyond the scope of public speaking. They reveal the articulation of one’s thoughts and the capacity to analyse problems and reasons dynamically. These skills also inspire confidence, clarity and influence which are paramount to achieving academic and professional success, career advancement and holistic development in all spheres of life.</w:t>
      </w:r>
    </w:p>
    <w:p w14:paraId="3310F940" w14:textId="36EB5DC7" w:rsidR="002242FA" w:rsidRDefault="002242FA" w:rsidP="002242FA">
      <w:pPr>
        <w:pStyle w:val="Heading1"/>
      </w:pPr>
      <w:bookmarkStart w:id="3" w:name="_Toc212909091"/>
      <w:r w:rsidRPr="002242FA">
        <w:t>Importance of Note-Taking Skills</w:t>
      </w:r>
      <w:bookmarkEnd w:id="3"/>
    </w:p>
    <w:p w14:paraId="1741C87C" w14:textId="77777777" w:rsidR="002242FA" w:rsidRDefault="002242FA" w:rsidP="002242FA">
      <w:r>
        <w:t xml:space="preserve">Among the plethora of academic skills, note-taking stands out as the most important skill, though it is largely ignored. It helps students not only understand the material but also remember important details and jot down critical observations. According to </w:t>
      </w:r>
      <w:proofErr w:type="spellStart"/>
      <w:r>
        <w:t>Piolat</w:t>
      </w:r>
      <w:proofErr w:type="spellEnd"/>
      <w:r>
        <w:t xml:space="preserve">, Olive and Kellogg (2005), the action of taking notes encompasses three principal processes on the part of the listener: cognitive listening, understanding, and writing which helps them retain more. The students who highlight and synthesise the most critical details are not just capturing the </w:t>
      </w:r>
      <w:proofErr w:type="gramStart"/>
      <w:r>
        <w:t>material, but</w:t>
      </w:r>
      <w:proofErr w:type="gramEnd"/>
      <w:r>
        <w:t xml:space="preserve"> approaching it from a deeper angle. This aids in enhancing the long-term retention of the information, along with the ability to transfer knowledge to real-life situations.</w:t>
      </w:r>
    </w:p>
    <w:p w14:paraId="51B4FFBB" w14:textId="77777777" w:rsidR="002242FA" w:rsidRDefault="002242FA" w:rsidP="002242FA"/>
    <w:p w14:paraId="27C39C1A" w14:textId="77777777" w:rsidR="002242FA" w:rsidRDefault="002242FA" w:rsidP="002242FA">
      <w:r>
        <w:t xml:space="preserve">Note-taking in higher education involves almost every aspect of study preparation. While listening or reading, students certainly do not retrieve </w:t>
      </w:r>
      <w:proofErr w:type="gramStart"/>
      <w:r>
        <w:t>all of</w:t>
      </w:r>
      <w:proofErr w:type="gramEnd"/>
      <w:r>
        <w:t xml:space="preserve"> the incredibly complex information offered in lectures, seminars, or even independent readings. Well-structured </w:t>
      </w:r>
      <w:proofErr w:type="gramStart"/>
      <w:r>
        <w:t>note-taking</w:t>
      </w:r>
      <w:proofErr w:type="gramEnd"/>
      <w:r>
        <w:t xml:space="preserve"> offers students a way to organise these ideas so they can later revisit, reflect, and expand upon them (Pauk and Owens, 2019). Furthermore, good notes, especially in the context of helping students prepare for and pass examinations, enable learners to locate key ideas and assess how they interrelate between different modules. Well-developed note-takers are likely to review notes, which helps them gain and improve their writing and analytical skills, as well as their critical thinking (Kiewra, 2019) skills as well.</w:t>
      </w:r>
    </w:p>
    <w:p w14:paraId="16484BE4" w14:textId="77777777" w:rsidR="002242FA" w:rsidRDefault="002242FA" w:rsidP="002242FA"/>
    <w:p w14:paraId="6E943760" w14:textId="77777777" w:rsidR="002242FA" w:rsidRDefault="002242FA" w:rsidP="002242FA">
      <w:r>
        <w:t xml:space="preserve">Note-taking has equal importance outside education. Notes taken in meetings and training sessions are transferable to office and fieldwork where information is rapidly exchanged. Well-constructed notes serve the purpose of accomplishing precise recording of decisions, tasks, and deadlines for information that is exchanged rapidly (Bui and Myerson, 2020). Better </w:t>
      </w:r>
      <w:proofErr w:type="gramStart"/>
      <w:r>
        <w:t>note-taking</w:t>
      </w:r>
      <w:proofErr w:type="gramEnd"/>
      <w:r>
        <w:t xml:space="preserve"> entails greater responsibility regarding joint written communications and determining follow-up actions. Structured and precise </w:t>
      </w:r>
      <w:proofErr w:type="gramStart"/>
      <w:r>
        <w:t>note-taking</w:t>
      </w:r>
      <w:proofErr w:type="gramEnd"/>
      <w:r>
        <w:t xml:space="preserve"> in management, law, or the field of healthcare is likely to enhance decision-making and overall performance.</w:t>
      </w:r>
    </w:p>
    <w:p w14:paraId="471D5E01" w14:textId="77777777" w:rsidR="002242FA" w:rsidRDefault="002242FA" w:rsidP="002242FA"/>
    <w:p w14:paraId="4CAC1737" w14:textId="77777777" w:rsidR="002242FA" w:rsidRDefault="002242FA" w:rsidP="002242FA">
      <w:r>
        <w:t xml:space="preserve">It also promotes self-reliance and active mastery of concepts. Students with access to only lecture slides or recordings find it difficult to cultivate analytical practices. Conversely, students who write their notes in their own words tend to think about concepts more deeply, which helps </w:t>
      </w:r>
      <w:r>
        <w:lastRenderedPageBreak/>
        <w:t>them better understand the material and increases their confidence in their academic abilities (Boyle and Rivera, 2019). The autonomy portrayed in the cited practices simulates the demands of real professional settings where individuals sift and select relevant data.</w:t>
      </w:r>
    </w:p>
    <w:p w14:paraId="0103846F" w14:textId="77777777" w:rsidR="002242FA" w:rsidRDefault="002242FA" w:rsidP="002242FA"/>
    <w:p w14:paraId="18E347EA" w14:textId="7EFC3591" w:rsidR="002242FA" w:rsidRDefault="002242FA" w:rsidP="002242FA">
      <w:r>
        <w:t>In conclusion, note-taking goes beyond the canvas of audio or visual capture to become an integral part of the learning process for an individual. It promotes understanding and concentration, which enhances retention over long periods. This is self-study and self-mastery as it connects knowledge as passive assimilation of information and active synthesis as knowledge.</w:t>
      </w:r>
    </w:p>
    <w:p w14:paraId="0F1634E5" w14:textId="622F49EC" w:rsidR="002242FA" w:rsidRDefault="002242FA" w:rsidP="002242FA">
      <w:pPr>
        <w:pStyle w:val="Heading1"/>
      </w:pPr>
      <w:bookmarkStart w:id="4" w:name="_Toc212909092"/>
      <w:r w:rsidRPr="002242FA">
        <w:t>Strategies to Improve Presentation Skills</w:t>
      </w:r>
      <w:bookmarkEnd w:id="4"/>
    </w:p>
    <w:p w14:paraId="2FBE0291" w14:textId="77777777" w:rsidR="00355A29" w:rsidRDefault="00355A29" w:rsidP="00355A29">
      <w:r>
        <w:t>Through reflection, preparation, and constant practice, skills in presentation and speech delivery can be enhanced. Scholars agree that in a presentation, topics should be ‘neat and self-contained’ (Gallo, 2018</w:t>
      </w:r>
      <w:proofErr w:type="gramStart"/>
      <w:r>
        <w:t>), and</w:t>
      </w:r>
      <w:proofErr w:type="gramEnd"/>
      <w:r>
        <w:t xml:space="preserve"> be able to address all key points in a specific order. For ease in presentation, adequate time must be allocated to each section. ‘Information overload’ must be avoided to allow a seamless balance between the audience's digestion capacity and the complexity. The use of presentation materials is encouraged to retain focus, while eliminating the tendency to read verbatim from slides, hence, reducing monotony.</w:t>
      </w:r>
    </w:p>
    <w:p w14:paraId="27753989" w14:textId="77777777" w:rsidR="00355A29" w:rsidRDefault="00355A29" w:rsidP="00355A29"/>
    <w:p w14:paraId="572D13D6" w14:textId="77777777" w:rsidR="00355A29" w:rsidRDefault="00355A29" w:rsidP="00355A29">
      <w:r>
        <w:t xml:space="preserve">Practising delivery while controlling anxiety is another crucial strategy that proves useful. Students, especially those in Capture Based Learning, typically worry about the assessments associated with the practice of public speaking. With the right techniques, the anxiety barrier is significantly lowered, and content retention improves. For example, Gallo (2018) suggests that rehearsals should be recorded </w:t>
      </w:r>
      <w:proofErr w:type="gramStart"/>
      <w:r>
        <w:t>in order to</w:t>
      </w:r>
      <w:proofErr w:type="gramEnd"/>
      <w:r>
        <w:t xml:space="preserve"> highlight poor pacing and lack of eye contact. For long-term anxiety reduction, breathing techniques as well as visualisation may prove to be useful. With time, practice refocuses anxieties from a state of panic to a state of heightened awareness, improving expressiveness and fluency.</w:t>
      </w:r>
    </w:p>
    <w:p w14:paraId="775ED520" w14:textId="77777777" w:rsidR="00355A29" w:rsidRDefault="00355A29" w:rsidP="00355A29"/>
    <w:p w14:paraId="0C232B68" w14:textId="77777777" w:rsidR="00355A29" w:rsidRDefault="00355A29" w:rsidP="00355A29">
      <w:r>
        <w:t>An additional facilitatory skill in overcoming the barriers to accessing prospective clients is audience engagement. Duarte (2019) argues that emotional connection with the audience helps in persuading the audience while also aiding retention. Techniques such as storytelling, rhetorical questions, and the use of real-world examples help in bridging the gap when dealing with scientific or professional material. Slides and video clips can also be used to confirm what has been said, with the condition that they do not become overly complex or contradictory. Furthermore, a presenter is also responsible for eye contact, posture, and hand movements to ensure that they appear enthusiastic and approachable (Morreale, Worley and Hugenberg, 2017).</w:t>
      </w:r>
    </w:p>
    <w:p w14:paraId="3C44F525" w14:textId="77777777" w:rsidR="00355A29" w:rsidRDefault="00355A29" w:rsidP="00355A29"/>
    <w:p w14:paraId="3C7D6768" w14:textId="77777777" w:rsidR="00355A29" w:rsidRDefault="00355A29" w:rsidP="00355A29">
      <w:r>
        <w:t xml:space="preserve">Presenters, most importantly, need to focus on personal feedback and reflection. Collating a list of what went right and what went wrong after each presentation </w:t>
      </w:r>
      <w:proofErr w:type="gramStart"/>
      <w:r>
        <w:t>in order to</w:t>
      </w:r>
      <w:proofErr w:type="gramEnd"/>
      <w:r>
        <w:t xml:space="preserve"> improve and polish their skills will save them a lot of time in the long run (Cottrell, 2019). Tutors or peers provide invaluable feedback on aspects such as pacing, tone, and clarity which the presenter </w:t>
      </w:r>
      <w:r>
        <w:lastRenderedPageBreak/>
        <w:t>themselves may be blind to. Having a presentation journal and being able to record a series of sessions greatly helps to improve the long-term learning outcome.</w:t>
      </w:r>
    </w:p>
    <w:p w14:paraId="31F4C7E4" w14:textId="77777777" w:rsidR="00355A29" w:rsidRDefault="00355A29" w:rsidP="00355A29"/>
    <w:p w14:paraId="16A537C5" w14:textId="77777777" w:rsidR="00355A29" w:rsidRDefault="00355A29" w:rsidP="00355A29">
      <w:r>
        <w:t xml:space="preserve">Completing </w:t>
      </w:r>
      <w:proofErr w:type="gramStart"/>
      <w:r>
        <w:t>all of</w:t>
      </w:r>
      <w:proofErr w:type="gramEnd"/>
      <w:r>
        <w:t xml:space="preserve"> the activities above allows the presenter to polish their skills and become more consistent with each presentation. Having self-reflection helps them to adjust parts which they may not notice otherwise. Anxiety and fear can be shifted to confidence when the student </w:t>
      </w:r>
      <w:proofErr w:type="gramStart"/>
      <w:r>
        <w:t>realises</w:t>
      </w:r>
      <w:proofErr w:type="gramEnd"/>
      <w:r>
        <w:t xml:space="preserve"> they have structured their presentation in a way which allows them to be engaged while also being on topic, which results in a professional-quality restatement </w:t>
      </w:r>
      <w:proofErr w:type="gramStart"/>
      <w:r>
        <w:t>in regard to</w:t>
      </w:r>
      <w:proofErr w:type="gramEnd"/>
      <w:r>
        <w:t xml:space="preserve"> the topic in any context.</w:t>
      </w:r>
    </w:p>
    <w:p w14:paraId="5B592E0C" w14:textId="3EEAD619" w:rsidR="00355A29" w:rsidRDefault="00355A29" w:rsidP="00355A29">
      <w:pPr>
        <w:pStyle w:val="Heading1"/>
      </w:pPr>
      <w:bookmarkStart w:id="5" w:name="_Toc212909093"/>
      <w:r w:rsidRPr="00355A29">
        <w:t>Conclusion</w:t>
      </w:r>
      <w:bookmarkEnd w:id="5"/>
    </w:p>
    <w:p w14:paraId="46152768" w14:textId="77777777" w:rsidR="00355A29" w:rsidRPr="00355A29" w:rsidRDefault="00355A29" w:rsidP="00355A29">
      <w:r w:rsidRPr="00355A29">
        <w:t>Like every human endeavour, life is full of challenges, but with every challenge there also lies ample opportunity to learn, improve oneself, and pave the way for future success. In every field, effective communication is indispensable, and those with specialised communication skills thrive in every area. The more one perfects the art of communication, the more success he/she is likely to achieve. To assist in this practice, it is integral to develop skills in preparation of visual aids and the methodical disposition of focused notes. In unison, these two skills have exponential benefits. Not only does accurate note taking assist in the conveying of salient ideas, but also the informational flow enhances the cognizance of the discourse through more vigorous methods of retrieval augmentation.</w:t>
      </w:r>
    </w:p>
    <w:p w14:paraId="34958A10" w14:textId="77777777" w:rsidR="00355A29" w:rsidRPr="00355A29" w:rsidRDefault="00355A29" w:rsidP="00355A29">
      <w:r w:rsidRPr="00355A29">
        <w:t xml:space="preserve">In addition to education, the practical relevance of these skills is equally paramount. Their market demand speaks for the value of such people. It allows for effective collaboration, problem resolution, and collaboration. The ability to Fasten </w:t>
      </w:r>
      <w:proofErr w:type="spellStart"/>
      <w:r w:rsidRPr="00355A29">
        <w:t>Self Assessment</w:t>
      </w:r>
      <w:proofErr w:type="spellEnd"/>
      <w:r w:rsidRPr="00355A29">
        <w:t xml:space="preserve"> Cycle with Deductive practice enables this self-evolving process. It enhances the way people communicate, and how people learn independently. With these skills, self-evolving more adaptable and assertive has proven the ability to thrive in academics and the professional environment alike.</w:t>
      </w:r>
    </w:p>
    <w:p w14:paraId="07486605" w14:textId="77777777" w:rsidR="00355A29" w:rsidRDefault="00355A29" w:rsidP="00355A29"/>
    <w:p w14:paraId="0FD8CCB3" w14:textId="77777777" w:rsidR="00355A29" w:rsidRDefault="00355A29" w:rsidP="00355A29"/>
    <w:p w14:paraId="085C95C0" w14:textId="77777777" w:rsidR="00355A29" w:rsidRDefault="00355A29" w:rsidP="00355A29"/>
    <w:p w14:paraId="3489CEDE" w14:textId="77777777" w:rsidR="00355A29" w:rsidRDefault="00355A29" w:rsidP="00355A29"/>
    <w:p w14:paraId="00D145C7" w14:textId="77777777" w:rsidR="00355A29" w:rsidRDefault="00355A29" w:rsidP="00355A29"/>
    <w:p w14:paraId="699D8999" w14:textId="77777777" w:rsidR="00355A29" w:rsidRDefault="00355A29" w:rsidP="00355A29"/>
    <w:p w14:paraId="3C0DF3C8" w14:textId="77777777" w:rsidR="00355A29" w:rsidRDefault="00355A29" w:rsidP="00355A29"/>
    <w:p w14:paraId="1437FA31" w14:textId="77777777" w:rsidR="00355A29" w:rsidRDefault="00355A29" w:rsidP="00355A29"/>
    <w:p w14:paraId="271620FB" w14:textId="77777777" w:rsidR="00355A29" w:rsidRDefault="00355A29" w:rsidP="00355A29"/>
    <w:p w14:paraId="5D267437" w14:textId="77777777" w:rsidR="00355A29" w:rsidRDefault="00355A29" w:rsidP="00355A29"/>
    <w:p w14:paraId="2A1F8A68" w14:textId="77777777" w:rsidR="00355A29" w:rsidRDefault="00355A29" w:rsidP="00355A29"/>
    <w:p w14:paraId="7AAA3FB2" w14:textId="77777777" w:rsidR="00355A29" w:rsidRDefault="00355A29" w:rsidP="00355A29"/>
    <w:p w14:paraId="5AECA4D0" w14:textId="77777777" w:rsidR="00355A29" w:rsidRDefault="00355A29" w:rsidP="00355A29"/>
    <w:p w14:paraId="776859B5" w14:textId="77777777" w:rsidR="00355A29" w:rsidRDefault="00355A29" w:rsidP="00355A29"/>
    <w:p w14:paraId="098C95BF" w14:textId="066EE0A7" w:rsidR="00355A29" w:rsidRDefault="00355A29" w:rsidP="00355A29">
      <w:pPr>
        <w:pStyle w:val="Heading1"/>
      </w:pPr>
      <w:bookmarkStart w:id="6" w:name="_Toc212909094"/>
      <w:r>
        <w:t>List of references</w:t>
      </w:r>
      <w:bookmarkEnd w:id="6"/>
      <w:r>
        <w:t xml:space="preserve"> </w:t>
      </w:r>
    </w:p>
    <w:p w14:paraId="0CA11E54" w14:textId="292713A1" w:rsidR="00355A29" w:rsidRPr="00355A29" w:rsidRDefault="00355A29" w:rsidP="00355A29">
      <w:r w:rsidRPr="00355A29">
        <w:t xml:space="preserve">Boyle, J.R. and Rivera, T.Z. (2019) ‘Note-taking techniques and their impact on student achievement’, </w:t>
      </w:r>
      <w:r w:rsidRPr="00355A29">
        <w:rPr>
          <w:i/>
          <w:iCs/>
        </w:rPr>
        <w:t>Learning Disabilities Research &amp; Practice</w:t>
      </w:r>
      <w:r w:rsidRPr="00355A29">
        <w:t>, 34(1), pp. 2–10.</w:t>
      </w:r>
    </w:p>
    <w:p w14:paraId="1C152E58" w14:textId="77777777" w:rsidR="00355A29" w:rsidRPr="00355A29" w:rsidRDefault="00355A29" w:rsidP="00355A29">
      <w:r w:rsidRPr="00355A29">
        <w:t xml:space="preserve">Bui, D.C. and Myerson, J. (2020) ‘The role of technology in </w:t>
      </w:r>
      <w:proofErr w:type="gramStart"/>
      <w:r w:rsidRPr="00355A29">
        <w:t>note-taking</w:t>
      </w:r>
      <w:proofErr w:type="gramEnd"/>
      <w:r w:rsidRPr="00355A29">
        <w:t xml:space="preserve"> and learning outcomes’, </w:t>
      </w:r>
      <w:r w:rsidRPr="00355A29">
        <w:rPr>
          <w:i/>
          <w:iCs/>
        </w:rPr>
        <w:t>Educational Psychology Review</w:t>
      </w:r>
      <w:r w:rsidRPr="00355A29">
        <w:t>, 32(2), pp. 307–325.</w:t>
      </w:r>
    </w:p>
    <w:p w14:paraId="739FB7CA" w14:textId="77777777" w:rsidR="00355A29" w:rsidRPr="00355A29" w:rsidRDefault="00355A29" w:rsidP="00355A29">
      <w:r w:rsidRPr="00355A29">
        <w:t xml:space="preserve">Buzan, T. (2018) </w:t>
      </w:r>
      <w:r w:rsidRPr="00355A29">
        <w:rPr>
          <w:i/>
          <w:iCs/>
        </w:rPr>
        <w:t>Mind Map Mastery: The Complete Guide to Learning and Using the Most Powerful Thinking Tool in the Universe</w:t>
      </w:r>
      <w:r w:rsidRPr="00355A29">
        <w:t>. London: BBC Books.</w:t>
      </w:r>
    </w:p>
    <w:p w14:paraId="515AA7B5" w14:textId="77777777" w:rsidR="00355A29" w:rsidRPr="00355A29" w:rsidRDefault="00355A29" w:rsidP="00355A29">
      <w:r w:rsidRPr="00355A29">
        <w:t xml:space="preserve">CIPD (2022) </w:t>
      </w:r>
      <w:r w:rsidRPr="00355A29">
        <w:rPr>
          <w:i/>
          <w:iCs/>
        </w:rPr>
        <w:t>Workplace Communication and Employability Skills Report</w:t>
      </w:r>
      <w:r w:rsidRPr="00355A29">
        <w:t>. London: Chartered Institute of Personnel and Development.</w:t>
      </w:r>
    </w:p>
    <w:p w14:paraId="1DE0B72D" w14:textId="77777777" w:rsidR="00355A29" w:rsidRPr="00355A29" w:rsidRDefault="00355A29" w:rsidP="00355A29">
      <w:r w:rsidRPr="00355A29">
        <w:t xml:space="preserve">Cottrell, S. (2019) </w:t>
      </w:r>
      <w:r w:rsidRPr="00355A29">
        <w:rPr>
          <w:i/>
          <w:iCs/>
        </w:rPr>
        <w:t>The Study Skills Handbook</w:t>
      </w:r>
      <w:r w:rsidRPr="00355A29">
        <w:t>. 5th ed. London: Macmillan Education.</w:t>
      </w:r>
    </w:p>
    <w:p w14:paraId="50E00CD1" w14:textId="77777777" w:rsidR="00355A29" w:rsidRPr="00355A29" w:rsidRDefault="00355A29" w:rsidP="00355A29">
      <w:r w:rsidRPr="00355A29">
        <w:t xml:space="preserve">Duarte, N. (2019) </w:t>
      </w:r>
      <w:r w:rsidRPr="00355A29">
        <w:rPr>
          <w:i/>
          <w:iCs/>
        </w:rPr>
        <w:t>Resonate: Present Visual Stories that Transform Audiences</w:t>
      </w:r>
      <w:r w:rsidRPr="00355A29">
        <w:t>. 2nd ed. Hoboken: Wiley.</w:t>
      </w:r>
    </w:p>
    <w:p w14:paraId="3E58951A" w14:textId="77777777" w:rsidR="00355A29" w:rsidRPr="00355A29" w:rsidRDefault="00355A29" w:rsidP="00355A29">
      <w:r w:rsidRPr="00355A29">
        <w:t xml:space="preserve">Gallo, C. (2018) </w:t>
      </w:r>
      <w:r w:rsidRPr="00355A29">
        <w:rPr>
          <w:i/>
          <w:iCs/>
        </w:rPr>
        <w:t>Talk Like TED: The 9 Public-Speaking Secrets of the World’s Top Minds</w:t>
      </w:r>
      <w:r w:rsidRPr="00355A29">
        <w:t>. London: Pan Macmillan.</w:t>
      </w:r>
    </w:p>
    <w:p w14:paraId="675CE4DA" w14:textId="77777777" w:rsidR="00355A29" w:rsidRPr="00355A29" w:rsidRDefault="00355A29" w:rsidP="00355A29">
      <w:r w:rsidRPr="00355A29">
        <w:t xml:space="preserve">Kiewra, K.A. (2019) </w:t>
      </w:r>
      <w:r w:rsidRPr="00355A29">
        <w:rPr>
          <w:i/>
          <w:iCs/>
        </w:rPr>
        <w:t>Note Taking Made Easy: Strategies for Academic Success</w:t>
      </w:r>
      <w:r w:rsidRPr="00355A29">
        <w:t>. New York: Oxford University Press.</w:t>
      </w:r>
    </w:p>
    <w:p w14:paraId="71C47A4D" w14:textId="77777777" w:rsidR="00355A29" w:rsidRPr="00355A29" w:rsidRDefault="00355A29" w:rsidP="00355A29">
      <w:r w:rsidRPr="00355A29">
        <w:t xml:space="preserve">Lucas, S.E. (2020) </w:t>
      </w:r>
      <w:r w:rsidRPr="00355A29">
        <w:rPr>
          <w:i/>
          <w:iCs/>
        </w:rPr>
        <w:t>The Art of Public Speaking</w:t>
      </w:r>
      <w:r w:rsidRPr="00355A29">
        <w:t>. 14th ed. New York: McGraw-Hill Education.</w:t>
      </w:r>
    </w:p>
    <w:p w14:paraId="1994C686" w14:textId="77777777" w:rsidR="00355A29" w:rsidRPr="00355A29" w:rsidRDefault="00355A29" w:rsidP="00355A29">
      <w:r w:rsidRPr="00355A29">
        <w:t xml:space="preserve">Morreale, S.P., Worley, D.W. and Hugenberg, B. (2017) </w:t>
      </w:r>
      <w:r w:rsidRPr="00355A29">
        <w:rPr>
          <w:i/>
          <w:iCs/>
        </w:rPr>
        <w:t>The Fundamentals of Communication</w:t>
      </w:r>
      <w:r w:rsidRPr="00355A29">
        <w:t>. 9th ed. Boston: Pearson.</w:t>
      </w:r>
    </w:p>
    <w:p w14:paraId="7B90C18B" w14:textId="77777777" w:rsidR="00355A29" w:rsidRPr="00355A29" w:rsidRDefault="00355A29" w:rsidP="00355A29">
      <w:r w:rsidRPr="00355A29">
        <w:t xml:space="preserve">Pauk, W. and Owens, R.J.Q. (2019) </w:t>
      </w:r>
      <w:r w:rsidRPr="00355A29">
        <w:rPr>
          <w:i/>
          <w:iCs/>
        </w:rPr>
        <w:t>How to Study in College</w:t>
      </w:r>
      <w:r w:rsidRPr="00355A29">
        <w:t>. 12th ed. Boston: Cengage Learning.</w:t>
      </w:r>
    </w:p>
    <w:p w14:paraId="7B5DDA8B" w14:textId="77777777" w:rsidR="00355A29" w:rsidRPr="00355A29" w:rsidRDefault="00355A29" w:rsidP="00355A29">
      <w:proofErr w:type="spellStart"/>
      <w:r w:rsidRPr="00355A29">
        <w:t>Piolat</w:t>
      </w:r>
      <w:proofErr w:type="spellEnd"/>
      <w:r w:rsidRPr="00355A29">
        <w:t xml:space="preserve">, A., Olive, T. and Kellogg, R.T. (2005) ‘Cognitive effort during </w:t>
      </w:r>
      <w:proofErr w:type="gramStart"/>
      <w:r w:rsidRPr="00355A29">
        <w:t>note-taking</w:t>
      </w:r>
      <w:proofErr w:type="gramEnd"/>
      <w:r w:rsidRPr="00355A29">
        <w:t xml:space="preserve">’, </w:t>
      </w:r>
      <w:r w:rsidRPr="00355A29">
        <w:rPr>
          <w:i/>
          <w:iCs/>
        </w:rPr>
        <w:t>Applied Cognitive Psychology</w:t>
      </w:r>
      <w:r w:rsidRPr="00355A29">
        <w:t>, 19(3), pp. 291–312.</w:t>
      </w:r>
    </w:p>
    <w:p w14:paraId="18E7F997" w14:textId="5A95F9CF" w:rsidR="00355A29" w:rsidRPr="00355A29" w:rsidRDefault="00355A29" w:rsidP="00355A29"/>
    <w:p w14:paraId="27ABD321" w14:textId="77777777" w:rsidR="002242FA" w:rsidRPr="002242FA" w:rsidRDefault="002242FA" w:rsidP="002242FA"/>
    <w:sectPr w:rsidR="002242FA" w:rsidRPr="00224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C14"/>
    <w:rsid w:val="00210FB5"/>
    <w:rsid w:val="002242FA"/>
    <w:rsid w:val="00355A29"/>
    <w:rsid w:val="00B54909"/>
    <w:rsid w:val="00B83C14"/>
    <w:rsid w:val="00C11AEB"/>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670FF"/>
  <w15:chartTrackingRefBased/>
  <w15:docId w15:val="{13D04B05-B756-4CD0-8BF7-189780B7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242FA"/>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B83C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C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C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C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C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C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C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2FA"/>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B83C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C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C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C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C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C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C14"/>
    <w:rPr>
      <w:rFonts w:eastAsiaTheme="majorEastAsia" w:cstheme="majorBidi"/>
      <w:color w:val="272727" w:themeColor="text1" w:themeTint="D8"/>
    </w:rPr>
  </w:style>
  <w:style w:type="paragraph" w:styleId="Title">
    <w:name w:val="Title"/>
    <w:basedOn w:val="Normal"/>
    <w:next w:val="Normal"/>
    <w:link w:val="TitleChar"/>
    <w:uiPriority w:val="10"/>
    <w:qFormat/>
    <w:rsid w:val="00B83C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C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C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C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C14"/>
    <w:pPr>
      <w:spacing w:before="160"/>
      <w:jc w:val="center"/>
    </w:pPr>
    <w:rPr>
      <w:i/>
      <w:iCs/>
      <w:color w:val="404040" w:themeColor="text1" w:themeTint="BF"/>
    </w:rPr>
  </w:style>
  <w:style w:type="character" w:customStyle="1" w:styleId="QuoteChar">
    <w:name w:val="Quote Char"/>
    <w:basedOn w:val="DefaultParagraphFont"/>
    <w:link w:val="Quote"/>
    <w:uiPriority w:val="29"/>
    <w:rsid w:val="00B83C14"/>
    <w:rPr>
      <w:i/>
      <w:iCs/>
      <w:color w:val="404040" w:themeColor="text1" w:themeTint="BF"/>
    </w:rPr>
  </w:style>
  <w:style w:type="paragraph" w:styleId="ListParagraph">
    <w:name w:val="List Paragraph"/>
    <w:basedOn w:val="Normal"/>
    <w:uiPriority w:val="34"/>
    <w:qFormat/>
    <w:rsid w:val="00B83C14"/>
    <w:pPr>
      <w:ind w:left="720"/>
      <w:contextualSpacing/>
    </w:pPr>
  </w:style>
  <w:style w:type="character" w:styleId="IntenseEmphasis">
    <w:name w:val="Intense Emphasis"/>
    <w:basedOn w:val="DefaultParagraphFont"/>
    <w:uiPriority w:val="21"/>
    <w:qFormat/>
    <w:rsid w:val="00B83C14"/>
    <w:rPr>
      <w:i/>
      <w:iCs/>
      <w:color w:val="0F4761" w:themeColor="accent1" w:themeShade="BF"/>
    </w:rPr>
  </w:style>
  <w:style w:type="paragraph" w:styleId="IntenseQuote">
    <w:name w:val="Intense Quote"/>
    <w:basedOn w:val="Normal"/>
    <w:next w:val="Normal"/>
    <w:link w:val="IntenseQuoteChar"/>
    <w:uiPriority w:val="30"/>
    <w:qFormat/>
    <w:rsid w:val="00B83C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C14"/>
    <w:rPr>
      <w:i/>
      <w:iCs/>
      <w:color w:val="0F4761" w:themeColor="accent1" w:themeShade="BF"/>
    </w:rPr>
  </w:style>
  <w:style w:type="character" w:styleId="IntenseReference">
    <w:name w:val="Intense Reference"/>
    <w:basedOn w:val="DefaultParagraphFont"/>
    <w:uiPriority w:val="32"/>
    <w:qFormat/>
    <w:rsid w:val="00B83C14"/>
    <w:rPr>
      <w:b/>
      <w:bCs/>
      <w:smallCaps/>
      <w:color w:val="0F4761" w:themeColor="accent1" w:themeShade="BF"/>
      <w:spacing w:val="5"/>
    </w:rPr>
  </w:style>
  <w:style w:type="paragraph" w:styleId="NormalWeb">
    <w:name w:val="Normal (Web)"/>
    <w:basedOn w:val="Normal"/>
    <w:uiPriority w:val="99"/>
    <w:semiHidden/>
    <w:unhideWhenUsed/>
    <w:rsid w:val="00355A29"/>
    <w:rPr>
      <w:rFonts w:ascii="Times New Roman" w:hAnsi="Times New Roman" w:cs="Times New Roman"/>
      <w:sz w:val="24"/>
      <w:szCs w:val="24"/>
    </w:rPr>
  </w:style>
  <w:style w:type="paragraph" w:styleId="TOCHeading">
    <w:name w:val="TOC Heading"/>
    <w:basedOn w:val="Heading1"/>
    <w:next w:val="Normal"/>
    <w:uiPriority w:val="39"/>
    <w:unhideWhenUsed/>
    <w:qFormat/>
    <w:rsid w:val="00355A29"/>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355A29"/>
    <w:pPr>
      <w:spacing w:after="100"/>
    </w:pPr>
  </w:style>
  <w:style w:type="character" w:styleId="Hyperlink">
    <w:name w:val="Hyperlink"/>
    <w:basedOn w:val="DefaultParagraphFont"/>
    <w:uiPriority w:val="99"/>
    <w:unhideWhenUsed/>
    <w:rsid w:val="00355A2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2557</Words>
  <Characters>15470</Characters>
  <Application>Microsoft Office Word</Application>
  <DocSecurity>0</DocSecurity>
  <Lines>396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1</cp:revision>
  <dcterms:created xsi:type="dcterms:W3CDTF">2025-11-01T16:36:00Z</dcterms:created>
  <dcterms:modified xsi:type="dcterms:W3CDTF">2025-11-01T17:04:00Z</dcterms:modified>
</cp:coreProperties>
</file>