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83A17" w:rsidRPr="00683A17" w:rsidRDefault="00683A17" w:rsidP="00683A17">
      <w:pPr>
        <w:spacing w:line="360" w:lineRule="auto"/>
        <w:jc w:val="both"/>
        <w:rPr>
          <w:rFonts w:ascii="Arial" w:hAnsi="Arial" w:cs="Arial"/>
          <w:b/>
          <w:szCs w:val="23"/>
        </w:rPr>
      </w:pPr>
      <w:r w:rsidRPr="00683A17">
        <w:rPr>
          <w:rFonts w:ascii="Arial" w:hAnsi="Arial" w:cs="Arial"/>
          <w:b/>
          <w:szCs w:val="23"/>
        </w:rPr>
        <w:t>An analysis of how Sustainable Development (SDG) Goal 3 'Good He</w:t>
      </w:r>
      <w:r w:rsidR="00EC636F">
        <w:rPr>
          <w:rFonts w:ascii="Arial" w:hAnsi="Arial" w:cs="Arial"/>
          <w:b/>
          <w:szCs w:val="23"/>
        </w:rPr>
        <w:t xml:space="preserve">alth and Wellbeing' and another </w:t>
      </w:r>
      <w:r w:rsidRPr="00683A17">
        <w:rPr>
          <w:rFonts w:ascii="Arial" w:hAnsi="Arial" w:cs="Arial"/>
          <w:b/>
          <w:szCs w:val="23"/>
        </w:rPr>
        <w:t xml:space="preserve">SDG of your choice </w:t>
      </w:r>
      <w:r w:rsidR="00EC636F">
        <w:rPr>
          <w:rFonts w:ascii="Arial" w:hAnsi="Arial" w:cs="Arial"/>
          <w:b/>
          <w:szCs w:val="23"/>
        </w:rPr>
        <w:t>impact</w:t>
      </w:r>
      <w:r w:rsidRPr="00683A17">
        <w:rPr>
          <w:rFonts w:ascii="Arial" w:hAnsi="Arial" w:cs="Arial"/>
          <w:b/>
          <w:szCs w:val="23"/>
        </w:rPr>
        <w:t xml:space="preserve"> the health and </w:t>
      </w:r>
      <w:r w:rsidR="00EC636F">
        <w:rPr>
          <w:rFonts w:ascii="Arial" w:hAnsi="Arial" w:cs="Arial"/>
          <w:b/>
          <w:szCs w:val="23"/>
        </w:rPr>
        <w:t>well-being</w:t>
      </w:r>
      <w:r w:rsidRPr="00683A17">
        <w:rPr>
          <w:rFonts w:ascii="Arial" w:hAnsi="Arial" w:cs="Arial"/>
          <w:b/>
          <w:szCs w:val="23"/>
        </w:rPr>
        <w:t xml:space="preserve"> of citizens.</w:t>
      </w:r>
    </w:p>
    <w:p w:rsidR="00270EC7" w:rsidRPr="00683A17" w:rsidRDefault="00270EC7" w:rsidP="00683A17">
      <w:pPr>
        <w:spacing w:line="360" w:lineRule="auto"/>
        <w:jc w:val="both"/>
        <w:rPr>
          <w:rFonts w:ascii="Arial" w:hAnsi="Arial" w:cs="Arial"/>
          <w:b/>
          <w:szCs w:val="23"/>
          <w:u w:val="single"/>
        </w:rPr>
      </w:pPr>
      <w:r w:rsidRPr="00683A17">
        <w:rPr>
          <w:rFonts w:ascii="Arial" w:hAnsi="Arial" w:cs="Arial"/>
          <w:b/>
          <w:szCs w:val="23"/>
          <w:u w:val="single"/>
        </w:rPr>
        <w:t>Introduction</w:t>
      </w:r>
    </w:p>
    <w:p w:rsidR="00270EC7" w:rsidRPr="00683A17" w:rsidRDefault="00270EC7" w:rsidP="00683A17">
      <w:pPr>
        <w:spacing w:line="360" w:lineRule="auto"/>
        <w:jc w:val="both"/>
        <w:rPr>
          <w:rFonts w:ascii="Arial" w:hAnsi="Arial" w:cs="Arial"/>
          <w:sz w:val="23"/>
          <w:szCs w:val="23"/>
        </w:rPr>
      </w:pPr>
      <w:r w:rsidRPr="00683A17">
        <w:rPr>
          <w:rFonts w:ascii="Arial" w:hAnsi="Arial" w:cs="Arial"/>
          <w:sz w:val="23"/>
          <w:szCs w:val="23"/>
        </w:rPr>
        <w:t xml:space="preserve">Sustainable development has health and well-being at its core, which </w:t>
      </w:r>
      <w:r w:rsidR="00EC636F">
        <w:rPr>
          <w:rFonts w:ascii="Arial" w:hAnsi="Arial" w:cs="Arial"/>
          <w:sz w:val="23"/>
          <w:szCs w:val="23"/>
        </w:rPr>
        <w:t>defines</w:t>
      </w:r>
      <w:r w:rsidRPr="00683A17">
        <w:rPr>
          <w:rFonts w:ascii="Arial" w:hAnsi="Arial" w:cs="Arial"/>
          <w:sz w:val="23"/>
          <w:szCs w:val="23"/>
        </w:rPr>
        <w:t xml:space="preserve"> the core resilience of individuals and the human society. The United Nations Sustainable Development Goals (SDGs) offer a platform to the world to find a way to handle these challenges by the year 2030. United Nations (2015) SDG 3 (Good Health and Well-being) is a fundamental objective</w:t>
      </w:r>
      <w:r w:rsidR="00EC636F">
        <w:rPr>
          <w:rFonts w:ascii="Arial" w:hAnsi="Arial" w:cs="Arial"/>
          <w:sz w:val="23"/>
          <w:szCs w:val="23"/>
        </w:rPr>
        <w:t>,</w:t>
      </w:r>
      <w:r w:rsidRPr="00683A17">
        <w:rPr>
          <w:rFonts w:ascii="Arial" w:hAnsi="Arial" w:cs="Arial"/>
          <w:sz w:val="23"/>
          <w:szCs w:val="23"/>
        </w:rPr>
        <w:t xml:space="preserve"> and it is an effort to secure healthy lives and well-being </w:t>
      </w:r>
      <w:r w:rsidR="00EC636F">
        <w:rPr>
          <w:rFonts w:ascii="Arial" w:hAnsi="Arial" w:cs="Arial"/>
          <w:sz w:val="23"/>
          <w:szCs w:val="23"/>
        </w:rPr>
        <w:t>for</w:t>
      </w:r>
      <w:r w:rsidRPr="00683A17">
        <w:rPr>
          <w:rFonts w:ascii="Arial" w:hAnsi="Arial" w:cs="Arial"/>
          <w:sz w:val="23"/>
          <w:szCs w:val="23"/>
        </w:rPr>
        <w:t xml:space="preserve"> everyone. It deals with a wide range of priorities such as maternal and child health, communicable and non-communicable diseases, substance misuse, mental health</w:t>
      </w:r>
      <w:r w:rsidR="00EC636F">
        <w:rPr>
          <w:rFonts w:ascii="Arial" w:hAnsi="Arial" w:cs="Arial"/>
          <w:sz w:val="23"/>
          <w:szCs w:val="23"/>
        </w:rPr>
        <w:t>,</w:t>
      </w:r>
      <w:r w:rsidRPr="00683A17">
        <w:rPr>
          <w:rFonts w:ascii="Arial" w:hAnsi="Arial" w:cs="Arial"/>
          <w:sz w:val="23"/>
          <w:szCs w:val="23"/>
        </w:rPr>
        <w:t xml:space="preserve"> and the necessity of universal health coverage. </w:t>
      </w:r>
      <w:proofErr w:type="spellStart"/>
      <w:r w:rsidR="00EC636F">
        <w:rPr>
          <w:rFonts w:ascii="Arial" w:hAnsi="Arial" w:cs="Arial"/>
          <w:sz w:val="23"/>
          <w:szCs w:val="23"/>
        </w:rPr>
        <w:t>Danone's</w:t>
      </w:r>
      <w:proofErr w:type="spellEnd"/>
      <w:r w:rsidRPr="00683A17">
        <w:rPr>
          <w:rFonts w:ascii="Arial" w:hAnsi="Arial" w:cs="Arial"/>
          <w:sz w:val="23"/>
          <w:szCs w:val="23"/>
        </w:rPr>
        <w:t xml:space="preserve"> advancement in this direction, however, has </w:t>
      </w:r>
      <w:r w:rsidR="00EC636F">
        <w:rPr>
          <w:rFonts w:ascii="Arial" w:hAnsi="Arial" w:cs="Arial"/>
          <w:sz w:val="23"/>
          <w:szCs w:val="23"/>
        </w:rPr>
        <w:t xml:space="preserve">a </w:t>
      </w:r>
      <w:r w:rsidRPr="00683A17">
        <w:rPr>
          <w:rFonts w:ascii="Arial" w:hAnsi="Arial" w:cs="Arial"/>
          <w:sz w:val="23"/>
          <w:szCs w:val="23"/>
        </w:rPr>
        <w:t xml:space="preserve">heavy reliance on the environmental and social determinants. As an illustration, water-borne pathogens, including cholera, hepatitis A, and </w:t>
      </w:r>
      <w:proofErr w:type="spellStart"/>
      <w:r w:rsidRPr="00683A17">
        <w:rPr>
          <w:rFonts w:ascii="Arial" w:hAnsi="Arial" w:cs="Arial"/>
          <w:sz w:val="23"/>
          <w:szCs w:val="23"/>
        </w:rPr>
        <w:t>diarrhoeal</w:t>
      </w:r>
      <w:proofErr w:type="spellEnd"/>
      <w:r w:rsidRPr="00683A17">
        <w:rPr>
          <w:rFonts w:ascii="Arial" w:hAnsi="Arial" w:cs="Arial"/>
          <w:sz w:val="23"/>
          <w:szCs w:val="23"/>
        </w:rPr>
        <w:t xml:space="preserve"> diseases</w:t>
      </w:r>
      <w:r w:rsidR="00EC636F">
        <w:rPr>
          <w:rFonts w:ascii="Arial" w:hAnsi="Arial" w:cs="Arial"/>
          <w:sz w:val="23"/>
          <w:szCs w:val="23"/>
        </w:rPr>
        <w:t>,</w:t>
      </w:r>
      <w:r w:rsidRPr="00683A17">
        <w:rPr>
          <w:rFonts w:ascii="Arial" w:hAnsi="Arial" w:cs="Arial"/>
          <w:sz w:val="23"/>
          <w:szCs w:val="23"/>
        </w:rPr>
        <w:t xml:space="preserve"> are evidence that the health outcomes and access to clean water and sanitation are fundamentally linked. (World Health Organization, 2022).</w:t>
      </w:r>
    </w:p>
    <w:p w:rsidR="00270EC7" w:rsidRPr="00683A17" w:rsidRDefault="00270EC7" w:rsidP="00683A17">
      <w:pPr>
        <w:spacing w:line="360" w:lineRule="auto"/>
        <w:jc w:val="both"/>
        <w:rPr>
          <w:rFonts w:ascii="Arial" w:hAnsi="Arial" w:cs="Arial"/>
          <w:sz w:val="23"/>
          <w:szCs w:val="23"/>
        </w:rPr>
      </w:pPr>
    </w:p>
    <w:p w:rsidR="00270EC7" w:rsidRPr="00683A17" w:rsidRDefault="00270EC7" w:rsidP="00683A17">
      <w:pPr>
        <w:spacing w:line="360" w:lineRule="auto"/>
        <w:jc w:val="both"/>
        <w:rPr>
          <w:rFonts w:ascii="Arial" w:hAnsi="Arial" w:cs="Arial"/>
          <w:sz w:val="23"/>
          <w:szCs w:val="23"/>
        </w:rPr>
      </w:pPr>
      <w:r w:rsidRPr="00683A17">
        <w:rPr>
          <w:rFonts w:ascii="Arial" w:hAnsi="Arial" w:cs="Arial"/>
          <w:sz w:val="23"/>
          <w:szCs w:val="23"/>
        </w:rPr>
        <w:t>Through this interconnection, SDG 3 is an important ally of SDG 6 (Clean Water and Sanitation). SDG 6 aims at guaranteeing access and sustainable use of water and sanitation to everyone, as safe water and proper sanitation conditions are known to precondition the worldwide health populations with more than half a million deaths annually (UN-Water, 2023).</w:t>
      </w:r>
    </w:p>
    <w:p w:rsidR="00270EC7" w:rsidRPr="00683A17" w:rsidRDefault="00270EC7" w:rsidP="00683A17">
      <w:pPr>
        <w:spacing w:line="360" w:lineRule="auto"/>
        <w:jc w:val="both"/>
        <w:rPr>
          <w:rFonts w:ascii="Arial" w:hAnsi="Arial" w:cs="Arial"/>
          <w:sz w:val="23"/>
          <w:szCs w:val="23"/>
        </w:rPr>
      </w:pPr>
      <w:r w:rsidRPr="00683A17">
        <w:rPr>
          <w:rFonts w:ascii="Arial" w:hAnsi="Arial" w:cs="Arial"/>
          <w:sz w:val="23"/>
          <w:szCs w:val="23"/>
        </w:rPr>
        <w:t xml:space="preserve">|human|&gt;SDG 6 is based on demands to assure that the world is under the condition of the available access to and sustainable use of water and sanitation to all the population, because safe water and good sanitation conditions are known as pre-requisites to the global health of the population, which is estimated to experience more than half The United Kingdom is considered to be a high-income nation, where everybody has access to piped water, but issues of sewage overflow, chemical contamination, and local access disparity to water continue to be encountered. The Water Industry Regulation and Infrastructure in England by the National Audit Office (2024) and the State of Our Rivers 2025 by The Rivers Trust are the </w:t>
      </w:r>
      <w:r w:rsidRPr="00683A17">
        <w:rPr>
          <w:rFonts w:ascii="Arial" w:hAnsi="Arial" w:cs="Arial"/>
          <w:sz w:val="23"/>
          <w:szCs w:val="23"/>
        </w:rPr>
        <w:lastRenderedPageBreak/>
        <w:t>most recent sources to point to the achievements and failures in water quality and resilience. (World Health Organization, 2022).</w:t>
      </w:r>
    </w:p>
    <w:p w:rsidR="00270EC7" w:rsidRPr="00683A17" w:rsidRDefault="00270EC7" w:rsidP="00683A17">
      <w:pPr>
        <w:spacing w:line="360" w:lineRule="auto"/>
        <w:jc w:val="both"/>
        <w:rPr>
          <w:rFonts w:ascii="Arial" w:hAnsi="Arial" w:cs="Arial"/>
          <w:sz w:val="23"/>
          <w:szCs w:val="23"/>
        </w:rPr>
      </w:pPr>
    </w:p>
    <w:p w:rsidR="00270EC7" w:rsidRPr="00683A17" w:rsidRDefault="00270EC7" w:rsidP="00683A17">
      <w:pPr>
        <w:spacing w:line="360" w:lineRule="auto"/>
        <w:jc w:val="both"/>
        <w:rPr>
          <w:rFonts w:ascii="Arial" w:hAnsi="Arial" w:cs="Arial"/>
          <w:sz w:val="23"/>
          <w:szCs w:val="23"/>
        </w:rPr>
      </w:pPr>
      <w:r w:rsidRPr="00683A17">
        <w:rPr>
          <w:rFonts w:ascii="Arial" w:hAnsi="Arial" w:cs="Arial"/>
          <w:sz w:val="23"/>
          <w:szCs w:val="23"/>
        </w:rPr>
        <w:t xml:space="preserve">This report provides a critical analysis of the implementation of SDG 3 and SDG 6 on global, national, and local levels, especially </w:t>
      </w:r>
      <w:r w:rsidR="00EC636F">
        <w:rPr>
          <w:rFonts w:ascii="Arial" w:hAnsi="Arial" w:cs="Arial"/>
          <w:sz w:val="23"/>
          <w:szCs w:val="23"/>
        </w:rPr>
        <w:t>in</w:t>
      </w:r>
      <w:r w:rsidRPr="00683A17">
        <w:rPr>
          <w:rFonts w:ascii="Arial" w:hAnsi="Arial" w:cs="Arial"/>
          <w:sz w:val="23"/>
          <w:szCs w:val="23"/>
        </w:rPr>
        <w:t xml:space="preserve"> the UK. Part one assesses policies and programs that concern SDG 3</w:t>
      </w:r>
      <w:r w:rsidR="00EC636F">
        <w:rPr>
          <w:rFonts w:ascii="Arial" w:hAnsi="Arial" w:cs="Arial"/>
          <w:sz w:val="23"/>
          <w:szCs w:val="23"/>
        </w:rPr>
        <w:t>,</w:t>
      </w:r>
      <w:r w:rsidRPr="00683A17">
        <w:rPr>
          <w:rFonts w:ascii="Arial" w:hAnsi="Arial" w:cs="Arial"/>
          <w:sz w:val="23"/>
          <w:szCs w:val="23"/>
        </w:rPr>
        <w:t xml:space="preserve"> and part two examines SDG 6 by looking at </w:t>
      </w:r>
      <w:r w:rsidR="00EC636F">
        <w:rPr>
          <w:rFonts w:ascii="Arial" w:hAnsi="Arial" w:cs="Arial"/>
          <w:sz w:val="23"/>
          <w:szCs w:val="23"/>
        </w:rPr>
        <w:t>how</w:t>
      </w:r>
      <w:r w:rsidRPr="00683A17">
        <w:rPr>
          <w:rFonts w:ascii="Arial" w:hAnsi="Arial" w:cs="Arial"/>
          <w:sz w:val="23"/>
          <w:szCs w:val="23"/>
        </w:rPr>
        <w:t xml:space="preserve"> clean water and sanitation </w:t>
      </w:r>
      <w:r w:rsidR="00EC636F">
        <w:rPr>
          <w:rFonts w:ascii="Arial" w:hAnsi="Arial" w:cs="Arial"/>
          <w:sz w:val="23"/>
          <w:szCs w:val="23"/>
        </w:rPr>
        <w:t>policies</w:t>
      </w:r>
      <w:r w:rsidRPr="00683A17">
        <w:rPr>
          <w:rFonts w:ascii="Arial" w:hAnsi="Arial" w:cs="Arial"/>
          <w:sz w:val="23"/>
          <w:szCs w:val="23"/>
        </w:rPr>
        <w:t xml:space="preserve"> influence the health outcome. The conclusion brings together the insights </w:t>
      </w:r>
      <w:r w:rsidR="00EC636F">
        <w:rPr>
          <w:rFonts w:ascii="Arial" w:hAnsi="Arial" w:cs="Arial"/>
          <w:sz w:val="23"/>
          <w:szCs w:val="23"/>
        </w:rPr>
        <w:t>to</w:t>
      </w:r>
      <w:r w:rsidRPr="00683A17">
        <w:rPr>
          <w:rFonts w:ascii="Arial" w:hAnsi="Arial" w:cs="Arial"/>
          <w:sz w:val="23"/>
          <w:szCs w:val="23"/>
        </w:rPr>
        <w:t xml:space="preserve"> offer recommendations on how to enhance integrated approaches to su</w:t>
      </w:r>
      <w:r w:rsidRPr="00683A17">
        <w:rPr>
          <w:rFonts w:ascii="Arial" w:hAnsi="Arial" w:cs="Arial"/>
          <w:sz w:val="23"/>
          <w:szCs w:val="23"/>
        </w:rPr>
        <w:t>stainable health and wellbeing.</w:t>
      </w:r>
    </w:p>
    <w:p w:rsidR="00270EC7" w:rsidRPr="00683A17" w:rsidRDefault="00270EC7" w:rsidP="00683A17">
      <w:pPr>
        <w:spacing w:line="360" w:lineRule="auto"/>
        <w:jc w:val="both"/>
        <w:rPr>
          <w:rFonts w:ascii="Arial" w:hAnsi="Arial" w:cs="Arial"/>
          <w:sz w:val="23"/>
          <w:szCs w:val="23"/>
          <w:u w:val="single"/>
        </w:rPr>
      </w:pPr>
      <w:r w:rsidRPr="00683A17">
        <w:rPr>
          <w:rFonts w:ascii="Arial" w:hAnsi="Arial" w:cs="Arial"/>
          <w:b/>
          <w:bCs/>
          <w:sz w:val="23"/>
          <w:szCs w:val="23"/>
          <w:u w:val="single"/>
        </w:rPr>
        <w:t xml:space="preserve">SDG 3 - Good Health and </w:t>
      </w:r>
      <w:r w:rsidR="00EC636F">
        <w:rPr>
          <w:rFonts w:ascii="Arial" w:hAnsi="Arial" w:cs="Arial"/>
          <w:b/>
          <w:bCs/>
          <w:sz w:val="23"/>
          <w:szCs w:val="23"/>
          <w:u w:val="single"/>
        </w:rPr>
        <w:t>Well-being</w:t>
      </w:r>
    </w:p>
    <w:p w:rsidR="007A5220" w:rsidRPr="00683A17" w:rsidRDefault="007A5220" w:rsidP="00683A17">
      <w:pPr>
        <w:spacing w:line="360" w:lineRule="auto"/>
        <w:jc w:val="both"/>
        <w:rPr>
          <w:rFonts w:ascii="Arial" w:eastAsia="Times New Roman" w:hAnsi="Arial" w:cs="Arial"/>
          <w:sz w:val="23"/>
          <w:szCs w:val="23"/>
        </w:rPr>
      </w:pPr>
      <w:r w:rsidRPr="00683A17">
        <w:rPr>
          <w:rFonts w:ascii="Arial" w:hAnsi="Arial" w:cs="Arial"/>
          <w:sz w:val="23"/>
          <w:szCs w:val="23"/>
        </w:rPr>
        <w:t xml:space="preserve">Achieving this requires Sustainable Development Goal 3 (SDG 3) requires making sure that there is healthy living and well-being for all ages by 2030. It targets the reduction of maternal mortality, preventing the mortality of children under the age of five, fighting the communicable conditions (AIDS, tuberculosis, malaria), minimizing deaths caused by non-communicable diseases, mental health, substance abuse, road injuries, and universal health coverage (UHC), among others. SDG 3 has 13 goals and 28 measures to track the progress. </w:t>
      </w:r>
      <w:r w:rsidRPr="00683A17">
        <w:rPr>
          <w:rFonts w:ascii="Arial" w:eastAsia="Times New Roman" w:hAnsi="Arial" w:cs="Arial"/>
          <w:sz w:val="23"/>
          <w:szCs w:val="23"/>
        </w:rPr>
        <w:t>(United Nations, 2025)</w:t>
      </w:r>
    </w:p>
    <w:p w:rsidR="007A5220" w:rsidRPr="00683A17" w:rsidRDefault="007A5220" w:rsidP="00683A17">
      <w:pPr>
        <w:spacing w:line="360" w:lineRule="auto"/>
        <w:jc w:val="both"/>
        <w:rPr>
          <w:rFonts w:ascii="Arial" w:eastAsia="Times New Roman" w:hAnsi="Arial" w:cs="Arial"/>
          <w:sz w:val="23"/>
          <w:szCs w:val="23"/>
        </w:rPr>
      </w:pPr>
      <w:r w:rsidRPr="00683A17">
        <w:rPr>
          <w:rFonts w:ascii="Arial" w:hAnsi="Arial" w:cs="Arial"/>
          <w:sz w:val="23"/>
          <w:szCs w:val="23"/>
        </w:rPr>
        <w:t xml:space="preserve"> The essential areas of concern are attaining access to universal health care, lowering deaths due to hazardous chemicals, financing research, and access to vaccinations and medicines, enhancing tobacco management, and emergency preparedness. SDG 3 is valuing equal access to quality health care, and covers more extensive determinant factors such as urbanization, economic inequality, and new health challenges. </w:t>
      </w:r>
      <w:r w:rsidRPr="00683A17">
        <w:rPr>
          <w:rFonts w:ascii="Arial" w:eastAsia="Times New Roman" w:hAnsi="Arial" w:cs="Arial"/>
          <w:sz w:val="23"/>
          <w:szCs w:val="23"/>
        </w:rPr>
        <w:t>(WHO, 2022)</w:t>
      </w:r>
    </w:p>
    <w:p w:rsidR="00683A17" w:rsidRPr="00683A17" w:rsidRDefault="00683A17" w:rsidP="00683A17">
      <w:pPr>
        <w:spacing w:line="360" w:lineRule="auto"/>
        <w:jc w:val="both"/>
        <w:rPr>
          <w:rFonts w:ascii="Arial" w:eastAsia="Times New Roman" w:hAnsi="Arial" w:cs="Arial"/>
          <w:b/>
          <w:sz w:val="23"/>
          <w:szCs w:val="23"/>
          <w:u w:val="single"/>
        </w:rPr>
      </w:pPr>
      <w:r w:rsidRPr="00683A17">
        <w:rPr>
          <w:rFonts w:ascii="Arial" w:eastAsia="Times New Roman" w:hAnsi="Arial" w:cs="Arial"/>
          <w:b/>
          <w:sz w:val="23"/>
          <w:szCs w:val="23"/>
          <w:u w:val="single"/>
        </w:rPr>
        <w:t>Global policies and initiatives</w:t>
      </w:r>
    </w:p>
    <w:p w:rsidR="00DF6FB0" w:rsidRPr="00683A17" w:rsidRDefault="007A5220"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The implementation of the Thirteenth General </w:t>
      </w:r>
      <w:r w:rsidR="000E4714" w:rsidRPr="00683A17">
        <w:rPr>
          <w:rFonts w:ascii="Arial" w:eastAsia="Times New Roman" w:hAnsi="Arial" w:cs="Arial"/>
          <w:sz w:val="23"/>
          <w:szCs w:val="23"/>
        </w:rPr>
        <w:t>Program</w:t>
      </w:r>
      <w:r w:rsidRPr="00683A17">
        <w:rPr>
          <w:rFonts w:ascii="Arial" w:eastAsia="Times New Roman" w:hAnsi="Arial" w:cs="Arial"/>
          <w:sz w:val="23"/>
          <w:szCs w:val="23"/>
        </w:rPr>
        <w:t xml:space="preserve"> of Work (2019-2025) at the global level (directed by the World Health Organization) is in line with the targets of Sustainable Development Goal 3, i.e., the reduction of maternal mortality and the provision of access to essential medicines. Universal Health Coverage (UHC) 2030 Initiative facilitates equal access to quality health services without experiencing financial strains.</w:t>
      </w:r>
      <w:r w:rsidR="00DF6FB0" w:rsidRPr="00683A17">
        <w:rPr>
          <w:rFonts w:ascii="Arial" w:eastAsia="Times New Roman" w:hAnsi="Arial" w:cs="Arial"/>
          <w:sz w:val="23"/>
          <w:szCs w:val="23"/>
        </w:rPr>
        <w:t xml:space="preserve"> </w:t>
      </w:r>
      <w:r w:rsidRPr="00683A17">
        <w:rPr>
          <w:rFonts w:ascii="Arial" w:eastAsia="Times New Roman" w:hAnsi="Arial" w:cs="Arial"/>
          <w:sz w:val="23"/>
          <w:szCs w:val="23"/>
        </w:rPr>
        <w:t xml:space="preserve">In addition, global vaccination initiatives, the most prominent of which is </w:t>
      </w:r>
      <w:proofErr w:type="spellStart"/>
      <w:r w:rsidRPr="00683A17">
        <w:rPr>
          <w:rFonts w:ascii="Arial" w:eastAsia="Times New Roman" w:hAnsi="Arial" w:cs="Arial"/>
          <w:sz w:val="23"/>
          <w:szCs w:val="23"/>
        </w:rPr>
        <w:t>Gavi</w:t>
      </w:r>
      <w:proofErr w:type="spellEnd"/>
      <w:r w:rsidRPr="00683A17">
        <w:rPr>
          <w:rFonts w:ascii="Arial" w:eastAsia="Times New Roman" w:hAnsi="Arial" w:cs="Arial"/>
          <w:sz w:val="23"/>
          <w:szCs w:val="23"/>
        </w:rPr>
        <w:t xml:space="preserve">, the Vaccine Alliance, have significantly </w:t>
      </w:r>
      <w:r w:rsidRPr="00683A17">
        <w:rPr>
          <w:rFonts w:ascii="Arial" w:eastAsia="Times New Roman" w:hAnsi="Arial" w:cs="Arial"/>
          <w:sz w:val="23"/>
          <w:szCs w:val="23"/>
        </w:rPr>
        <w:lastRenderedPageBreak/>
        <w:t xml:space="preserve">decreased the death rates caused by avoidable illnesses by enhancing immunization rates in low- and middle-income economies </w:t>
      </w:r>
      <w:r w:rsidR="00DF6FB0" w:rsidRPr="00683A17">
        <w:rPr>
          <w:rFonts w:ascii="Arial" w:eastAsia="Times New Roman" w:hAnsi="Arial" w:cs="Arial"/>
          <w:sz w:val="23"/>
          <w:szCs w:val="23"/>
        </w:rPr>
        <w:t>(</w:t>
      </w:r>
      <w:proofErr w:type="spellStart"/>
      <w:r w:rsidR="00DF6FB0" w:rsidRPr="00683A17">
        <w:rPr>
          <w:rFonts w:ascii="Arial" w:eastAsia="Times New Roman" w:hAnsi="Arial" w:cs="Arial"/>
          <w:sz w:val="23"/>
          <w:szCs w:val="23"/>
        </w:rPr>
        <w:t>Gavi</w:t>
      </w:r>
      <w:proofErr w:type="spellEnd"/>
      <w:r w:rsidR="00DF6FB0" w:rsidRPr="00683A17">
        <w:rPr>
          <w:rFonts w:ascii="Arial" w:eastAsia="Times New Roman" w:hAnsi="Arial" w:cs="Arial"/>
          <w:sz w:val="23"/>
          <w:szCs w:val="23"/>
        </w:rPr>
        <w:t>, 2016)</w:t>
      </w:r>
    </w:p>
    <w:p w:rsidR="00DF6FB0" w:rsidRPr="00683A17" w:rsidRDefault="00DF6FB0" w:rsidP="00683A17">
      <w:pPr>
        <w:spacing w:line="360" w:lineRule="auto"/>
        <w:jc w:val="both"/>
        <w:rPr>
          <w:rFonts w:ascii="Arial" w:hAnsi="Arial" w:cs="Arial"/>
          <w:sz w:val="23"/>
          <w:szCs w:val="23"/>
          <w:shd w:val="clear" w:color="auto" w:fill="FFFFFF"/>
        </w:rPr>
      </w:pPr>
      <w:r w:rsidRPr="00683A17">
        <w:rPr>
          <w:rFonts w:ascii="Arial" w:hAnsi="Arial" w:cs="Arial"/>
          <w:sz w:val="23"/>
          <w:szCs w:val="23"/>
          <w:shd w:val="clear" w:color="auto" w:fill="FFFFFF"/>
        </w:rPr>
        <w:t xml:space="preserve">The WHO Framework Convention on Tobacco Control and the emphasis on the development and access to affordable vaccines and medicines also support SDG 3. These global policies seek to strengthen health financing, workforce capacity, and preparedness for health emergencies </w:t>
      </w:r>
      <w:r w:rsidRPr="00683A17">
        <w:rPr>
          <w:rStyle w:val="diff-highlight"/>
          <w:rFonts w:ascii="Arial" w:hAnsi="Arial" w:cs="Arial"/>
          <w:sz w:val="23"/>
          <w:szCs w:val="23"/>
          <w:shd w:val="clear" w:color="auto" w:fill="FFFFFF"/>
        </w:rPr>
        <w:t>on a global scale.</w:t>
      </w:r>
      <w:r w:rsidRPr="00683A17">
        <w:rPr>
          <w:rFonts w:ascii="Arial" w:eastAsia="Times New Roman" w:hAnsi="Arial" w:cs="Arial"/>
          <w:sz w:val="23"/>
          <w:szCs w:val="23"/>
        </w:rPr>
        <w:t xml:space="preserve"> </w:t>
      </w:r>
      <w:r w:rsidRPr="00683A17">
        <w:rPr>
          <w:rFonts w:ascii="Arial" w:hAnsi="Arial" w:cs="Arial"/>
          <w:sz w:val="23"/>
          <w:szCs w:val="23"/>
          <w:shd w:val="clear" w:color="auto" w:fill="FFFFFF"/>
        </w:rPr>
        <w:t>(World Health Organization, 2025)</w:t>
      </w:r>
    </w:p>
    <w:p w:rsidR="00DF6FB0" w:rsidRPr="00683A17" w:rsidRDefault="00DF6FB0" w:rsidP="00683A17">
      <w:pPr>
        <w:spacing w:line="360" w:lineRule="auto"/>
        <w:jc w:val="both"/>
        <w:rPr>
          <w:rFonts w:ascii="Arial" w:eastAsia="Times New Roman" w:hAnsi="Arial" w:cs="Arial"/>
          <w:sz w:val="23"/>
          <w:szCs w:val="23"/>
        </w:rPr>
      </w:pPr>
    </w:p>
    <w:p w:rsidR="00DF6FB0" w:rsidRPr="00683A17" w:rsidRDefault="007A5220"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These international frameworks are representations of coordinated actions to enhance health-care systems, but their effectiveness relies on national governance, financial resources</w:t>
      </w:r>
      <w:r w:rsidR="00DF6FB0" w:rsidRPr="00683A17">
        <w:rPr>
          <w:rFonts w:ascii="Arial" w:eastAsia="Times New Roman" w:hAnsi="Arial" w:cs="Arial"/>
          <w:sz w:val="23"/>
          <w:szCs w:val="23"/>
        </w:rPr>
        <w:t>,</w:t>
      </w:r>
      <w:r w:rsidRPr="00683A17">
        <w:rPr>
          <w:rFonts w:ascii="Arial" w:eastAsia="Times New Roman" w:hAnsi="Arial" w:cs="Arial"/>
          <w:sz w:val="23"/>
          <w:szCs w:val="23"/>
        </w:rPr>
        <w:t xml:space="preserve"> and equity in the resource allocation process. The opponents argue that although international alliances can increase access, </w:t>
      </w:r>
      <w:r w:rsidR="00DF6FB0" w:rsidRPr="00683A17">
        <w:rPr>
          <w:rFonts w:ascii="Arial" w:eastAsia="Times New Roman" w:hAnsi="Arial" w:cs="Arial"/>
          <w:sz w:val="23"/>
          <w:szCs w:val="23"/>
        </w:rPr>
        <w:t>they</w:t>
      </w:r>
      <w:r w:rsidRPr="00683A17">
        <w:rPr>
          <w:rFonts w:ascii="Arial" w:eastAsia="Times New Roman" w:hAnsi="Arial" w:cs="Arial"/>
          <w:sz w:val="23"/>
          <w:szCs w:val="23"/>
        </w:rPr>
        <w:t xml:space="preserve"> also may strengthen the reliance on donor</w:t>
      </w:r>
      <w:r w:rsidR="00DF6FB0" w:rsidRPr="00683A17">
        <w:rPr>
          <w:rFonts w:ascii="Arial" w:eastAsia="Times New Roman" w:hAnsi="Arial" w:cs="Arial"/>
          <w:sz w:val="23"/>
          <w:szCs w:val="23"/>
        </w:rPr>
        <w:t xml:space="preserve"> funding and foreign expertise (</w:t>
      </w:r>
      <w:proofErr w:type="spellStart"/>
      <w:r w:rsidR="00DF6FB0" w:rsidRPr="00683A17">
        <w:rPr>
          <w:rFonts w:ascii="Arial" w:eastAsia="Times New Roman" w:hAnsi="Arial" w:cs="Arial"/>
          <w:sz w:val="23"/>
          <w:szCs w:val="23"/>
        </w:rPr>
        <w:t>Buse</w:t>
      </w:r>
      <w:proofErr w:type="spellEnd"/>
      <w:r w:rsidR="00DF6FB0" w:rsidRPr="00683A17">
        <w:rPr>
          <w:rFonts w:ascii="Arial" w:eastAsia="Times New Roman" w:hAnsi="Arial" w:cs="Arial"/>
          <w:sz w:val="23"/>
          <w:szCs w:val="23"/>
        </w:rPr>
        <w:t xml:space="preserve"> and Hawkes, 2015)</w:t>
      </w:r>
    </w:p>
    <w:p w:rsidR="00683A17" w:rsidRPr="00683A17" w:rsidRDefault="00683A17" w:rsidP="00683A17">
      <w:pPr>
        <w:spacing w:line="360" w:lineRule="auto"/>
        <w:jc w:val="both"/>
        <w:rPr>
          <w:rFonts w:ascii="Arial" w:eastAsia="Times New Roman" w:hAnsi="Arial" w:cs="Arial"/>
          <w:b/>
          <w:sz w:val="23"/>
          <w:szCs w:val="23"/>
          <w:u w:val="single"/>
        </w:rPr>
      </w:pPr>
      <w:r w:rsidRPr="00683A17">
        <w:rPr>
          <w:rFonts w:ascii="Arial" w:eastAsia="Times New Roman" w:hAnsi="Arial" w:cs="Arial"/>
          <w:b/>
          <w:sz w:val="23"/>
          <w:szCs w:val="23"/>
          <w:u w:val="single"/>
        </w:rPr>
        <w:t>National policies and initiatives (United Kingdom)</w:t>
      </w:r>
    </w:p>
    <w:p w:rsidR="002D6764" w:rsidRPr="00683A17" w:rsidRDefault="002D6764"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In the UK, the tenets attested to in SDG 3 are woven into national health strategies such as the NHS Long Term Plan in England (2019), which concentrates on prevention, early diagnosis, and integrated care systems (NHS England, 2019). The integrated care systems approach in the NHS Long Term Plan seeks to address health inequalities by focusing on lifestyle diseases such as obesity and related metabolic disorders like cardiovascular disease and the consequences of type 2 diabetes at a population level. The report of the UK Government titled Health Inequalities in the Protection of Health report demonstrates that people living in the most deprived 20 % of areas have almost twice as high a rate of emergency admissions to hospitals for infectious diseases as people living in the least deprived areas (UK Health Security Agency, 2025)The Office for Health Improvement and Disparities (OHID) acts as coordinator of local health literacy initiatives to combat smoking, excessive alcohol consumption and physical inactivity </w:t>
      </w:r>
      <w:r w:rsidR="000E4714" w:rsidRPr="00683A17">
        <w:rPr>
          <w:rFonts w:ascii="Arial" w:eastAsia="Times New Roman" w:hAnsi="Arial" w:cs="Arial"/>
          <w:sz w:val="23"/>
          <w:szCs w:val="23"/>
        </w:rPr>
        <w:t>(OHID, 2023)</w:t>
      </w:r>
    </w:p>
    <w:p w:rsidR="002D6764" w:rsidRPr="00683A17" w:rsidRDefault="002D6764"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While these initiatives are consistent with the principles of SDG 3, there are still ongoing problems. Health inequalities persist over socioeconomic and ethnic groups, especially in life expectancy and the prevalence of chronic disease (The Health Foundation, 2024). The COVID-19 pandemic further exposed structural weaknesses in the public health system of health broadly, bringing into question resilience and </w:t>
      </w:r>
      <w:proofErr w:type="spellStart"/>
      <w:r w:rsidRPr="00683A17">
        <w:rPr>
          <w:rFonts w:ascii="Arial" w:eastAsia="Times New Roman" w:hAnsi="Arial" w:cs="Arial"/>
          <w:sz w:val="23"/>
          <w:szCs w:val="23"/>
        </w:rPr>
        <w:t>organisation</w:t>
      </w:r>
      <w:proofErr w:type="spellEnd"/>
      <w:r w:rsidRPr="00683A17">
        <w:rPr>
          <w:rFonts w:ascii="Arial" w:eastAsia="Times New Roman" w:hAnsi="Arial" w:cs="Arial"/>
          <w:sz w:val="23"/>
          <w:szCs w:val="23"/>
        </w:rPr>
        <w:t xml:space="preserve"> of workforce capacity and </w:t>
      </w:r>
      <w:r w:rsidRPr="00683A17">
        <w:rPr>
          <w:rFonts w:ascii="Arial" w:eastAsia="Times New Roman" w:hAnsi="Arial" w:cs="Arial"/>
          <w:sz w:val="23"/>
          <w:szCs w:val="23"/>
        </w:rPr>
        <w:lastRenderedPageBreak/>
        <w:t>coordination of response to likely events. Despite the intentions towards integrated care development in the NHS Long Term Plan, the application of the policy has been unequal in the varied regions of the UK, often restricted by the financial limitations of particular NHS Trusts and the bureaucratic capacity of local governance.</w:t>
      </w:r>
    </w:p>
    <w:p w:rsidR="00683A17" w:rsidRPr="00683A17" w:rsidRDefault="00683A17" w:rsidP="00683A17">
      <w:pPr>
        <w:spacing w:line="360" w:lineRule="auto"/>
        <w:jc w:val="both"/>
        <w:rPr>
          <w:rFonts w:ascii="Arial" w:eastAsia="Times New Roman" w:hAnsi="Arial" w:cs="Arial"/>
          <w:b/>
          <w:bCs/>
          <w:sz w:val="23"/>
          <w:szCs w:val="23"/>
          <w:u w:val="single"/>
        </w:rPr>
      </w:pPr>
      <w:r w:rsidRPr="00683A17">
        <w:rPr>
          <w:rFonts w:ascii="Arial" w:eastAsia="Times New Roman" w:hAnsi="Arial" w:cs="Arial"/>
          <w:b/>
          <w:bCs/>
          <w:sz w:val="23"/>
          <w:szCs w:val="23"/>
          <w:u w:val="single"/>
        </w:rPr>
        <w:t>Local Examples</w:t>
      </w:r>
    </w:p>
    <w:p w:rsidR="000E4714" w:rsidRPr="00683A17" w:rsidRDefault="000E4714"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In the United Kingdom, local public health campaigns in support of SDG 3 have been effective through culturally sensitive and community engagement techniques. For example, local councils routinely pursue campaigns for tobacco cessation, improved nutrition, maternal and child health, and public vaccinations and infectious disease control, using tailored messages addressing the particular social and cultural composition of their populations.</w:t>
      </w:r>
    </w:p>
    <w:p w:rsidR="000E4714" w:rsidRPr="00683A17" w:rsidRDefault="000E4714"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One of the most striking examples may be the public </w:t>
      </w:r>
      <w:r w:rsidR="00614810" w:rsidRPr="00683A17">
        <w:rPr>
          <w:rFonts w:ascii="Arial" w:eastAsia="Times New Roman" w:hAnsi="Arial" w:cs="Arial"/>
          <w:sz w:val="23"/>
          <w:szCs w:val="23"/>
        </w:rPr>
        <w:t>vaccination</w:t>
      </w:r>
      <w:r w:rsidRPr="00683A17">
        <w:rPr>
          <w:rFonts w:ascii="Arial" w:eastAsia="Times New Roman" w:hAnsi="Arial" w:cs="Arial"/>
          <w:sz w:val="23"/>
          <w:szCs w:val="23"/>
        </w:rPr>
        <w:t xml:space="preserve"> programs run by councils and health authorities, which change their communication policies to meet the needs of a region’s linguistic diversity, cultural needs</w:t>
      </w:r>
      <w:r w:rsidR="00614810" w:rsidRPr="00683A17">
        <w:rPr>
          <w:rFonts w:ascii="Arial" w:eastAsia="Times New Roman" w:hAnsi="Arial" w:cs="Arial"/>
          <w:sz w:val="23"/>
          <w:szCs w:val="23"/>
        </w:rPr>
        <w:t>,</w:t>
      </w:r>
      <w:r w:rsidRPr="00683A17">
        <w:rPr>
          <w:rFonts w:ascii="Arial" w:eastAsia="Times New Roman" w:hAnsi="Arial" w:cs="Arial"/>
          <w:sz w:val="23"/>
          <w:szCs w:val="23"/>
        </w:rPr>
        <w:t xml:space="preserve"> and socio-economic differences. Such targeted policy efforts improve communications, build credibility</w:t>
      </w:r>
      <w:r w:rsidR="00614810" w:rsidRPr="00683A17">
        <w:rPr>
          <w:rFonts w:ascii="Arial" w:eastAsia="Times New Roman" w:hAnsi="Arial" w:cs="Arial"/>
          <w:sz w:val="23"/>
          <w:szCs w:val="23"/>
        </w:rPr>
        <w:t>,</w:t>
      </w:r>
      <w:r w:rsidRPr="00683A17">
        <w:rPr>
          <w:rFonts w:ascii="Arial" w:eastAsia="Times New Roman" w:hAnsi="Arial" w:cs="Arial"/>
          <w:sz w:val="23"/>
          <w:szCs w:val="23"/>
        </w:rPr>
        <w:t xml:space="preserve"> and raise the level of </w:t>
      </w:r>
      <w:proofErr w:type="spellStart"/>
      <w:r w:rsidRPr="00683A17">
        <w:rPr>
          <w:rFonts w:ascii="Arial" w:eastAsia="Times New Roman" w:hAnsi="Arial" w:cs="Arial"/>
          <w:sz w:val="23"/>
          <w:szCs w:val="23"/>
        </w:rPr>
        <w:t>immunisation</w:t>
      </w:r>
      <w:proofErr w:type="spellEnd"/>
      <w:r w:rsidRPr="00683A17">
        <w:rPr>
          <w:rFonts w:ascii="Arial" w:eastAsia="Times New Roman" w:hAnsi="Arial" w:cs="Arial"/>
          <w:sz w:val="23"/>
          <w:szCs w:val="23"/>
        </w:rPr>
        <w:t xml:space="preserve"> for reluctant or </w:t>
      </w:r>
      <w:proofErr w:type="spellStart"/>
      <w:r w:rsidRPr="00683A17">
        <w:rPr>
          <w:rFonts w:ascii="Arial" w:eastAsia="Times New Roman" w:hAnsi="Arial" w:cs="Arial"/>
          <w:sz w:val="23"/>
          <w:szCs w:val="23"/>
        </w:rPr>
        <w:t>marginalised</w:t>
      </w:r>
      <w:proofErr w:type="spellEnd"/>
      <w:r w:rsidRPr="00683A17">
        <w:rPr>
          <w:rFonts w:ascii="Arial" w:eastAsia="Times New Roman" w:hAnsi="Arial" w:cs="Arial"/>
          <w:sz w:val="23"/>
          <w:szCs w:val="23"/>
        </w:rPr>
        <w:t xml:space="preserve"> groups. In the COVID-19 pandemic</w:t>
      </w:r>
      <w:r w:rsidR="00614810" w:rsidRPr="00683A17">
        <w:rPr>
          <w:rFonts w:ascii="Arial" w:eastAsia="Times New Roman" w:hAnsi="Arial" w:cs="Arial"/>
          <w:sz w:val="23"/>
          <w:szCs w:val="23"/>
        </w:rPr>
        <w:t>,</w:t>
      </w:r>
      <w:r w:rsidRPr="00683A17">
        <w:rPr>
          <w:rFonts w:ascii="Arial" w:eastAsia="Times New Roman" w:hAnsi="Arial" w:cs="Arial"/>
          <w:sz w:val="23"/>
          <w:szCs w:val="23"/>
        </w:rPr>
        <w:t xml:space="preserve"> the local services in the United Kingdom made use of community icons and translated literature for specific communities to achieve effective penetration into these various sectors, thus preventing inequitable availability of </w:t>
      </w:r>
      <w:r w:rsidR="00614810" w:rsidRPr="00683A17">
        <w:rPr>
          <w:rFonts w:ascii="Arial" w:eastAsia="Times New Roman" w:hAnsi="Arial" w:cs="Arial"/>
          <w:sz w:val="23"/>
          <w:szCs w:val="23"/>
        </w:rPr>
        <w:t xml:space="preserve">the </w:t>
      </w:r>
      <w:r w:rsidRPr="00683A17">
        <w:rPr>
          <w:rFonts w:ascii="Arial" w:eastAsia="Times New Roman" w:hAnsi="Arial" w:cs="Arial"/>
          <w:sz w:val="23"/>
          <w:szCs w:val="23"/>
        </w:rPr>
        <w:t>vaccine.</w:t>
      </w:r>
    </w:p>
    <w:p w:rsidR="000E4714" w:rsidRPr="00683A17" w:rsidRDefault="000E4714" w:rsidP="00683A17">
      <w:pPr>
        <w:spacing w:line="360" w:lineRule="auto"/>
        <w:jc w:val="both"/>
        <w:rPr>
          <w:rFonts w:ascii="Arial" w:eastAsia="Times New Roman" w:hAnsi="Arial" w:cs="Arial"/>
          <w:szCs w:val="24"/>
        </w:rPr>
      </w:pPr>
      <w:r w:rsidRPr="00683A17">
        <w:rPr>
          <w:rFonts w:ascii="Arial" w:eastAsia="Times New Roman" w:hAnsi="Arial" w:cs="Arial"/>
          <w:sz w:val="23"/>
          <w:szCs w:val="23"/>
        </w:rPr>
        <w:t>This local activity reflects a greater degree of commitment of the UK Government</w:t>
      </w:r>
      <w:r w:rsidR="00EC636F">
        <w:rPr>
          <w:rFonts w:ascii="Arial" w:eastAsia="Times New Roman" w:hAnsi="Arial" w:cs="Arial"/>
          <w:sz w:val="23"/>
          <w:szCs w:val="23"/>
        </w:rPr>
        <w:t>,</w:t>
      </w:r>
      <w:r w:rsidRPr="00683A17">
        <w:rPr>
          <w:rFonts w:ascii="Arial" w:eastAsia="Times New Roman" w:hAnsi="Arial" w:cs="Arial"/>
          <w:sz w:val="23"/>
          <w:szCs w:val="23"/>
        </w:rPr>
        <w:t xml:space="preserve"> reflected in the publication </w:t>
      </w:r>
      <w:r w:rsidR="00614810" w:rsidRPr="00683A17">
        <w:rPr>
          <w:rFonts w:ascii="Arial" w:eastAsia="Times New Roman" w:hAnsi="Arial" w:cs="Arial"/>
          <w:sz w:val="23"/>
          <w:szCs w:val="23"/>
        </w:rPr>
        <w:t xml:space="preserve">of </w:t>
      </w:r>
      <w:r w:rsidRPr="00683A17">
        <w:rPr>
          <w:rFonts w:ascii="Arial" w:eastAsia="Times New Roman" w:hAnsi="Arial" w:cs="Arial"/>
          <w:sz w:val="23"/>
          <w:szCs w:val="23"/>
        </w:rPr>
        <w:t>a Global Health Framework 2023-2025, where the necessitates for Health systems strengthening, the control of health inequalities</w:t>
      </w:r>
      <w:r w:rsidR="00614810" w:rsidRPr="00683A17">
        <w:rPr>
          <w:rFonts w:ascii="Arial" w:eastAsia="Times New Roman" w:hAnsi="Arial" w:cs="Arial"/>
          <w:sz w:val="23"/>
          <w:szCs w:val="23"/>
        </w:rPr>
        <w:t>,</w:t>
      </w:r>
      <w:r w:rsidRPr="00683A17">
        <w:rPr>
          <w:rFonts w:ascii="Arial" w:eastAsia="Times New Roman" w:hAnsi="Arial" w:cs="Arial"/>
          <w:sz w:val="23"/>
          <w:szCs w:val="23"/>
        </w:rPr>
        <w:t xml:space="preserve"> and the development of </w:t>
      </w:r>
      <w:r w:rsidR="00614810" w:rsidRPr="00683A17">
        <w:rPr>
          <w:rFonts w:ascii="Arial" w:eastAsia="Times New Roman" w:hAnsi="Arial" w:cs="Arial"/>
          <w:sz w:val="23"/>
          <w:szCs w:val="23"/>
        </w:rPr>
        <w:t>community-led</w:t>
      </w:r>
      <w:r w:rsidRPr="00683A17">
        <w:rPr>
          <w:rFonts w:ascii="Arial" w:eastAsia="Times New Roman" w:hAnsi="Arial" w:cs="Arial"/>
          <w:sz w:val="23"/>
          <w:szCs w:val="23"/>
        </w:rPr>
        <w:t xml:space="preserve"> </w:t>
      </w:r>
      <w:proofErr w:type="spellStart"/>
      <w:r w:rsidRPr="00683A17">
        <w:rPr>
          <w:rFonts w:ascii="Arial" w:eastAsia="Times New Roman" w:hAnsi="Arial" w:cs="Arial"/>
          <w:sz w:val="23"/>
          <w:szCs w:val="23"/>
        </w:rPr>
        <w:t>programmes</w:t>
      </w:r>
      <w:proofErr w:type="spellEnd"/>
      <w:r w:rsidRPr="00683A17">
        <w:rPr>
          <w:rFonts w:ascii="Arial" w:eastAsia="Times New Roman" w:hAnsi="Arial" w:cs="Arial"/>
          <w:sz w:val="23"/>
          <w:szCs w:val="23"/>
        </w:rPr>
        <w:t xml:space="preserve"> for health provision both locally and internationally are </w:t>
      </w:r>
      <w:r w:rsidR="00614810" w:rsidRPr="00683A17">
        <w:rPr>
          <w:rFonts w:ascii="Arial" w:eastAsia="Times New Roman" w:hAnsi="Arial" w:cs="Arial"/>
          <w:sz w:val="23"/>
          <w:szCs w:val="23"/>
        </w:rPr>
        <w:t>emphasized</w:t>
      </w:r>
      <w:r w:rsidRPr="00683A17">
        <w:rPr>
          <w:rFonts w:ascii="Arial" w:eastAsia="Times New Roman" w:hAnsi="Arial" w:cs="Arial"/>
          <w:sz w:val="23"/>
          <w:szCs w:val="23"/>
        </w:rPr>
        <w:t>.</w:t>
      </w:r>
      <w:r w:rsidRPr="00683A17">
        <w:rPr>
          <w:rFonts w:ascii="Arial" w:hAnsi="Arial" w:cs="Arial"/>
        </w:rPr>
        <w:t xml:space="preserve"> </w:t>
      </w:r>
      <w:r w:rsidRPr="00683A17">
        <w:rPr>
          <w:rFonts w:ascii="Arial" w:eastAsia="Times New Roman" w:hAnsi="Arial" w:cs="Arial"/>
          <w:szCs w:val="24"/>
        </w:rPr>
        <w:t>(GOV.UK, 2023)</w:t>
      </w:r>
    </w:p>
    <w:p w:rsidR="000E4714" w:rsidRPr="00683A17" w:rsidRDefault="000E4714"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The Framework </w:t>
      </w:r>
      <w:proofErr w:type="spellStart"/>
      <w:r w:rsidRPr="00683A17">
        <w:rPr>
          <w:rFonts w:ascii="Arial" w:eastAsia="Times New Roman" w:hAnsi="Arial" w:cs="Arial"/>
          <w:sz w:val="23"/>
          <w:szCs w:val="23"/>
        </w:rPr>
        <w:t>recognises</w:t>
      </w:r>
      <w:proofErr w:type="spellEnd"/>
      <w:r w:rsidRPr="00683A17">
        <w:rPr>
          <w:rFonts w:ascii="Arial" w:eastAsia="Times New Roman" w:hAnsi="Arial" w:cs="Arial"/>
          <w:sz w:val="23"/>
          <w:szCs w:val="23"/>
        </w:rPr>
        <w:t xml:space="preserve"> that it is only through </w:t>
      </w:r>
      <w:r w:rsidR="00614810" w:rsidRPr="00683A17">
        <w:rPr>
          <w:rFonts w:ascii="Arial" w:eastAsia="Times New Roman" w:hAnsi="Arial" w:cs="Arial"/>
          <w:sz w:val="23"/>
          <w:szCs w:val="23"/>
        </w:rPr>
        <w:t>long-continued</w:t>
      </w:r>
      <w:r w:rsidRPr="00683A17">
        <w:rPr>
          <w:rFonts w:ascii="Arial" w:eastAsia="Times New Roman" w:hAnsi="Arial" w:cs="Arial"/>
          <w:sz w:val="23"/>
          <w:szCs w:val="23"/>
        </w:rPr>
        <w:t xml:space="preserve"> involvement of the community and </w:t>
      </w:r>
      <w:r w:rsidR="00614810" w:rsidRPr="00683A17">
        <w:rPr>
          <w:rFonts w:ascii="Arial" w:eastAsia="Times New Roman" w:hAnsi="Arial" w:cs="Arial"/>
          <w:sz w:val="23"/>
          <w:szCs w:val="23"/>
        </w:rPr>
        <w:t>through culturally sensitive methodology that</w:t>
      </w:r>
      <w:r w:rsidRPr="00683A17">
        <w:rPr>
          <w:rFonts w:ascii="Arial" w:eastAsia="Times New Roman" w:hAnsi="Arial" w:cs="Arial"/>
          <w:sz w:val="23"/>
          <w:szCs w:val="23"/>
        </w:rPr>
        <w:t xml:space="preserve"> the aims of SDG 3 </w:t>
      </w:r>
      <w:r w:rsidR="00EC636F">
        <w:rPr>
          <w:rFonts w:ascii="Arial" w:eastAsia="Times New Roman" w:hAnsi="Arial" w:cs="Arial"/>
          <w:sz w:val="23"/>
          <w:szCs w:val="23"/>
        </w:rPr>
        <w:t xml:space="preserve">can </w:t>
      </w:r>
      <w:r w:rsidRPr="00683A17">
        <w:rPr>
          <w:rFonts w:ascii="Arial" w:eastAsia="Times New Roman" w:hAnsi="Arial" w:cs="Arial"/>
          <w:sz w:val="23"/>
          <w:szCs w:val="23"/>
        </w:rPr>
        <w:t>be achieved, especially in maternal and child health and communicable disease control.</w:t>
      </w:r>
    </w:p>
    <w:p w:rsidR="000E4714" w:rsidRPr="00683A17" w:rsidRDefault="000E4714"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Thus</w:t>
      </w:r>
      <w:r w:rsidR="00614810" w:rsidRPr="00683A17">
        <w:rPr>
          <w:rFonts w:ascii="Arial" w:eastAsia="Times New Roman" w:hAnsi="Arial" w:cs="Arial"/>
          <w:sz w:val="23"/>
          <w:szCs w:val="23"/>
        </w:rPr>
        <w:t>, it is demonstrated that local public health campaigns in the UK exhibit success by incorporating the community realities—social, economic, cultural, and vernacular — into their design, environment, and administration,</w:t>
      </w:r>
      <w:r w:rsidRPr="00683A17">
        <w:rPr>
          <w:rFonts w:ascii="Arial" w:eastAsia="Times New Roman" w:hAnsi="Arial" w:cs="Arial"/>
          <w:sz w:val="23"/>
          <w:szCs w:val="23"/>
        </w:rPr>
        <w:t xml:space="preserve"> achieving a higher level of participation and engagement by all groups in the population.</w:t>
      </w:r>
    </w:p>
    <w:p w:rsidR="00683A17" w:rsidRPr="00683A17" w:rsidRDefault="00683A17" w:rsidP="00683A17">
      <w:pPr>
        <w:spacing w:line="360" w:lineRule="auto"/>
        <w:jc w:val="both"/>
        <w:rPr>
          <w:rFonts w:ascii="Arial" w:eastAsia="Times New Roman" w:hAnsi="Arial" w:cs="Arial"/>
          <w:b/>
          <w:sz w:val="23"/>
          <w:szCs w:val="23"/>
          <w:u w:val="single"/>
        </w:rPr>
      </w:pPr>
      <w:r w:rsidRPr="00683A17">
        <w:rPr>
          <w:rFonts w:ascii="Arial" w:eastAsia="Times New Roman" w:hAnsi="Arial" w:cs="Arial"/>
          <w:b/>
          <w:sz w:val="23"/>
          <w:szCs w:val="23"/>
          <w:u w:val="single"/>
        </w:rPr>
        <w:lastRenderedPageBreak/>
        <w:t>Theoretical perspectives</w:t>
      </w:r>
    </w:p>
    <w:p w:rsidR="00614810" w:rsidRPr="00683A17" w:rsidRDefault="00614810"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The implementation of SDG 3 can be analyzed through the Social Determin</w:t>
      </w:r>
      <w:r w:rsidR="004D1852" w:rsidRPr="00683A17">
        <w:rPr>
          <w:rFonts w:ascii="Arial" w:eastAsia="Times New Roman" w:hAnsi="Arial" w:cs="Arial"/>
          <w:sz w:val="23"/>
          <w:szCs w:val="23"/>
        </w:rPr>
        <w:t>ants of Health (SDH) framework</w:t>
      </w:r>
      <w:r w:rsidR="00622E4B" w:rsidRPr="00683A17">
        <w:rPr>
          <w:rFonts w:ascii="Arial" w:eastAsia="Times New Roman" w:hAnsi="Arial" w:cs="Arial"/>
          <w:sz w:val="23"/>
          <w:szCs w:val="23"/>
        </w:rPr>
        <w:t>,</w:t>
      </w:r>
      <w:r w:rsidRPr="00683A17">
        <w:rPr>
          <w:rFonts w:ascii="Arial" w:eastAsia="Times New Roman" w:hAnsi="Arial" w:cs="Arial"/>
          <w:sz w:val="23"/>
          <w:szCs w:val="23"/>
        </w:rPr>
        <w:t xml:space="preserve"> </w:t>
      </w:r>
      <w:r w:rsidR="00622E4B" w:rsidRPr="00683A17">
        <w:rPr>
          <w:rFonts w:ascii="Arial" w:eastAsia="Times New Roman" w:hAnsi="Arial" w:cs="Arial"/>
          <w:sz w:val="23"/>
          <w:szCs w:val="23"/>
        </w:rPr>
        <w:t>which</w:t>
      </w:r>
      <w:r w:rsidRPr="00683A17">
        <w:rPr>
          <w:rFonts w:ascii="Arial" w:eastAsia="Times New Roman" w:hAnsi="Arial" w:cs="Arial"/>
          <w:sz w:val="23"/>
          <w:szCs w:val="23"/>
        </w:rPr>
        <w:t xml:space="preserve"> </w:t>
      </w:r>
      <w:r w:rsidR="004D1852" w:rsidRPr="00683A17">
        <w:rPr>
          <w:rFonts w:ascii="Arial" w:eastAsia="Times New Roman" w:hAnsi="Arial" w:cs="Arial"/>
          <w:sz w:val="23"/>
          <w:szCs w:val="23"/>
        </w:rPr>
        <w:t>explains how socioeconomic conditions, environmental factors, education, and employment affect health outcomes</w:t>
      </w:r>
      <w:r w:rsidRPr="00683A17">
        <w:rPr>
          <w:rFonts w:ascii="Arial" w:eastAsia="Times New Roman" w:hAnsi="Arial" w:cs="Arial"/>
          <w:sz w:val="23"/>
          <w:szCs w:val="23"/>
        </w:rPr>
        <w:t xml:space="preserve">.  This framework focuses on the fact that medical care itself cannot bring the health improvements experienced at the population level without </w:t>
      </w:r>
      <w:r w:rsidR="00622E4B" w:rsidRPr="00683A17">
        <w:rPr>
          <w:rFonts w:ascii="Arial" w:eastAsia="Times New Roman" w:hAnsi="Arial" w:cs="Arial"/>
          <w:sz w:val="23"/>
          <w:szCs w:val="23"/>
        </w:rPr>
        <w:t xml:space="preserve">simultaneously </w:t>
      </w:r>
      <w:r w:rsidRPr="00683A17">
        <w:rPr>
          <w:rFonts w:ascii="Arial" w:eastAsia="Times New Roman" w:hAnsi="Arial" w:cs="Arial"/>
          <w:sz w:val="23"/>
          <w:szCs w:val="23"/>
        </w:rPr>
        <w:t>addr</w:t>
      </w:r>
      <w:r w:rsidR="004D1852" w:rsidRPr="00683A17">
        <w:rPr>
          <w:rFonts w:ascii="Arial" w:eastAsia="Times New Roman" w:hAnsi="Arial" w:cs="Arial"/>
          <w:sz w:val="23"/>
          <w:szCs w:val="23"/>
        </w:rPr>
        <w:t xml:space="preserve">essing structural inequities.  </w:t>
      </w:r>
      <w:r w:rsidRPr="00683A17">
        <w:rPr>
          <w:rFonts w:ascii="Arial" w:eastAsia="Times New Roman" w:hAnsi="Arial" w:cs="Arial"/>
          <w:sz w:val="23"/>
          <w:szCs w:val="23"/>
        </w:rPr>
        <w:t xml:space="preserve">Health Belief Model (HBM) also helps to explain </w:t>
      </w:r>
      <w:proofErr w:type="spellStart"/>
      <w:r w:rsidRPr="00683A17">
        <w:rPr>
          <w:rFonts w:ascii="Arial" w:eastAsia="Times New Roman" w:hAnsi="Arial" w:cs="Arial"/>
          <w:sz w:val="23"/>
          <w:szCs w:val="23"/>
        </w:rPr>
        <w:t>behavioural</w:t>
      </w:r>
      <w:proofErr w:type="spellEnd"/>
      <w:r w:rsidRPr="00683A17">
        <w:rPr>
          <w:rFonts w:ascii="Arial" w:eastAsia="Times New Roman" w:hAnsi="Arial" w:cs="Arial"/>
          <w:sz w:val="23"/>
          <w:szCs w:val="23"/>
        </w:rPr>
        <w:t xml:space="preserve"> issues of preventive health intervention, assuming that people will tend to embrace health-promoting </w:t>
      </w:r>
      <w:proofErr w:type="spellStart"/>
      <w:r w:rsidRPr="00683A17">
        <w:rPr>
          <w:rFonts w:ascii="Arial" w:eastAsia="Times New Roman" w:hAnsi="Arial" w:cs="Arial"/>
          <w:sz w:val="23"/>
          <w:szCs w:val="23"/>
        </w:rPr>
        <w:t>behaviours</w:t>
      </w:r>
      <w:proofErr w:type="spellEnd"/>
      <w:r w:rsidRPr="00683A17">
        <w:rPr>
          <w:rFonts w:ascii="Arial" w:eastAsia="Times New Roman" w:hAnsi="Arial" w:cs="Arial"/>
          <w:sz w:val="23"/>
          <w:szCs w:val="23"/>
        </w:rPr>
        <w:t xml:space="preserve"> when they believe that there will be personal rewards and that the b</w:t>
      </w:r>
      <w:r w:rsidR="004D1852" w:rsidRPr="00683A17">
        <w:rPr>
          <w:rFonts w:ascii="Arial" w:eastAsia="Times New Roman" w:hAnsi="Arial" w:cs="Arial"/>
          <w:sz w:val="23"/>
          <w:szCs w:val="23"/>
        </w:rPr>
        <w:t>arriers will be easily overcome.</w:t>
      </w:r>
      <w:r w:rsidRPr="00683A17">
        <w:rPr>
          <w:rFonts w:ascii="Arial" w:eastAsia="Times New Roman" w:hAnsi="Arial" w:cs="Arial"/>
          <w:sz w:val="23"/>
          <w:szCs w:val="23"/>
        </w:rPr>
        <w:t xml:space="preserve">  The SDH framework has been used to shape the policy of the United Kingdom, including the agenda of the Levelling Up and local public health </w:t>
      </w:r>
      <w:r w:rsidR="004D1852" w:rsidRPr="00683A17">
        <w:rPr>
          <w:rFonts w:ascii="Arial" w:eastAsia="Times New Roman" w:hAnsi="Arial" w:cs="Arial"/>
          <w:sz w:val="23"/>
          <w:szCs w:val="23"/>
        </w:rPr>
        <w:t>programs</w:t>
      </w:r>
      <w:r w:rsidRPr="00683A17">
        <w:rPr>
          <w:rFonts w:ascii="Arial" w:eastAsia="Times New Roman" w:hAnsi="Arial" w:cs="Arial"/>
          <w:sz w:val="23"/>
          <w:szCs w:val="23"/>
        </w:rPr>
        <w:t xml:space="preserve"> aimed at lessening the disparities related to deprivation in the UK.</w:t>
      </w:r>
    </w:p>
    <w:p w:rsidR="00683A17" w:rsidRPr="00683A17" w:rsidRDefault="00683A17" w:rsidP="00683A17">
      <w:pPr>
        <w:spacing w:line="360" w:lineRule="auto"/>
        <w:jc w:val="both"/>
        <w:rPr>
          <w:rFonts w:ascii="Arial" w:eastAsia="Times New Roman" w:hAnsi="Arial" w:cs="Arial"/>
          <w:b/>
          <w:sz w:val="23"/>
          <w:szCs w:val="23"/>
          <w:u w:val="single"/>
        </w:rPr>
      </w:pPr>
      <w:r w:rsidRPr="00683A17">
        <w:rPr>
          <w:rFonts w:ascii="Arial" w:eastAsia="Times New Roman" w:hAnsi="Arial" w:cs="Arial"/>
          <w:b/>
          <w:sz w:val="23"/>
          <w:szCs w:val="23"/>
          <w:u w:val="single"/>
        </w:rPr>
        <w:t>Critical evaluation</w:t>
      </w:r>
    </w:p>
    <w:p w:rsidR="004D1852" w:rsidRPr="00683A17" w:rsidRDefault="004D1852"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Health coverage WHO Universal health coverage </w:t>
      </w:r>
      <w:proofErr w:type="gramStart"/>
      <w:r w:rsidRPr="00683A17">
        <w:rPr>
          <w:rFonts w:ascii="Arial" w:eastAsia="Times New Roman" w:hAnsi="Arial" w:cs="Arial"/>
          <w:sz w:val="23"/>
          <w:szCs w:val="23"/>
        </w:rPr>
        <w:t>The</w:t>
      </w:r>
      <w:proofErr w:type="gramEnd"/>
      <w:r w:rsidRPr="00683A17">
        <w:rPr>
          <w:rFonts w:ascii="Arial" w:eastAsia="Times New Roman" w:hAnsi="Arial" w:cs="Arial"/>
          <w:sz w:val="23"/>
          <w:szCs w:val="23"/>
        </w:rPr>
        <w:t xml:space="preserve"> universal health coverage agenda of WHO has progressed globally: by 2021, approximately 68 percent of the global population had access to basic health services. However, more than 1 billion continue to incur disastrous healthcare spending every year. The fact that there is a difference between high-income and low-income nations shows that financing of healthcare is inequitable on a systemic level. In the UK, good governance and universal coverage via the NHS is a solid base, but austerity policies since 2010 </w:t>
      </w:r>
      <w:r w:rsidR="00EC636F">
        <w:rPr>
          <w:rFonts w:ascii="Arial" w:eastAsia="Times New Roman" w:hAnsi="Arial" w:cs="Arial"/>
          <w:sz w:val="23"/>
          <w:szCs w:val="23"/>
        </w:rPr>
        <w:t xml:space="preserve">have </w:t>
      </w:r>
      <w:r w:rsidRPr="00683A17">
        <w:rPr>
          <w:rFonts w:ascii="Arial" w:eastAsia="Times New Roman" w:hAnsi="Arial" w:cs="Arial"/>
          <w:sz w:val="23"/>
          <w:szCs w:val="23"/>
        </w:rPr>
        <w:t xml:space="preserve">undermined the preventative care and local public health budgets. Additionally, the increase in chronic diseases that are diet-related and inactive </w:t>
      </w:r>
      <w:r w:rsidR="00EC636F">
        <w:rPr>
          <w:rFonts w:ascii="Arial" w:eastAsia="Times New Roman" w:hAnsi="Arial" w:cs="Arial"/>
          <w:sz w:val="23"/>
          <w:szCs w:val="23"/>
        </w:rPr>
        <w:t>demonstrates</w:t>
      </w:r>
      <w:r w:rsidRPr="00683A17">
        <w:rPr>
          <w:rFonts w:ascii="Arial" w:eastAsia="Times New Roman" w:hAnsi="Arial" w:cs="Arial"/>
          <w:sz w:val="23"/>
          <w:szCs w:val="23"/>
        </w:rPr>
        <w:t xml:space="preserve"> that policy focuses more on treating these diseases instead of preventing them. According to the Health Inequalities Dashboard, the disparity in life expectancy between the poorest and the wealthiest parts of England increased to 9.7 years </w:t>
      </w:r>
      <w:r w:rsidR="00EC636F">
        <w:rPr>
          <w:rFonts w:ascii="Arial" w:eastAsia="Times New Roman" w:hAnsi="Arial" w:cs="Arial"/>
          <w:sz w:val="23"/>
          <w:szCs w:val="23"/>
        </w:rPr>
        <w:t>for</w:t>
      </w:r>
      <w:r w:rsidRPr="00683A17">
        <w:rPr>
          <w:rFonts w:ascii="Arial" w:eastAsia="Times New Roman" w:hAnsi="Arial" w:cs="Arial"/>
          <w:sz w:val="23"/>
          <w:szCs w:val="23"/>
        </w:rPr>
        <w:t xml:space="preserve"> males and 7.5 years </w:t>
      </w:r>
      <w:r w:rsidR="00EC636F">
        <w:rPr>
          <w:rFonts w:ascii="Arial" w:eastAsia="Times New Roman" w:hAnsi="Arial" w:cs="Arial"/>
          <w:sz w:val="23"/>
          <w:szCs w:val="23"/>
        </w:rPr>
        <w:t>for</w:t>
      </w:r>
      <w:r w:rsidRPr="00683A17">
        <w:rPr>
          <w:rFonts w:ascii="Arial" w:eastAsia="Times New Roman" w:hAnsi="Arial" w:cs="Arial"/>
          <w:sz w:val="23"/>
          <w:szCs w:val="23"/>
        </w:rPr>
        <w:t xml:space="preserve"> females </w:t>
      </w:r>
      <w:r w:rsidRPr="00683A17">
        <w:rPr>
          <w:rFonts w:ascii="Arial" w:eastAsia="Times New Roman" w:hAnsi="Arial" w:cs="Arial"/>
          <w:szCs w:val="24"/>
        </w:rPr>
        <w:t>(Office, 2025).</w:t>
      </w:r>
      <w:r w:rsidR="00EC636F">
        <w:rPr>
          <w:rFonts w:ascii="Arial" w:eastAsia="Times New Roman" w:hAnsi="Arial" w:cs="Arial"/>
          <w:szCs w:val="24"/>
        </w:rPr>
        <w:t xml:space="preserve"> </w:t>
      </w:r>
      <w:r w:rsidRPr="00683A17">
        <w:rPr>
          <w:rFonts w:ascii="Arial" w:eastAsia="Times New Roman" w:hAnsi="Arial" w:cs="Arial"/>
          <w:sz w:val="23"/>
          <w:szCs w:val="23"/>
        </w:rPr>
        <w:t xml:space="preserve">These statistics imply that although policies on SDG 3 exist, they cannot be effective because of their lack of effectiveness due to unequal social </w:t>
      </w:r>
      <w:r w:rsidR="00EC636F">
        <w:rPr>
          <w:rFonts w:ascii="Arial" w:eastAsia="Times New Roman" w:hAnsi="Arial" w:cs="Arial"/>
          <w:sz w:val="23"/>
          <w:szCs w:val="23"/>
        </w:rPr>
        <w:t>conditions</w:t>
      </w:r>
      <w:r w:rsidRPr="00683A17">
        <w:rPr>
          <w:rFonts w:ascii="Arial" w:eastAsia="Times New Roman" w:hAnsi="Arial" w:cs="Arial"/>
          <w:sz w:val="23"/>
          <w:szCs w:val="23"/>
        </w:rPr>
        <w:t>, resource allocation</w:t>
      </w:r>
      <w:r w:rsidR="00EC636F">
        <w:rPr>
          <w:rFonts w:ascii="Arial" w:eastAsia="Times New Roman" w:hAnsi="Arial" w:cs="Arial"/>
          <w:sz w:val="23"/>
          <w:szCs w:val="23"/>
        </w:rPr>
        <w:t>,</w:t>
      </w:r>
      <w:r w:rsidRPr="00683A17">
        <w:rPr>
          <w:rFonts w:ascii="Arial" w:eastAsia="Times New Roman" w:hAnsi="Arial" w:cs="Arial"/>
          <w:sz w:val="23"/>
          <w:szCs w:val="23"/>
        </w:rPr>
        <w:t xml:space="preserve"> and determinants of </w:t>
      </w:r>
      <w:proofErr w:type="spellStart"/>
      <w:r w:rsidRPr="00683A17">
        <w:rPr>
          <w:rFonts w:ascii="Arial" w:eastAsia="Times New Roman" w:hAnsi="Arial" w:cs="Arial"/>
          <w:sz w:val="23"/>
          <w:szCs w:val="23"/>
        </w:rPr>
        <w:t>behaviour</w:t>
      </w:r>
      <w:proofErr w:type="spellEnd"/>
      <w:r w:rsidRPr="00683A17">
        <w:rPr>
          <w:rFonts w:ascii="Arial" w:eastAsia="Times New Roman" w:hAnsi="Arial" w:cs="Arial"/>
          <w:sz w:val="23"/>
          <w:szCs w:val="23"/>
        </w:rPr>
        <w:t>.</w:t>
      </w:r>
    </w:p>
    <w:p w:rsidR="00683A17" w:rsidRPr="00683A17" w:rsidRDefault="00683A17" w:rsidP="00683A17">
      <w:pPr>
        <w:spacing w:line="360" w:lineRule="auto"/>
        <w:jc w:val="both"/>
        <w:rPr>
          <w:rFonts w:ascii="Arial" w:eastAsia="Times New Roman" w:hAnsi="Arial" w:cs="Arial"/>
          <w:b/>
          <w:sz w:val="23"/>
          <w:szCs w:val="23"/>
          <w:u w:val="single"/>
        </w:rPr>
      </w:pPr>
      <w:r w:rsidRPr="00683A17">
        <w:rPr>
          <w:rFonts w:ascii="Arial" w:eastAsia="Times New Roman" w:hAnsi="Arial" w:cs="Arial"/>
          <w:b/>
          <w:sz w:val="23"/>
          <w:szCs w:val="23"/>
          <w:u w:val="single"/>
        </w:rPr>
        <w:t>Recommendations</w:t>
      </w:r>
    </w:p>
    <w:p w:rsidR="00DF6FB0" w:rsidRPr="00683A17" w:rsidRDefault="004D1852"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In order to successfully achieve SDG3, we require a multi-level and </w:t>
      </w:r>
      <w:r w:rsidR="00EC636F">
        <w:rPr>
          <w:rFonts w:ascii="Arial" w:eastAsia="Times New Roman" w:hAnsi="Arial" w:cs="Arial"/>
          <w:sz w:val="23"/>
          <w:szCs w:val="23"/>
        </w:rPr>
        <w:t>multi-</w:t>
      </w:r>
      <w:proofErr w:type="spellStart"/>
      <w:r w:rsidR="00EC636F">
        <w:rPr>
          <w:rFonts w:ascii="Arial" w:eastAsia="Times New Roman" w:hAnsi="Arial" w:cs="Arial"/>
          <w:sz w:val="23"/>
          <w:szCs w:val="23"/>
        </w:rPr>
        <w:t>sectoral</w:t>
      </w:r>
      <w:proofErr w:type="spellEnd"/>
      <w:r w:rsidRPr="00683A17">
        <w:rPr>
          <w:rFonts w:ascii="Arial" w:eastAsia="Times New Roman" w:hAnsi="Arial" w:cs="Arial"/>
          <w:sz w:val="23"/>
          <w:szCs w:val="23"/>
        </w:rPr>
        <w:t xml:space="preserve"> approach. On a Global level, better </w:t>
      </w:r>
      <w:r w:rsidR="00EC636F">
        <w:rPr>
          <w:rFonts w:ascii="Arial" w:eastAsia="Times New Roman" w:hAnsi="Arial" w:cs="Arial"/>
          <w:sz w:val="23"/>
          <w:szCs w:val="23"/>
        </w:rPr>
        <w:t>coordination</w:t>
      </w:r>
      <w:r w:rsidRPr="00683A17">
        <w:rPr>
          <w:rFonts w:ascii="Arial" w:eastAsia="Times New Roman" w:hAnsi="Arial" w:cs="Arial"/>
          <w:sz w:val="23"/>
          <w:szCs w:val="23"/>
        </w:rPr>
        <w:t xml:space="preserve"> of the WHO, </w:t>
      </w:r>
      <w:proofErr w:type="spellStart"/>
      <w:r w:rsidRPr="00683A17">
        <w:rPr>
          <w:rFonts w:ascii="Arial" w:eastAsia="Times New Roman" w:hAnsi="Arial" w:cs="Arial"/>
          <w:sz w:val="23"/>
          <w:szCs w:val="23"/>
        </w:rPr>
        <w:t>Gavi</w:t>
      </w:r>
      <w:proofErr w:type="spellEnd"/>
      <w:r w:rsidRPr="00683A17">
        <w:rPr>
          <w:rFonts w:ascii="Arial" w:eastAsia="Times New Roman" w:hAnsi="Arial" w:cs="Arial"/>
          <w:sz w:val="23"/>
          <w:szCs w:val="23"/>
        </w:rPr>
        <w:t xml:space="preserve">, and the World Bank will ensure </w:t>
      </w:r>
      <w:r w:rsidRPr="00683A17">
        <w:rPr>
          <w:rFonts w:ascii="Arial" w:eastAsia="Times New Roman" w:hAnsi="Arial" w:cs="Arial"/>
          <w:sz w:val="23"/>
          <w:szCs w:val="23"/>
        </w:rPr>
        <w:lastRenderedPageBreak/>
        <w:t>efficiencies, as well as sustainability of resource usage. Improvements need to be made in the domestic funding, for example</w:t>
      </w:r>
      <w:r w:rsidR="00EC636F">
        <w:rPr>
          <w:rFonts w:ascii="Arial" w:eastAsia="Times New Roman" w:hAnsi="Arial" w:cs="Arial"/>
          <w:sz w:val="23"/>
          <w:szCs w:val="23"/>
        </w:rPr>
        <w:t>,</w:t>
      </w:r>
      <w:r w:rsidRPr="00683A17">
        <w:rPr>
          <w:rFonts w:ascii="Arial" w:eastAsia="Times New Roman" w:hAnsi="Arial" w:cs="Arial"/>
          <w:sz w:val="23"/>
          <w:szCs w:val="23"/>
        </w:rPr>
        <w:t xml:space="preserve"> by countries</w:t>
      </w:r>
      <w:r w:rsidR="00EC636F">
        <w:rPr>
          <w:rFonts w:ascii="Arial" w:eastAsia="Times New Roman" w:hAnsi="Arial" w:cs="Arial"/>
          <w:sz w:val="23"/>
          <w:szCs w:val="23"/>
        </w:rPr>
        <w:t>,</w:t>
      </w:r>
      <w:r w:rsidRPr="00683A17">
        <w:rPr>
          <w:rFonts w:ascii="Arial" w:eastAsia="Times New Roman" w:hAnsi="Arial" w:cs="Arial"/>
          <w:sz w:val="23"/>
          <w:szCs w:val="23"/>
        </w:rPr>
        <w:t xml:space="preserve"> as this will help system efficacy and reduce reliance on overseas funding. Locally, public health services need greater re-investment in preventive health measures, such as nutrition and physical activity schemes</w:t>
      </w:r>
      <w:r w:rsidR="00EC636F">
        <w:rPr>
          <w:rFonts w:ascii="Arial" w:eastAsia="Times New Roman" w:hAnsi="Arial" w:cs="Arial"/>
          <w:sz w:val="23"/>
          <w:szCs w:val="23"/>
        </w:rPr>
        <w:t>,</w:t>
      </w:r>
      <w:r w:rsidRPr="00683A17">
        <w:rPr>
          <w:rFonts w:ascii="Arial" w:eastAsia="Times New Roman" w:hAnsi="Arial" w:cs="Arial"/>
          <w:sz w:val="23"/>
          <w:szCs w:val="23"/>
        </w:rPr>
        <w:t xml:space="preserve"> and embedding health equality impact assessments on all aspects of policy (`Health in All Policies’ approach). The increased flow of data from NHS England and Local Authorities will help better inform us of those at high risk of ill health. From a local </w:t>
      </w:r>
      <w:r w:rsidR="00EC636F">
        <w:rPr>
          <w:rFonts w:ascii="Arial" w:eastAsia="Times New Roman" w:hAnsi="Arial" w:cs="Arial"/>
          <w:sz w:val="23"/>
          <w:szCs w:val="23"/>
        </w:rPr>
        <w:t>viewpoint</w:t>
      </w:r>
      <w:r w:rsidRPr="00683A17">
        <w:rPr>
          <w:rFonts w:ascii="Arial" w:eastAsia="Times New Roman" w:hAnsi="Arial" w:cs="Arial"/>
          <w:sz w:val="23"/>
          <w:szCs w:val="23"/>
        </w:rPr>
        <w:t xml:space="preserve">, active community involvement needs to be central to any improvements to the health care in communities. Citizen involvement in the co-design of health </w:t>
      </w:r>
      <w:r w:rsidR="007F1860" w:rsidRPr="00683A17">
        <w:rPr>
          <w:rFonts w:ascii="Arial" w:eastAsia="Times New Roman" w:hAnsi="Arial" w:cs="Arial"/>
          <w:sz w:val="23"/>
          <w:szCs w:val="23"/>
        </w:rPr>
        <w:t>interventions</w:t>
      </w:r>
      <w:r w:rsidRPr="00683A17">
        <w:rPr>
          <w:rFonts w:ascii="Arial" w:eastAsia="Times New Roman" w:hAnsi="Arial" w:cs="Arial"/>
          <w:sz w:val="23"/>
          <w:szCs w:val="23"/>
        </w:rPr>
        <w:t xml:space="preserve"> could also increase trust and fidelity in results and improvement in numbers. Improvement of links between health, such as </w:t>
      </w:r>
      <w:r w:rsidR="00EC636F">
        <w:rPr>
          <w:rFonts w:ascii="Arial" w:eastAsia="Times New Roman" w:hAnsi="Arial" w:cs="Arial"/>
          <w:sz w:val="23"/>
          <w:szCs w:val="23"/>
        </w:rPr>
        <w:t xml:space="preserve">a </w:t>
      </w:r>
      <w:r w:rsidRPr="00683A17">
        <w:rPr>
          <w:rFonts w:ascii="Arial" w:eastAsia="Times New Roman" w:hAnsi="Arial" w:cs="Arial"/>
          <w:sz w:val="23"/>
          <w:szCs w:val="23"/>
        </w:rPr>
        <w:t xml:space="preserve">healthy </w:t>
      </w:r>
      <w:r w:rsidR="007F1860" w:rsidRPr="00683A17">
        <w:rPr>
          <w:rFonts w:ascii="Arial" w:eastAsia="Times New Roman" w:hAnsi="Arial" w:cs="Arial"/>
          <w:sz w:val="23"/>
          <w:szCs w:val="23"/>
        </w:rPr>
        <w:t>environment and</w:t>
      </w:r>
      <w:r w:rsidRPr="00683A17">
        <w:rPr>
          <w:rFonts w:ascii="Arial" w:eastAsia="Times New Roman" w:hAnsi="Arial" w:cs="Arial"/>
          <w:sz w:val="23"/>
          <w:szCs w:val="23"/>
        </w:rPr>
        <w:t xml:space="preserve"> health through safe housing, clean water</w:t>
      </w:r>
      <w:r w:rsidR="00EC636F">
        <w:rPr>
          <w:rFonts w:ascii="Arial" w:eastAsia="Times New Roman" w:hAnsi="Arial" w:cs="Arial"/>
          <w:sz w:val="23"/>
          <w:szCs w:val="23"/>
        </w:rPr>
        <w:t>,</w:t>
      </w:r>
      <w:r w:rsidRPr="00683A17">
        <w:rPr>
          <w:rFonts w:ascii="Arial" w:eastAsia="Times New Roman" w:hAnsi="Arial" w:cs="Arial"/>
          <w:sz w:val="23"/>
          <w:szCs w:val="23"/>
        </w:rPr>
        <w:t xml:space="preserve"> and air quality, would allow further linkage with </w:t>
      </w:r>
      <w:r w:rsidR="007F1860" w:rsidRPr="00683A17">
        <w:rPr>
          <w:rFonts w:ascii="Arial" w:eastAsia="Times New Roman" w:hAnsi="Arial" w:cs="Arial"/>
          <w:sz w:val="23"/>
          <w:szCs w:val="23"/>
        </w:rPr>
        <w:t xml:space="preserve">SDG6. </w:t>
      </w:r>
      <w:r w:rsidRPr="00683A17">
        <w:rPr>
          <w:rFonts w:ascii="Arial" w:eastAsia="Times New Roman" w:hAnsi="Arial" w:cs="Arial"/>
          <w:sz w:val="23"/>
          <w:szCs w:val="23"/>
        </w:rPr>
        <w:t xml:space="preserve">Inclusion of the determinants of health framework in the </w:t>
      </w:r>
      <w:r w:rsidR="00EC636F">
        <w:rPr>
          <w:rFonts w:ascii="Arial" w:eastAsia="Times New Roman" w:hAnsi="Arial" w:cs="Arial"/>
          <w:sz w:val="23"/>
          <w:szCs w:val="23"/>
        </w:rPr>
        <w:t>construction</w:t>
      </w:r>
      <w:r w:rsidRPr="00683A17">
        <w:rPr>
          <w:rFonts w:ascii="Arial" w:eastAsia="Times New Roman" w:hAnsi="Arial" w:cs="Arial"/>
          <w:sz w:val="23"/>
          <w:szCs w:val="23"/>
        </w:rPr>
        <w:t xml:space="preserve"> of policy at all levels will further lead to equitable sustenance in improvements in population health.</w:t>
      </w:r>
    </w:p>
    <w:p w:rsidR="00EA304C" w:rsidRPr="00683A17" w:rsidRDefault="00EA304C" w:rsidP="00683A17">
      <w:pPr>
        <w:spacing w:line="360" w:lineRule="auto"/>
        <w:jc w:val="both"/>
        <w:rPr>
          <w:rFonts w:ascii="Arial" w:eastAsia="Times New Roman" w:hAnsi="Arial" w:cs="Arial"/>
          <w:b/>
          <w:sz w:val="23"/>
          <w:szCs w:val="23"/>
        </w:rPr>
      </w:pPr>
      <w:r w:rsidRPr="00683A17">
        <w:rPr>
          <w:rFonts w:ascii="Arial" w:eastAsia="Times New Roman" w:hAnsi="Arial" w:cs="Arial"/>
          <w:b/>
          <w:sz w:val="23"/>
          <w:szCs w:val="23"/>
        </w:rPr>
        <w:t>SDG 6</w:t>
      </w:r>
      <w:r w:rsidR="00270EC7" w:rsidRPr="00683A17">
        <w:rPr>
          <w:rFonts w:ascii="Arial" w:eastAsia="Times New Roman" w:hAnsi="Arial" w:cs="Arial"/>
          <w:b/>
          <w:sz w:val="23"/>
          <w:szCs w:val="23"/>
        </w:rPr>
        <w:t>-</w:t>
      </w:r>
      <w:r w:rsidR="00270EC7" w:rsidRPr="00683A17">
        <w:rPr>
          <w:rFonts w:ascii="Arial" w:eastAsia="Times New Roman" w:hAnsi="Arial" w:cs="Arial"/>
          <w:sz w:val="23"/>
          <w:szCs w:val="23"/>
        </w:rPr>
        <w:t xml:space="preserve"> </w:t>
      </w:r>
      <w:r w:rsidR="00270EC7" w:rsidRPr="00683A17">
        <w:rPr>
          <w:rFonts w:ascii="Arial" w:eastAsia="Times New Roman" w:hAnsi="Arial" w:cs="Arial"/>
          <w:b/>
          <w:sz w:val="23"/>
          <w:szCs w:val="23"/>
        </w:rPr>
        <w:t>Clean Water and Sanitation</w:t>
      </w:r>
    </w:p>
    <w:p w:rsidR="00270EC7" w:rsidRPr="00683A17" w:rsidRDefault="00683A17" w:rsidP="00683A17">
      <w:pPr>
        <w:spacing w:line="360" w:lineRule="auto"/>
        <w:jc w:val="both"/>
        <w:rPr>
          <w:rFonts w:ascii="Arial" w:eastAsia="Times New Roman" w:hAnsi="Arial" w:cs="Arial"/>
          <w:b/>
          <w:sz w:val="23"/>
          <w:szCs w:val="23"/>
          <w:u w:val="single"/>
        </w:rPr>
      </w:pPr>
      <w:r w:rsidRPr="00683A17">
        <w:rPr>
          <w:rFonts w:ascii="Arial" w:eastAsia="Times New Roman" w:hAnsi="Arial" w:cs="Arial"/>
          <w:b/>
          <w:sz w:val="23"/>
          <w:szCs w:val="23"/>
          <w:u w:val="single"/>
        </w:rPr>
        <w:t>Overview</w:t>
      </w:r>
    </w:p>
    <w:p w:rsidR="007F1860" w:rsidRPr="00683A17" w:rsidRDefault="00EA304C"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Sustainable Development Goal 6 (Clean Water and Sanitation) aims to ensure </w:t>
      </w:r>
      <w:r w:rsidR="00EC636F">
        <w:rPr>
          <w:rFonts w:ascii="Arial" w:eastAsia="Times New Roman" w:hAnsi="Arial" w:cs="Arial"/>
          <w:sz w:val="23"/>
          <w:szCs w:val="23"/>
        </w:rPr>
        <w:t xml:space="preserve">the </w:t>
      </w:r>
      <w:r w:rsidRPr="00683A17">
        <w:rPr>
          <w:rFonts w:ascii="Arial" w:eastAsia="Times New Roman" w:hAnsi="Arial" w:cs="Arial"/>
          <w:sz w:val="23"/>
          <w:szCs w:val="23"/>
        </w:rPr>
        <w:t>availability and sustainable management of water and sanitation for all. Safe water, adequate sanitation</w:t>
      </w:r>
      <w:r w:rsidR="00EC636F">
        <w:rPr>
          <w:rFonts w:ascii="Arial" w:eastAsia="Times New Roman" w:hAnsi="Arial" w:cs="Arial"/>
          <w:sz w:val="23"/>
          <w:szCs w:val="23"/>
        </w:rPr>
        <w:t>,</w:t>
      </w:r>
      <w:r w:rsidRPr="00683A17">
        <w:rPr>
          <w:rFonts w:ascii="Arial" w:eastAsia="Times New Roman" w:hAnsi="Arial" w:cs="Arial"/>
          <w:sz w:val="23"/>
          <w:szCs w:val="23"/>
        </w:rPr>
        <w:t xml:space="preserve"> and hygiene (WASH) are essential to human health, economic productivity</w:t>
      </w:r>
      <w:r w:rsidR="00EC636F">
        <w:rPr>
          <w:rFonts w:ascii="Arial" w:eastAsia="Times New Roman" w:hAnsi="Arial" w:cs="Arial"/>
          <w:sz w:val="23"/>
          <w:szCs w:val="23"/>
        </w:rPr>
        <w:t>,</w:t>
      </w:r>
      <w:r w:rsidRPr="00683A17">
        <w:rPr>
          <w:rFonts w:ascii="Arial" w:eastAsia="Times New Roman" w:hAnsi="Arial" w:cs="Arial"/>
          <w:sz w:val="23"/>
          <w:szCs w:val="23"/>
        </w:rPr>
        <w:t xml:space="preserve"> and environmental protection. Currently</w:t>
      </w:r>
      <w:r w:rsidR="00EC636F">
        <w:rPr>
          <w:rFonts w:ascii="Arial" w:eastAsia="Times New Roman" w:hAnsi="Arial" w:cs="Arial"/>
          <w:sz w:val="23"/>
          <w:szCs w:val="23"/>
        </w:rPr>
        <w:t>,</w:t>
      </w:r>
      <w:r w:rsidRPr="00683A17">
        <w:rPr>
          <w:rFonts w:ascii="Arial" w:eastAsia="Times New Roman" w:hAnsi="Arial" w:cs="Arial"/>
          <w:sz w:val="23"/>
          <w:szCs w:val="23"/>
        </w:rPr>
        <w:t xml:space="preserve"> around 2 billion people do not have safely managed drinking-water services around the world, while 3.5 billion have inadequate sanitation </w:t>
      </w:r>
      <w:r w:rsidR="007F1860" w:rsidRPr="00683A17">
        <w:rPr>
          <w:rFonts w:ascii="Arial" w:eastAsia="Times New Roman" w:hAnsi="Arial" w:cs="Arial"/>
          <w:sz w:val="23"/>
          <w:szCs w:val="23"/>
        </w:rPr>
        <w:t xml:space="preserve">(Geneva and Switzerland, </w:t>
      </w:r>
      <w:proofErr w:type="spellStart"/>
      <w:r w:rsidR="007F1860" w:rsidRPr="00683A17">
        <w:rPr>
          <w:rFonts w:ascii="Arial" w:eastAsia="Times New Roman" w:hAnsi="Arial" w:cs="Arial"/>
          <w:sz w:val="23"/>
          <w:szCs w:val="23"/>
        </w:rPr>
        <w:t>n.d</w:t>
      </w:r>
      <w:proofErr w:type="spellEnd"/>
      <w:r w:rsidR="00EC636F">
        <w:rPr>
          <w:rFonts w:ascii="Arial" w:eastAsia="Times New Roman" w:hAnsi="Arial" w:cs="Arial"/>
          <w:sz w:val="23"/>
          <w:szCs w:val="23"/>
        </w:rPr>
        <w:t>).</w:t>
      </w:r>
    </w:p>
    <w:p w:rsidR="00EA304C" w:rsidRPr="00683A17" w:rsidRDefault="00EA304C"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 Unsafe water is responsible for </w:t>
      </w:r>
      <w:proofErr w:type="spellStart"/>
      <w:r w:rsidRPr="00683A17">
        <w:rPr>
          <w:rFonts w:ascii="Arial" w:eastAsia="Times New Roman" w:hAnsi="Arial" w:cs="Arial"/>
          <w:sz w:val="23"/>
          <w:szCs w:val="23"/>
        </w:rPr>
        <w:t>diarrhoeal</w:t>
      </w:r>
      <w:proofErr w:type="spellEnd"/>
      <w:r w:rsidRPr="00683A17">
        <w:rPr>
          <w:rFonts w:ascii="Arial" w:eastAsia="Times New Roman" w:hAnsi="Arial" w:cs="Arial"/>
          <w:sz w:val="23"/>
          <w:szCs w:val="23"/>
        </w:rPr>
        <w:t xml:space="preserve"> and parasitic diseases, which undermine SDG 3 on health and well-being. The relationship between the two objectives is obvious, as access to safe water prevents the occurrence of water-borne diseases such as cholera, typhoid</w:t>
      </w:r>
      <w:r w:rsidR="007F1860" w:rsidRPr="00683A17">
        <w:rPr>
          <w:rFonts w:ascii="Arial" w:eastAsia="Times New Roman" w:hAnsi="Arial" w:cs="Arial"/>
          <w:sz w:val="23"/>
          <w:szCs w:val="23"/>
        </w:rPr>
        <w:t>,</w:t>
      </w:r>
      <w:r w:rsidRPr="00683A17">
        <w:rPr>
          <w:rFonts w:ascii="Arial" w:eastAsia="Times New Roman" w:hAnsi="Arial" w:cs="Arial"/>
          <w:sz w:val="23"/>
          <w:szCs w:val="23"/>
        </w:rPr>
        <w:t xml:space="preserve"> and hepatitis A, whilst effective sanitation prevents the transmission of infection and increases nutritional benefits (WHO, 2022).</w:t>
      </w:r>
    </w:p>
    <w:p w:rsidR="007F1860" w:rsidRPr="00683A17" w:rsidRDefault="00F541E1" w:rsidP="00683A17">
      <w:pPr>
        <w:spacing w:line="360" w:lineRule="auto"/>
        <w:jc w:val="both"/>
        <w:rPr>
          <w:rFonts w:ascii="Arial" w:eastAsia="Times New Roman" w:hAnsi="Arial" w:cs="Arial"/>
          <w:b/>
          <w:sz w:val="23"/>
          <w:szCs w:val="23"/>
          <w:u w:val="single"/>
        </w:rPr>
      </w:pPr>
      <w:r w:rsidRPr="00683A17">
        <w:rPr>
          <w:rFonts w:ascii="Arial" w:eastAsia="Times New Roman" w:hAnsi="Arial" w:cs="Arial"/>
          <w:b/>
          <w:sz w:val="23"/>
          <w:szCs w:val="23"/>
          <w:u w:val="single"/>
        </w:rPr>
        <w:t>Global policies and initiatives</w:t>
      </w:r>
    </w:p>
    <w:p w:rsidR="007F1860" w:rsidRPr="00683A17" w:rsidRDefault="007F1860"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On the international scale, </w:t>
      </w:r>
      <w:r w:rsidR="00EC636F">
        <w:rPr>
          <w:rFonts w:ascii="Arial" w:eastAsia="Times New Roman" w:hAnsi="Arial" w:cs="Arial"/>
          <w:sz w:val="23"/>
          <w:szCs w:val="23"/>
        </w:rPr>
        <w:t xml:space="preserve">the </w:t>
      </w:r>
      <w:r w:rsidRPr="00683A17">
        <w:rPr>
          <w:rFonts w:ascii="Arial" w:eastAsia="Times New Roman" w:hAnsi="Arial" w:cs="Arial"/>
          <w:sz w:val="23"/>
          <w:szCs w:val="23"/>
        </w:rPr>
        <w:t xml:space="preserve">WHO/UNICEF Joint Monitoring </w:t>
      </w:r>
      <w:proofErr w:type="spellStart"/>
      <w:r w:rsidRPr="00683A17">
        <w:rPr>
          <w:rFonts w:ascii="Arial" w:eastAsia="Times New Roman" w:hAnsi="Arial" w:cs="Arial"/>
          <w:sz w:val="23"/>
          <w:szCs w:val="23"/>
        </w:rPr>
        <w:t>Programme</w:t>
      </w:r>
      <w:proofErr w:type="spellEnd"/>
      <w:r w:rsidRPr="00683A17">
        <w:rPr>
          <w:rFonts w:ascii="Arial" w:eastAsia="Times New Roman" w:hAnsi="Arial" w:cs="Arial"/>
          <w:sz w:val="23"/>
          <w:szCs w:val="23"/>
        </w:rPr>
        <w:t xml:space="preserve"> (JMP) and </w:t>
      </w:r>
      <w:r w:rsidR="00EC636F">
        <w:rPr>
          <w:rFonts w:ascii="Arial" w:eastAsia="Times New Roman" w:hAnsi="Arial" w:cs="Arial"/>
          <w:sz w:val="23"/>
          <w:szCs w:val="23"/>
        </w:rPr>
        <w:t xml:space="preserve">the </w:t>
      </w:r>
      <w:r w:rsidRPr="00683A17">
        <w:rPr>
          <w:rFonts w:ascii="Arial" w:eastAsia="Times New Roman" w:hAnsi="Arial" w:cs="Arial"/>
          <w:sz w:val="23"/>
          <w:szCs w:val="23"/>
        </w:rPr>
        <w:t xml:space="preserve">UN-Water Integrated Monitoring Initiative monitor the SDG 6 targets. SDG 6 Global </w:t>
      </w:r>
      <w:r w:rsidRPr="00683A17">
        <w:rPr>
          <w:rFonts w:ascii="Arial" w:eastAsia="Times New Roman" w:hAnsi="Arial" w:cs="Arial"/>
          <w:sz w:val="23"/>
          <w:szCs w:val="23"/>
        </w:rPr>
        <w:lastRenderedPageBreak/>
        <w:t>Acceleration Framework recommends action on five accelerators</w:t>
      </w:r>
      <w:r w:rsidR="00EC636F">
        <w:rPr>
          <w:rFonts w:ascii="Arial" w:eastAsia="Times New Roman" w:hAnsi="Arial" w:cs="Arial"/>
          <w:sz w:val="23"/>
          <w:szCs w:val="23"/>
        </w:rPr>
        <w:t>,</w:t>
      </w:r>
      <w:r w:rsidRPr="00683A17">
        <w:rPr>
          <w:rFonts w:ascii="Arial" w:eastAsia="Times New Roman" w:hAnsi="Arial" w:cs="Arial"/>
          <w:sz w:val="23"/>
          <w:szCs w:val="23"/>
        </w:rPr>
        <w:t xml:space="preserve"> namely, financing, data, capacity, innovation</w:t>
      </w:r>
      <w:r w:rsidR="00EC636F">
        <w:rPr>
          <w:rFonts w:ascii="Arial" w:eastAsia="Times New Roman" w:hAnsi="Arial" w:cs="Arial"/>
          <w:sz w:val="23"/>
          <w:szCs w:val="23"/>
        </w:rPr>
        <w:t>,</w:t>
      </w:r>
      <w:r w:rsidRPr="00683A17">
        <w:rPr>
          <w:rFonts w:ascii="Arial" w:eastAsia="Times New Roman" w:hAnsi="Arial" w:cs="Arial"/>
          <w:sz w:val="23"/>
          <w:szCs w:val="23"/>
        </w:rPr>
        <w:t xml:space="preserve"> and governance</w:t>
      </w:r>
      <w:r w:rsidR="00EC636F">
        <w:rPr>
          <w:rFonts w:ascii="Arial" w:eastAsia="Times New Roman" w:hAnsi="Arial" w:cs="Arial"/>
          <w:sz w:val="23"/>
          <w:szCs w:val="23"/>
        </w:rPr>
        <w:t>,</w:t>
      </w:r>
      <w:r w:rsidRPr="00683A17">
        <w:rPr>
          <w:rFonts w:ascii="Arial" w:eastAsia="Times New Roman" w:hAnsi="Arial" w:cs="Arial"/>
          <w:sz w:val="23"/>
          <w:szCs w:val="23"/>
        </w:rPr>
        <w:t xml:space="preserve"> to provide universal access by 2030. According to the WHO Water, Sanitation and Hygiene (WASH) Strategy 2025, health protection is considered part of water and sanitation policies (WHO, 2022). International financial agencies, including the World Bank, finance the infrastructure projects via the Water Global Practice, paying attention to equal access and climate-insulating infrastructures.</w:t>
      </w:r>
    </w:p>
    <w:p w:rsidR="007F1860" w:rsidRPr="00683A17" w:rsidRDefault="007F1860" w:rsidP="00683A17">
      <w:pPr>
        <w:spacing w:line="360" w:lineRule="auto"/>
        <w:jc w:val="both"/>
        <w:rPr>
          <w:rFonts w:ascii="Arial" w:eastAsia="Times New Roman" w:hAnsi="Arial" w:cs="Arial"/>
          <w:b/>
          <w:sz w:val="23"/>
          <w:szCs w:val="23"/>
        </w:rPr>
      </w:pPr>
      <w:r w:rsidRPr="00683A17">
        <w:rPr>
          <w:rFonts w:ascii="Arial" w:eastAsia="Times New Roman" w:hAnsi="Arial" w:cs="Arial"/>
          <w:sz w:val="23"/>
          <w:szCs w:val="23"/>
        </w:rPr>
        <w:t xml:space="preserve">Though it is progressing, the work of the world attracts certain limitations: funding gaps are significant (around 260 billion a year), and </w:t>
      </w:r>
      <w:r w:rsidR="00EC636F">
        <w:rPr>
          <w:rFonts w:ascii="Arial" w:eastAsia="Times New Roman" w:hAnsi="Arial" w:cs="Arial"/>
          <w:sz w:val="23"/>
          <w:szCs w:val="23"/>
        </w:rPr>
        <w:t>many</w:t>
      </w:r>
      <w:r w:rsidRPr="00683A17">
        <w:rPr>
          <w:rFonts w:ascii="Arial" w:eastAsia="Times New Roman" w:hAnsi="Arial" w:cs="Arial"/>
          <w:sz w:val="23"/>
          <w:szCs w:val="23"/>
        </w:rPr>
        <w:t xml:space="preserve"> low-income countries rely on assistance and cannot </w:t>
      </w:r>
      <w:r w:rsidR="00EC636F">
        <w:rPr>
          <w:rFonts w:ascii="Arial" w:eastAsia="Times New Roman" w:hAnsi="Arial" w:cs="Arial"/>
          <w:sz w:val="23"/>
          <w:szCs w:val="23"/>
        </w:rPr>
        <w:t>sustain themselves</w:t>
      </w:r>
      <w:r w:rsidRPr="00683A17">
        <w:rPr>
          <w:rFonts w:ascii="Arial" w:eastAsia="Times New Roman" w:hAnsi="Arial" w:cs="Arial"/>
          <w:sz w:val="23"/>
          <w:szCs w:val="23"/>
        </w:rPr>
        <w:t xml:space="preserve"> locally. Moreover, climate change is a threat to the availability and quality of water, exacerbating droughts and floods in susceptible areas. According to critics, global governance is still in fragments and lacks enough coordination between health, water, and climate spheres (UN-Water, 2023).</w:t>
      </w:r>
    </w:p>
    <w:p w:rsidR="00F541E1" w:rsidRPr="00683A17" w:rsidRDefault="00F541E1" w:rsidP="00683A17">
      <w:pPr>
        <w:spacing w:line="360" w:lineRule="auto"/>
        <w:jc w:val="both"/>
        <w:rPr>
          <w:rFonts w:ascii="Arial" w:eastAsia="Times New Roman" w:hAnsi="Arial" w:cs="Arial"/>
          <w:b/>
          <w:sz w:val="23"/>
          <w:szCs w:val="23"/>
          <w:u w:val="single"/>
        </w:rPr>
      </w:pPr>
      <w:r w:rsidRPr="00683A17">
        <w:rPr>
          <w:rFonts w:ascii="Arial" w:eastAsia="Times New Roman" w:hAnsi="Arial" w:cs="Arial"/>
          <w:b/>
          <w:sz w:val="23"/>
          <w:szCs w:val="23"/>
          <w:u w:val="single"/>
        </w:rPr>
        <w:t>National policies and initiatives (United Kingdom)</w:t>
      </w:r>
    </w:p>
    <w:p w:rsidR="00F541E1" w:rsidRPr="00683A17" w:rsidRDefault="00F541E1"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In the United Kingdom, the provision of qualifications in clean drinking water and sanitation is almost total. The problems of maintaining water quality, of pollution control</w:t>
      </w:r>
      <w:r w:rsidR="00EC636F">
        <w:rPr>
          <w:rFonts w:ascii="Arial" w:eastAsia="Times New Roman" w:hAnsi="Arial" w:cs="Arial"/>
          <w:sz w:val="23"/>
          <w:szCs w:val="23"/>
        </w:rPr>
        <w:t>,</w:t>
      </w:r>
      <w:r w:rsidRPr="00683A17">
        <w:rPr>
          <w:rFonts w:ascii="Arial" w:eastAsia="Times New Roman" w:hAnsi="Arial" w:cs="Arial"/>
          <w:sz w:val="23"/>
          <w:szCs w:val="23"/>
        </w:rPr>
        <w:t xml:space="preserve"> and upgrading of aged infrastructure </w:t>
      </w:r>
      <w:r w:rsidR="00EC636F">
        <w:rPr>
          <w:rFonts w:ascii="Arial" w:eastAsia="Times New Roman" w:hAnsi="Arial" w:cs="Arial"/>
          <w:sz w:val="23"/>
          <w:szCs w:val="23"/>
        </w:rPr>
        <w:t>present</w:t>
      </w:r>
      <w:r w:rsidRPr="00683A17">
        <w:rPr>
          <w:rFonts w:ascii="Arial" w:eastAsia="Times New Roman" w:hAnsi="Arial" w:cs="Arial"/>
          <w:sz w:val="23"/>
          <w:szCs w:val="23"/>
        </w:rPr>
        <w:t xml:space="preserve"> difficulties. In the Environment Act 2021</w:t>
      </w:r>
      <w:r w:rsidR="00EC636F">
        <w:rPr>
          <w:rFonts w:ascii="Arial" w:eastAsia="Times New Roman" w:hAnsi="Arial" w:cs="Arial"/>
          <w:sz w:val="23"/>
          <w:szCs w:val="23"/>
        </w:rPr>
        <w:t>,</w:t>
      </w:r>
      <w:r w:rsidRPr="00683A17">
        <w:rPr>
          <w:rFonts w:ascii="Arial" w:eastAsia="Times New Roman" w:hAnsi="Arial" w:cs="Arial"/>
          <w:sz w:val="23"/>
          <w:szCs w:val="23"/>
        </w:rPr>
        <w:t xml:space="preserve"> legally binding targets for water quality, reduction in nutrient pollution</w:t>
      </w:r>
      <w:r w:rsidR="00EC636F">
        <w:rPr>
          <w:rFonts w:ascii="Arial" w:eastAsia="Times New Roman" w:hAnsi="Arial" w:cs="Arial"/>
          <w:sz w:val="23"/>
          <w:szCs w:val="23"/>
        </w:rPr>
        <w:t>,</w:t>
      </w:r>
      <w:r w:rsidRPr="00683A17">
        <w:rPr>
          <w:rFonts w:ascii="Arial" w:eastAsia="Times New Roman" w:hAnsi="Arial" w:cs="Arial"/>
          <w:sz w:val="23"/>
          <w:szCs w:val="23"/>
        </w:rPr>
        <w:t xml:space="preserve"> and improved treatment of wastewater are set (DEFRA, 2021). The Water Industry National Environment </w:t>
      </w:r>
      <w:proofErr w:type="spellStart"/>
      <w:r w:rsidRPr="00683A17">
        <w:rPr>
          <w:rFonts w:ascii="Arial" w:eastAsia="Times New Roman" w:hAnsi="Arial" w:cs="Arial"/>
          <w:sz w:val="23"/>
          <w:szCs w:val="23"/>
        </w:rPr>
        <w:t>Programme</w:t>
      </w:r>
      <w:proofErr w:type="spellEnd"/>
      <w:r w:rsidRPr="00683A17">
        <w:rPr>
          <w:rFonts w:ascii="Arial" w:eastAsia="Times New Roman" w:hAnsi="Arial" w:cs="Arial"/>
          <w:sz w:val="23"/>
          <w:szCs w:val="23"/>
        </w:rPr>
        <w:t xml:space="preserve"> (WINEP), operated by the Environment Agency and </w:t>
      </w:r>
      <w:proofErr w:type="spellStart"/>
      <w:r w:rsidRPr="00683A17">
        <w:rPr>
          <w:rFonts w:ascii="Arial" w:eastAsia="Times New Roman" w:hAnsi="Arial" w:cs="Arial"/>
          <w:sz w:val="23"/>
          <w:szCs w:val="23"/>
        </w:rPr>
        <w:t>Ofwat</w:t>
      </w:r>
      <w:proofErr w:type="spellEnd"/>
      <w:r w:rsidRPr="00683A17">
        <w:rPr>
          <w:rFonts w:ascii="Arial" w:eastAsia="Times New Roman" w:hAnsi="Arial" w:cs="Arial"/>
          <w:sz w:val="23"/>
          <w:szCs w:val="23"/>
        </w:rPr>
        <w:t xml:space="preserve">, mandates that the Water Companies should provide money for schemes which improve the standard of rivers and coastal waters. The National Audit Office (2024) report entitled Water Industry Regulation and Infrastructure in England found that water companies have spent considerable sums since </w:t>
      </w:r>
      <w:proofErr w:type="spellStart"/>
      <w:r w:rsidRPr="00683A17">
        <w:rPr>
          <w:rFonts w:ascii="Arial" w:eastAsia="Times New Roman" w:hAnsi="Arial" w:cs="Arial"/>
          <w:sz w:val="23"/>
          <w:szCs w:val="23"/>
        </w:rPr>
        <w:t>privatisation</w:t>
      </w:r>
      <w:proofErr w:type="spellEnd"/>
      <w:r w:rsidRPr="00683A17">
        <w:rPr>
          <w:rFonts w:ascii="Arial" w:eastAsia="Times New Roman" w:hAnsi="Arial" w:cs="Arial"/>
          <w:sz w:val="23"/>
          <w:szCs w:val="23"/>
        </w:rPr>
        <w:t xml:space="preserve">, that regulatory oversight has not been consistent, </w:t>
      </w:r>
      <w:r w:rsidR="00EC636F">
        <w:rPr>
          <w:rFonts w:ascii="Arial" w:eastAsia="Times New Roman" w:hAnsi="Arial" w:cs="Arial"/>
          <w:sz w:val="23"/>
          <w:szCs w:val="23"/>
        </w:rPr>
        <w:t xml:space="preserve">and </w:t>
      </w:r>
      <w:r w:rsidRPr="00683A17">
        <w:rPr>
          <w:rFonts w:ascii="Arial" w:eastAsia="Times New Roman" w:hAnsi="Arial" w:cs="Arial"/>
          <w:sz w:val="23"/>
          <w:szCs w:val="23"/>
        </w:rPr>
        <w:t>that the incidents of pollution from storm overflows were very high.</w:t>
      </w:r>
    </w:p>
    <w:p w:rsidR="00F541E1" w:rsidRPr="00683A17" w:rsidRDefault="00F541E1"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The UK Health Security Agency (UKHSA) has responsibility for monitoring outbreaks of water-borne disease. This work is undertaken</w:t>
      </w:r>
      <w:r w:rsidR="00EC636F">
        <w:rPr>
          <w:rFonts w:ascii="Arial" w:eastAsia="Times New Roman" w:hAnsi="Arial" w:cs="Arial"/>
          <w:sz w:val="23"/>
          <w:szCs w:val="23"/>
        </w:rPr>
        <w:t>,</w:t>
      </w:r>
      <w:r w:rsidRPr="00683A17">
        <w:rPr>
          <w:rFonts w:ascii="Arial" w:eastAsia="Times New Roman" w:hAnsi="Arial" w:cs="Arial"/>
          <w:sz w:val="23"/>
          <w:szCs w:val="23"/>
        </w:rPr>
        <w:t xml:space="preserve"> including the relevant public health data and environmental surveillance. In the Health Protection Report (2025)</w:t>
      </w:r>
      <w:r w:rsidR="00EC636F">
        <w:rPr>
          <w:rFonts w:ascii="Arial" w:eastAsia="Times New Roman" w:hAnsi="Arial" w:cs="Arial"/>
          <w:sz w:val="23"/>
          <w:szCs w:val="23"/>
        </w:rPr>
        <w:t>,</w:t>
      </w:r>
      <w:r w:rsidRPr="00683A17">
        <w:rPr>
          <w:rFonts w:ascii="Arial" w:eastAsia="Times New Roman" w:hAnsi="Arial" w:cs="Arial"/>
          <w:sz w:val="23"/>
          <w:szCs w:val="23"/>
        </w:rPr>
        <w:t xml:space="preserve"> some instances of contamination are highlighted</w:t>
      </w:r>
      <w:r w:rsidR="00EC636F">
        <w:rPr>
          <w:rFonts w:ascii="Arial" w:eastAsia="Times New Roman" w:hAnsi="Arial" w:cs="Arial"/>
          <w:sz w:val="23"/>
          <w:szCs w:val="23"/>
        </w:rPr>
        <w:t>,</w:t>
      </w:r>
      <w:r w:rsidRPr="00683A17">
        <w:rPr>
          <w:rFonts w:ascii="Arial" w:eastAsia="Times New Roman" w:hAnsi="Arial" w:cs="Arial"/>
          <w:sz w:val="23"/>
          <w:szCs w:val="23"/>
        </w:rPr>
        <w:t xml:space="preserve"> and an increasing public concern regarding “forever chemicals” (PFAS) in drinking water is discussed. Also</w:t>
      </w:r>
      <w:r w:rsidR="00EC636F">
        <w:rPr>
          <w:rFonts w:ascii="Arial" w:eastAsia="Times New Roman" w:hAnsi="Arial" w:cs="Arial"/>
          <w:sz w:val="23"/>
          <w:szCs w:val="23"/>
        </w:rPr>
        <w:t>,</w:t>
      </w:r>
      <w:r w:rsidRPr="00683A17">
        <w:rPr>
          <w:rFonts w:ascii="Arial" w:eastAsia="Times New Roman" w:hAnsi="Arial" w:cs="Arial"/>
          <w:sz w:val="23"/>
          <w:szCs w:val="23"/>
        </w:rPr>
        <w:t xml:space="preserve"> the Hydro Nation Strategy of the Scottish Government (2023) emphasizes the need for sustainable water management</w:t>
      </w:r>
      <w:r w:rsidR="00EC636F">
        <w:rPr>
          <w:rFonts w:ascii="Arial" w:eastAsia="Times New Roman" w:hAnsi="Arial" w:cs="Arial"/>
          <w:sz w:val="23"/>
          <w:szCs w:val="23"/>
        </w:rPr>
        <w:t>,</w:t>
      </w:r>
      <w:r w:rsidRPr="00683A17">
        <w:rPr>
          <w:rFonts w:ascii="Arial" w:eastAsia="Times New Roman" w:hAnsi="Arial" w:cs="Arial"/>
          <w:sz w:val="23"/>
          <w:szCs w:val="23"/>
        </w:rPr>
        <w:t xml:space="preserve"> which </w:t>
      </w:r>
      <w:r w:rsidRPr="00683A17">
        <w:rPr>
          <w:rFonts w:ascii="Arial" w:eastAsia="Times New Roman" w:hAnsi="Arial" w:cs="Arial"/>
          <w:sz w:val="23"/>
          <w:szCs w:val="23"/>
        </w:rPr>
        <w:lastRenderedPageBreak/>
        <w:t>involves innovation and research partnerships. In addition</w:t>
      </w:r>
      <w:r w:rsidR="00EC636F">
        <w:rPr>
          <w:rFonts w:ascii="Arial" w:eastAsia="Times New Roman" w:hAnsi="Arial" w:cs="Arial"/>
          <w:sz w:val="23"/>
          <w:szCs w:val="23"/>
        </w:rPr>
        <w:t>,</w:t>
      </w:r>
      <w:r w:rsidRPr="00683A17">
        <w:rPr>
          <w:rFonts w:ascii="Arial" w:eastAsia="Times New Roman" w:hAnsi="Arial" w:cs="Arial"/>
          <w:sz w:val="23"/>
          <w:szCs w:val="23"/>
        </w:rPr>
        <w:t xml:space="preserve"> it is possible to fit the initiative with SDG 6 and climate adaptation.</w:t>
      </w:r>
    </w:p>
    <w:p w:rsidR="00F541E1" w:rsidRPr="00683A17" w:rsidRDefault="00F541E1"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Although the UK performs well in the international field, environmental bodies such as The Rivers Trust (2025) have stated that only 16 % of English rivers are presently of “good ecological status”. The pressures of pollution from agriculture, wastewater</w:t>
      </w:r>
      <w:r w:rsidR="00EC636F">
        <w:rPr>
          <w:rFonts w:ascii="Arial" w:eastAsia="Times New Roman" w:hAnsi="Arial" w:cs="Arial"/>
          <w:sz w:val="23"/>
          <w:szCs w:val="23"/>
        </w:rPr>
        <w:t>,</w:t>
      </w:r>
      <w:r w:rsidRPr="00683A17">
        <w:rPr>
          <w:rFonts w:ascii="Arial" w:eastAsia="Times New Roman" w:hAnsi="Arial" w:cs="Arial"/>
          <w:sz w:val="23"/>
          <w:szCs w:val="23"/>
        </w:rPr>
        <w:t xml:space="preserve"> and industrial discharge are still clearly present with respect to </w:t>
      </w:r>
      <w:r w:rsidR="00EC636F">
        <w:rPr>
          <w:rFonts w:ascii="Arial" w:eastAsia="Times New Roman" w:hAnsi="Arial" w:cs="Arial"/>
          <w:sz w:val="23"/>
          <w:szCs w:val="23"/>
        </w:rPr>
        <w:t>biodiversity</w:t>
      </w:r>
      <w:r w:rsidRPr="00683A17">
        <w:rPr>
          <w:rFonts w:ascii="Arial" w:eastAsia="Times New Roman" w:hAnsi="Arial" w:cs="Arial"/>
          <w:sz w:val="23"/>
          <w:szCs w:val="23"/>
        </w:rPr>
        <w:t xml:space="preserve"> and human health. Also</w:t>
      </w:r>
      <w:r w:rsidR="00EC636F">
        <w:rPr>
          <w:rFonts w:ascii="Arial" w:eastAsia="Times New Roman" w:hAnsi="Arial" w:cs="Arial"/>
          <w:sz w:val="23"/>
          <w:szCs w:val="23"/>
        </w:rPr>
        <w:t>,</w:t>
      </w:r>
      <w:r w:rsidRPr="00683A17">
        <w:rPr>
          <w:rFonts w:ascii="Arial" w:eastAsia="Times New Roman" w:hAnsi="Arial" w:cs="Arial"/>
          <w:sz w:val="23"/>
          <w:szCs w:val="23"/>
        </w:rPr>
        <w:t xml:space="preserve"> the lack of confidence in the regulatory bodies has declined. Following media coverage of the problem of untreated sewage being released </w:t>
      </w:r>
      <w:r w:rsidR="00EC636F">
        <w:rPr>
          <w:rFonts w:ascii="Arial" w:eastAsia="Times New Roman" w:hAnsi="Arial" w:cs="Arial"/>
          <w:sz w:val="23"/>
          <w:szCs w:val="23"/>
        </w:rPr>
        <w:t>into</w:t>
      </w:r>
      <w:r w:rsidRPr="00683A17">
        <w:rPr>
          <w:rFonts w:ascii="Arial" w:eastAsia="Times New Roman" w:hAnsi="Arial" w:cs="Arial"/>
          <w:sz w:val="23"/>
          <w:szCs w:val="23"/>
        </w:rPr>
        <w:t xml:space="preserve"> rivers and coastal areas</w:t>
      </w:r>
      <w:r w:rsidR="00EC636F">
        <w:rPr>
          <w:rFonts w:ascii="Arial" w:eastAsia="Times New Roman" w:hAnsi="Arial" w:cs="Arial"/>
          <w:sz w:val="23"/>
          <w:szCs w:val="23"/>
        </w:rPr>
        <w:t>,</w:t>
      </w:r>
      <w:r w:rsidRPr="00683A17">
        <w:rPr>
          <w:rFonts w:ascii="Arial" w:eastAsia="Times New Roman" w:hAnsi="Arial" w:cs="Arial"/>
          <w:sz w:val="23"/>
          <w:szCs w:val="23"/>
        </w:rPr>
        <w:t xml:space="preserve"> humans have lost confidence in the regulators of the bodies concerned.</w:t>
      </w:r>
    </w:p>
    <w:p w:rsidR="00893DD7" w:rsidRPr="00683A17" w:rsidRDefault="00893DD7" w:rsidP="00683A17">
      <w:pPr>
        <w:spacing w:line="360" w:lineRule="auto"/>
        <w:jc w:val="both"/>
        <w:rPr>
          <w:rFonts w:ascii="Arial" w:eastAsia="Times New Roman" w:hAnsi="Arial" w:cs="Arial"/>
          <w:b/>
          <w:sz w:val="23"/>
          <w:szCs w:val="23"/>
          <w:u w:val="single"/>
        </w:rPr>
      </w:pPr>
      <w:r w:rsidRPr="00683A17">
        <w:rPr>
          <w:rFonts w:ascii="Arial" w:eastAsia="Times New Roman" w:hAnsi="Arial" w:cs="Arial"/>
          <w:b/>
          <w:sz w:val="23"/>
          <w:szCs w:val="23"/>
          <w:u w:val="single"/>
        </w:rPr>
        <w:t>Local implementation and community action</w:t>
      </w:r>
    </w:p>
    <w:p w:rsidR="00893DD7" w:rsidRPr="00683A17" w:rsidRDefault="00893DD7"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On </w:t>
      </w:r>
      <w:r w:rsidR="00EC636F">
        <w:rPr>
          <w:rFonts w:ascii="Arial" w:eastAsia="Times New Roman" w:hAnsi="Arial" w:cs="Arial"/>
          <w:sz w:val="23"/>
          <w:szCs w:val="23"/>
        </w:rPr>
        <w:t xml:space="preserve">the </w:t>
      </w:r>
      <w:r w:rsidRPr="00683A17">
        <w:rPr>
          <w:rFonts w:ascii="Arial" w:eastAsia="Times New Roman" w:hAnsi="Arial" w:cs="Arial"/>
          <w:sz w:val="23"/>
          <w:szCs w:val="23"/>
        </w:rPr>
        <w:t xml:space="preserve">local level, water authorities and councils are involved in SDG 6 target supportive initiatives. They are community-based management of water </w:t>
      </w:r>
      <w:r w:rsidR="00EC636F">
        <w:rPr>
          <w:rFonts w:ascii="Arial" w:eastAsia="Times New Roman" w:hAnsi="Arial" w:cs="Arial"/>
          <w:sz w:val="23"/>
          <w:szCs w:val="23"/>
        </w:rPr>
        <w:t xml:space="preserve">and </w:t>
      </w:r>
      <w:r w:rsidRPr="00683A17">
        <w:rPr>
          <w:rFonts w:ascii="Arial" w:eastAsia="Times New Roman" w:hAnsi="Arial" w:cs="Arial"/>
          <w:sz w:val="23"/>
          <w:szCs w:val="23"/>
        </w:rPr>
        <w:t xml:space="preserve">sanitation programs, water conservation awareness services, hygiene promotion, and </w:t>
      </w:r>
      <w:r w:rsidR="00EC636F">
        <w:rPr>
          <w:rFonts w:ascii="Arial" w:eastAsia="Times New Roman" w:hAnsi="Arial" w:cs="Arial"/>
          <w:sz w:val="23"/>
          <w:szCs w:val="23"/>
        </w:rPr>
        <w:t xml:space="preserve">the </w:t>
      </w:r>
      <w:r w:rsidRPr="00683A17">
        <w:rPr>
          <w:rFonts w:ascii="Arial" w:eastAsia="Times New Roman" w:hAnsi="Arial" w:cs="Arial"/>
          <w:sz w:val="23"/>
          <w:szCs w:val="23"/>
        </w:rPr>
        <w:t xml:space="preserve">establishment of better sanitation facilities </w:t>
      </w:r>
      <w:r w:rsidRPr="00683A17">
        <w:rPr>
          <w:rFonts w:ascii="Arial" w:eastAsia="Times New Roman" w:hAnsi="Arial" w:cs="Arial"/>
          <w:sz w:val="23"/>
          <w:szCs w:val="23"/>
        </w:rPr>
        <w:t>in the underprivileged regions.</w:t>
      </w:r>
    </w:p>
    <w:p w:rsidR="00893DD7" w:rsidRPr="00683A17" w:rsidRDefault="00893DD7"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One such example is the ways to collaborate between local water operators and use technical and financial resources to enhance infrastructure and the reliability of the services. </w:t>
      </w:r>
      <w:r w:rsidR="00EC636F">
        <w:rPr>
          <w:rFonts w:ascii="Arial" w:eastAsia="Times New Roman" w:hAnsi="Arial" w:cs="Arial"/>
          <w:sz w:val="23"/>
          <w:szCs w:val="23"/>
        </w:rPr>
        <w:t>Community</w:t>
      </w:r>
      <w:r w:rsidRPr="00683A17">
        <w:rPr>
          <w:rFonts w:ascii="Arial" w:eastAsia="Times New Roman" w:hAnsi="Arial" w:cs="Arial"/>
          <w:sz w:val="23"/>
          <w:szCs w:val="23"/>
        </w:rPr>
        <w:t xml:space="preserve"> participation is encouraged actively in order to establish the ownership and sustainability of the sanitation practices. Domestic actors put in place harvesting of rainwater, recycling of wastewater</w:t>
      </w:r>
      <w:r w:rsidR="00EC636F">
        <w:rPr>
          <w:rFonts w:ascii="Arial" w:eastAsia="Times New Roman" w:hAnsi="Arial" w:cs="Arial"/>
          <w:sz w:val="23"/>
          <w:szCs w:val="23"/>
        </w:rPr>
        <w:t>,</w:t>
      </w:r>
      <w:r w:rsidRPr="00683A17">
        <w:rPr>
          <w:rFonts w:ascii="Arial" w:eastAsia="Times New Roman" w:hAnsi="Arial" w:cs="Arial"/>
          <w:sz w:val="23"/>
          <w:szCs w:val="23"/>
        </w:rPr>
        <w:t xml:space="preserve"> and supply of clean water</w:t>
      </w:r>
      <w:r w:rsidR="00EC636F">
        <w:rPr>
          <w:rFonts w:ascii="Arial" w:eastAsia="Times New Roman" w:hAnsi="Arial" w:cs="Arial"/>
          <w:sz w:val="23"/>
          <w:szCs w:val="23"/>
        </w:rPr>
        <w:t>,</w:t>
      </w:r>
      <w:r w:rsidRPr="00683A17">
        <w:rPr>
          <w:rFonts w:ascii="Arial" w:eastAsia="Times New Roman" w:hAnsi="Arial" w:cs="Arial"/>
          <w:sz w:val="23"/>
          <w:szCs w:val="23"/>
        </w:rPr>
        <w:t xml:space="preserve"> particula</w:t>
      </w:r>
      <w:r w:rsidRPr="00683A17">
        <w:rPr>
          <w:rFonts w:ascii="Arial" w:eastAsia="Times New Roman" w:hAnsi="Arial" w:cs="Arial"/>
          <w:sz w:val="23"/>
          <w:szCs w:val="23"/>
        </w:rPr>
        <w:t>rly in susceptible communities.</w:t>
      </w:r>
    </w:p>
    <w:p w:rsidR="00893DD7" w:rsidRPr="00683A17" w:rsidRDefault="00893DD7"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School education on water resource conservation and pollution management </w:t>
      </w:r>
      <w:r w:rsidR="00EC636F">
        <w:rPr>
          <w:rFonts w:ascii="Arial" w:eastAsia="Times New Roman" w:hAnsi="Arial" w:cs="Arial"/>
          <w:sz w:val="23"/>
          <w:szCs w:val="23"/>
        </w:rPr>
        <w:t>is</w:t>
      </w:r>
      <w:r w:rsidRPr="00683A17">
        <w:rPr>
          <w:rFonts w:ascii="Arial" w:eastAsia="Times New Roman" w:hAnsi="Arial" w:cs="Arial"/>
          <w:sz w:val="23"/>
          <w:szCs w:val="23"/>
        </w:rPr>
        <w:t xml:space="preserve"> also incorporated in </w:t>
      </w:r>
      <w:r w:rsidR="00EC636F">
        <w:rPr>
          <w:rFonts w:ascii="Arial" w:eastAsia="Times New Roman" w:hAnsi="Arial" w:cs="Arial"/>
          <w:sz w:val="23"/>
          <w:szCs w:val="23"/>
        </w:rPr>
        <w:t xml:space="preserve">the </w:t>
      </w:r>
      <w:r w:rsidRPr="00683A17">
        <w:rPr>
          <w:rFonts w:ascii="Arial" w:eastAsia="Times New Roman" w:hAnsi="Arial" w:cs="Arial"/>
          <w:sz w:val="23"/>
          <w:szCs w:val="23"/>
        </w:rPr>
        <w:t>school curriculum and community outreach based on a culture of sustainable water use and hygiene. These initiatives are connected with national and global goals, as</w:t>
      </w:r>
      <w:r w:rsidRPr="00683A17">
        <w:rPr>
          <w:rFonts w:ascii="Arial" w:eastAsia="Times New Roman" w:hAnsi="Arial" w:cs="Arial"/>
          <w:sz w:val="23"/>
          <w:szCs w:val="23"/>
        </w:rPr>
        <w:t xml:space="preserve"> </w:t>
      </w:r>
      <w:r w:rsidRPr="00683A17">
        <w:rPr>
          <w:rFonts w:ascii="Arial" w:eastAsia="Times New Roman" w:hAnsi="Arial" w:cs="Arial"/>
          <w:sz w:val="23"/>
          <w:szCs w:val="23"/>
        </w:rPr>
        <w:t>they provide a customized solution according to particular social and environmental backgrounds.</w:t>
      </w:r>
      <w:r w:rsidRPr="00683A17">
        <w:rPr>
          <w:rFonts w:ascii="Arial" w:eastAsia="Times New Roman" w:hAnsi="Arial" w:cs="Arial"/>
          <w:szCs w:val="24"/>
        </w:rPr>
        <w:t xml:space="preserve"> </w:t>
      </w:r>
      <w:r w:rsidRPr="00683A17">
        <w:rPr>
          <w:rFonts w:ascii="Arial" w:eastAsia="Times New Roman" w:hAnsi="Arial" w:cs="Arial"/>
          <w:sz w:val="23"/>
          <w:szCs w:val="23"/>
        </w:rPr>
        <w:t xml:space="preserve">(sdgs.un.org, </w:t>
      </w:r>
      <w:proofErr w:type="spellStart"/>
      <w:r w:rsidRPr="00683A17">
        <w:rPr>
          <w:rFonts w:ascii="Arial" w:eastAsia="Times New Roman" w:hAnsi="Arial" w:cs="Arial"/>
          <w:sz w:val="23"/>
          <w:szCs w:val="23"/>
        </w:rPr>
        <w:t>n.d.</w:t>
      </w:r>
      <w:proofErr w:type="spellEnd"/>
      <w:r w:rsidRPr="00683A17">
        <w:rPr>
          <w:rFonts w:ascii="Arial" w:eastAsia="Times New Roman" w:hAnsi="Arial" w:cs="Arial"/>
          <w:sz w:val="23"/>
          <w:szCs w:val="23"/>
        </w:rPr>
        <w:t>)</w:t>
      </w:r>
    </w:p>
    <w:p w:rsidR="00893DD7" w:rsidRPr="00683A17" w:rsidRDefault="00893DD7" w:rsidP="00683A17">
      <w:pPr>
        <w:spacing w:line="360" w:lineRule="auto"/>
        <w:jc w:val="both"/>
        <w:rPr>
          <w:rFonts w:ascii="Arial" w:eastAsia="Times New Roman" w:hAnsi="Arial" w:cs="Arial"/>
          <w:b/>
          <w:sz w:val="23"/>
          <w:szCs w:val="23"/>
          <w:u w:val="single"/>
        </w:rPr>
      </w:pPr>
      <w:r w:rsidRPr="00683A17">
        <w:rPr>
          <w:rFonts w:ascii="Arial" w:eastAsia="Times New Roman" w:hAnsi="Arial" w:cs="Arial"/>
          <w:b/>
          <w:sz w:val="23"/>
          <w:szCs w:val="23"/>
          <w:u w:val="single"/>
        </w:rPr>
        <w:t>Theoretical perspectives</w:t>
      </w:r>
    </w:p>
    <w:p w:rsidR="00893DD7" w:rsidRPr="00683A17" w:rsidRDefault="00893DD7"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The interrelationship between water access and health outcomes can be explained with the help of the Social Determinants of Health (SDH) framework (Dahlgren and Whitehead, 1991). It highlights the fact that environmental influences are very important in determining population health</w:t>
      </w:r>
      <w:r w:rsidR="00EC636F">
        <w:rPr>
          <w:rFonts w:ascii="Arial" w:eastAsia="Times New Roman" w:hAnsi="Arial" w:cs="Arial"/>
          <w:sz w:val="23"/>
          <w:szCs w:val="23"/>
        </w:rPr>
        <w:t>,</w:t>
      </w:r>
      <w:r w:rsidRPr="00683A17">
        <w:rPr>
          <w:rFonts w:ascii="Arial" w:eastAsia="Times New Roman" w:hAnsi="Arial" w:cs="Arial"/>
          <w:sz w:val="23"/>
          <w:szCs w:val="23"/>
        </w:rPr>
        <w:t xml:space="preserve"> including factors like sanitation, housing, and pollution. This can also be used i</w:t>
      </w:r>
      <w:r w:rsidR="00210F8C" w:rsidRPr="00683A17">
        <w:rPr>
          <w:rFonts w:ascii="Arial" w:eastAsia="Times New Roman" w:hAnsi="Arial" w:cs="Arial"/>
          <w:sz w:val="23"/>
          <w:szCs w:val="23"/>
        </w:rPr>
        <w:t>n the Ecological Systems Theory, whereby</w:t>
      </w:r>
      <w:r w:rsidRPr="00683A17">
        <w:rPr>
          <w:rFonts w:ascii="Arial" w:eastAsia="Times New Roman" w:hAnsi="Arial" w:cs="Arial"/>
          <w:sz w:val="23"/>
          <w:szCs w:val="23"/>
        </w:rPr>
        <w:t xml:space="preserve"> individuals are embedded in various </w:t>
      </w:r>
      <w:r w:rsidRPr="00683A17">
        <w:rPr>
          <w:rFonts w:ascii="Arial" w:eastAsia="Times New Roman" w:hAnsi="Arial" w:cs="Arial"/>
          <w:sz w:val="23"/>
          <w:szCs w:val="23"/>
        </w:rPr>
        <w:lastRenderedPageBreak/>
        <w:t xml:space="preserve">environmental systems (micro- to macro-level) that determine health and </w:t>
      </w:r>
      <w:proofErr w:type="spellStart"/>
      <w:r w:rsidRPr="00683A17">
        <w:rPr>
          <w:rFonts w:ascii="Arial" w:eastAsia="Times New Roman" w:hAnsi="Arial" w:cs="Arial"/>
          <w:sz w:val="23"/>
          <w:szCs w:val="23"/>
        </w:rPr>
        <w:t>behaviour</w:t>
      </w:r>
      <w:proofErr w:type="spellEnd"/>
      <w:r w:rsidRPr="00683A17">
        <w:rPr>
          <w:rFonts w:ascii="Arial" w:eastAsia="Times New Roman" w:hAnsi="Arial" w:cs="Arial"/>
          <w:sz w:val="23"/>
          <w:szCs w:val="23"/>
        </w:rPr>
        <w:t>. The implementation of these models makes it clear that SDG 6 is not a technical problem of infrastructure only</w:t>
      </w:r>
      <w:r w:rsidR="00210F8C" w:rsidRPr="00683A17">
        <w:rPr>
          <w:rFonts w:ascii="Arial" w:eastAsia="Times New Roman" w:hAnsi="Arial" w:cs="Arial"/>
          <w:sz w:val="23"/>
          <w:szCs w:val="23"/>
        </w:rPr>
        <w:t>,</w:t>
      </w:r>
      <w:r w:rsidRPr="00683A17">
        <w:rPr>
          <w:rFonts w:ascii="Arial" w:eastAsia="Times New Roman" w:hAnsi="Arial" w:cs="Arial"/>
          <w:sz w:val="23"/>
          <w:szCs w:val="23"/>
        </w:rPr>
        <w:t xml:space="preserve"> but a social problem that can be addressed only with the help of coordinated policies of health, environment, and economy. In the UK, these theories are manifested in the approach of Health in All Policies that encourages cross-</w:t>
      </w:r>
      <w:proofErr w:type="spellStart"/>
      <w:r w:rsidRPr="00683A17">
        <w:rPr>
          <w:rFonts w:ascii="Arial" w:eastAsia="Times New Roman" w:hAnsi="Arial" w:cs="Arial"/>
          <w:sz w:val="23"/>
          <w:szCs w:val="23"/>
        </w:rPr>
        <w:t>sectoral</w:t>
      </w:r>
      <w:proofErr w:type="spellEnd"/>
      <w:r w:rsidRPr="00683A17">
        <w:rPr>
          <w:rFonts w:ascii="Arial" w:eastAsia="Times New Roman" w:hAnsi="Arial" w:cs="Arial"/>
          <w:sz w:val="23"/>
          <w:szCs w:val="23"/>
        </w:rPr>
        <w:t xml:space="preserve"> planning of health, housing</w:t>
      </w:r>
      <w:r w:rsidR="00210F8C" w:rsidRPr="00683A17">
        <w:rPr>
          <w:rFonts w:ascii="Arial" w:eastAsia="Times New Roman" w:hAnsi="Arial" w:cs="Arial"/>
          <w:sz w:val="23"/>
          <w:szCs w:val="23"/>
        </w:rPr>
        <w:t>,</w:t>
      </w:r>
      <w:r w:rsidRPr="00683A17">
        <w:rPr>
          <w:rFonts w:ascii="Arial" w:eastAsia="Times New Roman" w:hAnsi="Arial" w:cs="Arial"/>
          <w:sz w:val="23"/>
          <w:szCs w:val="23"/>
        </w:rPr>
        <w:t xml:space="preserve"> and environmental </w:t>
      </w:r>
      <w:r w:rsidR="00210F8C" w:rsidRPr="00683A17">
        <w:rPr>
          <w:rFonts w:ascii="Arial" w:eastAsia="Times New Roman" w:hAnsi="Arial" w:cs="Arial"/>
          <w:sz w:val="23"/>
          <w:szCs w:val="23"/>
        </w:rPr>
        <w:t>policies</w:t>
      </w:r>
      <w:r w:rsidRPr="00683A17">
        <w:rPr>
          <w:rFonts w:ascii="Arial" w:eastAsia="Times New Roman" w:hAnsi="Arial" w:cs="Arial"/>
          <w:sz w:val="23"/>
          <w:szCs w:val="23"/>
        </w:rPr>
        <w:t>.</w:t>
      </w:r>
    </w:p>
    <w:p w:rsidR="00210F8C" w:rsidRPr="00683A17" w:rsidRDefault="00210F8C" w:rsidP="00683A17">
      <w:pPr>
        <w:spacing w:line="360" w:lineRule="auto"/>
        <w:jc w:val="both"/>
        <w:rPr>
          <w:rFonts w:ascii="Arial" w:eastAsia="Times New Roman" w:hAnsi="Arial" w:cs="Arial"/>
          <w:b/>
          <w:bCs/>
          <w:sz w:val="23"/>
          <w:szCs w:val="23"/>
          <w:u w:val="single"/>
        </w:rPr>
      </w:pPr>
      <w:r w:rsidRPr="00683A17">
        <w:rPr>
          <w:rFonts w:ascii="Arial" w:eastAsia="Times New Roman" w:hAnsi="Arial" w:cs="Arial"/>
          <w:b/>
          <w:bCs/>
          <w:sz w:val="23"/>
          <w:szCs w:val="23"/>
          <w:u w:val="single"/>
        </w:rPr>
        <w:t>Critical Evaluation: Effectiveness and Challenges</w:t>
      </w:r>
    </w:p>
    <w:p w:rsidR="00210F8C" w:rsidRPr="00683A17" w:rsidRDefault="00210F8C" w:rsidP="00683A17">
      <w:pPr>
        <w:spacing w:line="360" w:lineRule="auto"/>
        <w:jc w:val="both"/>
        <w:rPr>
          <w:rFonts w:ascii="Arial" w:eastAsia="Times New Roman" w:hAnsi="Arial" w:cs="Arial"/>
          <w:bCs/>
          <w:sz w:val="23"/>
          <w:szCs w:val="23"/>
        </w:rPr>
      </w:pPr>
      <w:r w:rsidRPr="00683A17">
        <w:rPr>
          <w:rFonts w:ascii="Arial" w:eastAsia="Times New Roman" w:hAnsi="Arial" w:cs="Arial"/>
          <w:bCs/>
          <w:sz w:val="23"/>
          <w:szCs w:val="23"/>
        </w:rPr>
        <w:t xml:space="preserve">In the UK, SDG 6 has made progress, as well as had failures. The development of better environmental policies and the surveillance ability of </w:t>
      </w:r>
      <w:proofErr w:type="spellStart"/>
      <w:r w:rsidRPr="00683A17">
        <w:rPr>
          <w:rFonts w:ascii="Arial" w:eastAsia="Times New Roman" w:hAnsi="Arial" w:cs="Arial"/>
          <w:bCs/>
          <w:sz w:val="23"/>
          <w:szCs w:val="23"/>
        </w:rPr>
        <w:t>Ofwat</w:t>
      </w:r>
      <w:proofErr w:type="spellEnd"/>
      <w:r w:rsidRPr="00683A17">
        <w:rPr>
          <w:rFonts w:ascii="Arial" w:eastAsia="Times New Roman" w:hAnsi="Arial" w:cs="Arial"/>
          <w:bCs/>
          <w:sz w:val="23"/>
          <w:szCs w:val="23"/>
        </w:rPr>
        <w:t xml:space="preserve"> and the Environment Agency shows institutional dedication. Nevertheless, the National Audit Office (2024) has revealed flaws in implementation and responsibility. The performance goals set by water companies are usually oriented </w:t>
      </w:r>
      <w:r w:rsidR="00EC636F">
        <w:rPr>
          <w:rFonts w:ascii="Arial" w:eastAsia="Times New Roman" w:hAnsi="Arial" w:cs="Arial"/>
          <w:bCs/>
          <w:sz w:val="23"/>
          <w:szCs w:val="23"/>
        </w:rPr>
        <w:t>towards</w:t>
      </w:r>
      <w:r w:rsidRPr="00683A17">
        <w:rPr>
          <w:rFonts w:ascii="Arial" w:eastAsia="Times New Roman" w:hAnsi="Arial" w:cs="Arial"/>
          <w:bCs/>
          <w:sz w:val="23"/>
          <w:szCs w:val="23"/>
        </w:rPr>
        <w:t xml:space="preserve"> financial effectiveness but not </w:t>
      </w:r>
      <w:r w:rsidR="00EC636F">
        <w:rPr>
          <w:rFonts w:ascii="Arial" w:eastAsia="Times New Roman" w:hAnsi="Arial" w:cs="Arial"/>
          <w:bCs/>
          <w:sz w:val="23"/>
          <w:szCs w:val="23"/>
        </w:rPr>
        <w:t>towards</w:t>
      </w:r>
      <w:r w:rsidRPr="00683A17">
        <w:rPr>
          <w:rFonts w:ascii="Arial" w:eastAsia="Times New Roman" w:hAnsi="Arial" w:cs="Arial"/>
          <w:bCs/>
          <w:sz w:val="23"/>
          <w:szCs w:val="23"/>
        </w:rPr>
        <w:t xml:space="preserve"> environmental performance, therefore, resulting in insufficient investment in pollution prevention. Furthermore, no equality is observed: rural and poor citizens are disproportionately exposed to the water quality collapse, and the expenses of the infrastructure improvements are often transferred to the consumers in the form of an increase in the water prices (The Rivers Trust, 2025).</w:t>
      </w:r>
    </w:p>
    <w:p w:rsidR="00210F8C" w:rsidRPr="00683A17" w:rsidRDefault="00210F8C" w:rsidP="00683A17">
      <w:pPr>
        <w:spacing w:line="360" w:lineRule="auto"/>
        <w:jc w:val="both"/>
        <w:rPr>
          <w:rFonts w:ascii="Arial" w:eastAsia="Times New Roman" w:hAnsi="Arial" w:cs="Arial"/>
          <w:bCs/>
          <w:sz w:val="23"/>
          <w:szCs w:val="23"/>
        </w:rPr>
      </w:pPr>
    </w:p>
    <w:p w:rsidR="00210F8C" w:rsidRPr="00683A17" w:rsidRDefault="00210F8C" w:rsidP="00683A17">
      <w:pPr>
        <w:spacing w:line="360" w:lineRule="auto"/>
        <w:jc w:val="both"/>
        <w:rPr>
          <w:rFonts w:ascii="Arial" w:eastAsia="Times New Roman" w:hAnsi="Arial" w:cs="Arial"/>
          <w:bCs/>
          <w:sz w:val="23"/>
          <w:szCs w:val="23"/>
        </w:rPr>
      </w:pPr>
      <w:r w:rsidRPr="00683A17">
        <w:rPr>
          <w:rFonts w:ascii="Arial" w:eastAsia="Times New Roman" w:hAnsi="Arial" w:cs="Arial"/>
          <w:bCs/>
          <w:sz w:val="23"/>
          <w:szCs w:val="23"/>
        </w:rPr>
        <w:t>The COVID-19 pandemic around the world demonstrated the weaknesses in WASH systems, particularly in low-income areas, which supports the need to have resilient water infrastructure. Although there has been awareness creation in international cooperation via the SDG 6 Framework, it is still fragmented</w:t>
      </w:r>
      <w:r w:rsidR="00EC636F">
        <w:rPr>
          <w:rFonts w:ascii="Arial" w:eastAsia="Times New Roman" w:hAnsi="Arial" w:cs="Arial"/>
          <w:bCs/>
          <w:sz w:val="23"/>
          <w:szCs w:val="23"/>
        </w:rPr>
        <w:t>,</w:t>
      </w:r>
      <w:r w:rsidRPr="00683A17">
        <w:rPr>
          <w:rFonts w:ascii="Arial" w:eastAsia="Times New Roman" w:hAnsi="Arial" w:cs="Arial"/>
          <w:bCs/>
          <w:sz w:val="23"/>
          <w:szCs w:val="23"/>
        </w:rPr>
        <w:t xml:space="preserve"> and the funding deficit persists. According to scholars, water governance must change the linear and supply-based models towards the integrated and adaptive management concept that considers social equity and ecosystem well-being (Guppy and Anderson, 2021).</w:t>
      </w:r>
    </w:p>
    <w:p w:rsidR="00210F8C" w:rsidRPr="00683A17" w:rsidRDefault="00210F8C" w:rsidP="00683A17">
      <w:pPr>
        <w:spacing w:line="360" w:lineRule="auto"/>
        <w:jc w:val="both"/>
        <w:rPr>
          <w:rFonts w:ascii="Arial" w:eastAsia="Times New Roman" w:hAnsi="Arial" w:cs="Arial"/>
          <w:b/>
          <w:bCs/>
          <w:sz w:val="23"/>
          <w:szCs w:val="23"/>
          <w:u w:val="single"/>
        </w:rPr>
      </w:pPr>
      <w:r w:rsidRPr="00683A17">
        <w:rPr>
          <w:rFonts w:ascii="Arial" w:eastAsia="Times New Roman" w:hAnsi="Arial" w:cs="Arial"/>
          <w:b/>
          <w:bCs/>
          <w:sz w:val="23"/>
          <w:szCs w:val="23"/>
          <w:u w:val="single"/>
        </w:rPr>
        <w:t>Recommendations</w:t>
      </w:r>
    </w:p>
    <w:p w:rsidR="00210F8C" w:rsidRPr="00683A17" w:rsidRDefault="00210F8C" w:rsidP="00683A17">
      <w:pPr>
        <w:spacing w:line="360" w:lineRule="auto"/>
        <w:jc w:val="both"/>
        <w:rPr>
          <w:rFonts w:ascii="Arial" w:eastAsia="Times New Roman" w:hAnsi="Arial" w:cs="Arial"/>
          <w:bCs/>
          <w:sz w:val="23"/>
          <w:szCs w:val="23"/>
        </w:rPr>
      </w:pPr>
      <w:r w:rsidRPr="00683A17">
        <w:rPr>
          <w:rFonts w:ascii="Arial" w:eastAsia="Times New Roman" w:hAnsi="Arial" w:cs="Arial"/>
          <w:bCs/>
          <w:sz w:val="23"/>
          <w:szCs w:val="23"/>
        </w:rPr>
        <w:t xml:space="preserve">In order to expedite SDG 6, there is </w:t>
      </w:r>
      <w:r w:rsidR="00EC636F">
        <w:rPr>
          <w:rFonts w:ascii="Arial" w:eastAsia="Times New Roman" w:hAnsi="Arial" w:cs="Arial"/>
          <w:bCs/>
          <w:sz w:val="23"/>
          <w:szCs w:val="23"/>
        </w:rPr>
        <w:t xml:space="preserve">a </w:t>
      </w:r>
      <w:r w:rsidRPr="00683A17">
        <w:rPr>
          <w:rFonts w:ascii="Arial" w:eastAsia="Times New Roman" w:hAnsi="Arial" w:cs="Arial"/>
          <w:bCs/>
          <w:sz w:val="23"/>
          <w:szCs w:val="23"/>
        </w:rPr>
        <w:t>need to invest more in resilient water infrastructure, wastewater treatment</w:t>
      </w:r>
      <w:r w:rsidR="00EC636F">
        <w:rPr>
          <w:rFonts w:ascii="Arial" w:eastAsia="Times New Roman" w:hAnsi="Arial" w:cs="Arial"/>
          <w:bCs/>
          <w:sz w:val="23"/>
          <w:szCs w:val="23"/>
        </w:rPr>
        <w:t>,</w:t>
      </w:r>
      <w:r w:rsidRPr="00683A17">
        <w:rPr>
          <w:rFonts w:ascii="Arial" w:eastAsia="Times New Roman" w:hAnsi="Arial" w:cs="Arial"/>
          <w:bCs/>
          <w:sz w:val="23"/>
          <w:szCs w:val="23"/>
        </w:rPr>
        <w:t xml:space="preserve"> and sustainable water management technologies. Enhanced service delivery and sustainability will be achieved by strengthening governance structures by being transparent, accountable, and involving multi-stakeholders. Ensuring that no one is left </w:t>
      </w:r>
      <w:r w:rsidRPr="00683A17">
        <w:rPr>
          <w:rFonts w:ascii="Arial" w:eastAsia="Times New Roman" w:hAnsi="Arial" w:cs="Arial"/>
          <w:bCs/>
          <w:sz w:val="23"/>
          <w:szCs w:val="23"/>
        </w:rPr>
        <w:lastRenderedPageBreak/>
        <w:t xml:space="preserve">behind in water and sanitation initiatives through promotion of fair access by giving priority to marginalized communities and vulnerable groups of people is a sure way of equitable access. The technical assistance and capacity building of the local water operators and communities are important in ensuring services </w:t>
      </w:r>
      <w:r w:rsidR="00EC636F">
        <w:rPr>
          <w:rFonts w:ascii="Arial" w:eastAsia="Times New Roman" w:hAnsi="Arial" w:cs="Arial"/>
          <w:bCs/>
          <w:sz w:val="23"/>
          <w:szCs w:val="23"/>
        </w:rPr>
        <w:t>that</w:t>
      </w:r>
      <w:r w:rsidRPr="00683A17">
        <w:rPr>
          <w:rFonts w:ascii="Arial" w:eastAsia="Times New Roman" w:hAnsi="Arial" w:cs="Arial"/>
          <w:bCs/>
          <w:sz w:val="23"/>
          <w:szCs w:val="23"/>
        </w:rPr>
        <w:t xml:space="preserve"> are </w:t>
      </w:r>
      <w:r w:rsidR="00EC636F">
        <w:rPr>
          <w:rFonts w:ascii="Arial" w:eastAsia="Times New Roman" w:hAnsi="Arial" w:cs="Arial"/>
          <w:bCs/>
          <w:sz w:val="23"/>
          <w:szCs w:val="23"/>
        </w:rPr>
        <w:t>long-term</w:t>
      </w:r>
      <w:r w:rsidRPr="00683A17">
        <w:rPr>
          <w:rFonts w:ascii="Arial" w:eastAsia="Times New Roman" w:hAnsi="Arial" w:cs="Arial"/>
          <w:bCs/>
          <w:sz w:val="23"/>
          <w:szCs w:val="23"/>
        </w:rPr>
        <w:t xml:space="preserve"> in nature. One of the ways to manage water resources efficiently is the implementation of an integrated water resource management that covers climate change, protects the ecosystem, and involves cross-border collaboration. An increase in the data systems will enable improved monitoring, reporting, and data-driven policymaking. Awareness campaigns and campaigns on behavior change decrease wastage of water and improve hygiene. International partnerships play a critical role in facilitating </w:t>
      </w:r>
      <w:r w:rsidR="00EC636F">
        <w:rPr>
          <w:rFonts w:ascii="Arial" w:eastAsia="Times New Roman" w:hAnsi="Arial" w:cs="Arial"/>
          <w:bCs/>
          <w:sz w:val="23"/>
          <w:szCs w:val="23"/>
        </w:rPr>
        <w:t xml:space="preserve">the </w:t>
      </w:r>
      <w:r w:rsidRPr="00683A17">
        <w:rPr>
          <w:rFonts w:ascii="Arial" w:eastAsia="Times New Roman" w:hAnsi="Arial" w:cs="Arial"/>
          <w:bCs/>
          <w:sz w:val="23"/>
          <w:szCs w:val="23"/>
        </w:rPr>
        <w:t>transfer of technology, financing</w:t>
      </w:r>
      <w:r w:rsidR="00EC636F">
        <w:rPr>
          <w:rFonts w:ascii="Arial" w:eastAsia="Times New Roman" w:hAnsi="Arial" w:cs="Arial"/>
          <w:bCs/>
          <w:sz w:val="23"/>
          <w:szCs w:val="23"/>
        </w:rPr>
        <w:t>,</w:t>
      </w:r>
      <w:r w:rsidRPr="00683A17">
        <w:rPr>
          <w:rFonts w:ascii="Arial" w:eastAsia="Times New Roman" w:hAnsi="Arial" w:cs="Arial"/>
          <w:bCs/>
          <w:sz w:val="23"/>
          <w:szCs w:val="23"/>
        </w:rPr>
        <w:t xml:space="preserve"> and knowledge sharing in the water and </w:t>
      </w:r>
      <w:proofErr w:type="spellStart"/>
      <w:r w:rsidRPr="00683A17">
        <w:rPr>
          <w:rFonts w:ascii="Arial" w:eastAsia="Times New Roman" w:hAnsi="Arial" w:cs="Arial"/>
          <w:bCs/>
          <w:sz w:val="23"/>
          <w:szCs w:val="23"/>
        </w:rPr>
        <w:t>sanitating</w:t>
      </w:r>
      <w:proofErr w:type="spellEnd"/>
      <w:r w:rsidRPr="00683A17">
        <w:rPr>
          <w:rFonts w:ascii="Arial" w:eastAsia="Times New Roman" w:hAnsi="Arial" w:cs="Arial"/>
          <w:bCs/>
          <w:sz w:val="23"/>
          <w:szCs w:val="23"/>
        </w:rPr>
        <w:t xml:space="preserve"> industries. The recommendations are consistent with the UK government strategies and </w:t>
      </w:r>
      <w:r w:rsidR="00EC636F">
        <w:rPr>
          <w:rFonts w:ascii="Arial" w:eastAsia="Times New Roman" w:hAnsi="Arial" w:cs="Arial"/>
          <w:bCs/>
          <w:sz w:val="23"/>
          <w:szCs w:val="23"/>
        </w:rPr>
        <w:t xml:space="preserve">the </w:t>
      </w:r>
      <w:r w:rsidRPr="00683A17">
        <w:rPr>
          <w:rFonts w:ascii="Arial" w:eastAsia="Times New Roman" w:hAnsi="Arial" w:cs="Arial"/>
          <w:bCs/>
          <w:sz w:val="23"/>
          <w:szCs w:val="23"/>
        </w:rPr>
        <w:t>UN Global Acceleration Framework that aim at ensuring sustainability, inclusivity, and resilience. The coordinated strategies and theory</w:t>
      </w:r>
      <w:r w:rsidR="00EC636F">
        <w:rPr>
          <w:rFonts w:ascii="Arial" w:eastAsia="Times New Roman" w:hAnsi="Arial" w:cs="Arial"/>
          <w:bCs/>
          <w:sz w:val="23"/>
          <w:szCs w:val="23"/>
        </w:rPr>
        <w:t>,</w:t>
      </w:r>
      <w:r w:rsidRPr="00683A17">
        <w:rPr>
          <w:rFonts w:ascii="Arial" w:eastAsia="Times New Roman" w:hAnsi="Arial" w:cs="Arial"/>
          <w:bCs/>
          <w:sz w:val="23"/>
          <w:szCs w:val="23"/>
        </w:rPr>
        <w:t xml:space="preserve"> together with greater governance and community involvement</w:t>
      </w:r>
      <w:r w:rsidR="00EC636F">
        <w:rPr>
          <w:rFonts w:ascii="Arial" w:eastAsia="Times New Roman" w:hAnsi="Arial" w:cs="Arial"/>
          <w:bCs/>
          <w:sz w:val="23"/>
          <w:szCs w:val="23"/>
        </w:rPr>
        <w:t>,</w:t>
      </w:r>
      <w:r w:rsidRPr="00683A17">
        <w:rPr>
          <w:rFonts w:ascii="Arial" w:eastAsia="Times New Roman" w:hAnsi="Arial" w:cs="Arial"/>
          <w:bCs/>
          <w:sz w:val="23"/>
          <w:szCs w:val="23"/>
        </w:rPr>
        <w:t xml:space="preserve"> are paramount in terms of ensuring that every person has access to clean water and sanitation by the year 2030.</w:t>
      </w:r>
    </w:p>
    <w:p w:rsidR="00210F8C" w:rsidRPr="00683A17" w:rsidRDefault="00210F8C" w:rsidP="00683A17">
      <w:pPr>
        <w:spacing w:line="360" w:lineRule="auto"/>
        <w:jc w:val="both"/>
        <w:rPr>
          <w:rFonts w:ascii="Arial" w:eastAsia="Times New Roman" w:hAnsi="Arial" w:cs="Arial"/>
          <w:sz w:val="23"/>
          <w:szCs w:val="23"/>
        </w:rPr>
      </w:pPr>
    </w:p>
    <w:p w:rsidR="007F1860" w:rsidRPr="00683A17" w:rsidRDefault="00270EC7" w:rsidP="00683A17">
      <w:pPr>
        <w:spacing w:line="360" w:lineRule="auto"/>
        <w:jc w:val="both"/>
        <w:rPr>
          <w:rFonts w:ascii="Arial" w:eastAsia="Times New Roman" w:hAnsi="Arial" w:cs="Arial"/>
          <w:b/>
          <w:sz w:val="23"/>
          <w:szCs w:val="23"/>
          <w:u w:val="single"/>
        </w:rPr>
      </w:pPr>
      <w:r w:rsidRPr="00683A17">
        <w:rPr>
          <w:rFonts w:ascii="Arial" w:eastAsia="Times New Roman" w:hAnsi="Arial" w:cs="Arial"/>
          <w:b/>
          <w:sz w:val="23"/>
          <w:szCs w:val="23"/>
          <w:u w:val="single"/>
        </w:rPr>
        <w:t>Conclusion</w:t>
      </w:r>
    </w:p>
    <w:p w:rsidR="00270EC7" w:rsidRPr="00683A17" w:rsidRDefault="00270EC7" w:rsidP="00683A17">
      <w:pPr>
        <w:spacing w:line="360" w:lineRule="auto"/>
        <w:jc w:val="both"/>
        <w:rPr>
          <w:rFonts w:ascii="Arial" w:eastAsia="Times New Roman" w:hAnsi="Arial" w:cs="Arial"/>
          <w:sz w:val="23"/>
          <w:szCs w:val="23"/>
        </w:rPr>
      </w:pPr>
      <w:r w:rsidRPr="00683A17">
        <w:rPr>
          <w:rFonts w:ascii="Arial" w:eastAsia="Times New Roman" w:hAnsi="Arial" w:cs="Arial"/>
          <w:sz w:val="23"/>
          <w:szCs w:val="23"/>
        </w:rPr>
        <w:t xml:space="preserve">The connections between SDG 4 (Quality Education) and SDG 6 (Clean Water and Sanitation) portray the non-separation character of the process of sustainable development since progress in any of the fields could have a profound effect on the results in the other sphere. Having water and sanitation is a basic need </w:t>
      </w:r>
      <w:r w:rsidR="00EC636F">
        <w:rPr>
          <w:rFonts w:ascii="Arial" w:eastAsia="Times New Roman" w:hAnsi="Arial" w:cs="Arial"/>
          <w:sz w:val="23"/>
          <w:szCs w:val="23"/>
        </w:rPr>
        <w:t>for</w:t>
      </w:r>
      <w:r w:rsidRPr="00683A17">
        <w:rPr>
          <w:rFonts w:ascii="Arial" w:eastAsia="Times New Roman" w:hAnsi="Arial" w:cs="Arial"/>
          <w:sz w:val="23"/>
          <w:szCs w:val="23"/>
        </w:rPr>
        <w:t xml:space="preserve"> health</w:t>
      </w:r>
      <w:r w:rsidR="00EC636F">
        <w:rPr>
          <w:rFonts w:ascii="Arial" w:eastAsia="Times New Roman" w:hAnsi="Arial" w:cs="Arial"/>
          <w:sz w:val="23"/>
          <w:szCs w:val="23"/>
        </w:rPr>
        <w:t>;</w:t>
      </w:r>
      <w:r w:rsidRPr="00683A17">
        <w:rPr>
          <w:rFonts w:ascii="Arial" w:eastAsia="Times New Roman" w:hAnsi="Arial" w:cs="Arial"/>
          <w:sz w:val="23"/>
          <w:szCs w:val="23"/>
        </w:rPr>
        <w:t xml:space="preserve"> however, it is also important to facilitate access to good education, particularly to the marginalized groups, by lowering the rates of water illnesses and reducing time spent collecting water, hence </w:t>
      </w:r>
      <w:r w:rsidR="00EC636F">
        <w:rPr>
          <w:rFonts w:ascii="Arial" w:eastAsia="Times New Roman" w:hAnsi="Arial" w:cs="Arial"/>
          <w:sz w:val="23"/>
          <w:szCs w:val="23"/>
        </w:rPr>
        <w:t>liberating</w:t>
      </w:r>
      <w:r w:rsidRPr="00683A17">
        <w:rPr>
          <w:rFonts w:ascii="Arial" w:eastAsia="Times New Roman" w:hAnsi="Arial" w:cs="Arial"/>
          <w:sz w:val="23"/>
          <w:szCs w:val="23"/>
        </w:rPr>
        <w:t xml:space="preserve"> the children, especially the girls, to attend school and other </w:t>
      </w:r>
      <w:r w:rsidR="00EC636F">
        <w:rPr>
          <w:rFonts w:ascii="Arial" w:eastAsia="Times New Roman" w:hAnsi="Arial" w:cs="Arial"/>
          <w:sz w:val="23"/>
          <w:szCs w:val="23"/>
        </w:rPr>
        <w:t>education-related</w:t>
      </w:r>
      <w:r w:rsidRPr="00683A17">
        <w:rPr>
          <w:rFonts w:ascii="Arial" w:eastAsia="Times New Roman" w:hAnsi="Arial" w:cs="Arial"/>
          <w:sz w:val="23"/>
          <w:szCs w:val="23"/>
        </w:rPr>
        <w:t xml:space="preserve"> </w:t>
      </w:r>
      <w:r w:rsidR="00EC636F">
        <w:rPr>
          <w:rFonts w:ascii="Arial" w:eastAsia="Times New Roman" w:hAnsi="Arial" w:cs="Arial"/>
          <w:sz w:val="23"/>
          <w:szCs w:val="23"/>
        </w:rPr>
        <w:t>activities</w:t>
      </w:r>
      <w:r w:rsidRPr="00683A17">
        <w:rPr>
          <w:rFonts w:ascii="Arial" w:eastAsia="Times New Roman" w:hAnsi="Arial" w:cs="Arial"/>
          <w:sz w:val="23"/>
          <w:szCs w:val="23"/>
        </w:rPr>
        <w:t>. On the contrary, better education on hygiene and sanitation has a direct relationship with the quality and availability of water</w:t>
      </w:r>
      <w:r w:rsidR="00EC636F">
        <w:rPr>
          <w:rFonts w:ascii="Arial" w:eastAsia="Times New Roman" w:hAnsi="Arial" w:cs="Arial"/>
          <w:sz w:val="23"/>
          <w:szCs w:val="23"/>
        </w:rPr>
        <w:t>,</w:t>
      </w:r>
      <w:r w:rsidRPr="00683A17">
        <w:rPr>
          <w:rFonts w:ascii="Arial" w:eastAsia="Times New Roman" w:hAnsi="Arial" w:cs="Arial"/>
          <w:sz w:val="23"/>
          <w:szCs w:val="23"/>
        </w:rPr>
        <w:t xml:space="preserve"> since they have better practices that minimize pollution and wastage of water. This interconnection highlights that investments in water and sanitation infrastructure and services may contribute to more general social gains, such as gender equity, poverty alleviation, and improved health outcomes that, in turn, contribute to </w:t>
      </w:r>
      <w:r w:rsidR="00EC636F">
        <w:rPr>
          <w:rFonts w:ascii="Arial" w:eastAsia="Times New Roman" w:hAnsi="Arial" w:cs="Arial"/>
          <w:sz w:val="23"/>
          <w:szCs w:val="23"/>
        </w:rPr>
        <w:t xml:space="preserve">the </w:t>
      </w:r>
      <w:bookmarkStart w:id="0" w:name="_GoBack"/>
      <w:bookmarkEnd w:id="0"/>
      <w:r w:rsidRPr="00683A17">
        <w:rPr>
          <w:rFonts w:ascii="Arial" w:eastAsia="Times New Roman" w:hAnsi="Arial" w:cs="Arial"/>
          <w:sz w:val="23"/>
          <w:szCs w:val="23"/>
        </w:rPr>
        <w:t xml:space="preserve">SDG 4 goal of inclusive, equitable quality education to all. Also, water resource sustainable management affects food security, energy generation, and ecosystem well-being, which are </w:t>
      </w:r>
      <w:r w:rsidRPr="00683A17">
        <w:rPr>
          <w:rFonts w:ascii="Arial" w:eastAsia="Times New Roman" w:hAnsi="Arial" w:cs="Arial"/>
          <w:sz w:val="23"/>
          <w:szCs w:val="23"/>
        </w:rPr>
        <w:lastRenderedPageBreak/>
        <w:t xml:space="preserve">the pillars of economic and societal progress, further contributing to the dependence of SDGs. By realizing this, policies that foster integrated water resource management and holistic methods of education can make maximum use of synergies, minimize trade-offs and speed up development of multiple objectives. The </w:t>
      </w:r>
      <w:proofErr w:type="spellStart"/>
      <w:r w:rsidRPr="00683A17">
        <w:rPr>
          <w:rFonts w:ascii="Arial" w:eastAsia="Times New Roman" w:hAnsi="Arial" w:cs="Arial"/>
          <w:sz w:val="23"/>
          <w:szCs w:val="23"/>
        </w:rPr>
        <w:t>interlinkages</w:t>
      </w:r>
      <w:proofErr w:type="spellEnd"/>
      <w:r w:rsidRPr="00683A17">
        <w:rPr>
          <w:rFonts w:ascii="Arial" w:eastAsia="Times New Roman" w:hAnsi="Arial" w:cs="Arial"/>
          <w:sz w:val="23"/>
          <w:szCs w:val="23"/>
        </w:rPr>
        <w:t xml:space="preserve"> go beyond </w:t>
      </w:r>
      <w:proofErr w:type="spellStart"/>
      <w:r w:rsidRPr="00683A17">
        <w:rPr>
          <w:rFonts w:ascii="Arial" w:eastAsia="Times New Roman" w:hAnsi="Arial" w:cs="Arial"/>
          <w:sz w:val="23"/>
          <w:szCs w:val="23"/>
        </w:rPr>
        <w:t>sectoral</w:t>
      </w:r>
      <w:proofErr w:type="spellEnd"/>
      <w:r w:rsidRPr="00683A17">
        <w:rPr>
          <w:rFonts w:ascii="Arial" w:eastAsia="Times New Roman" w:hAnsi="Arial" w:cs="Arial"/>
          <w:sz w:val="23"/>
          <w:szCs w:val="23"/>
        </w:rPr>
        <w:t xml:space="preserve"> aspects and this explains why there is a need to have multi-</w:t>
      </w:r>
      <w:proofErr w:type="spellStart"/>
      <w:r w:rsidRPr="00683A17">
        <w:rPr>
          <w:rFonts w:ascii="Arial" w:eastAsia="Times New Roman" w:hAnsi="Arial" w:cs="Arial"/>
          <w:sz w:val="23"/>
          <w:szCs w:val="23"/>
        </w:rPr>
        <w:t>sectoral</w:t>
      </w:r>
      <w:proofErr w:type="spellEnd"/>
      <w:r w:rsidRPr="00683A17">
        <w:rPr>
          <w:rFonts w:ascii="Arial" w:eastAsia="Times New Roman" w:hAnsi="Arial" w:cs="Arial"/>
          <w:sz w:val="23"/>
          <w:szCs w:val="23"/>
        </w:rPr>
        <w:t xml:space="preserve"> approaches that bring about coherence in the development of infrastructure, social inclusion, and environmental protection to ensure the 2030 agenda. The solution to water and sanitation issues therefore is not just technical but it involves building partnerships, communal involvement, and innovation to break the systemic barriers- so that nobody is left behind and water and sanitation improvements lead to a positive overall sustainable development. Finally, the development of SDG 6 and SDG 4 may contribute to the creation of healthier, more educated, and resilient communities that are able to maintain the long-term development results.</w:t>
      </w:r>
    </w:p>
    <w:p w:rsidR="00270EC7" w:rsidRPr="000E4714" w:rsidRDefault="00270EC7" w:rsidP="004D1852">
      <w:pPr>
        <w:spacing w:line="360" w:lineRule="auto"/>
        <w:jc w:val="both"/>
        <w:rPr>
          <w:rFonts w:ascii="Arial" w:eastAsia="Times New Roman" w:hAnsi="Arial" w:cs="Arial"/>
          <w:sz w:val="23"/>
          <w:szCs w:val="23"/>
        </w:rPr>
      </w:pPr>
    </w:p>
    <w:p w:rsidR="007A5220" w:rsidRPr="000E4714" w:rsidRDefault="007A5220" w:rsidP="000E4714">
      <w:pPr>
        <w:spacing w:line="360" w:lineRule="auto"/>
        <w:jc w:val="both"/>
        <w:rPr>
          <w:rFonts w:ascii="Arial" w:eastAsia="Times New Roman" w:hAnsi="Arial" w:cs="Arial"/>
          <w:sz w:val="23"/>
          <w:szCs w:val="23"/>
        </w:rPr>
      </w:pPr>
    </w:p>
    <w:p w:rsidR="007A5220" w:rsidRPr="00683A17" w:rsidRDefault="002D6764" w:rsidP="000E4714">
      <w:pPr>
        <w:spacing w:line="360" w:lineRule="auto"/>
        <w:jc w:val="both"/>
        <w:rPr>
          <w:rFonts w:ascii="Arial" w:eastAsia="Times New Roman" w:hAnsi="Arial" w:cs="Arial"/>
          <w:b/>
          <w:sz w:val="23"/>
          <w:szCs w:val="23"/>
          <w:u w:val="single"/>
        </w:rPr>
      </w:pPr>
      <w:r w:rsidRPr="00683A17">
        <w:rPr>
          <w:rFonts w:ascii="Arial" w:eastAsia="Times New Roman" w:hAnsi="Arial" w:cs="Arial"/>
          <w:b/>
          <w:sz w:val="23"/>
          <w:szCs w:val="23"/>
          <w:u w:val="single"/>
        </w:rPr>
        <w:t>References</w:t>
      </w:r>
    </w:p>
    <w:p w:rsidR="00270EC7" w:rsidRPr="000E4714" w:rsidRDefault="00270EC7" w:rsidP="000E4714">
      <w:pPr>
        <w:spacing w:line="360" w:lineRule="auto"/>
        <w:jc w:val="both"/>
        <w:rPr>
          <w:rFonts w:ascii="Arial" w:eastAsia="Times New Roman" w:hAnsi="Arial" w:cs="Arial"/>
          <w:sz w:val="23"/>
          <w:szCs w:val="23"/>
        </w:rPr>
      </w:pPr>
    </w:p>
    <w:p w:rsidR="00270EC7" w:rsidRPr="00270EC7" w:rsidRDefault="00270EC7" w:rsidP="00270EC7">
      <w:pPr>
        <w:pStyle w:val="NormalWeb"/>
        <w:numPr>
          <w:ilvl w:val="0"/>
          <w:numId w:val="1"/>
        </w:numPr>
        <w:spacing w:line="360" w:lineRule="auto"/>
        <w:jc w:val="both"/>
        <w:rPr>
          <w:rFonts w:ascii="Arial" w:hAnsi="Arial" w:cs="Arial"/>
          <w:sz w:val="23"/>
          <w:szCs w:val="23"/>
        </w:rPr>
      </w:pPr>
      <w:r w:rsidRPr="00270EC7">
        <w:rPr>
          <w:rFonts w:ascii="Arial" w:hAnsi="Arial" w:cs="Arial"/>
          <w:sz w:val="23"/>
          <w:szCs w:val="23"/>
        </w:rPr>
        <w:t xml:space="preserve">National Audit Office (2024) </w:t>
      </w:r>
      <w:r w:rsidRPr="00270EC7">
        <w:rPr>
          <w:rStyle w:val="Emphasis"/>
          <w:rFonts w:ascii="Arial" w:hAnsi="Arial" w:cs="Arial"/>
          <w:sz w:val="23"/>
          <w:szCs w:val="23"/>
        </w:rPr>
        <w:t>Water industry regulation and infrastructure in England</w:t>
      </w:r>
      <w:r w:rsidRPr="00270EC7">
        <w:rPr>
          <w:rFonts w:ascii="Arial" w:hAnsi="Arial" w:cs="Arial"/>
          <w:sz w:val="23"/>
          <w:szCs w:val="23"/>
        </w:rPr>
        <w:t>. London: NAO. Available at: https://www.nao.org.uk/reports/water-industry-regulation-and-infrastructure-in-england (Accessed: 21 September 2025).</w:t>
      </w:r>
    </w:p>
    <w:p w:rsidR="00270EC7" w:rsidRPr="00270EC7" w:rsidRDefault="00270EC7" w:rsidP="00270EC7">
      <w:pPr>
        <w:pStyle w:val="NormalWeb"/>
        <w:numPr>
          <w:ilvl w:val="0"/>
          <w:numId w:val="1"/>
        </w:numPr>
        <w:spacing w:line="360" w:lineRule="auto"/>
        <w:jc w:val="both"/>
        <w:rPr>
          <w:rFonts w:ascii="Arial" w:hAnsi="Arial" w:cs="Arial"/>
          <w:sz w:val="23"/>
          <w:szCs w:val="23"/>
        </w:rPr>
      </w:pPr>
      <w:r w:rsidRPr="00270EC7">
        <w:rPr>
          <w:rFonts w:ascii="Arial" w:hAnsi="Arial" w:cs="Arial"/>
          <w:sz w:val="23"/>
          <w:szCs w:val="23"/>
        </w:rPr>
        <w:t xml:space="preserve">The Rivers Trust (2025) </w:t>
      </w:r>
      <w:r w:rsidRPr="00270EC7">
        <w:rPr>
          <w:rStyle w:val="Emphasis"/>
          <w:rFonts w:ascii="Arial" w:hAnsi="Arial" w:cs="Arial"/>
          <w:sz w:val="23"/>
          <w:szCs w:val="23"/>
        </w:rPr>
        <w:t>State of our rivers 2025</w:t>
      </w:r>
      <w:r w:rsidRPr="00270EC7">
        <w:rPr>
          <w:rFonts w:ascii="Arial" w:hAnsi="Arial" w:cs="Arial"/>
          <w:sz w:val="23"/>
          <w:szCs w:val="23"/>
        </w:rPr>
        <w:t>. Bristol: The Rivers Trust. Available at: https://theriverstrust.org (Accessed: 21 September 2025).</w:t>
      </w:r>
    </w:p>
    <w:p w:rsidR="00270EC7" w:rsidRPr="00270EC7" w:rsidRDefault="00270EC7" w:rsidP="00270EC7">
      <w:pPr>
        <w:pStyle w:val="NormalWeb"/>
        <w:numPr>
          <w:ilvl w:val="0"/>
          <w:numId w:val="1"/>
        </w:numPr>
        <w:spacing w:line="360" w:lineRule="auto"/>
        <w:jc w:val="both"/>
        <w:rPr>
          <w:rFonts w:ascii="Arial" w:hAnsi="Arial" w:cs="Arial"/>
          <w:sz w:val="23"/>
          <w:szCs w:val="23"/>
        </w:rPr>
      </w:pPr>
      <w:r w:rsidRPr="00270EC7">
        <w:rPr>
          <w:rFonts w:ascii="Arial" w:hAnsi="Arial" w:cs="Arial"/>
          <w:sz w:val="23"/>
          <w:szCs w:val="23"/>
        </w:rPr>
        <w:t xml:space="preserve">United Nations (2015) </w:t>
      </w:r>
      <w:r w:rsidRPr="00270EC7">
        <w:rPr>
          <w:rStyle w:val="Emphasis"/>
          <w:rFonts w:ascii="Arial" w:hAnsi="Arial" w:cs="Arial"/>
          <w:sz w:val="23"/>
          <w:szCs w:val="23"/>
        </w:rPr>
        <w:t>Transforming our world: the 2030 agenda for sustainable development</w:t>
      </w:r>
      <w:r w:rsidRPr="00270EC7">
        <w:rPr>
          <w:rFonts w:ascii="Arial" w:hAnsi="Arial" w:cs="Arial"/>
          <w:sz w:val="23"/>
          <w:szCs w:val="23"/>
        </w:rPr>
        <w:t>. New York: United Nations. Available at: https://sdgs.un.org/2030agenda (Accessed: 21 September 2025).</w:t>
      </w:r>
    </w:p>
    <w:p w:rsidR="00270EC7" w:rsidRPr="00270EC7" w:rsidRDefault="00270EC7" w:rsidP="00270EC7">
      <w:pPr>
        <w:pStyle w:val="NormalWeb"/>
        <w:numPr>
          <w:ilvl w:val="0"/>
          <w:numId w:val="1"/>
        </w:numPr>
        <w:spacing w:line="360" w:lineRule="auto"/>
        <w:jc w:val="both"/>
        <w:rPr>
          <w:rFonts w:ascii="Arial" w:hAnsi="Arial" w:cs="Arial"/>
          <w:sz w:val="23"/>
          <w:szCs w:val="23"/>
        </w:rPr>
      </w:pPr>
      <w:r w:rsidRPr="00270EC7">
        <w:rPr>
          <w:rFonts w:ascii="Arial" w:hAnsi="Arial" w:cs="Arial"/>
          <w:sz w:val="23"/>
          <w:szCs w:val="23"/>
        </w:rPr>
        <w:t xml:space="preserve">UN-Water (2023) </w:t>
      </w:r>
      <w:r w:rsidRPr="00270EC7">
        <w:rPr>
          <w:rStyle w:val="Emphasis"/>
          <w:rFonts w:ascii="Arial" w:hAnsi="Arial" w:cs="Arial"/>
          <w:sz w:val="23"/>
          <w:szCs w:val="23"/>
        </w:rPr>
        <w:t>SDG 6 synthesis report 2023 on water and sanitation</w:t>
      </w:r>
      <w:r w:rsidRPr="00270EC7">
        <w:rPr>
          <w:rFonts w:ascii="Arial" w:hAnsi="Arial" w:cs="Arial"/>
          <w:sz w:val="23"/>
          <w:szCs w:val="23"/>
        </w:rPr>
        <w:t xml:space="preserve">. Geneva: United Nations. Available at: </w:t>
      </w:r>
      <w:hyperlink r:id="rId5" w:tgtFrame="_new" w:history="1">
        <w:r w:rsidRPr="00270EC7">
          <w:rPr>
            <w:rStyle w:val="Hyperlink"/>
            <w:rFonts w:ascii="Arial" w:hAnsi="Arial" w:cs="Arial"/>
            <w:sz w:val="23"/>
            <w:szCs w:val="23"/>
          </w:rPr>
          <w:t>https://www.unwater.org/sites/default/files/2023-08/UN-Water_SDG6_SynthesisReport_2023.pdf</w:t>
        </w:r>
      </w:hyperlink>
      <w:r w:rsidRPr="00270EC7">
        <w:rPr>
          <w:rFonts w:ascii="Arial" w:hAnsi="Arial" w:cs="Arial"/>
          <w:sz w:val="23"/>
          <w:szCs w:val="23"/>
        </w:rPr>
        <w:t xml:space="preserve"> (Accessed: 21 September 2025).</w:t>
      </w:r>
    </w:p>
    <w:p w:rsidR="00270EC7" w:rsidRPr="00270EC7" w:rsidRDefault="00270EC7" w:rsidP="00270EC7">
      <w:pPr>
        <w:pStyle w:val="NormalWeb"/>
        <w:numPr>
          <w:ilvl w:val="0"/>
          <w:numId w:val="1"/>
        </w:numPr>
        <w:spacing w:line="360" w:lineRule="auto"/>
        <w:jc w:val="both"/>
        <w:rPr>
          <w:rFonts w:ascii="Arial" w:hAnsi="Arial" w:cs="Arial"/>
          <w:sz w:val="23"/>
          <w:szCs w:val="23"/>
        </w:rPr>
      </w:pPr>
      <w:r w:rsidRPr="00270EC7">
        <w:rPr>
          <w:rFonts w:ascii="Arial" w:hAnsi="Arial" w:cs="Arial"/>
          <w:sz w:val="23"/>
          <w:szCs w:val="23"/>
        </w:rPr>
        <w:t xml:space="preserve">World Health Organization (2022) </w:t>
      </w:r>
      <w:r w:rsidRPr="00270EC7">
        <w:rPr>
          <w:rStyle w:val="Emphasis"/>
          <w:rFonts w:ascii="Arial" w:hAnsi="Arial" w:cs="Arial"/>
          <w:sz w:val="23"/>
          <w:szCs w:val="23"/>
        </w:rPr>
        <w:t>Drinking-water: key facts</w:t>
      </w:r>
      <w:r w:rsidRPr="00270EC7">
        <w:rPr>
          <w:rFonts w:ascii="Arial" w:hAnsi="Arial" w:cs="Arial"/>
          <w:sz w:val="23"/>
          <w:szCs w:val="23"/>
        </w:rPr>
        <w:t xml:space="preserve">. Geneva: WHO. Available at: </w:t>
      </w:r>
      <w:hyperlink r:id="rId6" w:tgtFrame="_new" w:history="1">
        <w:r w:rsidRPr="00270EC7">
          <w:rPr>
            <w:rStyle w:val="Hyperlink"/>
            <w:rFonts w:ascii="Arial" w:hAnsi="Arial" w:cs="Arial"/>
            <w:sz w:val="23"/>
            <w:szCs w:val="23"/>
          </w:rPr>
          <w:t>https://www.who.int/news-room/fact-sheets/detail/drinking-water</w:t>
        </w:r>
      </w:hyperlink>
      <w:r w:rsidRPr="00270EC7">
        <w:rPr>
          <w:rFonts w:ascii="Arial" w:hAnsi="Arial" w:cs="Arial"/>
          <w:sz w:val="23"/>
          <w:szCs w:val="23"/>
        </w:rPr>
        <w:t xml:space="preserve"> (Accessed: 21 September 2025).</w:t>
      </w:r>
    </w:p>
    <w:p w:rsidR="00270EC7" w:rsidRPr="00270EC7" w:rsidRDefault="00270EC7" w:rsidP="00270EC7">
      <w:pPr>
        <w:pStyle w:val="NormalWeb"/>
        <w:spacing w:before="0" w:beforeAutospacing="0" w:after="240" w:afterAutospacing="0" w:line="360" w:lineRule="auto"/>
        <w:ind w:left="720"/>
        <w:jc w:val="both"/>
        <w:rPr>
          <w:rFonts w:ascii="Arial" w:hAnsi="Arial" w:cs="Arial"/>
          <w:sz w:val="23"/>
          <w:szCs w:val="23"/>
        </w:rPr>
      </w:pPr>
    </w:p>
    <w:p w:rsidR="007A5220" w:rsidRPr="00270EC7" w:rsidRDefault="007A5220"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United Nations (2025). </w:t>
      </w:r>
      <w:r w:rsidRPr="00270EC7">
        <w:rPr>
          <w:rFonts w:ascii="Arial" w:hAnsi="Arial" w:cs="Arial"/>
          <w:i/>
          <w:iCs/>
          <w:sz w:val="23"/>
          <w:szCs w:val="23"/>
        </w:rPr>
        <w:t>Goal 3: Ensure healthy lives and promote well-being for all at all ages</w:t>
      </w:r>
      <w:r w:rsidRPr="00270EC7">
        <w:rPr>
          <w:rFonts w:ascii="Arial" w:hAnsi="Arial" w:cs="Arial"/>
          <w:sz w:val="23"/>
          <w:szCs w:val="23"/>
        </w:rPr>
        <w:t xml:space="preserve">. [online] United Nations. Available at: </w:t>
      </w:r>
      <w:hyperlink r:id="rId7" w:history="1">
        <w:r w:rsidRPr="00270EC7">
          <w:rPr>
            <w:rStyle w:val="Hyperlink"/>
            <w:rFonts w:ascii="Arial" w:hAnsi="Arial" w:cs="Arial"/>
            <w:sz w:val="23"/>
            <w:szCs w:val="23"/>
          </w:rPr>
          <w:t>https://sdgs.un.org/goals/goal3</w:t>
        </w:r>
      </w:hyperlink>
      <w:r w:rsidRPr="00270EC7">
        <w:rPr>
          <w:rFonts w:ascii="Arial" w:hAnsi="Arial" w:cs="Arial"/>
          <w:sz w:val="23"/>
          <w:szCs w:val="23"/>
        </w:rPr>
        <w:t>.</w:t>
      </w:r>
    </w:p>
    <w:p w:rsidR="007A5220" w:rsidRPr="00270EC7" w:rsidRDefault="007A5220"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WHO (2022). </w:t>
      </w:r>
      <w:r w:rsidRPr="00270EC7">
        <w:rPr>
          <w:rFonts w:ascii="Arial" w:hAnsi="Arial" w:cs="Arial"/>
          <w:i/>
          <w:iCs/>
          <w:sz w:val="23"/>
          <w:szCs w:val="23"/>
        </w:rPr>
        <w:t xml:space="preserve">Targets of </w:t>
      </w:r>
      <w:r w:rsidR="00DF6FB0" w:rsidRPr="00270EC7">
        <w:rPr>
          <w:rFonts w:ascii="Arial" w:hAnsi="Arial" w:cs="Arial"/>
          <w:i/>
          <w:iCs/>
          <w:sz w:val="23"/>
          <w:szCs w:val="23"/>
        </w:rPr>
        <w:t>Sustainable Development Goal</w:t>
      </w:r>
      <w:r w:rsidRPr="00270EC7">
        <w:rPr>
          <w:rFonts w:ascii="Arial" w:hAnsi="Arial" w:cs="Arial"/>
          <w:i/>
          <w:iCs/>
          <w:sz w:val="23"/>
          <w:szCs w:val="23"/>
        </w:rPr>
        <w:t xml:space="preserve"> 3</w:t>
      </w:r>
      <w:r w:rsidRPr="00270EC7">
        <w:rPr>
          <w:rFonts w:ascii="Arial" w:hAnsi="Arial" w:cs="Arial"/>
          <w:sz w:val="23"/>
          <w:szCs w:val="23"/>
        </w:rPr>
        <w:t xml:space="preserve">. [online] World Health </w:t>
      </w:r>
      <w:proofErr w:type="spellStart"/>
      <w:r w:rsidRPr="00270EC7">
        <w:rPr>
          <w:rFonts w:ascii="Arial" w:hAnsi="Arial" w:cs="Arial"/>
          <w:sz w:val="23"/>
          <w:szCs w:val="23"/>
        </w:rPr>
        <w:t>Organisation</w:t>
      </w:r>
      <w:proofErr w:type="spellEnd"/>
      <w:r w:rsidRPr="00270EC7">
        <w:rPr>
          <w:rFonts w:ascii="Arial" w:hAnsi="Arial" w:cs="Arial"/>
          <w:sz w:val="23"/>
          <w:szCs w:val="23"/>
        </w:rPr>
        <w:t>. Available at: https://www.who.int/europe/about-us/our-work/sustainable-development-goals/targets-of-sustainable-development-goal-3 [Accessed 8 Oct. 2025].</w:t>
      </w:r>
    </w:p>
    <w:p w:rsidR="00DF6FB0" w:rsidRPr="00270EC7" w:rsidRDefault="00DF6FB0" w:rsidP="00270EC7">
      <w:pPr>
        <w:pStyle w:val="NormalWeb"/>
        <w:numPr>
          <w:ilvl w:val="0"/>
          <w:numId w:val="1"/>
        </w:numPr>
        <w:spacing w:before="0" w:beforeAutospacing="0" w:after="240" w:afterAutospacing="0" w:line="360" w:lineRule="auto"/>
        <w:jc w:val="both"/>
        <w:rPr>
          <w:rFonts w:ascii="Arial" w:hAnsi="Arial" w:cs="Arial"/>
          <w:sz w:val="23"/>
          <w:szCs w:val="23"/>
        </w:rPr>
      </w:pPr>
      <w:proofErr w:type="spellStart"/>
      <w:r w:rsidRPr="00270EC7">
        <w:rPr>
          <w:rFonts w:ascii="Arial" w:hAnsi="Arial" w:cs="Arial"/>
          <w:sz w:val="23"/>
          <w:szCs w:val="23"/>
        </w:rPr>
        <w:t>Gavi</w:t>
      </w:r>
      <w:proofErr w:type="spellEnd"/>
      <w:r w:rsidRPr="00270EC7">
        <w:rPr>
          <w:rFonts w:ascii="Arial" w:hAnsi="Arial" w:cs="Arial"/>
          <w:sz w:val="23"/>
          <w:szCs w:val="23"/>
        </w:rPr>
        <w:t xml:space="preserve"> (2016). </w:t>
      </w:r>
      <w:proofErr w:type="spellStart"/>
      <w:r w:rsidRPr="00270EC7">
        <w:rPr>
          <w:rFonts w:ascii="Arial" w:hAnsi="Arial" w:cs="Arial"/>
          <w:i/>
          <w:iCs/>
          <w:sz w:val="23"/>
          <w:szCs w:val="23"/>
        </w:rPr>
        <w:t>Gavi</w:t>
      </w:r>
      <w:proofErr w:type="spellEnd"/>
      <w:r w:rsidRPr="00270EC7">
        <w:rPr>
          <w:rFonts w:ascii="Arial" w:hAnsi="Arial" w:cs="Arial"/>
          <w:i/>
          <w:iCs/>
          <w:sz w:val="23"/>
          <w:szCs w:val="23"/>
        </w:rPr>
        <w:t>, the Vaccine Alliance</w:t>
      </w:r>
      <w:r w:rsidRPr="00270EC7">
        <w:rPr>
          <w:rFonts w:ascii="Arial" w:hAnsi="Arial" w:cs="Arial"/>
          <w:sz w:val="23"/>
          <w:szCs w:val="23"/>
        </w:rPr>
        <w:t xml:space="preserve">. [online] </w:t>
      </w:r>
      <w:proofErr w:type="spellStart"/>
      <w:r w:rsidRPr="00270EC7">
        <w:rPr>
          <w:rFonts w:ascii="Arial" w:hAnsi="Arial" w:cs="Arial"/>
          <w:sz w:val="23"/>
          <w:szCs w:val="23"/>
        </w:rPr>
        <w:t>Gavi</w:t>
      </w:r>
      <w:proofErr w:type="spellEnd"/>
      <w:r w:rsidRPr="00270EC7">
        <w:rPr>
          <w:rFonts w:ascii="Arial" w:hAnsi="Arial" w:cs="Arial"/>
          <w:sz w:val="23"/>
          <w:szCs w:val="23"/>
        </w:rPr>
        <w:t>. Available at: https://www.gavi.org/ [Accessed 8 Oct. 2025].</w:t>
      </w:r>
    </w:p>
    <w:p w:rsidR="00DF6FB0" w:rsidRPr="00270EC7" w:rsidRDefault="00DF6FB0" w:rsidP="00270EC7">
      <w:pPr>
        <w:pStyle w:val="NormalWeb"/>
        <w:numPr>
          <w:ilvl w:val="0"/>
          <w:numId w:val="1"/>
        </w:numPr>
        <w:spacing w:before="0" w:beforeAutospacing="0" w:after="240" w:afterAutospacing="0" w:line="360" w:lineRule="auto"/>
        <w:jc w:val="both"/>
        <w:rPr>
          <w:rFonts w:ascii="Arial" w:hAnsi="Arial" w:cs="Arial"/>
          <w:sz w:val="23"/>
          <w:szCs w:val="23"/>
        </w:rPr>
      </w:pPr>
      <w:proofErr w:type="spellStart"/>
      <w:r w:rsidRPr="00270EC7">
        <w:rPr>
          <w:rFonts w:ascii="Arial" w:hAnsi="Arial" w:cs="Arial"/>
          <w:sz w:val="23"/>
          <w:szCs w:val="23"/>
        </w:rPr>
        <w:t>Buse</w:t>
      </w:r>
      <w:proofErr w:type="spellEnd"/>
      <w:r w:rsidRPr="00270EC7">
        <w:rPr>
          <w:rFonts w:ascii="Arial" w:hAnsi="Arial" w:cs="Arial"/>
          <w:sz w:val="23"/>
          <w:szCs w:val="23"/>
        </w:rPr>
        <w:t xml:space="preserve">, K. and Hawkes, S. (2015). Health in the sustainable development goals: ready for a paradigm shift? </w:t>
      </w:r>
      <w:r w:rsidRPr="00270EC7">
        <w:rPr>
          <w:rFonts w:ascii="Arial" w:hAnsi="Arial" w:cs="Arial"/>
          <w:i/>
          <w:iCs/>
          <w:sz w:val="23"/>
          <w:szCs w:val="23"/>
        </w:rPr>
        <w:t>Globalization and Health</w:t>
      </w:r>
      <w:r w:rsidRPr="00270EC7">
        <w:rPr>
          <w:rFonts w:ascii="Arial" w:hAnsi="Arial" w:cs="Arial"/>
          <w:sz w:val="23"/>
          <w:szCs w:val="23"/>
        </w:rPr>
        <w:t xml:space="preserve">, [online] 11(1). </w:t>
      </w:r>
      <w:proofErr w:type="spellStart"/>
      <w:r w:rsidRPr="00270EC7">
        <w:rPr>
          <w:rFonts w:ascii="Arial" w:hAnsi="Arial" w:cs="Arial"/>
          <w:sz w:val="23"/>
          <w:szCs w:val="23"/>
        </w:rPr>
        <w:t>doi:https</w:t>
      </w:r>
      <w:proofErr w:type="spellEnd"/>
      <w:r w:rsidRPr="00270EC7">
        <w:rPr>
          <w:rFonts w:ascii="Arial" w:hAnsi="Arial" w:cs="Arial"/>
          <w:sz w:val="23"/>
          <w:szCs w:val="23"/>
        </w:rPr>
        <w:t>://doi.org/10.1186/s12992-015-0098-8.</w:t>
      </w:r>
    </w:p>
    <w:p w:rsidR="00DF6FB0" w:rsidRPr="00270EC7" w:rsidRDefault="00DF6FB0"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World Health Organization (2025). </w:t>
      </w:r>
      <w:r w:rsidRPr="00270EC7">
        <w:rPr>
          <w:rFonts w:ascii="Arial" w:hAnsi="Arial" w:cs="Arial"/>
          <w:i/>
          <w:iCs/>
          <w:sz w:val="23"/>
          <w:szCs w:val="23"/>
        </w:rPr>
        <w:t>Universal Health Coverage</w:t>
      </w:r>
      <w:r w:rsidRPr="00270EC7">
        <w:rPr>
          <w:rFonts w:ascii="Arial" w:hAnsi="Arial" w:cs="Arial"/>
          <w:sz w:val="23"/>
          <w:szCs w:val="23"/>
        </w:rPr>
        <w:t>. [online] World Health Organization. Available at: https://www.who.int/health-topics/universal-health-coverage#tab=tab_1 [Accessed 8 Oct. 2025].</w:t>
      </w:r>
    </w:p>
    <w:p w:rsidR="002D6764" w:rsidRPr="00270EC7" w:rsidRDefault="002D6764"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UK Health Security Agency (2025). </w:t>
      </w:r>
      <w:r w:rsidRPr="00270EC7">
        <w:rPr>
          <w:rFonts w:ascii="Arial" w:hAnsi="Arial" w:cs="Arial"/>
          <w:i/>
          <w:iCs/>
          <w:sz w:val="23"/>
          <w:szCs w:val="23"/>
        </w:rPr>
        <w:t>Health inequalities in health protection report 2025</w:t>
      </w:r>
      <w:r w:rsidRPr="00270EC7">
        <w:rPr>
          <w:rFonts w:ascii="Arial" w:hAnsi="Arial" w:cs="Arial"/>
          <w:sz w:val="23"/>
          <w:szCs w:val="23"/>
        </w:rPr>
        <w:t>. [online] GOV.UK. Available at: https://www.gov.uk/government/publications/health-inequalities-in-health-protection-report/health-inequalities-in-health-protection-report-2025 [Accessed 8 Oct. 2025].</w:t>
      </w:r>
    </w:p>
    <w:p w:rsidR="002D6764" w:rsidRPr="00270EC7" w:rsidRDefault="002D6764"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NHS England (2019). </w:t>
      </w:r>
      <w:r w:rsidRPr="00270EC7">
        <w:rPr>
          <w:rFonts w:ascii="Arial" w:hAnsi="Arial" w:cs="Arial"/>
          <w:i/>
          <w:iCs/>
          <w:sz w:val="23"/>
          <w:szCs w:val="23"/>
        </w:rPr>
        <w:t>NHS Long Term Plan</w:t>
      </w:r>
      <w:r w:rsidRPr="00270EC7">
        <w:rPr>
          <w:rFonts w:ascii="Arial" w:hAnsi="Arial" w:cs="Arial"/>
          <w:sz w:val="23"/>
          <w:szCs w:val="23"/>
        </w:rPr>
        <w:t xml:space="preserve">. [online] NHS. Available at: </w:t>
      </w:r>
      <w:hyperlink r:id="rId8" w:history="1">
        <w:r w:rsidR="000E4714" w:rsidRPr="00270EC7">
          <w:rPr>
            <w:rStyle w:val="Hyperlink"/>
            <w:rFonts w:ascii="Arial" w:hAnsi="Arial" w:cs="Arial"/>
            <w:sz w:val="23"/>
            <w:szCs w:val="23"/>
          </w:rPr>
          <w:t>https://www.longtermplan.nhs.uk</w:t>
        </w:r>
      </w:hyperlink>
      <w:r w:rsidRPr="00270EC7">
        <w:rPr>
          <w:rFonts w:ascii="Arial" w:hAnsi="Arial" w:cs="Arial"/>
          <w:sz w:val="23"/>
          <w:szCs w:val="23"/>
        </w:rPr>
        <w:t>.</w:t>
      </w:r>
    </w:p>
    <w:p w:rsidR="000E4714" w:rsidRPr="00270EC7" w:rsidRDefault="000E4714"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OHID (2023). </w:t>
      </w:r>
      <w:r w:rsidRPr="00270EC7">
        <w:rPr>
          <w:rFonts w:ascii="Arial" w:hAnsi="Arial" w:cs="Arial"/>
          <w:i/>
          <w:iCs/>
          <w:sz w:val="23"/>
          <w:szCs w:val="23"/>
        </w:rPr>
        <w:t>Office for Health Improvement and Disparities</w:t>
      </w:r>
      <w:r w:rsidRPr="00270EC7">
        <w:rPr>
          <w:rFonts w:ascii="Arial" w:hAnsi="Arial" w:cs="Arial"/>
          <w:sz w:val="23"/>
          <w:szCs w:val="23"/>
        </w:rPr>
        <w:t xml:space="preserve">. [online] GOV.UK. Available at: </w:t>
      </w:r>
      <w:hyperlink r:id="rId9" w:history="1">
        <w:r w:rsidR="00614810" w:rsidRPr="00270EC7">
          <w:rPr>
            <w:rStyle w:val="Hyperlink"/>
            <w:rFonts w:ascii="Arial" w:hAnsi="Arial" w:cs="Arial"/>
            <w:sz w:val="23"/>
            <w:szCs w:val="23"/>
          </w:rPr>
          <w:t>https://www.gov.uk/government/organisations/office-for-health-improvement-and-disparities</w:t>
        </w:r>
      </w:hyperlink>
      <w:r w:rsidRPr="00270EC7">
        <w:rPr>
          <w:rFonts w:ascii="Arial" w:hAnsi="Arial" w:cs="Arial"/>
          <w:sz w:val="23"/>
          <w:szCs w:val="23"/>
        </w:rPr>
        <w:t>.</w:t>
      </w:r>
    </w:p>
    <w:p w:rsidR="00614810" w:rsidRPr="00270EC7" w:rsidRDefault="00614810"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GOV.UK (2023). </w:t>
      </w:r>
      <w:r w:rsidRPr="00270EC7">
        <w:rPr>
          <w:rFonts w:ascii="Arial" w:hAnsi="Arial" w:cs="Arial"/>
          <w:i/>
          <w:iCs/>
          <w:sz w:val="23"/>
          <w:szCs w:val="23"/>
        </w:rPr>
        <w:t xml:space="preserve">Global Health Framework: Working </w:t>
      </w:r>
      <w:proofErr w:type="gramStart"/>
      <w:r w:rsidRPr="00270EC7">
        <w:rPr>
          <w:rFonts w:ascii="Arial" w:hAnsi="Arial" w:cs="Arial"/>
          <w:i/>
          <w:iCs/>
          <w:sz w:val="23"/>
          <w:szCs w:val="23"/>
        </w:rPr>
        <w:t>Together</w:t>
      </w:r>
      <w:proofErr w:type="gramEnd"/>
      <w:r w:rsidRPr="00270EC7">
        <w:rPr>
          <w:rFonts w:ascii="Arial" w:hAnsi="Arial" w:cs="Arial"/>
          <w:i/>
          <w:iCs/>
          <w:sz w:val="23"/>
          <w:szCs w:val="23"/>
        </w:rPr>
        <w:t xml:space="preserve"> Towards a Healthier world, May 2023</w:t>
      </w:r>
      <w:r w:rsidRPr="00270EC7">
        <w:rPr>
          <w:rFonts w:ascii="Arial" w:hAnsi="Arial" w:cs="Arial"/>
          <w:sz w:val="23"/>
          <w:szCs w:val="23"/>
        </w:rPr>
        <w:t>. [online] GOV.UK. Available at: https://www.gov.uk/government/publications/global-health-framework-working-</w:t>
      </w:r>
      <w:r w:rsidRPr="00270EC7">
        <w:rPr>
          <w:rFonts w:ascii="Arial" w:hAnsi="Arial" w:cs="Arial"/>
          <w:sz w:val="23"/>
          <w:szCs w:val="23"/>
        </w:rPr>
        <w:lastRenderedPageBreak/>
        <w:t>together-towards-a-healthier-world/global-health-framework-working-together-towards-a-healthier-world-may-2023 [Accessed 8 Oct. 2025].</w:t>
      </w:r>
    </w:p>
    <w:p w:rsidR="004D1852" w:rsidRPr="00270EC7" w:rsidRDefault="004D1852"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Office (2025). </w:t>
      </w:r>
      <w:r w:rsidRPr="00270EC7">
        <w:rPr>
          <w:rFonts w:ascii="Arial" w:hAnsi="Arial" w:cs="Arial"/>
          <w:i/>
          <w:iCs/>
          <w:sz w:val="23"/>
          <w:szCs w:val="23"/>
        </w:rPr>
        <w:t>Health Inequalities Dashboard: May 2025 data update</w:t>
      </w:r>
      <w:r w:rsidRPr="00270EC7">
        <w:rPr>
          <w:rFonts w:ascii="Arial" w:hAnsi="Arial" w:cs="Arial"/>
          <w:sz w:val="23"/>
          <w:szCs w:val="23"/>
        </w:rPr>
        <w:t>. [online] GOV.UK. Available at: https://www.gov.uk/government/statistics/health-inequalities-dashboard-may-2025-data-update.</w:t>
      </w:r>
    </w:p>
    <w:p w:rsidR="007F1860" w:rsidRPr="00270EC7" w:rsidRDefault="007F1860"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Geneva, U.-W. </w:t>
      </w:r>
      <w:proofErr w:type="gramStart"/>
      <w:r w:rsidRPr="00270EC7">
        <w:rPr>
          <w:rFonts w:ascii="Arial" w:hAnsi="Arial" w:cs="Arial"/>
          <w:sz w:val="23"/>
          <w:szCs w:val="23"/>
        </w:rPr>
        <w:t>and</w:t>
      </w:r>
      <w:proofErr w:type="gramEnd"/>
      <w:r w:rsidRPr="00270EC7">
        <w:rPr>
          <w:rFonts w:ascii="Arial" w:hAnsi="Arial" w:cs="Arial"/>
          <w:sz w:val="23"/>
          <w:szCs w:val="23"/>
        </w:rPr>
        <w:t xml:space="preserve"> Switzerland (2025). </w:t>
      </w:r>
      <w:r w:rsidRPr="00270EC7">
        <w:rPr>
          <w:rFonts w:ascii="Arial" w:hAnsi="Arial" w:cs="Arial"/>
          <w:i/>
          <w:iCs/>
          <w:sz w:val="23"/>
          <w:szCs w:val="23"/>
        </w:rPr>
        <w:t xml:space="preserve">SDG 6 SYNTHESIS REPORT ON WATER AND SANITATION 2023 </w:t>
      </w:r>
      <w:proofErr w:type="spellStart"/>
      <w:r w:rsidRPr="00270EC7">
        <w:rPr>
          <w:rFonts w:ascii="Arial" w:hAnsi="Arial" w:cs="Arial"/>
          <w:i/>
          <w:iCs/>
          <w:sz w:val="23"/>
          <w:szCs w:val="23"/>
        </w:rPr>
        <w:t>i</w:t>
      </w:r>
      <w:proofErr w:type="spellEnd"/>
      <w:r w:rsidRPr="00270EC7">
        <w:rPr>
          <w:rFonts w:ascii="Arial" w:hAnsi="Arial" w:cs="Arial"/>
          <w:i/>
          <w:iCs/>
          <w:sz w:val="23"/>
          <w:szCs w:val="23"/>
        </w:rPr>
        <w:t xml:space="preserve"> Blueprint for Acceleration: Sustainable Development Goal 6 Synthesis Report on Water and Sanitation 2023 SDG 6 SYNTHESIS REPORT ON WATER AND SANITATION 2023 iii FOREWORD Viii</w:t>
      </w:r>
      <w:r w:rsidRPr="00270EC7">
        <w:rPr>
          <w:rFonts w:ascii="Arial" w:hAnsi="Arial" w:cs="Arial"/>
          <w:sz w:val="23"/>
          <w:szCs w:val="23"/>
        </w:rPr>
        <w:t>. [online] Available at: https://www.unwater.org/sites/default/files/2023-08/UN-Water_SDG6_SynthesisReport_2023.pdf</w:t>
      </w:r>
      <w:proofErr w:type="gramStart"/>
      <w:r w:rsidRPr="00270EC7">
        <w:rPr>
          <w:rFonts w:ascii="Arial" w:hAnsi="Arial" w:cs="Arial"/>
          <w:sz w:val="23"/>
          <w:szCs w:val="23"/>
        </w:rPr>
        <w:t>?.</w:t>
      </w:r>
      <w:proofErr w:type="gramEnd"/>
    </w:p>
    <w:p w:rsidR="000E4714" w:rsidRPr="00270EC7" w:rsidRDefault="00F541E1"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Style w:val="Strong"/>
          <w:rFonts w:ascii="Arial" w:hAnsi="Arial" w:cs="Arial"/>
          <w:b w:val="0"/>
          <w:sz w:val="23"/>
          <w:szCs w:val="23"/>
        </w:rPr>
        <w:t xml:space="preserve">DEFRA </w:t>
      </w:r>
      <w:r w:rsidRPr="00270EC7">
        <w:rPr>
          <w:rStyle w:val="Strong"/>
          <w:rFonts w:ascii="Arial" w:hAnsi="Arial" w:cs="Arial"/>
          <w:b w:val="0"/>
          <w:sz w:val="23"/>
          <w:szCs w:val="23"/>
        </w:rPr>
        <w:t>(2021)</w:t>
      </w:r>
      <w:r w:rsidRPr="00270EC7">
        <w:rPr>
          <w:rFonts w:ascii="Arial" w:hAnsi="Arial" w:cs="Arial"/>
          <w:sz w:val="23"/>
          <w:szCs w:val="23"/>
        </w:rPr>
        <w:t xml:space="preserve"> </w:t>
      </w:r>
      <w:r w:rsidRPr="00270EC7">
        <w:rPr>
          <w:rStyle w:val="Emphasis"/>
          <w:rFonts w:ascii="Arial" w:hAnsi="Arial" w:cs="Arial"/>
          <w:sz w:val="23"/>
          <w:szCs w:val="23"/>
        </w:rPr>
        <w:t>Environment Act 2021</w:t>
      </w:r>
      <w:r w:rsidRPr="00270EC7">
        <w:rPr>
          <w:rFonts w:ascii="Arial" w:hAnsi="Arial" w:cs="Arial"/>
          <w:sz w:val="23"/>
          <w:szCs w:val="23"/>
        </w:rPr>
        <w:t>. London: UK Government.</w:t>
      </w:r>
      <w:r w:rsidRPr="00270EC7">
        <w:rPr>
          <w:rFonts w:ascii="Arial" w:hAnsi="Arial" w:cs="Arial"/>
          <w:sz w:val="23"/>
          <w:szCs w:val="23"/>
        </w:rPr>
        <w:br/>
        <w:t>Available at: https://www.legislation.gov.uk/ukpga/2021/30</w:t>
      </w:r>
      <w:r w:rsidRPr="00270EC7">
        <w:rPr>
          <w:rFonts w:ascii="Arial" w:hAnsi="Arial" w:cs="Arial"/>
          <w:sz w:val="23"/>
          <w:szCs w:val="23"/>
        </w:rPr>
        <w:t xml:space="preserve"> (Accessed: 21 September 2025)</w:t>
      </w:r>
    </w:p>
    <w:p w:rsidR="00893DD7" w:rsidRPr="00270EC7" w:rsidRDefault="00893DD7"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b w:val="0"/>
          <w:sz w:val="23"/>
          <w:szCs w:val="23"/>
        </w:rPr>
        <w:t xml:space="preserve">Environment Agency and </w:t>
      </w:r>
      <w:proofErr w:type="spellStart"/>
      <w:r w:rsidRPr="00270EC7">
        <w:rPr>
          <w:rStyle w:val="Strong"/>
          <w:rFonts w:ascii="Arial" w:hAnsi="Arial" w:cs="Arial"/>
          <w:b w:val="0"/>
          <w:sz w:val="23"/>
          <w:szCs w:val="23"/>
        </w:rPr>
        <w:t>Ofwat</w:t>
      </w:r>
      <w:proofErr w:type="spellEnd"/>
      <w:r w:rsidRPr="00270EC7">
        <w:rPr>
          <w:rStyle w:val="Strong"/>
          <w:rFonts w:ascii="Arial" w:hAnsi="Arial" w:cs="Arial"/>
          <w:b w:val="0"/>
          <w:sz w:val="23"/>
          <w:szCs w:val="23"/>
        </w:rPr>
        <w:t xml:space="preserve"> (2024)</w:t>
      </w:r>
      <w:r w:rsidRPr="00270EC7">
        <w:rPr>
          <w:rFonts w:ascii="Arial" w:hAnsi="Arial" w:cs="Arial"/>
          <w:sz w:val="23"/>
          <w:szCs w:val="23"/>
        </w:rPr>
        <w:t xml:space="preserve"> </w:t>
      </w:r>
      <w:r w:rsidRPr="00270EC7">
        <w:rPr>
          <w:rStyle w:val="Emphasis"/>
          <w:rFonts w:ascii="Arial" w:hAnsi="Arial" w:cs="Arial"/>
          <w:sz w:val="23"/>
          <w:szCs w:val="23"/>
        </w:rPr>
        <w:t xml:space="preserve">Water Industry National Environment </w:t>
      </w:r>
      <w:proofErr w:type="spellStart"/>
      <w:r w:rsidRPr="00270EC7">
        <w:rPr>
          <w:rStyle w:val="Emphasis"/>
          <w:rFonts w:ascii="Arial" w:hAnsi="Arial" w:cs="Arial"/>
          <w:sz w:val="23"/>
          <w:szCs w:val="23"/>
        </w:rPr>
        <w:t>Programme</w:t>
      </w:r>
      <w:proofErr w:type="spellEnd"/>
      <w:r w:rsidRPr="00270EC7">
        <w:rPr>
          <w:rStyle w:val="Emphasis"/>
          <w:rFonts w:ascii="Arial" w:hAnsi="Arial" w:cs="Arial"/>
          <w:sz w:val="23"/>
          <w:szCs w:val="23"/>
        </w:rPr>
        <w:t xml:space="preserve"> (WINEP) 2025–2030</w:t>
      </w:r>
      <w:r w:rsidRPr="00270EC7">
        <w:rPr>
          <w:rFonts w:ascii="Arial" w:hAnsi="Arial" w:cs="Arial"/>
          <w:sz w:val="23"/>
          <w:szCs w:val="23"/>
        </w:rPr>
        <w:t>. London: Environment Agency.</w:t>
      </w:r>
      <w:r w:rsidRPr="00270EC7">
        <w:rPr>
          <w:rFonts w:ascii="Arial" w:hAnsi="Arial" w:cs="Arial"/>
          <w:sz w:val="23"/>
          <w:szCs w:val="23"/>
        </w:rPr>
        <w:br/>
        <w:t>Available at: https://www.gov.uk/government/publications/water-industry-national-environment-programme-2025-to-2030 (Accessed: 21 September 2025).</w:t>
      </w:r>
    </w:p>
    <w:p w:rsidR="00893DD7" w:rsidRPr="00270EC7" w:rsidRDefault="00893DD7"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b w:val="0"/>
          <w:sz w:val="23"/>
          <w:szCs w:val="23"/>
        </w:rPr>
        <w:t>National Audit Office (2024)</w:t>
      </w:r>
      <w:r w:rsidRPr="00270EC7">
        <w:rPr>
          <w:rFonts w:ascii="Arial" w:hAnsi="Arial" w:cs="Arial"/>
          <w:sz w:val="23"/>
          <w:szCs w:val="23"/>
        </w:rPr>
        <w:t xml:space="preserve"> </w:t>
      </w:r>
      <w:r w:rsidRPr="00270EC7">
        <w:rPr>
          <w:rStyle w:val="Emphasis"/>
          <w:rFonts w:ascii="Arial" w:hAnsi="Arial" w:cs="Arial"/>
          <w:sz w:val="23"/>
          <w:szCs w:val="23"/>
        </w:rPr>
        <w:t>Water Industry Regulation and Infrastructure in England</w:t>
      </w:r>
      <w:r w:rsidRPr="00270EC7">
        <w:rPr>
          <w:rFonts w:ascii="Arial" w:hAnsi="Arial" w:cs="Arial"/>
          <w:sz w:val="23"/>
          <w:szCs w:val="23"/>
        </w:rPr>
        <w:t>. London: NAO.</w:t>
      </w:r>
      <w:r w:rsidRPr="00270EC7">
        <w:rPr>
          <w:rFonts w:ascii="Arial" w:hAnsi="Arial" w:cs="Arial"/>
          <w:sz w:val="23"/>
          <w:szCs w:val="23"/>
        </w:rPr>
        <w:br/>
        <w:t>Available at: https://www.nao.org.uk/reports/water-industry-regulation-and-infrastructure-in-england (Accessed: 21 September 2025).</w:t>
      </w:r>
    </w:p>
    <w:p w:rsidR="00893DD7" w:rsidRPr="00270EC7" w:rsidRDefault="00893DD7"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b w:val="0"/>
          <w:sz w:val="23"/>
          <w:szCs w:val="23"/>
        </w:rPr>
        <w:t>UK Health Security Agency (UKHSA) (2025</w:t>
      </w:r>
      <w:r w:rsidRPr="00270EC7">
        <w:rPr>
          <w:rStyle w:val="Strong"/>
          <w:rFonts w:ascii="Arial" w:hAnsi="Arial" w:cs="Arial"/>
          <w:sz w:val="23"/>
          <w:szCs w:val="23"/>
        </w:rPr>
        <w:t>)</w:t>
      </w:r>
      <w:r w:rsidRPr="00270EC7">
        <w:rPr>
          <w:rFonts w:ascii="Arial" w:hAnsi="Arial" w:cs="Arial"/>
          <w:sz w:val="23"/>
          <w:szCs w:val="23"/>
        </w:rPr>
        <w:t xml:space="preserve"> </w:t>
      </w:r>
      <w:r w:rsidRPr="00270EC7">
        <w:rPr>
          <w:rStyle w:val="Emphasis"/>
          <w:rFonts w:ascii="Arial" w:hAnsi="Arial" w:cs="Arial"/>
          <w:sz w:val="23"/>
          <w:szCs w:val="23"/>
        </w:rPr>
        <w:t>Health Protection Report 2025</w:t>
      </w:r>
      <w:r w:rsidRPr="00270EC7">
        <w:rPr>
          <w:rFonts w:ascii="Arial" w:hAnsi="Arial" w:cs="Arial"/>
          <w:sz w:val="23"/>
          <w:szCs w:val="23"/>
        </w:rPr>
        <w:t>. London: UKHSA.</w:t>
      </w:r>
      <w:r w:rsidRPr="00270EC7">
        <w:rPr>
          <w:rFonts w:ascii="Arial" w:hAnsi="Arial" w:cs="Arial"/>
          <w:sz w:val="23"/>
          <w:szCs w:val="23"/>
        </w:rPr>
        <w:br/>
        <w:t>Available at: https://www.gov.uk/government/collections/health-protection-report (Accessed: 21 September 2025).</w:t>
      </w:r>
    </w:p>
    <w:p w:rsidR="00893DD7" w:rsidRPr="00270EC7" w:rsidRDefault="00893DD7"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b w:val="0"/>
          <w:sz w:val="23"/>
          <w:szCs w:val="23"/>
        </w:rPr>
        <w:t>Scottish Government (2023)</w:t>
      </w:r>
      <w:r w:rsidRPr="00270EC7">
        <w:rPr>
          <w:rFonts w:ascii="Arial" w:hAnsi="Arial" w:cs="Arial"/>
          <w:sz w:val="23"/>
          <w:szCs w:val="23"/>
        </w:rPr>
        <w:t xml:space="preserve"> </w:t>
      </w:r>
      <w:r w:rsidRPr="00270EC7">
        <w:rPr>
          <w:rStyle w:val="Emphasis"/>
          <w:rFonts w:ascii="Arial" w:hAnsi="Arial" w:cs="Arial"/>
          <w:sz w:val="23"/>
          <w:szCs w:val="23"/>
        </w:rPr>
        <w:t>Hydro Nation Strategy 2023</w:t>
      </w:r>
      <w:r w:rsidRPr="00270EC7">
        <w:rPr>
          <w:rFonts w:ascii="Arial" w:hAnsi="Arial" w:cs="Arial"/>
          <w:sz w:val="23"/>
          <w:szCs w:val="23"/>
        </w:rPr>
        <w:t>. Edinburgh: Scottish Government.</w:t>
      </w:r>
      <w:r w:rsidRPr="00270EC7">
        <w:rPr>
          <w:rFonts w:ascii="Arial" w:hAnsi="Arial" w:cs="Arial"/>
          <w:sz w:val="23"/>
          <w:szCs w:val="23"/>
        </w:rPr>
        <w:br/>
        <w:t>Available at: https://www.gov.scot/publications/hydro-nation-strategy-2023 (Accessed: 21 September 2025).</w:t>
      </w:r>
    </w:p>
    <w:p w:rsidR="00893DD7" w:rsidRPr="00270EC7" w:rsidRDefault="00893DD7"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b w:val="0"/>
          <w:sz w:val="23"/>
          <w:szCs w:val="23"/>
        </w:rPr>
        <w:lastRenderedPageBreak/>
        <w:t>The Rivers Trust (2025)</w:t>
      </w:r>
      <w:r w:rsidRPr="00270EC7">
        <w:rPr>
          <w:rFonts w:ascii="Arial" w:hAnsi="Arial" w:cs="Arial"/>
          <w:sz w:val="23"/>
          <w:szCs w:val="23"/>
        </w:rPr>
        <w:t xml:space="preserve"> </w:t>
      </w:r>
      <w:r w:rsidRPr="00270EC7">
        <w:rPr>
          <w:rStyle w:val="Emphasis"/>
          <w:rFonts w:ascii="Arial" w:hAnsi="Arial" w:cs="Arial"/>
          <w:sz w:val="23"/>
          <w:szCs w:val="23"/>
        </w:rPr>
        <w:t>State of Our Rivers 2025</w:t>
      </w:r>
      <w:r w:rsidRPr="00270EC7">
        <w:rPr>
          <w:rFonts w:ascii="Arial" w:hAnsi="Arial" w:cs="Arial"/>
          <w:sz w:val="23"/>
          <w:szCs w:val="23"/>
        </w:rPr>
        <w:t>. Bristol: The Rivers Trust.</w:t>
      </w:r>
      <w:r w:rsidRPr="00270EC7">
        <w:rPr>
          <w:rFonts w:ascii="Arial" w:hAnsi="Arial" w:cs="Arial"/>
          <w:sz w:val="23"/>
          <w:szCs w:val="23"/>
        </w:rPr>
        <w:br/>
        <w:t>Available at: https://theriverstrust.org/key-issues/state-of-our-rivers-report (Accessed: 21 September 2025).</w:t>
      </w:r>
    </w:p>
    <w:p w:rsidR="00893DD7" w:rsidRPr="00270EC7" w:rsidRDefault="00893DD7"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sdgs.un.org. (</w:t>
      </w:r>
      <w:proofErr w:type="spellStart"/>
      <w:r w:rsidRPr="00270EC7">
        <w:rPr>
          <w:rFonts w:ascii="Arial" w:hAnsi="Arial" w:cs="Arial"/>
          <w:sz w:val="23"/>
          <w:szCs w:val="23"/>
        </w:rPr>
        <w:t>n.d.</w:t>
      </w:r>
      <w:proofErr w:type="spellEnd"/>
      <w:r w:rsidRPr="00270EC7">
        <w:rPr>
          <w:rFonts w:ascii="Arial" w:hAnsi="Arial" w:cs="Arial"/>
          <w:sz w:val="23"/>
          <w:szCs w:val="23"/>
        </w:rPr>
        <w:t xml:space="preserve">). </w:t>
      </w:r>
      <w:r w:rsidRPr="00270EC7">
        <w:rPr>
          <w:rFonts w:ascii="Arial" w:hAnsi="Arial" w:cs="Arial"/>
          <w:i/>
          <w:iCs/>
          <w:sz w:val="23"/>
          <w:szCs w:val="23"/>
        </w:rPr>
        <w:t>Localizing SDG 6- Transforming Access to Water by Strengthened Capacity of Operators Closest to Water Provision | Department of Economic and Social Affairs</w:t>
      </w:r>
      <w:r w:rsidRPr="00270EC7">
        <w:rPr>
          <w:rFonts w:ascii="Arial" w:hAnsi="Arial" w:cs="Arial"/>
          <w:sz w:val="23"/>
          <w:szCs w:val="23"/>
        </w:rPr>
        <w:t>. [online] Available at: https://sdgs.un.org/partnerships/localizing-sdg-6-transforming-access-water-strengthened-capacity-operators-closest [Accessed 12 Oct. 2025].</w:t>
      </w:r>
    </w:p>
    <w:p w:rsidR="00210F8C" w:rsidRPr="00270EC7" w:rsidRDefault="00210F8C"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sz w:val="23"/>
          <w:szCs w:val="23"/>
        </w:rPr>
        <w:t>National Audit Office (2024)</w:t>
      </w:r>
      <w:r w:rsidRPr="00270EC7">
        <w:rPr>
          <w:rFonts w:ascii="Arial" w:hAnsi="Arial" w:cs="Arial"/>
          <w:sz w:val="23"/>
          <w:szCs w:val="23"/>
        </w:rPr>
        <w:t xml:space="preserve"> </w:t>
      </w:r>
      <w:r w:rsidRPr="00270EC7">
        <w:rPr>
          <w:rStyle w:val="Emphasis"/>
          <w:rFonts w:ascii="Arial" w:hAnsi="Arial" w:cs="Arial"/>
          <w:sz w:val="23"/>
          <w:szCs w:val="23"/>
        </w:rPr>
        <w:t>Water Industry Regulation and Infrastructure in England</w:t>
      </w:r>
      <w:r w:rsidRPr="00270EC7">
        <w:rPr>
          <w:rFonts w:ascii="Arial" w:hAnsi="Arial" w:cs="Arial"/>
          <w:sz w:val="23"/>
          <w:szCs w:val="23"/>
        </w:rPr>
        <w:t>. London: NAO.</w:t>
      </w:r>
      <w:r w:rsidRPr="00270EC7">
        <w:rPr>
          <w:rFonts w:ascii="Arial" w:hAnsi="Arial" w:cs="Arial"/>
          <w:sz w:val="23"/>
          <w:szCs w:val="23"/>
        </w:rPr>
        <w:br/>
        <w:t>Available at: https://www.nao.org.uk/reports/water-industry-regulation-and-infrastructure-in-england (Accessed: 21 September 2025).</w:t>
      </w:r>
    </w:p>
    <w:p w:rsidR="00210F8C" w:rsidRPr="00270EC7" w:rsidRDefault="00210F8C"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sz w:val="23"/>
          <w:szCs w:val="23"/>
        </w:rPr>
        <w:t>The Rivers Trust (2025)</w:t>
      </w:r>
      <w:r w:rsidRPr="00270EC7">
        <w:rPr>
          <w:rFonts w:ascii="Arial" w:hAnsi="Arial" w:cs="Arial"/>
          <w:sz w:val="23"/>
          <w:szCs w:val="23"/>
        </w:rPr>
        <w:t xml:space="preserve"> </w:t>
      </w:r>
      <w:r w:rsidRPr="00270EC7">
        <w:rPr>
          <w:rStyle w:val="Emphasis"/>
          <w:rFonts w:ascii="Arial" w:hAnsi="Arial" w:cs="Arial"/>
          <w:sz w:val="23"/>
          <w:szCs w:val="23"/>
        </w:rPr>
        <w:t>State of Our Rivers 2025</w:t>
      </w:r>
      <w:r w:rsidRPr="00270EC7">
        <w:rPr>
          <w:rFonts w:ascii="Arial" w:hAnsi="Arial" w:cs="Arial"/>
          <w:sz w:val="23"/>
          <w:szCs w:val="23"/>
        </w:rPr>
        <w:t>. Bristol: The Rivers Trust.</w:t>
      </w:r>
      <w:r w:rsidRPr="00270EC7">
        <w:rPr>
          <w:rFonts w:ascii="Arial" w:hAnsi="Arial" w:cs="Arial"/>
          <w:sz w:val="23"/>
          <w:szCs w:val="23"/>
        </w:rPr>
        <w:br/>
        <w:t>Available at: https://theriverstrust.org/key-issues/state-of-our-rivers-report (Accessed: 21 September 2025).</w:t>
      </w:r>
    </w:p>
    <w:p w:rsidR="00210F8C" w:rsidRPr="00270EC7" w:rsidRDefault="00210F8C"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sz w:val="23"/>
          <w:szCs w:val="23"/>
        </w:rPr>
        <w:t>Guppy, L. and Anderson, K. (2021)</w:t>
      </w:r>
      <w:r w:rsidRPr="00270EC7">
        <w:rPr>
          <w:rFonts w:ascii="Arial" w:hAnsi="Arial" w:cs="Arial"/>
          <w:sz w:val="23"/>
          <w:szCs w:val="23"/>
        </w:rPr>
        <w:t xml:space="preserve"> </w:t>
      </w:r>
      <w:r w:rsidRPr="00270EC7">
        <w:rPr>
          <w:rStyle w:val="Emphasis"/>
          <w:rFonts w:ascii="Arial" w:hAnsi="Arial" w:cs="Arial"/>
          <w:sz w:val="23"/>
          <w:szCs w:val="23"/>
        </w:rPr>
        <w:t>Global Water Crisis: The Facts</w:t>
      </w:r>
      <w:r w:rsidRPr="00270EC7">
        <w:rPr>
          <w:rFonts w:ascii="Arial" w:hAnsi="Arial" w:cs="Arial"/>
          <w:sz w:val="23"/>
          <w:szCs w:val="23"/>
        </w:rPr>
        <w:t>. Hamilton, ON: United Nations University Institute for Water, Environment and Health (UNU-INWEH).</w:t>
      </w:r>
      <w:r w:rsidRPr="00270EC7">
        <w:rPr>
          <w:rFonts w:ascii="Arial" w:hAnsi="Arial" w:cs="Arial"/>
          <w:sz w:val="23"/>
          <w:szCs w:val="23"/>
        </w:rPr>
        <w:br/>
        <w:t>Available at: https://inweh.unu.edu/global-water-crisis-the-facts (Accessed: 21 September 2025).</w:t>
      </w:r>
    </w:p>
    <w:p w:rsidR="00893DD7" w:rsidRPr="00893DD7" w:rsidRDefault="00893DD7" w:rsidP="00270EC7">
      <w:pPr>
        <w:pStyle w:val="NormalWeb"/>
        <w:spacing w:before="0" w:beforeAutospacing="0" w:after="240" w:afterAutospacing="0" w:line="360" w:lineRule="auto"/>
        <w:ind w:left="720"/>
        <w:rPr>
          <w:rFonts w:ascii="Arial" w:hAnsi="Arial" w:cs="Arial"/>
          <w:sz w:val="23"/>
          <w:szCs w:val="23"/>
        </w:rPr>
      </w:pPr>
    </w:p>
    <w:p w:rsidR="00DF6FB0" w:rsidRPr="000E4714" w:rsidRDefault="00DF6FB0" w:rsidP="000E4714">
      <w:pPr>
        <w:pStyle w:val="NormalWeb"/>
        <w:spacing w:before="0" w:beforeAutospacing="0" w:after="240" w:afterAutospacing="0" w:line="360" w:lineRule="auto"/>
        <w:jc w:val="both"/>
        <w:rPr>
          <w:rFonts w:ascii="Arial" w:hAnsi="Arial" w:cs="Arial"/>
          <w:sz w:val="23"/>
          <w:szCs w:val="23"/>
        </w:rPr>
      </w:pPr>
    </w:p>
    <w:p w:rsidR="00DF6FB0" w:rsidRPr="000E4714" w:rsidRDefault="00DF6FB0" w:rsidP="000E4714">
      <w:pPr>
        <w:pStyle w:val="NormalWeb"/>
        <w:spacing w:before="0" w:beforeAutospacing="0" w:after="240" w:afterAutospacing="0" w:line="360" w:lineRule="auto"/>
        <w:jc w:val="both"/>
        <w:rPr>
          <w:rFonts w:ascii="Arial" w:hAnsi="Arial" w:cs="Arial"/>
          <w:sz w:val="23"/>
          <w:szCs w:val="23"/>
        </w:rPr>
      </w:pPr>
    </w:p>
    <w:p w:rsidR="00DF6FB0" w:rsidRPr="000E4714" w:rsidRDefault="00DF6FB0" w:rsidP="000E4714">
      <w:pPr>
        <w:pStyle w:val="NormalWeb"/>
        <w:spacing w:before="0" w:beforeAutospacing="0" w:after="240" w:afterAutospacing="0" w:line="360" w:lineRule="auto"/>
        <w:jc w:val="both"/>
        <w:rPr>
          <w:rFonts w:ascii="Arial" w:hAnsi="Arial" w:cs="Arial"/>
          <w:sz w:val="23"/>
          <w:szCs w:val="23"/>
        </w:rPr>
      </w:pPr>
    </w:p>
    <w:p w:rsidR="007A5220" w:rsidRPr="000E4714" w:rsidRDefault="007A5220" w:rsidP="000E4714">
      <w:pPr>
        <w:pStyle w:val="NormalWeb"/>
        <w:spacing w:before="0" w:beforeAutospacing="0" w:after="240" w:afterAutospacing="0" w:line="360" w:lineRule="auto"/>
        <w:jc w:val="both"/>
        <w:rPr>
          <w:rFonts w:ascii="Arial" w:hAnsi="Arial" w:cs="Arial"/>
          <w:sz w:val="23"/>
          <w:szCs w:val="23"/>
        </w:rPr>
      </w:pPr>
    </w:p>
    <w:p w:rsidR="007A5220" w:rsidRPr="000E4714" w:rsidRDefault="007A5220" w:rsidP="000E4714">
      <w:pPr>
        <w:spacing w:line="360" w:lineRule="auto"/>
        <w:jc w:val="both"/>
        <w:rPr>
          <w:rFonts w:ascii="Arial" w:hAnsi="Arial" w:cs="Arial"/>
          <w:sz w:val="23"/>
          <w:szCs w:val="23"/>
        </w:rPr>
      </w:pPr>
    </w:p>
    <w:sectPr w:rsidR="007A5220" w:rsidRPr="000E47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B7B6A9F"/>
    <w:multiLevelType w:val="hybridMultilevel"/>
    <w:tmpl w:val="4A0AB4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6FF3"/>
    <w:rsid w:val="000E4714"/>
    <w:rsid w:val="00210F8C"/>
    <w:rsid w:val="00270EC7"/>
    <w:rsid w:val="002D6764"/>
    <w:rsid w:val="004D1852"/>
    <w:rsid w:val="00614810"/>
    <w:rsid w:val="00622E4B"/>
    <w:rsid w:val="00683A17"/>
    <w:rsid w:val="007A5220"/>
    <w:rsid w:val="007F1860"/>
    <w:rsid w:val="008278AC"/>
    <w:rsid w:val="00893DD7"/>
    <w:rsid w:val="00BB6FF3"/>
    <w:rsid w:val="00DF6FB0"/>
    <w:rsid w:val="00EA304C"/>
    <w:rsid w:val="00EC636F"/>
    <w:rsid w:val="00F541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5CE9EB1F-82D9-42D7-8662-468CBB44E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5220"/>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7A5220"/>
    <w:rPr>
      <w:color w:val="0563C1" w:themeColor="hyperlink"/>
      <w:u w:val="single"/>
    </w:rPr>
  </w:style>
  <w:style w:type="character" w:customStyle="1" w:styleId="diff-highlight">
    <w:name w:val="diff-highlight"/>
    <w:basedOn w:val="DefaultParagraphFont"/>
    <w:rsid w:val="00DF6FB0"/>
  </w:style>
  <w:style w:type="character" w:styleId="Strong">
    <w:name w:val="Strong"/>
    <w:basedOn w:val="DefaultParagraphFont"/>
    <w:uiPriority w:val="22"/>
    <w:qFormat/>
    <w:rsid w:val="00F541E1"/>
    <w:rPr>
      <w:b/>
      <w:bCs/>
    </w:rPr>
  </w:style>
  <w:style w:type="character" w:styleId="Emphasis">
    <w:name w:val="Emphasis"/>
    <w:basedOn w:val="DefaultParagraphFont"/>
    <w:uiPriority w:val="20"/>
    <w:qFormat/>
    <w:rsid w:val="00F541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472988">
      <w:bodyDiv w:val="1"/>
      <w:marLeft w:val="0"/>
      <w:marRight w:val="0"/>
      <w:marTop w:val="0"/>
      <w:marBottom w:val="0"/>
      <w:divBdr>
        <w:top w:val="none" w:sz="0" w:space="0" w:color="auto"/>
        <w:left w:val="none" w:sz="0" w:space="0" w:color="auto"/>
        <w:bottom w:val="none" w:sz="0" w:space="0" w:color="auto"/>
        <w:right w:val="none" w:sz="0" w:space="0" w:color="auto"/>
      </w:divBdr>
    </w:div>
    <w:div w:id="43024320">
      <w:bodyDiv w:val="1"/>
      <w:marLeft w:val="0"/>
      <w:marRight w:val="0"/>
      <w:marTop w:val="0"/>
      <w:marBottom w:val="0"/>
      <w:divBdr>
        <w:top w:val="none" w:sz="0" w:space="0" w:color="auto"/>
        <w:left w:val="none" w:sz="0" w:space="0" w:color="auto"/>
        <w:bottom w:val="none" w:sz="0" w:space="0" w:color="auto"/>
        <w:right w:val="none" w:sz="0" w:space="0" w:color="auto"/>
      </w:divBdr>
      <w:divsChild>
        <w:div w:id="1557231654">
          <w:marLeft w:val="0"/>
          <w:marRight w:val="0"/>
          <w:marTop w:val="0"/>
          <w:marBottom w:val="0"/>
          <w:divBdr>
            <w:top w:val="none" w:sz="0" w:space="0" w:color="auto"/>
            <w:left w:val="none" w:sz="0" w:space="0" w:color="auto"/>
            <w:bottom w:val="none" w:sz="0" w:space="0" w:color="auto"/>
            <w:right w:val="none" w:sz="0" w:space="0" w:color="auto"/>
          </w:divBdr>
        </w:div>
      </w:divsChild>
    </w:div>
    <w:div w:id="50885975">
      <w:bodyDiv w:val="1"/>
      <w:marLeft w:val="0"/>
      <w:marRight w:val="0"/>
      <w:marTop w:val="0"/>
      <w:marBottom w:val="0"/>
      <w:divBdr>
        <w:top w:val="none" w:sz="0" w:space="0" w:color="auto"/>
        <w:left w:val="none" w:sz="0" w:space="0" w:color="auto"/>
        <w:bottom w:val="none" w:sz="0" w:space="0" w:color="auto"/>
        <w:right w:val="none" w:sz="0" w:space="0" w:color="auto"/>
      </w:divBdr>
    </w:div>
    <w:div w:id="67115858">
      <w:bodyDiv w:val="1"/>
      <w:marLeft w:val="0"/>
      <w:marRight w:val="0"/>
      <w:marTop w:val="0"/>
      <w:marBottom w:val="0"/>
      <w:divBdr>
        <w:top w:val="none" w:sz="0" w:space="0" w:color="auto"/>
        <w:left w:val="none" w:sz="0" w:space="0" w:color="auto"/>
        <w:bottom w:val="none" w:sz="0" w:space="0" w:color="auto"/>
        <w:right w:val="none" w:sz="0" w:space="0" w:color="auto"/>
      </w:divBdr>
      <w:divsChild>
        <w:div w:id="318382653">
          <w:marLeft w:val="0"/>
          <w:marRight w:val="0"/>
          <w:marTop w:val="0"/>
          <w:marBottom w:val="0"/>
          <w:divBdr>
            <w:top w:val="none" w:sz="0" w:space="0" w:color="auto"/>
            <w:left w:val="none" w:sz="0" w:space="0" w:color="auto"/>
            <w:bottom w:val="none" w:sz="0" w:space="0" w:color="auto"/>
            <w:right w:val="none" w:sz="0" w:space="0" w:color="auto"/>
          </w:divBdr>
        </w:div>
      </w:divsChild>
    </w:div>
    <w:div w:id="71702764">
      <w:bodyDiv w:val="1"/>
      <w:marLeft w:val="0"/>
      <w:marRight w:val="0"/>
      <w:marTop w:val="0"/>
      <w:marBottom w:val="0"/>
      <w:divBdr>
        <w:top w:val="none" w:sz="0" w:space="0" w:color="auto"/>
        <w:left w:val="none" w:sz="0" w:space="0" w:color="auto"/>
        <w:bottom w:val="none" w:sz="0" w:space="0" w:color="auto"/>
        <w:right w:val="none" w:sz="0" w:space="0" w:color="auto"/>
      </w:divBdr>
      <w:divsChild>
        <w:div w:id="922186613">
          <w:marLeft w:val="0"/>
          <w:marRight w:val="0"/>
          <w:marTop w:val="0"/>
          <w:marBottom w:val="0"/>
          <w:divBdr>
            <w:top w:val="none" w:sz="0" w:space="0" w:color="auto"/>
            <w:left w:val="none" w:sz="0" w:space="0" w:color="auto"/>
            <w:bottom w:val="none" w:sz="0" w:space="0" w:color="auto"/>
            <w:right w:val="none" w:sz="0" w:space="0" w:color="auto"/>
          </w:divBdr>
        </w:div>
      </w:divsChild>
    </w:div>
    <w:div w:id="120808583">
      <w:bodyDiv w:val="1"/>
      <w:marLeft w:val="0"/>
      <w:marRight w:val="0"/>
      <w:marTop w:val="0"/>
      <w:marBottom w:val="0"/>
      <w:divBdr>
        <w:top w:val="none" w:sz="0" w:space="0" w:color="auto"/>
        <w:left w:val="none" w:sz="0" w:space="0" w:color="auto"/>
        <w:bottom w:val="none" w:sz="0" w:space="0" w:color="auto"/>
        <w:right w:val="none" w:sz="0" w:space="0" w:color="auto"/>
      </w:divBdr>
    </w:div>
    <w:div w:id="175315810">
      <w:bodyDiv w:val="1"/>
      <w:marLeft w:val="0"/>
      <w:marRight w:val="0"/>
      <w:marTop w:val="0"/>
      <w:marBottom w:val="0"/>
      <w:divBdr>
        <w:top w:val="none" w:sz="0" w:space="0" w:color="auto"/>
        <w:left w:val="none" w:sz="0" w:space="0" w:color="auto"/>
        <w:bottom w:val="none" w:sz="0" w:space="0" w:color="auto"/>
        <w:right w:val="none" w:sz="0" w:space="0" w:color="auto"/>
      </w:divBdr>
    </w:div>
    <w:div w:id="208229000">
      <w:bodyDiv w:val="1"/>
      <w:marLeft w:val="0"/>
      <w:marRight w:val="0"/>
      <w:marTop w:val="0"/>
      <w:marBottom w:val="0"/>
      <w:divBdr>
        <w:top w:val="none" w:sz="0" w:space="0" w:color="auto"/>
        <w:left w:val="none" w:sz="0" w:space="0" w:color="auto"/>
        <w:bottom w:val="none" w:sz="0" w:space="0" w:color="auto"/>
        <w:right w:val="none" w:sz="0" w:space="0" w:color="auto"/>
      </w:divBdr>
      <w:divsChild>
        <w:div w:id="1303538459">
          <w:marLeft w:val="0"/>
          <w:marRight w:val="0"/>
          <w:marTop w:val="0"/>
          <w:marBottom w:val="0"/>
          <w:divBdr>
            <w:top w:val="none" w:sz="0" w:space="0" w:color="auto"/>
            <w:left w:val="none" w:sz="0" w:space="0" w:color="auto"/>
            <w:bottom w:val="none" w:sz="0" w:space="0" w:color="auto"/>
            <w:right w:val="none" w:sz="0" w:space="0" w:color="auto"/>
          </w:divBdr>
        </w:div>
      </w:divsChild>
    </w:div>
    <w:div w:id="279994450">
      <w:bodyDiv w:val="1"/>
      <w:marLeft w:val="0"/>
      <w:marRight w:val="0"/>
      <w:marTop w:val="0"/>
      <w:marBottom w:val="0"/>
      <w:divBdr>
        <w:top w:val="none" w:sz="0" w:space="0" w:color="auto"/>
        <w:left w:val="none" w:sz="0" w:space="0" w:color="auto"/>
        <w:bottom w:val="none" w:sz="0" w:space="0" w:color="auto"/>
        <w:right w:val="none" w:sz="0" w:space="0" w:color="auto"/>
      </w:divBdr>
    </w:div>
    <w:div w:id="291526145">
      <w:bodyDiv w:val="1"/>
      <w:marLeft w:val="0"/>
      <w:marRight w:val="0"/>
      <w:marTop w:val="0"/>
      <w:marBottom w:val="0"/>
      <w:divBdr>
        <w:top w:val="none" w:sz="0" w:space="0" w:color="auto"/>
        <w:left w:val="none" w:sz="0" w:space="0" w:color="auto"/>
        <w:bottom w:val="none" w:sz="0" w:space="0" w:color="auto"/>
        <w:right w:val="none" w:sz="0" w:space="0" w:color="auto"/>
      </w:divBdr>
    </w:div>
    <w:div w:id="318123507">
      <w:bodyDiv w:val="1"/>
      <w:marLeft w:val="0"/>
      <w:marRight w:val="0"/>
      <w:marTop w:val="0"/>
      <w:marBottom w:val="0"/>
      <w:divBdr>
        <w:top w:val="none" w:sz="0" w:space="0" w:color="auto"/>
        <w:left w:val="none" w:sz="0" w:space="0" w:color="auto"/>
        <w:bottom w:val="none" w:sz="0" w:space="0" w:color="auto"/>
        <w:right w:val="none" w:sz="0" w:space="0" w:color="auto"/>
      </w:divBdr>
    </w:div>
    <w:div w:id="362562411">
      <w:bodyDiv w:val="1"/>
      <w:marLeft w:val="0"/>
      <w:marRight w:val="0"/>
      <w:marTop w:val="0"/>
      <w:marBottom w:val="0"/>
      <w:divBdr>
        <w:top w:val="none" w:sz="0" w:space="0" w:color="auto"/>
        <w:left w:val="none" w:sz="0" w:space="0" w:color="auto"/>
        <w:bottom w:val="none" w:sz="0" w:space="0" w:color="auto"/>
        <w:right w:val="none" w:sz="0" w:space="0" w:color="auto"/>
      </w:divBdr>
    </w:div>
    <w:div w:id="573055156">
      <w:bodyDiv w:val="1"/>
      <w:marLeft w:val="0"/>
      <w:marRight w:val="0"/>
      <w:marTop w:val="0"/>
      <w:marBottom w:val="0"/>
      <w:divBdr>
        <w:top w:val="none" w:sz="0" w:space="0" w:color="auto"/>
        <w:left w:val="none" w:sz="0" w:space="0" w:color="auto"/>
        <w:bottom w:val="none" w:sz="0" w:space="0" w:color="auto"/>
        <w:right w:val="none" w:sz="0" w:space="0" w:color="auto"/>
      </w:divBdr>
    </w:div>
    <w:div w:id="632758096">
      <w:bodyDiv w:val="1"/>
      <w:marLeft w:val="0"/>
      <w:marRight w:val="0"/>
      <w:marTop w:val="0"/>
      <w:marBottom w:val="0"/>
      <w:divBdr>
        <w:top w:val="none" w:sz="0" w:space="0" w:color="auto"/>
        <w:left w:val="none" w:sz="0" w:space="0" w:color="auto"/>
        <w:bottom w:val="none" w:sz="0" w:space="0" w:color="auto"/>
        <w:right w:val="none" w:sz="0" w:space="0" w:color="auto"/>
      </w:divBdr>
    </w:div>
    <w:div w:id="828248913">
      <w:bodyDiv w:val="1"/>
      <w:marLeft w:val="0"/>
      <w:marRight w:val="0"/>
      <w:marTop w:val="0"/>
      <w:marBottom w:val="0"/>
      <w:divBdr>
        <w:top w:val="none" w:sz="0" w:space="0" w:color="auto"/>
        <w:left w:val="none" w:sz="0" w:space="0" w:color="auto"/>
        <w:bottom w:val="none" w:sz="0" w:space="0" w:color="auto"/>
        <w:right w:val="none" w:sz="0" w:space="0" w:color="auto"/>
      </w:divBdr>
    </w:div>
    <w:div w:id="860823432">
      <w:bodyDiv w:val="1"/>
      <w:marLeft w:val="0"/>
      <w:marRight w:val="0"/>
      <w:marTop w:val="0"/>
      <w:marBottom w:val="0"/>
      <w:divBdr>
        <w:top w:val="none" w:sz="0" w:space="0" w:color="auto"/>
        <w:left w:val="none" w:sz="0" w:space="0" w:color="auto"/>
        <w:bottom w:val="none" w:sz="0" w:space="0" w:color="auto"/>
        <w:right w:val="none" w:sz="0" w:space="0" w:color="auto"/>
      </w:divBdr>
      <w:divsChild>
        <w:div w:id="174078815">
          <w:marLeft w:val="0"/>
          <w:marRight w:val="0"/>
          <w:marTop w:val="0"/>
          <w:marBottom w:val="0"/>
          <w:divBdr>
            <w:top w:val="none" w:sz="0" w:space="0" w:color="auto"/>
            <w:left w:val="none" w:sz="0" w:space="0" w:color="auto"/>
            <w:bottom w:val="none" w:sz="0" w:space="0" w:color="auto"/>
            <w:right w:val="none" w:sz="0" w:space="0" w:color="auto"/>
          </w:divBdr>
        </w:div>
      </w:divsChild>
    </w:div>
    <w:div w:id="884176756">
      <w:bodyDiv w:val="1"/>
      <w:marLeft w:val="0"/>
      <w:marRight w:val="0"/>
      <w:marTop w:val="0"/>
      <w:marBottom w:val="0"/>
      <w:divBdr>
        <w:top w:val="none" w:sz="0" w:space="0" w:color="auto"/>
        <w:left w:val="none" w:sz="0" w:space="0" w:color="auto"/>
        <w:bottom w:val="none" w:sz="0" w:space="0" w:color="auto"/>
        <w:right w:val="none" w:sz="0" w:space="0" w:color="auto"/>
      </w:divBdr>
    </w:div>
    <w:div w:id="907500504">
      <w:bodyDiv w:val="1"/>
      <w:marLeft w:val="0"/>
      <w:marRight w:val="0"/>
      <w:marTop w:val="0"/>
      <w:marBottom w:val="0"/>
      <w:divBdr>
        <w:top w:val="none" w:sz="0" w:space="0" w:color="auto"/>
        <w:left w:val="none" w:sz="0" w:space="0" w:color="auto"/>
        <w:bottom w:val="none" w:sz="0" w:space="0" w:color="auto"/>
        <w:right w:val="none" w:sz="0" w:space="0" w:color="auto"/>
      </w:divBdr>
      <w:divsChild>
        <w:div w:id="1238204076">
          <w:marLeft w:val="0"/>
          <w:marRight w:val="0"/>
          <w:marTop w:val="0"/>
          <w:marBottom w:val="0"/>
          <w:divBdr>
            <w:top w:val="none" w:sz="0" w:space="0" w:color="auto"/>
            <w:left w:val="none" w:sz="0" w:space="0" w:color="auto"/>
            <w:bottom w:val="none" w:sz="0" w:space="0" w:color="auto"/>
            <w:right w:val="none" w:sz="0" w:space="0" w:color="auto"/>
          </w:divBdr>
        </w:div>
      </w:divsChild>
    </w:div>
    <w:div w:id="951401348">
      <w:bodyDiv w:val="1"/>
      <w:marLeft w:val="0"/>
      <w:marRight w:val="0"/>
      <w:marTop w:val="0"/>
      <w:marBottom w:val="0"/>
      <w:divBdr>
        <w:top w:val="none" w:sz="0" w:space="0" w:color="auto"/>
        <w:left w:val="none" w:sz="0" w:space="0" w:color="auto"/>
        <w:bottom w:val="none" w:sz="0" w:space="0" w:color="auto"/>
        <w:right w:val="none" w:sz="0" w:space="0" w:color="auto"/>
      </w:divBdr>
      <w:divsChild>
        <w:div w:id="1639645469">
          <w:marLeft w:val="0"/>
          <w:marRight w:val="0"/>
          <w:marTop w:val="0"/>
          <w:marBottom w:val="0"/>
          <w:divBdr>
            <w:top w:val="none" w:sz="0" w:space="0" w:color="auto"/>
            <w:left w:val="none" w:sz="0" w:space="0" w:color="auto"/>
            <w:bottom w:val="none" w:sz="0" w:space="0" w:color="auto"/>
            <w:right w:val="none" w:sz="0" w:space="0" w:color="auto"/>
          </w:divBdr>
        </w:div>
      </w:divsChild>
    </w:div>
    <w:div w:id="966664825">
      <w:bodyDiv w:val="1"/>
      <w:marLeft w:val="0"/>
      <w:marRight w:val="0"/>
      <w:marTop w:val="0"/>
      <w:marBottom w:val="0"/>
      <w:divBdr>
        <w:top w:val="none" w:sz="0" w:space="0" w:color="auto"/>
        <w:left w:val="none" w:sz="0" w:space="0" w:color="auto"/>
        <w:bottom w:val="none" w:sz="0" w:space="0" w:color="auto"/>
        <w:right w:val="none" w:sz="0" w:space="0" w:color="auto"/>
      </w:divBdr>
      <w:divsChild>
        <w:div w:id="160969066">
          <w:marLeft w:val="0"/>
          <w:marRight w:val="0"/>
          <w:marTop w:val="0"/>
          <w:marBottom w:val="0"/>
          <w:divBdr>
            <w:top w:val="none" w:sz="0" w:space="0" w:color="auto"/>
            <w:left w:val="none" w:sz="0" w:space="0" w:color="auto"/>
            <w:bottom w:val="none" w:sz="0" w:space="0" w:color="auto"/>
            <w:right w:val="none" w:sz="0" w:space="0" w:color="auto"/>
          </w:divBdr>
        </w:div>
      </w:divsChild>
    </w:div>
    <w:div w:id="1047947734">
      <w:bodyDiv w:val="1"/>
      <w:marLeft w:val="0"/>
      <w:marRight w:val="0"/>
      <w:marTop w:val="0"/>
      <w:marBottom w:val="0"/>
      <w:divBdr>
        <w:top w:val="none" w:sz="0" w:space="0" w:color="auto"/>
        <w:left w:val="none" w:sz="0" w:space="0" w:color="auto"/>
        <w:bottom w:val="none" w:sz="0" w:space="0" w:color="auto"/>
        <w:right w:val="none" w:sz="0" w:space="0" w:color="auto"/>
      </w:divBdr>
    </w:div>
    <w:div w:id="1108550626">
      <w:bodyDiv w:val="1"/>
      <w:marLeft w:val="0"/>
      <w:marRight w:val="0"/>
      <w:marTop w:val="0"/>
      <w:marBottom w:val="0"/>
      <w:divBdr>
        <w:top w:val="none" w:sz="0" w:space="0" w:color="auto"/>
        <w:left w:val="none" w:sz="0" w:space="0" w:color="auto"/>
        <w:bottom w:val="none" w:sz="0" w:space="0" w:color="auto"/>
        <w:right w:val="none" w:sz="0" w:space="0" w:color="auto"/>
      </w:divBdr>
    </w:div>
    <w:div w:id="1197541953">
      <w:bodyDiv w:val="1"/>
      <w:marLeft w:val="0"/>
      <w:marRight w:val="0"/>
      <w:marTop w:val="0"/>
      <w:marBottom w:val="0"/>
      <w:divBdr>
        <w:top w:val="none" w:sz="0" w:space="0" w:color="auto"/>
        <w:left w:val="none" w:sz="0" w:space="0" w:color="auto"/>
        <w:bottom w:val="none" w:sz="0" w:space="0" w:color="auto"/>
        <w:right w:val="none" w:sz="0" w:space="0" w:color="auto"/>
      </w:divBdr>
    </w:div>
    <w:div w:id="1328286763">
      <w:bodyDiv w:val="1"/>
      <w:marLeft w:val="0"/>
      <w:marRight w:val="0"/>
      <w:marTop w:val="0"/>
      <w:marBottom w:val="0"/>
      <w:divBdr>
        <w:top w:val="none" w:sz="0" w:space="0" w:color="auto"/>
        <w:left w:val="none" w:sz="0" w:space="0" w:color="auto"/>
        <w:bottom w:val="none" w:sz="0" w:space="0" w:color="auto"/>
        <w:right w:val="none" w:sz="0" w:space="0" w:color="auto"/>
      </w:divBdr>
      <w:divsChild>
        <w:div w:id="1404915509">
          <w:marLeft w:val="0"/>
          <w:marRight w:val="0"/>
          <w:marTop w:val="0"/>
          <w:marBottom w:val="0"/>
          <w:divBdr>
            <w:top w:val="none" w:sz="0" w:space="0" w:color="auto"/>
            <w:left w:val="none" w:sz="0" w:space="0" w:color="auto"/>
            <w:bottom w:val="none" w:sz="0" w:space="0" w:color="auto"/>
            <w:right w:val="none" w:sz="0" w:space="0" w:color="auto"/>
          </w:divBdr>
        </w:div>
      </w:divsChild>
    </w:div>
    <w:div w:id="1541278591">
      <w:bodyDiv w:val="1"/>
      <w:marLeft w:val="0"/>
      <w:marRight w:val="0"/>
      <w:marTop w:val="0"/>
      <w:marBottom w:val="0"/>
      <w:divBdr>
        <w:top w:val="none" w:sz="0" w:space="0" w:color="auto"/>
        <w:left w:val="none" w:sz="0" w:space="0" w:color="auto"/>
        <w:bottom w:val="none" w:sz="0" w:space="0" w:color="auto"/>
        <w:right w:val="none" w:sz="0" w:space="0" w:color="auto"/>
      </w:divBdr>
    </w:div>
    <w:div w:id="1637561018">
      <w:bodyDiv w:val="1"/>
      <w:marLeft w:val="0"/>
      <w:marRight w:val="0"/>
      <w:marTop w:val="0"/>
      <w:marBottom w:val="0"/>
      <w:divBdr>
        <w:top w:val="none" w:sz="0" w:space="0" w:color="auto"/>
        <w:left w:val="none" w:sz="0" w:space="0" w:color="auto"/>
        <w:bottom w:val="none" w:sz="0" w:space="0" w:color="auto"/>
        <w:right w:val="none" w:sz="0" w:space="0" w:color="auto"/>
      </w:divBdr>
      <w:divsChild>
        <w:div w:id="579488742">
          <w:marLeft w:val="0"/>
          <w:marRight w:val="0"/>
          <w:marTop w:val="0"/>
          <w:marBottom w:val="0"/>
          <w:divBdr>
            <w:top w:val="none" w:sz="0" w:space="0" w:color="auto"/>
            <w:left w:val="none" w:sz="0" w:space="0" w:color="auto"/>
            <w:bottom w:val="none" w:sz="0" w:space="0" w:color="auto"/>
            <w:right w:val="none" w:sz="0" w:space="0" w:color="auto"/>
          </w:divBdr>
        </w:div>
      </w:divsChild>
    </w:div>
    <w:div w:id="1644386791">
      <w:bodyDiv w:val="1"/>
      <w:marLeft w:val="0"/>
      <w:marRight w:val="0"/>
      <w:marTop w:val="0"/>
      <w:marBottom w:val="0"/>
      <w:divBdr>
        <w:top w:val="none" w:sz="0" w:space="0" w:color="auto"/>
        <w:left w:val="none" w:sz="0" w:space="0" w:color="auto"/>
        <w:bottom w:val="none" w:sz="0" w:space="0" w:color="auto"/>
        <w:right w:val="none" w:sz="0" w:space="0" w:color="auto"/>
      </w:divBdr>
    </w:div>
    <w:div w:id="1672638434">
      <w:bodyDiv w:val="1"/>
      <w:marLeft w:val="0"/>
      <w:marRight w:val="0"/>
      <w:marTop w:val="0"/>
      <w:marBottom w:val="0"/>
      <w:divBdr>
        <w:top w:val="none" w:sz="0" w:space="0" w:color="auto"/>
        <w:left w:val="none" w:sz="0" w:space="0" w:color="auto"/>
        <w:bottom w:val="none" w:sz="0" w:space="0" w:color="auto"/>
        <w:right w:val="none" w:sz="0" w:space="0" w:color="auto"/>
      </w:divBdr>
    </w:div>
    <w:div w:id="1843546893">
      <w:bodyDiv w:val="1"/>
      <w:marLeft w:val="0"/>
      <w:marRight w:val="0"/>
      <w:marTop w:val="0"/>
      <w:marBottom w:val="0"/>
      <w:divBdr>
        <w:top w:val="none" w:sz="0" w:space="0" w:color="auto"/>
        <w:left w:val="none" w:sz="0" w:space="0" w:color="auto"/>
        <w:bottom w:val="none" w:sz="0" w:space="0" w:color="auto"/>
        <w:right w:val="none" w:sz="0" w:space="0" w:color="auto"/>
      </w:divBdr>
      <w:divsChild>
        <w:div w:id="1857423233">
          <w:marLeft w:val="0"/>
          <w:marRight w:val="0"/>
          <w:marTop w:val="0"/>
          <w:marBottom w:val="0"/>
          <w:divBdr>
            <w:top w:val="none" w:sz="0" w:space="0" w:color="auto"/>
            <w:left w:val="none" w:sz="0" w:space="0" w:color="auto"/>
            <w:bottom w:val="none" w:sz="0" w:space="0" w:color="auto"/>
            <w:right w:val="none" w:sz="0" w:space="0" w:color="auto"/>
          </w:divBdr>
        </w:div>
      </w:divsChild>
    </w:div>
    <w:div w:id="1965844050">
      <w:bodyDiv w:val="1"/>
      <w:marLeft w:val="0"/>
      <w:marRight w:val="0"/>
      <w:marTop w:val="0"/>
      <w:marBottom w:val="0"/>
      <w:divBdr>
        <w:top w:val="none" w:sz="0" w:space="0" w:color="auto"/>
        <w:left w:val="none" w:sz="0" w:space="0" w:color="auto"/>
        <w:bottom w:val="none" w:sz="0" w:space="0" w:color="auto"/>
        <w:right w:val="none" w:sz="0" w:space="0" w:color="auto"/>
      </w:divBdr>
      <w:divsChild>
        <w:div w:id="208347965">
          <w:marLeft w:val="0"/>
          <w:marRight w:val="0"/>
          <w:marTop w:val="0"/>
          <w:marBottom w:val="0"/>
          <w:divBdr>
            <w:top w:val="none" w:sz="0" w:space="0" w:color="auto"/>
            <w:left w:val="none" w:sz="0" w:space="0" w:color="auto"/>
            <w:bottom w:val="none" w:sz="0" w:space="0" w:color="auto"/>
            <w:right w:val="none" w:sz="0" w:space="0" w:color="auto"/>
          </w:divBdr>
        </w:div>
      </w:divsChild>
    </w:div>
    <w:div w:id="2052488448">
      <w:bodyDiv w:val="1"/>
      <w:marLeft w:val="0"/>
      <w:marRight w:val="0"/>
      <w:marTop w:val="0"/>
      <w:marBottom w:val="0"/>
      <w:divBdr>
        <w:top w:val="none" w:sz="0" w:space="0" w:color="auto"/>
        <w:left w:val="none" w:sz="0" w:space="0" w:color="auto"/>
        <w:bottom w:val="none" w:sz="0" w:space="0" w:color="auto"/>
        <w:right w:val="none" w:sz="0" w:space="0" w:color="auto"/>
      </w:divBdr>
    </w:div>
    <w:div w:id="2108649083">
      <w:bodyDiv w:val="1"/>
      <w:marLeft w:val="0"/>
      <w:marRight w:val="0"/>
      <w:marTop w:val="0"/>
      <w:marBottom w:val="0"/>
      <w:divBdr>
        <w:top w:val="none" w:sz="0" w:space="0" w:color="auto"/>
        <w:left w:val="none" w:sz="0" w:space="0" w:color="auto"/>
        <w:bottom w:val="none" w:sz="0" w:space="0" w:color="auto"/>
        <w:right w:val="none" w:sz="0" w:space="0" w:color="auto"/>
      </w:divBdr>
    </w:div>
    <w:div w:id="2128545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Relationship Id="rId3" Type="http://schemas.openxmlformats.org/officeDocument/2006/relationships/settings" Target="settings.xml"/><Relationship Id="rId7" Type="http://schemas.openxmlformats.org/officeDocument/2006/relationships/hyperlink" Target="https://sdgs.un.org/goals/goal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news-room/fact-sheets/detail/drinking-water" TargetMode="External"/><Relationship Id="rId11" Type="http://schemas.openxmlformats.org/officeDocument/2006/relationships/theme" Target="theme/theme1.xml"/><Relationship Id="rId5" Type="http://schemas.openxmlformats.org/officeDocument/2006/relationships/hyperlink" Target="https://www.unwater.org/sites/default/files/2023-08/UN-Water_SDG6_SynthesisReport_2023.pdf?utm_source=chatgpt.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organisations/office-for-health-improvement-and-dispar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14</Pages>
  <Words>4223</Words>
  <Characters>26733</Characters>
  <Application>Microsoft Office Word</Application>
  <DocSecurity>0</DocSecurity>
  <Lines>424</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4</cp:revision>
  <dcterms:created xsi:type="dcterms:W3CDTF">2025-10-08T16:58:00Z</dcterms:created>
  <dcterms:modified xsi:type="dcterms:W3CDTF">2025-10-12T08:55:00Z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bcc0ec66-562f-4e63-8a60-acde25301fd1</vt:lpwstr>
  </property>
</Properties>
</file>