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0761E" w14:textId="0368C36F" w:rsidR="3B68FF25" w:rsidRDefault="3B68FF25" w:rsidP="3B68FF25">
      <w:pPr>
        <w:jc w:val="center"/>
        <w:rPr>
          <w:rFonts w:ascii="Arial" w:eastAsia="Arial" w:hAnsi="Arial" w:cs="Arial"/>
          <w:b/>
          <w:bCs/>
          <w:sz w:val="96"/>
          <w:szCs w:val="96"/>
        </w:rPr>
      </w:pPr>
    </w:p>
    <w:p w14:paraId="58473C8A" w14:textId="745A9341" w:rsidR="3B68FF25" w:rsidRDefault="3B68FF25" w:rsidP="3B68FF25">
      <w:pPr>
        <w:jc w:val="center"/>
        <w:rPr>
          <w:rFonts w:ascii="Arial" w:eastAsia="Arial" w:hAnsi="Arial" w:cs="Arial"/>
          <w:b/>
          <w:bCs/>
          <w:sz w:val="96"/>
          <w:szCs w:val="96"/>
        </w:rPr>
      </w:pPr>
    </w:p>
    <w:p w14:paraId="5E6BC8C8" w14:textId="30D8AD2A" w:rsidR="00E43EED" w:rsidRDefault="5C244365" w:rsidP="3B68FF25">
      <w:pPr>
        <w:jc w:val="center"/>
        <w:rPr>
          <w:rFonts w:ascii="Arial" w:eastAsia="Arial" w:hAnsi="Arial" w:cs="Arial"/>
          <w:b/>
          <w:bCs/>
          <w:sz w:val="96"/>
          <w:szCs w:val="96"/>
        </w:rPr>
      </w:pPr>
      <w:r w:rsidRPr="3B68FF25">
        <w:rPr>
          <w:rFonts w:ascii="Arial" w:eastAsia="Arial" w:hAnsi="Arial" w:cs="Arial"/>
          <w:b/>
          <w:bCs/>
          <w:sz w:val="96"/>
          <w:szCs w:val="96"/>
        </w:rPr>
        <w:t>Report</w:t>
      </w:r>
    </w:p>
    <w:p w14:paraId="4686193E" w14:textId="77777777" w:rsidR="00E43EED" w:rsidRDefault="00E43EED" w:rsidP="31DCDEAB">
      <w:pPr>
        <w:rPr>
          <w:rFonts w:ascii="Arial" w:eastAsia="Arial" w:hAnsi="Arial" w:cs="Arial"/>
        </w:rPr>
      </w:pPr>
    </w:p>
    <w:p w14:paraId="4228575D" w14:textId="77777777" w:rsidR="00E43EED" w:rsidRDefault="00E43EED" w:rsidP="31DCDEAB">
      <w:pPr>
        <w:rPr>
          <w:rFonts w:ascii="Arial" w:eastAsia="Arial" w:hAnsi="Arial" w:cs="Arial"/>
        </w:rPr>
      </w:pPr>
    </w:p>
    <w:p w14:paraId="0F1ED100" w14:textId="77777777" w:rsidR="00E43EED" w:rsidRDefault="00E43EED" w:rsidP="31DCDEAB">
      <w:pPr>
        <w:rPr>
          <w:rFonts w:ascii="Arial" w:eastAsia="Arial" w:hAnsi="Arial" w:cs="Arial"/>
        </w:rPr>
      </w:pPr>
    </w:p>
    <w:p w14:paraId="616287C1" w14:textId="77777777" w:rsidR="00E43EED" w:rsidRDefault="00E43EED" w:rsidP="31DCDEAB">
      <w:pPr>
        <w:rPr>
          <w:rFonts w:ascii="Arial" w:eastAsia="Arial" w:hAnsi="Arial" w:cs="Arial"/>
        </w:rPr>
      </w:pPr>
    </w:p>
    <w:p w14:paraId="1E79DA93" w14:textId="77777777" w:rsidR="00E43EED" w:rsidRDefault="00E43EED" w:rsidP="31DCDEAB">
      <w:pPr>
        <w:rPr>
          <w:rFonts w:ascii="Arial" w:eastAsia="Arial" w:hAnsi="Arial" w:cs="Arial"/>
        </w:rPr>
      </w:pPr>
    </w:p>
    <w:p w14:paraId="3ED4F0BE" w14:textId="77777777" w:rsidR="00B8282E" w:rsidRDefault="00B8282E" w:rsidP="31DCDEAB">
      <w:pPr>
        <w:rPr>
          <w:rFonts w:ascii="Arial" w:eastAsia="Arial" w:hAnsi="Arial" w:cs="Arial"/>
        </w:rPr>
      </w:pPr>
    </w:p>
    <w:p w14:paraId="34D17490" w14:textId="77777777" w:rsidR="00B8282E" w:rsidRDefault="00B8282E" w:rsidP="31DCDEAB">
      <w:pPr>
        <w:rPr>
          <w:rFonts w:ascii="Arial" w:eastAsia="Arial" w:hAnsi="Arial" w:cs="Arial"/>
        </w:rPr>
      </w:pPr>
    </w:p>
    <w:p w14:paraId="38D5C14A" w14:textId="77777777" w:rsidR="00B8282E" w:rsidRDefault="00B8282E" w:rsidP="31DCDEAB">
      <w:pPr>
        <w:rPr>
          <w:rFonts w:ascii="Arial" w:eastAsia="Arial" w:hAnsi="Arial" w:cs="Arial"/>
        </w:rPr>
      </w:pPr>
    </w:p>
    <w:p w14:paraId="6FB7F946" w14:textId="77777777" w:rsidR="00B8282E" w:rsidRDefault="00B8282E" w:rsidP="31DCDEAB">
      <w:pPr>
        <w:rPr>
          <w:rFonts w:ascii="Arial" w:eastAsia="Arial" w:hAnsi="Arial" w:cs="Arial"/>
        </w:rPr>
      </w:pPr>
    </w:p>
    <w:p w14:paraId="3BCBB8EA" w14:textId="77777777" w:rsidR="00B8282E" w:rsidRDefault="00B8282E" w:rsidP="31DCDEAB">
      <w:pPr>
        <w:rPr>
          <w:rFonts w:ascii="Arial" w:eastAsia="Arial" w:hAnsi="Arial" w:cs="Arial"/>
        </w:rPr>
      </w:pPr>
    </w:p>
    <w:p w14:paraId="3BC63D5D" w14:textId="77777777" w:rsidR="00B8282E" w:rsidRDefault="00B8282E" w:rsidP="31DCDEAB">
      <w:pPr>
        <w:rPr>
          <w:rFonts w:ascii="Arial" w:eastAsia="Arial" w:hAnsi="Arial" w:cs="Arial"/>
        </w:rPr>
      </w:pPr>
    </w:p>
    <w:p w14:paraId="3AE8EFD9" w14:textId="77777777" w:rsidR="00B8282E" w:rsidRDefault="00B8282E" w:rsidP="31DCDEAB">
      <w:pPr>
        <w:rPr>
          <w:rFonts w:ascii="Arial" w:eastAsia="Arial" w:hAnsi="Arial" w:cs="Arial"/>
        </w:rPr>
      </w:pPr>
    </w:p>
    <w:p w14:paraId="4131620D" w14:textId="77777777" w:rsidR="00B8282E" w:rsidRDefault="00B8282E" w:rsidP="31DCDEAB">
      <w:pPr>
        <w:rPr>
          <w:rFonts w:ascii="Arial" w:eastAsia="Arial" w:hAnsi="Arial" w:cs="Arial"/>
        </w:rPr>
      </w:pPr>
    </w:p>
    <w:p w14:paraId="674618D3" w14:textId="77777777" w:rsidR="00B8282E" w:rsidRDefault="00B8282E" w:rsidP="31DCDEAB">
      <w:pPr>
        <w:rPr>
          <w:rFonts w:ascii="Arial" w:eastAsia="Arial" w:hAnsi="Arial" w:cs="Arial"/>
        </w:rPr>
      </w:pPr>
    </w:p>
    <w:p w14:paraId="545086FE" w14:textId="77777777" w:rsidR="00B8282E" w:rsidRDefault="00B8282E" w:rsidP="31DCDEAB">
      <w:pPr>
        <w:rPr>
          <w:rFonts w:ascii="Arial" w:eastAsia="Arial" w:hAnsi="Arial" w:cs="Arial"/>
        </w:rPr>
      </w:pPr>
    </w:p>
    <w:p w14:paraId="2D7E8AAC" w14:textId="77777777" w:rsidR="00B8282E" w:rsidRDefault="00B8282E" w:rsidP="31DCDEAB">
      <w:pPr>
        <w:rPr>
          <w:rFonts w:ascii="Arial" w:eastAsia="Arial" w:hAnsi="Arial" w:cs="Arial"/>
        </w:rPr>
      </w:pPr>
    </w:p>
    <w:p w14:paraId="077BD08C" w14:textId="49636A6F" w:rsidR="2ED9837A" w:rsidRDefault="5C244365" w:rsidP="3B68FF25">
      <w:pPr>
        <w:jc w:val="center"/>
        <w:rPr>
          <w:rFonts w:ascii="Arial" w:eastAsia="Arial" w:hAnsi="Arial" w:cs="Arial"/>
        </w:rPr>
      </w:pPr>
      <w:r w:rsidRPr="3B68FF25">
        <w:rPr>
          <w:rFonts w:ascii="Arial" w:eastAsia="Arial" w:hAnsi="Arial" w:cs="Arial"/>
        </w:rPr>
        <w:t>Ffion Oliver</w:t>
      </w:r>
    </w:p>
    <w:p w14:paraId="7776D2EB" w14:textId="641BF5C9" w:rsidR="2ED9837A" w:rsidRDefault="5C244365" w:rsidP="3B68FF25">
      <w:pPr>
        <w:jc w:val="center"/>
        <w:rPr>
          <w:rFonts w:ascii="Arial" w:eastAsia="Arial" w:hAnsi="Arial" w:cs="Arial"/>
        </w:rPr>
      </w:pPr>
      <w:r w:rsidRPr="3B68FF25">
        <w:rPr>
          <w:rFonts w:ascii="Arial" w:eastAsia="Arial" w:hAnsi="Arial" w:cs="Arial"/>
        </w:rPr>
        <w:t>2305145</w:t>
      </w:r>
    </w:p>
    <w:p w14:paraId="68E18253" w14:textId="4F22452B" w:rsidR="1BAADBC6" w:rsidRDefault="1BAADBC6" w:rsidP="3B68FF25">
      <w:pPr>
        <w:spacing w:line="360" w:lineRule="auto"/>
        <w:rPr>
          <w:rFonts w:ascii="Arial" w:eastAsia="Arial" w:hAnsi="Arial" w:cs="Arial"/>
        </w:rPr>
      </w:pPr>
      <w:r w:rsidRPr="2FE0697F">
        <w:rPr>
          <w:rFonts w:ascii="Arial" w:eastAsia="Arial" w:hAnsi="Arial" w:cs="Arial"/>
        </w:rPr>
        <w:lastRenderedPageBreak/>
        <w:t xml:space="preserve"> B1 - </w:t>
      </w:r>
      <w:r w:rsidR="3CC26706" w:rsidRPr="2FE0697F">
        <w:rPr>
          <w:rFonts w:ascii="Arial" w:eastAsia="Arial" w:hAnsi="Arial" w:cs="Arial"/>
        </w:rPr>
        <w:t>The legal</w:t>
      </w:r>
      <w:r w:rsidR="194562F6" w:rsidRPr="2FE0697F">
        <w:rPr>
          <w:rFonts w:ascii="Arial" w:eastAsia="Arial" w:hAnsi="Arial" w:cs="Arial"/>
        </w:rPr>
        <w:t xml:space="preserve"> problem that has been encountered</w:t>
      </w:r>
      <w:r w:rsidR="3CC26706" w:rsidRPr="2FE0697F">
        <w:rPr>
          <w:rFonts w:ascii="Arial" w:eastAsia="Arial" w:hAnsi="Arial" w:cs="Arial"/>
        </w:rPr>
        <w:t xml:space="preserve"> </w:t>
      </w:r>
      <w:r w:rsidR="59194826" w:rsidRPr="2FE0697F">
        <w:rPr>
          <w:rFonts w:ascii="Arial" w:eastAsia="Arial" w:hAnsi="Arial" w:cs="Arial"/>
        </w:rPr>
        <w:t>is</w:t>
      </w:r>
      <w:r w:rsidR="3CC26706" w:rsidRPr="2FE0697F">
        <w:rPr>
          <w:rFonts w:ascii="Arial" w:eastAsia="Arial" w:hAnsi="Arial" w:cs="Arial"/>
        </w:rPr>
        <w:t xml:space="preserve"> child rights in terminating a pregnancy.</w:t>
      </w:r>
      <w:r w:rsidR="5AB1C86D" w:rsidRPr="2FE0697F">
        <w:rPr>
          <w:rFonts w:ascii="Arial" w:eastAsia="Arial" w:hAnsi="Arial" w:cs="Arial"/>
        </w:rPr>
        <w:t xml:space="preserve"> In</w:t>
      </w:r>
      <w:r w:rsidR="3CC26706" w:rsidRPr="2FE0697F">
        <w:rPr>
          <w:rFonts w:ascii="Arial" w:eastAsia="Arial" w:hAnsi="Arial" w:cs="Arial"/>
        </w:rPr>
        <w:t xml:space="preserve"> </w:t>
      </w:r>
      <w:r w:rsidR="42803F0B" w:rsidRPr="2FE0697F">
        <w:rPr>
          <w:rFonts w:ascii="Arial" w:eastAsia="Arial" w:hAnsi="Arial" w:cs="Arial"/>
        </w:rPr>
        <w:t>t</w:t>
      </w:r>
      <w:r w:rsidR="3CC26706" w:rsidRPr="2FE0697F">
        <w:rPr>
          <w:rFonts w:ascii="Arial" w:eastAsia="Arial" w:hAnsi="Arial" w:cs="Arial"/>
        </w:rPr>
        <w:t xml:space="preserve">he case </w:t>
      </w:r>
      <w:r w:rsidR="0FA34222" w:rsidRPr="2FE0697F">
        <w:rPr>
          <w:rFonts w:ascii="Arial" w:eastAsia="Arial" w:hAnsi="Arial" w:cs="Arial"/>
        </w:rPr>
        <w:t xml:space="preserve">of </w:t>
      </w:r>
      <w:proofErr w:type="spellStart"/>
      <w:r w:rsidR="3CC26706" w:rsidRPr="2FE0697F">
        <w:rPr>
          <w:rFonts w:ascii="Arial" w:eastAsia="Arial" w:hAnsi="Arial" w:cs="Arial"/>
        </w:rPr>
        <w:t>Gillick</w:t>
      </w:r>
      <w:proofErr w:type="spellEnd"/>
      <w:r w:rsidR="3CC26706" w:rsidRPr="2FE0697F">
        <w:rPr>
          <w:rFonts w:ascii="Arial" w:eastAsia="Arial" w:hAnsi="Arial" w:cs="Arial"/>
        </w:rPr>
        <w:t xml:space="preserve"> V</w:t>
      </w:r>
      <w:r w:rsidR="714467CD" w:rsidRPr="2FE0697F">
        <w:rPr>
          <w:rFonts w:ascii="Arial" w:eastAsia="Arial" w:hAnsi="Arial" w:cs="Arial"/>
        </w:rPr>
        <w:t xml:space="preserve"> West Norfolk and Wisbech Area Health Authority</w:t>
      </w:r>
      <w:r w:rsidR="0C56E8C6" w:rsidRPr="2FE0697F">
        <w:rPr>
          <w:rFonts w:ascii="Arial" w:eastAsia="Arial" w:hAnsi="Arial" w:cs="Arial"/>
        </w:rPr>
        <w:t xml:space="preserve"> </w:t>
      </w:r>
      <w:r w:rsidR="3ADE63BA" w:rsidRPr="2FE0697F">
        <w:rPr>
          <w:rFonts w:ascii="Arial" w:eastAsia="Arial" w:hAnsi="Arial" w:cs="Arial"/>
        </w:rPr>
        <w:t xml:space="preserve">(1985) </w:t>
      </w:r>
      <w:r w:rsidR="15003F03" w:rsidRPr="2FE0697F">
        <w:rPr>
          <w:rFonts w:ascii="Arial" w:eastAsia="Arial" w:hAnsi="Arial" w:cs="Arial"/>
        </w:rPr>
        <w:t>it</w:t>
      </w:r>
      <w:r w:rsidR="1E45320B" w:rsidRPr="2FE0697F">
        <w:rPr>
          <w:rFonts w:ascii="Arial" w:eastAsia="Arial" w:hAnsi="Arial" w:cs="Arial"/>
        </w:rPr>
        <w:t xml:space="preserve"> was</w:t>
      </w:r>
      <w:r w:rsidR="6AC41636" w:rsidRPr="2FE0697F">
        <w:rPr>
          <w:rFonts w:ascii="Arial" w:eastAsia="Arial" w:hAnsi="Arial" w:cs="Arial"/>
        </w:rPr>
        <w:t xml:space="preserve"> </w:t>
      </w:r>
      <w:r w:rsidR="19C25072" w:rsidRPr="2FE0697F">
        <w:rPr>
          <w:rFonts w:ascii="Arial" w:eastAsia="Arial" w:hAnsi="Arial" w:cs="Arial"/>
        </w:rPr>
        <w:t xml:space="preserve">said </w:t>
      </w:r>
      <w:r w:rsidR="1E45320B" w:rsidRPr="2FE0697F">
        <w:rPr>
          <w:rFonts w:ascii="Arial" w:eastAsia="Arial" w:hAnsi="Arial" w:cs="Arial"/>
        </w:rPr>
        <w:t xml:space="preserve">that the age of consent for seeking medical counsel and treatment, without parental knowledge was the subject of this landmark lawsuit. </w:t>
      </w:r>
      <w:r w:rsidR="00C92477" w:rsidRPr="2FE0697F">
        <w:rPr>
          <w:rFonts w:ascii="Arial" w:eastAsia="Arial" w:hAnsi="Arial" w:cs="Arial"/>
        </w:rPr>
        <w:t xml:space="preserve">A mother sued the defendant, Department of </w:t>
      </w:r>
      <w:r w:rsidR="001803E2" w:rsidRPr="2FE0697F">
        <w:rPr>
          <w:rFonts w:ascii="Arial" w:eastAsia="Arial" w:hAnsi="Arial" w:cs="Arial"/>
        </w:rPr>
        <w:t>Health,</w:t>
      </w:r>
      <w:r w:rsidR="00C92477" w:rsidRPr="2FE0697F">
        <w:rPr>
          <w:rFonts w:ascii="Arial" w:eastAsia="Arial" w:hAnsi="Arial" w:cs="Arial"/>
        </w:rPr>
        <w:t xml:space="preserve"> and Social Security</w:t>
      </w:r>
      <w:r w:rsidR="12BBEBC7" w:rsidRPr="2FE0697F">
        <w:rPr>
          <w:rFonts w:ascii="Arial" w:eastAsia="Arial" w:hAnsi="Arial" w:cs="Arial"/>
        </w:rPr>
        <w:t xml:space="preserve"> after she found they </w:t>
      </w:r>
      <w:r w:rsidR="1E45320B" w:rsidRPr="2FE0697F">
        <w:rPr>
          <w:rFonts w:ascii="Arial" w:eastAsia="Arial" w:hAnsi="Arial" w:cs="Arial"/>
        </w:rPr>
        <w:t xml:space="preserve">advise and treat girls under 16 about contraception without the parents' knowledge or consent. On appeal, the claim was </w:t>
      </w:r>
      <w:r w:rsidR="001803E2" w:rsidRPr="2FE0697F">
        <w:rPr>
          <w:rFonts w:ascii="Arial" w:eastAsia="Arial" w:hAnsi="Arial" w:cs="Arial"/>
        </w:rPr>
        <w:t>supported</w:t>
      </w:r>
      <w:r w:rsidR="1E45320B" w:rsidRPr="2FE0697F">
        <w:rPr>
          <w:rFonts w:ascii="Arial" w:eastAsia="Arial" w:hAnsi="Arial" w:cs="Arial"/>
        </w:rPr>
        <w:t>. The House of Lords granted the defendant's appeal, ruling that if a girl under the age of sixteen had the mental capacity and awareness to grasp the risks involved, she could give her consent to contraceptive advice and treatment.</w:t>
      </w:r>
      <w:r w:rsidR="43AD49D4" w:rsidRPr="2FE0697F">
        <w:rPr>
          <w:rFonts w:ascii="Arial" w:eastAsia="Arial" w:hAnsi="Arial" w:cs="Arial"/>
        </w:rPr>
        <w:t xml:space="preserve"> </w:t>
      </w:r>
      <w:r w:rsidR="4B1F6538" w:rsidRPr="2FE0697F">
        <w:rPr>
          <w:rFonts w:ascii="Arial" w:eastAsia="Arial" w:hAnsi="Arial" w:cs="Arial"/>
        </w:rPr>
        <w:t xml:space="preserve">Now, because of this, young teenage girls can access safe abortions. However, parents may not agree with this due to them not having to be informed by law.  </w:t>
      </w:r>
      <w:r w:rsidR="19F7A01F" w:rsidRPr="2FE0697F">
        <w:rPr>
          <w:rFonts w:ascii="Arial" w:eastAsia="Arial" w:hAnsi="Arial" w:cs="Arial"/>
        </w:rPr>
        <w:t>A</w:t>
      </w:r>
      <w:r w:rsidR="2F7715B0" w:rsidRPr="2FE0697F">
        <w:rPr>
          <w:rFonts w:ascii="Arial" w:eastAsia="Arial" w:hAnsi="Arial" w:cs="Arial"/>
        </w:rPr>
        <w:t xml:space="preserve">ccording to </w:t>
      </w:r>
      <w:r w:rsidR="6ED07B04" w:rsidRPr="2FE0697F">
        <w:rPr>
          <w:rFonts w:ascii="Arial" w:eastAsia="Arial" w:hAnsi="Arial" w:cs="Arial"/>
        </w:rPr>
        <w:t>T</w:t>
      </w:r>
      <w:r w:rsidR="2F7715B0" w:rsidRPr="2FE0697F">
        <w:rPr>
          <w:rFonts w:ascii="Arial" w:eastAsia="Arial" w:hAnsi="Arial" w:cs="Arial"/>
        </w:rPr>
        <w:t xml:space="preserve">he </w:t>
      </w:r>
      <w:r w:rsidR="7B85C12F" w:rsidRPr="2FE0697F">
        <w:rPr>
          <w:rFonts w:ascii="Arial" w:eastAsia="Arial" w:hAnsi="Arial" w:cs="Arial"/>
        </w:rPr>
        <w:t xml:space="preserve">Royal College of Paediatrics and Child Health </w:t>
      </w:r>
      <w:r w:rsidR="52C4CCE4" w:rsidRPr="2FE0697F">
        <w:rPr>
          <w:rFonts w:ascii="Arial" w:eastAsia="Arial" w:hAnsi="Arial" w:cs="Arial"/>
        </w:rPr>
        <w:t>O</w:t>
      </w:r>
      <w:r w:rsidR="7B85C12F" w:rsidRPr="2FE0697F">
        <w:rPr>
          <w:rFonts w:ascii="Arial" w:eastAsia="Arial" w:hAnsi="Arial" w:cs="Arial"/>
        </w:rPr>
        <w:t xml:space="preserve">rganisation (2022) </w:t>
      </w:r>
      <w:r w:rsidR="7B261AA2" w:rsidRPr="2FE0697F">
        <w:rPr>
          <w:rFonts w:ascii="Arial" w:eastAsia="Arial" w:hAnsi="Arial" w:cs="Arial"/>
        </w:rPr>
        <w:t>e</w:t>
      </w:r>
      <w:r w:rsidR="38A46AD0" w:rsidRPr="2FE0697F">
        <w:rPr>
          <w:rFonts w:ascii="Arial" w:eastAsia="Arial" w:hAnsi="Arial" w:cs="Arial"/>
          <w:color w:val="000000" w:themeColor="text1"/>
        </w:rPr>
        <w:t xml:space="preserve">very adolescent has the right to optimal health </w:t>
      </w:r>
      <w:commentRangeStart w:id="0"/>
      <w:r w:rsidR="38A46AD0" w:rsidRPr="2FE0697F">
        <w:rPr>
          <w:rFonts w:ascii="Arial" w:eastAsia="Arial" w:hAnsi="Arial" w:cs="Arial"/>
          <w:color w:val="000000" w:themeColor="text1"/>
        </w:rPr>
        <w:t>care</w:t>
      </w:r>
      <w:r w:rsidR="5F4F56FF" w:rsidRPr="2FE0697F">
        <w:rPr>
          <w:rFonts w:ascii="Arial" w:eastAsia="Arial" w:hAnsi="Arial" w:cs="Arial"/>
          <w:color w:val="000000" w:themeColor="text1"/>
        </w:rPr>
        <w:t xml:space="preserve">, as it shows in the UN Convention on </w:t>
      </w:r>
      <w:r w:rsidR="77BAFB3C" w:rsidRPr="2FE0697F">
        <w:rPr>
          <w:rFonts w:ascii="Arial" w:eastAsia="Arial" w:hAnsi="Arial" w:cs="Arial"/>
          <w:color w:val="000000" w:themeColor="text1"/>
        </w:rPr>
        <w:t>T</w:t>
      </w:r>
      <w:r w:rsidR="5F4F56FF" w:rsidRPr="2FE0697F">
        <w:rPr>
          <w:rFonts w:ascii="Arial" w:eastAsia="Arial" w:hAnsi="Arial" w:cs="Arial"/>
          <w:color w:val="000000" w:themeColor="text1"/>
        </w:rPr>
        <w:t xml:space="preserve">he </w:t>
      </w:r>
      <w:r w:rsidR="26C5FC98" w:rsidRPr="2FE0697F">
        <w:rPr>
          <w:rFonts w:ascii="Arial" w:eastAsia="Arial" w:hAnsi="Arial" w:cs="Arial"/>
          <w:color w:val="000000" w:themeColor="text1"/>
        </w:rPr>
        <w:t>R</w:t>
      </w:r>
      <w:r w:rsidR="5F4F56FF" w:rsidRPr="2FE0697F">
        <w:rPr>
          <w:rFonts w:ascii="Arial" w:eastAsia="Arial" w:hAnsi="Arial" w:cs="Arial"/>
          <w:color w:val="000000" w:themeColor="text1"/>
        </w:rPr>
        <w:t xml:space="preserve">ights of the </w:t>
      </w:r>
      <w:r w:rsidR="72FF42E4" w:rsidRPr="2FE0697F">
        <w:rPr>
          <w:rFonts w:ascii="Arial" w:eastAsia="Arial" w:hAnsi="Arial" w:cs="Arial"/>
          <w:color w:val="000000" w:themeColor="text1"/>
        </w:rPr>
        <w:t>C</w:t>
      </w:r>
      <w:r w:rsidR="5F4F56FF" w:rsidRPr="2FE0697F">
        <w:rPr>
          <w:rFonts w:ascii="Arial" w:eastAsia="Arial" w:hAnsi="Arial" w:cs="Arial"/>
          <w:color w:val="000000" w:themeColor="text1"/>
        </w:rPr>
        <w:t>hild (UNCRC)</w:t>
      </w:r>
      <w:r w:rsidR="602F7A19" w:rsidRPr="2FE0697F">
        <w:rPr>
          <w:rFonts w:ascii="Arial" w:eastAsia="Arial" w:hAnsi="Arial" w:cs="Arial"/>
          <w:color w:val="000000" w:themeColor="text1"/>
        </w:rPr>
        <w:t>, provided by Unicef (2022).</w:t>
      </w:r>
      <w:r w:rsidR="3450694C" w:rsidRPr="2FE0697F">
        <w:rPr>
          <w:rFonts w:ascii="Arial" w:eastAsia="Arial" w:hAnsi="Arial" w:cs="Arial"/>
          <w:color w:val="000000" w:themeColor="text1"/>
        </w:rPr>
        <w:t xml:space="preserve"> </w:t>
      </w:r>
      <w:r w:rsidR="2046EF31" w:rsidRPr="2FE0697F">
        <w:rPr>
          <w:rFonts w:ascii="Arial" w:eastAsia="Arial" w:hAnsi="Arial" w:cs="Arial"/>
          <w:color w:val="000000" w:themeColor="text1"/>
        </w:rPr>
        <w:t>W</w:t>
      </w:r>
      <w:r w:rsidR="3450694C" w:rsidRPr="2FE0697F">
        <w:rPr>
          <w:rFonts w:ascii="Arial" w:eastAsia="Arial" w:hAnsi="Arial" w:cs="Arial"/>
          <w:color w:val="000000" w:themeColor="text1"/>
        </w:rPr>
        <w:t xml:space="preserve">hich is a binding document </w:t>
      </w:r>
      <w:r w:rsidR="78179817" w:rsidRPr="2FE0697F">
        <w:rPr>
          <w:rFonts w:ascii="Arial" w:eastAsia="Arial" w:hAnsi="Arial" w:cs="Arial"/>
          <w:color w:val="000000" w:themeColor="text1"/>
        </w:rPr>
        <w:t>that</w:t>
      </w:r>
      <w:r w:rsidR="3450694C" w:rsidRPr="2FE0697F">
        <w:rPr>
          <w:rFonts w:ascii="Arial" w:eastAsia="Arial" w:hAnsi="Arial" w:cs="Arial"/>
          <w:color w:val="000000" w:themeColor="text1"/>
        </w:rPr>
        <w:t xml:space="preserve"> outlines the fundamental rights of every child</w:t>
      </w:r>
      <w:commentRangeEnd w:id="0"/>
      <w:r>
        <w:rPr>
          <w:rStyle w:val="CommentReference"/>
        </w:rPr>
        <w:commentReference w:id="0"/>
      </w:r>
      <w:r w:rsidR="38A46AD0" w:rsidRPr="2FE0697F">
        <w:rPr>
          <w:rFonts w:ascii="Arial" w:eastAsia="Arial" w:hAnsi="Arial" w:cs="Arial"/>
          <w:color w:val="000000" w:themeColor="text1"/>
        </w:rPr>
        <w:t xml:space="preserve">. </w:t>
      </w:r>
      <w:r w:rsidR="05568DD4" w:rsidRPr="2FE0697F">
        <w:rPr>
          <w:rFonts w:ascii="Arial" w:eastAsia="Arial" w:hAnsi="Arial" w:cs="Arial"/>
          <w:color w:val="000000" w:themeColor="text1"/>
        </w:rPr>
        <w:t>Including a</w:t>
      </w:r>
      <w:r w:rsidR="38A46AD0" w:rsidRPr="2FE0697F">
        <w:rPr>
          <w:rFonts w:ascii="Arial" w:eastAsia="Arial" w:hAnsi="Arial" w:cs="Arial"/>
          <w:color w:val="000000" w:themeColor="text1"/>
        </w:rPr>
        <w:t>ccess to safe, effective, and high-quality abortion services</w:t>
      </w:r>
      <w:r w:rsidR="06B41F56" w:rsidRPr="2FE0697F">
        <w:rPr>
          <w:rFonts w:ascii="Arial" w:eastAsia="Arial" w:hAnsi="Arial" w:cs="Arial"/>
          <w:color w:val="000000" w:themeColor="text1"/>
        </w:rPr>
        <w:t>. Which</w:t>
      </w:r>
      <w:r w:rsidR="38A46AD0" w:rsidRPr="2FE0697F">
        <w:rPr>
          <w:rFonts w:ascii="Arial" w:eastAsia="Arial" w:hAnsi="Arial" w:cs="Arial"/>
          <w:color w:val="000000" w:themeColor="text1"/>
        </w:rPr>
        <w:t xml:space="preserve"> should be </w:t>
      </w:r>
      <w:r w:rsidR="00104137" w:rsidRPr="2FE0697F">
        <w:rPr>
          <w:rFonts w:ascii="Arial" w:eastAsia="Arial" w:hAnsi="Arial" w:cs="Arial"/>
          <w:color w:val="000000" w:themeColor="text1"/>
        </w:rPr>
        <w:t>fair</w:t>
      </w:r>
      <w:r w:rsidR="38A46AD0" w:rsidRPr="2FE0697F">
        <w:rPr>
          <w:rFonts w:ascii="Arial" w:eastAsia="Arial" w:hAnsi="Arial" w:cs="Arial"/>
          <w:color w:val="000000" w:themeColor="text1"/>
        </w:rPr>
        <w:t xml:space="preserve"> for all children and young people in the United Kingdo</w:t>
      </w:r>
      <w:r w:rsidR="2916FBD1" w:rsidRPr="2FE0697F">
        <w:rPr>
          <w:rFonts w:ascii="Arial" w:eastAsia="Arial" w:hAnsi="Arial" w:cs="Arial"/>
          <w:color w:val="000000" w:themeColor="text1"/>
        </w:rPr>
        <w:t>m.</w:t>
      </w:r>
      <w:r w:rsidR="2C5C94BC" w:rsidRPr="2FE0697F">
        <w:rPr>
          <w:rFonts w:ascii="Arial" w:eastAsia="Arial" w:hAnsi="Arial" w:cs="Arial"/>
          <w:color w:val="000000" w:themeColor="text1"/>
        </w:rPr>
        <w:t xml:space="preserve"> We can be confident in an acceptable duty of care being present as </w:t>
      </w:r>
      <w:r w:rsidR="68847BB9" w:rsidRPr="2FE0697F">
        <w:rPr>
          <w:rFonts w:ascii="Arial" w:eastAsia="Arial" w:hAnsi="Arial" w:cs="Arial"/>
          <w:color w:val="000000" w:themeColor="text1"/>
        </w:rPr>
        <w:t>The Royal College of Paediatrics and Child Health Organisation (</w:t>
      </w:r>
      <w:r w:rsidR="569831E0" w:rsidRPr="2FE0697F">
        <w:rPr>
          <w:rFonts w:ascii="Arial" w:eastAsia="Arial" w:hAnsi="Arial" w:cs="Arial"/>
          <w:color w:val="000000" w:themeColor="text1"/>
        </w:rPr>
        <w:t xml:space="preserve">2022) show that every Royal College of Paediatrics and Child Health Organisation guideline outlines a standard of care that ought to be followed in all countries and is relevant to children and youth in the UK. The guidelines apply to health </w:t>
      </w:r>
      <w:r w:rsidR="00104137" w:rsidRPr="2FE0697F">
        <w:rPr>
          <w:rFonts w:ascii="Arial" w:eastAsia="Arial" w:hAnsi="Arial" w:cs="Arial"/>
          <w:color w:val="000000" w:themeColor="text1"/>
        </w:rPr>
        <w:t>organisations</w:t>
      </w:r>
      <w:r w:rsidR="569831E0" w:rsidRPr="2FE0697F">
        <w:rPr>
          <w:rFonts w:ascii="Arial" w:eastAsia="Arial" w:hAnsi="Arial" w:cs="Arial"/>
          <w:color w:val="000000" w:themeColor="text1"/>
        </w:rPr>
        <w:t xml:space="preserve"> in the UK that perform early medical abortions on children and adolescents under the age of 18.</w:t>
      </w:r>
      <w:r w:rsidR="7F94CD92" w:rsidRPr="2FE0697F">
        <w:rPr>
          <w:rFonts w:ascii="Arial" w:eastAsia="Arial" w:hAnsi="Arial" w:cs="Arial"/>
          <w:color w:val="000000" w:themeColor="text1"/>
        </w:rPr>
        <w:t xml:space="preserve"> There is now also confidentiality for young people wanting to access an abortion </w:t>
      </w:r>
      <w:r w:rsidR="10A39505" w:rsidRPr="2FE0697F">
        <w:rPr>
          <w:rFonts w:ascii="Arial" w:eastAsia="Arial" w:hAnsi="Arial" w:cs="Arial"/>
          <w:color w:val="000000" w:themeColor="text1"/>
        </w:rPr>
        <w:t>as British Pregnancy Advisory Service</w:t>
      </w:r>
      <w:r w:rsidR="6A2A461E" w:rsidRPr="2FE0697F">
        <w:rPr>
          <w:rFonts w:ascii="Arial" w:eastAsia="Arial" w:hAnsi="Arial" w:cs="Arial"/>
          <w:color w:val="000000" w:themeColor="text1"/>
        </w:rPr>
        <w:t xml:space="preserve"> (2024)</w:t>
      </w:r>
      <w:r w:rsidR="10A39505" w:rsidRPr="2FE0697F">
        <w:rPr>
          <w:rFonts w:ascii="Arial" w:eastAsia="Arial" w:hAnsi="Arial" w:cs="Arial"/>
          <w:color w:val="000000" w:themeColor="text1"/>
        </w:rPr>
        <w:t xml:space="preserve"> </w:t>
      </w:r>
      <w:r w:rsidR="7BD59553" w:rsidRPr="2FE0697F">
        <w:rPr>
          <w:rFonts w:ascii="Arial" w:eastAsia="Arial" w:hAnsi="Arial" w:cs="Arial"/>
          <w:color w:val="000000" w:themeColor="text1"/>
        </w:rPr>
        <w:t>goes on to say u</w:t>
      </w:r>
      <w:r w:rsidR="7BD59553" w:rsidRPr="2FE0697F">
        <w:rPr>
          <w:rFonts w:ascii="Arial" w:eastAsia="Arial" w:hAnsi="Arial" w:cs="Arial"/>
        </w:rPr>
        <w:t xml:space="preserve">nless they believe you or another person are in grave danger, doctors, nurses, and other health professionals are restricted from sharing personal information without your </w:t>
      </w:r>
      <w:r w:rsidR="79041B88" w:rsidRPr="2FE0697F">
        <w:rPr>
          <w:rFonts w:ascii="Arial" w:eastAsia="Arial" w:hAnsi="Arial" w:cs="Arial"/>
        </w:rPr>
        <w:t>consent; a</w:t>
      </w:r>
      <w:r w:rsidR="176753B1" w:rsidRPr="2FE0697F">
        <w:rPr>
          <w:rFonts w:ascii="Arial" w:eastAsia="Arial" w:hAnsi="Arial" w:cs="Arial"/>
        </w:rPr>
        <w:t xml:space="preserve">s </w:t>
      </w:r>
      <w:r w:rsidR="656EC8F4" w:rsidRPr="2FE0697F">
        <w:rPr>
          <w:rFonts w:ascii="Arial" w:eastAsia="Arial" w:hAnsi="Arial" w:cs="Arial"/>
        </w:rPr>
        <w:t>stated</w:t>
      </w:r>
      <w:r w:rsidR="176753B1" w:rsidRPr="2FE0697F">
        <w:rPr>
          <w:rFonts w:ascii="Arial" w:eastAsia="Arial" w:hAnsi="Arial" w:cs="Arial"/>
        </w:rPr>
        <w:t xml:space="preserve"> in The Data Protection Act (2018)</w:t>
      </w:r>
      <w:r w:rsidR="3C32D848" w:rsidRPr="2FE0697F">
        <w:rPr>
          <w:rFonts w:ascii="Arial" w:eastAsia="Arial" w:hAnsi="Arial" w:cs="Arial"/>
        </w:rPr>
        <w:t xml:space="preserve"> discussed in </w:t>
      </w:r>
      <w:r w:rsidR="3D382175" w:rsidRPr="2FE0697F">
        <w:rPr>
          <w:rFonts w:ascii="Arial" w:eastAsia="Arial" w:hAnsi="Arial" w:cs="Arial"/>
        </w:rPr>
        <w:t>Gov, (2018)</w:t>
      </w:r>
      <w:r w:rsidR="68564C6D" w:rsidRPr="2FE0697F">
        <w:rPr>
          <w:rFonts w:ascii="Arial" w:eastAsia="Arial" w:hAnsi="Arial" w:cs="Arial"/>
        </w:rPr>
        <w:t>.</w:t>
      </w:r>
      <w:r w:rsidR="7BD59553" w:rsidRPr="2FE0697F">
        <w:rPr>
          <w:rFonts w:ascii="Arial" w:eastAsia="Arial" w:hAnsi="Arial" w:cs="Arial"/>
        </w:rPr>
        <w:t xml:space="preserve">This will give confidence to younger people wanting an abortion and help them feel at ease about the </w:t>
      </w:r>
      <w:r w:rsidR="00E842CD" w:rsidRPr="2FE0697F">
        <w:rPr>
          <w:rFonts w:ascii="Arial" w:eastAsia="Arial" w:hAnsi="Arial" w:cs="Arial"/>
        </w:rPr>
        <w:t>entire process</w:t>
      </w:r>
      <w:r w:rsidR="7BD59553" w:rsidRPr="2FE0697F">
        <w:rPr>
          <w:rFonts w:ascii="Arial" w:eastAsia="Arial" w:hAnsi="Arial" w:cs="Arial"/>
        </w:rPr>
        <w:t>.</w:t>
      </w:r>
      <w:r w:rsidR="3FD7D856" w:rsidRPr="2FE0697F">
        <w:rPr>
          <w:rFonts w:ascii="Arial" w:eastAsia="Arial" w:hAnsi="Arial" w:cs="Arial"/>
        </w:rPr>
        <w:t xml:space="preserve"> Lastly, The British Medical Association (2023) </w:t>
      </w:r>
      <w:r w:rsidR="00104137" w:rsidRPr="2FE0697F">
        <w:rPr>
          <w:rFonts w:ascii="Arial" w:eastAsia="Arial" w:hAnsi="Arial" w:cs="Arial"/>
        </w:rPr>
        <w:t>show</w:t>
      </w:r>
      <w:r w:rsidR="19D7A8E7" w:rsidRPr="2FE0697F">
        <w:rPr>
          <w:rFonts w:ascii="Arial" w:eastAsia="Arial" w:hAnsi="Arial" w:cs="Arial"/>
        </w:rPr>
        <w:t xml:space="preserve"> that the law say</w:t>
      </w:r>
      <w:r w:rsidR="2B5BE8C8" w:rsidRPr="2FE0697F">
        <w:rPr>
          <w:rFonts w:ascii="Arial" w:eastAsia="Arial" w:hAnsi="Arial" w:cs="Arial"/>
        </w:rPr>
        <w:t xml:space="preserve">s a </w:t>
      </w:r>
      <w:r w:rsidR="19D7A8E7" w:rsidRPr="2FE0697F">
        <w:rPr>
          <w:rFonts w:ascii="Arial" w:eastAsia="Arial" w:hAnsi="Arial" w:cs="Arial"/>
        </w:rPr>
        <w:t>young person's consent cannot be overruled by a parent's refusal to consent to a termination.</w:t>
      </w:r>
      <w:r w:rsidR="5F782034" w:rsidRPr="2FE0697F">
        <w:rPr>
          <w:rFonts w:ascii="Arial" w:eastAsia="Arial" w:hAnsi="Arial" w:cs="Arial"/>
        </w:rPr>
        <w:t xml:space="preserve"> </w:t>
      </w:r>
      <w:r w:rsidR="5F782034" w:rsidRPr="2FE0697F">
        <w:rPr>
          <w:rFonts w:ascii="Arial" w:eastAsia="Arial" w:hAnsi="Arial" w:cs="Arial"/>
        </w:rPr>
        <w:lastRenderedPageBreak/>
        <w:t>Therefore, because of this, under no circumstance will the young person be forced to do something or to not do something unless they consent to do</w:t>
      </w:r>
      <w:r w:rsidR="1D4D4C48" w:rsidRPr="2FE0697F">
        <w:rPr>
          <w:rFonts w:ascii="Arial" w:eastAsia="Arial" w:hAnsi="Arial" w:cs="Arial"/>
        </w:rPr>
        <w:t xml:space="preserve"> so. </w:t>
      </w:r>
    </w:p>
    <w:p w14:paraId="0607E130" w14:textId="001111F5" w:rsidR="31DCDEAB" w:rsidRDefault="31DCDEAB" w:rsidP="3B68FF25">
      <w:pPr>
        <w:spacing w:line="360" w:lineRule="auto"/>
        <w:rPr>
          <w:rFonts w:ascii="Arial" w:eastAsia="Arial" w:hAnsi="Arial" w:cs="Arial"/>
        </w:rPr>
      </w:pPr>
    </w:p>
    <w:p w14:paraId="332C44D5" w14:textId="65687281" w:rsidR="120B2084" w:rsidRDefault="120B2084" w:rsidP="3B68FF25">
      <w:pPr>
        <w:spacing w:line="360" w:lineRule="auto"/>
        <w:rPr>
          <w:rFonts w:ascii="Arial" w:eastAsia="Arial" w:hAnsi="Arial" w:cs="Arial"/>
        </w:rPr>
      </w:pPr>
      <w:commentRangeStart w:id="1"/>
      <w:r w:rsidRPr="2FE0697F">
        <w:rPr>
          <w:rFonts w:ascii="Arial" w:eastAsia="Arial" w:hAnsi="Arial" w:cs="Arial"/>
        </w:rPr>
        <w:t>B2</w:t>
      </w:r>
      <w:commentRangeEnd w:id="1"/>
      <w:r>
        <w:rPr>
          <w:rStyle w:val="CommentReference"/>
        </w:rPr>
        <w:commentReference w:id="1"/>
      </w:r>
      <w:r w:rsidR="52C068A4" w:rsidRPr="2FE0697F">
        <w:rPr>
          <w:rFonts w:ascii="Arial" w:eastAsia="Arial" w:hAnsi="Arial" w:cs="Arial"/>
        </w:rPr>
        <w:t xml:space="preserve"> – However, there may be some issues with this legislation and how it can be challenging to allow children to have abortions</w:t>
      </w:r>
      <w:r w:rsidR="3DF3055C" w:rsidRPr="2FE0697F">
        <w:rPr>
          <w:rFonts w:ascii="Arial" w:eastAsia="Arial" w:hAnsi="Arial" w:cs="Arial"/>
        </w:rPr>
        <w:t xml:space="preserve"> and understand the meaning behind it</w:t>
      </w:r>
      <w:r w:rsidR="52C068A4" w:rsidRPr="2FE0697F">
        <w:rPr>
          <w:rFonts w:ascii="Arial" w:eastAsia="Arial" w:hAnsi="Arial" w:cs="Arial"/>
        </w:rPr>
        <w:t>.</w:t>
      </w:r>
      <w:r w:rsidR="0A53EDAF" w:rsidRPr="2FE0697F">
        <w:rPr>
          <w:rFonts w:ascii="Arial" w:eastAsia="Arial" w:hAnsi="Arial" w:cs="Arial"/>
        </w:rPr>
        <w:t xml:space="preserve"> World </w:t>
      </w:r>
      <w:r w:rsidR="2955D0D7" w:rsidRPr="2FE0697F">
        <w:rPr>
          <w:rFonts w:ascii="Arial" w:eastAsia="Arial" w:hAnsi="Arial" w:cs="Arial"/>
        </w:rPr>
        <w:t>Health</w:t>
      </w:r>
      <w:r w:rsidR="0A53EDAF" w:rsidRPr="2FE0697F">
        <w:rPr>
          <w:rFonts w:ascii="Arial" w:eastAsia="Arial" w:hAnsi="Arial" w:cs="Arial"/>
        </w:rPr>
        <w:t xml:space="preserve"> Organisation (2022</w:t>
      </w:r>
      <w:r w:rsidR="48F673CD" w:rsidRPr="2FE0697F">
        <w:rPr>
          <w:rFonts w:ascii="Arial" w:eastAsia="Arial" w:hAnsi="Arial" w:cs="Arial"/>
        </w:rPr>
        <w:t>, p.79-84</w:t>
      </w:r>
      <w:r w:rsidR="0A53EDAF" w:rsidRPr="2FE0697F">
        <w:rPr>
          <w:rFonts w:ascii="Arial" w:eastAsia="Arial" w:hAnsi="Arial" w:cs="Arial"/>
        </w:rPr>
        <w:t>) go on to talk about the possible abortion complications that these young girls could go through</w:t>
      </w:r>
      <w:r w:rsidR="633CE658" w:rsidRPr="2FE0697F">
        <w:rPr>
          <w:rFonts w:ascii="Arial" w:eastAsia="Arial" w:hAnsi="Arial" w:cs="Arial"/>
        </w:rPr>
        <w:t xml:space="preserve">. For example, incomplete abortions, haemorrhage, infection, uterine perforation, anaesthesia – related complications, </w:t>
      </w:r>
      <w:r w:rsidR="3BBA9659" w:rsidRPr="2FE0697F">
        <w:rPr>
          <w:rFonts w:ascii="Arial" w:eastAsia="Arial" w:hAnsi="Arial" w:cs="Arial"/>
        </w:rPr>
        <w:t>uterine rupture and a few more. This could raise concern for those having an abortion as these side effects may be rare however</w:t>
      </w:r>
      <w:r w:rsidR="1235B0E0" w:rsidRPr="2FE0697F">
        <w:rPr>
          <w:rFonts w:ascii="Arial" w:eastAsia="Arial" w:hAnsi="Arial" w:cs="Arial"/>
        </w:rPr>
        <w:t>,</w:t>
      </w:r>
      <w:r w:rsidR="3BBA9659" w:rsidRPr="2FE0697F">
        <w:rPr>
          <w:rFonts w:ascii="Arial" w:eastAsia="Arial" w:hAnsi="Arial" w:cs="Arial"/>
        </w:rPr>
        <w:t xml:space="preserve"> there is still potential that they could occur. </w:t>
      </w:r>
      <w:r w:rsidR="16423F00" w:rsidRPr="2FE0697F">
        <w:rPr>
          <w:rFonts w:ascii="Arial" w:eastAsia="Arial" w:hAnsi="Arial" w:cs="Arial"/>
        </w:rPr>
        <w:t xml:space="preserve">When focusing on </w:t>
      </w:r>
      <w:r w:rsidR="1112409E" w:rsidRPr="2FE0697F">
        <w:rPr>
          <w:rFonts w:ascii="Arial" w:eastAsia="Arial" w:hAnsi="Arial" w:cs="Arial"/>
        </w:rPr>
        <w:t xml:space="preserve">under </w:t>
      </w:r>
      <w:r w:rsidR="54E3AA47" w:rsidRPr="2FE0697F">
        <w:rPr>
          <w:rFonts w:ascii="Arial" w:eastAsia="Arial" w:hAnsi="Arial" w:cs="Arial"/>
        </w:rPr>
        <w:t>16-year-olds</w:t>
      </w:r>
      <w:r w:rsidR="1112409E" w:rsidRPr="2FE0697F">
        <w:rPr>
          <w:rFonts w:ascii="Arial" w:eastAsia="Arial" w:hAnsi="Arial" w:cs="Arial"/>
        </w:rPr>
        <w:t xml:space="preserve"> </w:t>
      </w:r>
      <w:r w:rsidR="16423F00" w:rsidRPr="2FE0697F">
        <w:rPr>
          <w:rFonts w:ascii="Arial" w:eastAsia="Arial" w:hAnsi="Arial" w:cs="Arial"/>
        </w:rPr>
        <w:t>this could be deeply concerning</w:t>
      </w:r>
      <w:r w:rsidR="2F227B19" w:rsidRPr="2FE0697F">
        <w:rPr>
          <w:rFonts w:ascii="Arial" w:eastAsia="Arial" w:hAnsi="Arial" w:cs="Arial"/>
        </w:rPr>
        <w:t>,</w:t>
      </w:r>
      <w:r w:rsidR="16423F00" w:rsidRPr="2FE0697F">
        <w:rPr>
          <w:rFonts w:ascii="Arial" w:eastAsia="Arial" w:hAnsi="Arial" w:cs="Arial"/>
        </w:rPr>
        <w:t xml:space="preserve"> due to them being young and amateur when having knowledge on this topic.</w:t>
      </w:r>
      <w:r w:rsidR="13DEEF51" w:rsidRPr="2FE0697F">
        <w:rPr>
          <w:rFonts w:ascii="Arial" w:eastAsia="Arial" w:hAnsi="Arial" w:cs="Arial"/>
        </w:rPr>
        <w:t xml:space="preserve"> This could lead to them not knowing what to do if something like this occurred leading to severe health problems.</w:t>
      </w:r>
      <w:r w:rsidR="27978580" w:rsidRPr="2FE0697F">
        <w:rPr>
          <w:rFonts w:ascii="Arial" w:eastAsia="Arial" w:hAnsi="Arial" w:cs="Arial"/>
        </w:rPr>
        <w:t xml:space="preserve"> This may be confusing for adolescents seeking abortions as they may not fully understand the law on terminating a pregnancy </w:t>
      </w:r>
      <w:r w:rsidR="4C2429D4" w:rsidRPr="2FE0697F">
        <w:rPr>
          <w:rFonts w:ascii="Arial" w:eastAsia="Arial" w:hAnsi="Arial" w:cs="Arial"/>
        </w:rPr>
        <w:t>due to the lack of education on reproductive health.</w:t>
      </w:r>
      <w:r w:rsidR="25DCAAAF" w:rsidRPr="2FE0697F">
        <w:rPr>
          <w:rFonts w:ascii="Arial" w:eastAsia="Arial" w:hAnsi="Arial" w:cs="Arial"/>
        </w:rPr>
        <w:t xml:space="preserve"> </w:t>
      </w:r>
    </w:p>
    <w:p w14:paraId="27ABD1F2" w14:textId="51CA3542" w:rsidR="561807CE" w:rsidRDefault="561807CE" w:rsidP="2FE0697F">
      <w:pPr>
        <w:spacing w:line="360" w:lineRule="auto"/>
        <w:rPr>
          <w:rFonts w:ascii="Arial" w:eastAsia="Arial" w:hAnsi="Arial" w:cs="Arial"/>
        </w:rPr>
      </w:pPr>
      <w:proofErr w:type="spellStart"/>
      <w:r w:rsidRPr="2FE0697F">
        <w:rPr>
          <w:rFonts w:ascii="Arial" w:eastAsia="Arial" w:hAnsi="Arial" w:cs="Arial"/>
        </w:rPr>
        <w:t>Kimport</w:t>
      </w:r>
      <w:proofErr w:type="spellEnd"/>
      <w:r w:rsidRPr="2FE0697F">
        <w:rPr>
          <w:rFonts w:ascii="Arial" w:eastAsia="Arial" w:hAnsi="Arial" w:cs="Arial"/>
        </w:rPr>
        <w:t xml:space="preserve"> et al (2011) looked into the emotional support for females after having an abortion and found that negative outcomes took place when the woman did not feel that she had clear emotional support following the abortion or that the abortion was</w:t>
      </w:r>
      <w:r w:rsidR="4E6E4E5D" w:rsidRPr="2FE0697F">
        <w:rPr>
          <w:rFonts w:ascii="Arial" w:eastAsia="Arial" w:hAnsi="Arial" w:cs="Arial"/>
        </w:rPr>
        <w:t xml:space="preserve"> not</w:t>
      </w:r>
      <w:r w:rsidRPr="2FE0697F">
        <w:rPr>
          <w:rFonts w:ascii="Arial" w:eastAsia="Arial" w:hAnsi="Arial" w:cs="Arial"/>
        </w:rPr>
        <w:t xml:space="preserve"> primarily her choice (</w:t>
      </w:r>
      <w:r w:rsidR="2A0CC59A" w:rsidRPr="2FE0697F">
        <w:rPr>
          <w:rFonts w:ascii="Arial" w:eastAsia="Arial" w:hAnsi="Arial" w:cs="Arial"/>
        </w:rPr>
        <w:t>For example, her parents forced her to have one and she felt she had no other choice)</w:t>
      </w:r>
      <w:r w:rsidR="5DCA0E46" w:rsidRPr="2FE0697F">
        <w:rPr>
          <w:rFonts w:ascii="Arial" w:eastAsia="Arial" w:hAnsi="Arial" w:cs="Arial"/>
        </w:rPr>
        <w:t xml:space="preserve"> This raises concern for young girls seeking an abortion due to them wanting for example</w:t>
      </w:r>
      <w:r w:rsidR="33FE5AC6" w:rsidRPr="2FE0697F">
        <w:rPr>
          <w:rFonts w:ascii="Arial" w:eastAsia="Arial" w:hAnsi="Arial" w:cs="Arial"/>
        </w:rPr>
        <w:t>,</w:t>
      </w:r>
      <w:r w:rsidR="5DCA0E46" w:rsidRPr="2FE0697F">
        <w:rPr>
          <w:rFonts w:ascii="Arial" w:eastAsia="Arial" w:hAnsi="Arial" w:cs="Arial"/>
        </w:rPr>
        <w:t xml:space="preserve"> it to be </w:t>
      </w:r>
      <w:r w:rsidR="7E43CCCD" w:rsidRPr="2FE0697F">
        <w:rPr>
          <w:rFonts w:ascii="Arial" w:eastAsia="Arial" w:hAnsi="Arial" w:cs="Arial"/>
        </w:rPr>
        <w:t>confidential</w:t>
      </w:r>
      <w:r w:rsidR="5DCA0E46" w:rsidRPr="2FE0697F">
        <w:rPr>
          <w:rFonts w:ascii="Arial" w:eastAsia="Arial" w:hAnsi="Arial" w:cs="Arial"/>
        </w:rPr>
        <w:t xml:space="preserve"> but then they face a dramatic emotional decline. </w:t>
      </w:r>
      <w:r w:rsidR="68E2B3C8" w:rsidRPr="2FE0697F">
        <w:rPr>
          <w:rFonts w:ascii="Arial" w:eastAsia="Arial" w:hAnsi="Arial" w:cs="Arial"/>
        </w:rPr>
        <w:t>They</w:t>
      </w:r>
      <w:r w:rsidR="5DCA0E46" w:rsidRPr="2FE0697F">
        <w:rPr>
          <w:rFonts w:ascii="Arial" w:eastAsia="Arial" w:hAnsi="Arial" w:cs="Arial"/>
        </w:rPr>
        <w:t xml:space="preserve"> will then not know who to tell </w:t>
      </w:r>
      <w:r w:rsidR="0313CE1F" w:rsidRPr="2FE0697F">
        <w:rPr>
          <w:rFonts w:ascii="Arial" w:eastAsia="Arial" w:hAnsi="Arial" w:cs="Arial"/>
        </w:rPr>
        <w:t>as nobody</w:t>
      </w:r>
      <w:r w:rsidR="276EDD5A" w:rsidRPr="2FE0697F">
        <w:rPr>
          <w:rFonts w:ascii="Arial" w:eastAsia="Arial" w:hAnsi="Arial" w:cs="Arial"/>
        </w:rPr>
        <w:t xml:space="preserve"> may</w:t>
      </w:r>
      <w:r w:rsidR="0313CE1F" w:rsidRPr="2FE0697F">
        <w:rPr>
          <w:rFonts w:ascii="Arial" w:eastAsia="Arial" w:hAnsi="Arial" w:cs="Arial"/>
        </w:rPr>
        <w:t xml:space="preserve"> know </w:t>
      </w:r>
      <w:r w:rsidR="3F72695E" w:rsidRPr="2FE0697F">
        <w:rPr>
          <w:rFonts w:ascii="Arial" w:eastAsia="Arial" w:hAnsi="Arial" w:cs="Arial"/>
        </w:rPr>
        <w:t xml:space="preserve">that </w:t>
      </w:r>
      <w:r w:rsidR="00FD4008" w:rsidRPr="2FE0697F">
        <w:rPr>
          <w:rFonts w:ascii="Arial" w:eastAsia="Arial" w:hAnsi="Arial" w:cs="Arial"/>
        </w:rPr>
        <w:t>they have</w:t>
      </w:r>
      <w:r w:rsidR="0313CE1F" w:rsidRPr="2FE0697F">
        <w:rPr>
          <w:rFonts w:ascii="Arial" w:eastAsia="Arial" w:hAnsi="Arial" w:cs="Arial"/>
        </w:rPr>
        <w:t xml:space="preserve"> had an abortion in the first place. This </w:t>
      </w:r>
      <w:r w:rsidR="25DC75BF" w:rsidRPr="2FE0697F">
        <w:rPr>
          <w:rFonts w:ascii="Arial" w:eastAsia="Arial" w:hAnsi="Arial" w:cs="Arial"/>
        </w:rPr>
        <w:t>could</w:t>
      </w:r>
      <w:r w:rsidR="0313CE1F" w:rsidRPr="2FE0697F">
        <w:rPr>
          <w:rFonts w:ascii="Arial" w:eastAsia="Arial" w:hAnsi="Arial" w:cs="Arial"/>
        </w:rPr>
        <w:t xml:space="preserve"> then lead to </w:t>
      </w:r>
      <w:r w:rsidR="5B93DB2E" w:rsidRPr="2FE0697F">
        <w:rPr>
          <w:rFonts w:ascii="Arial" w:eastAsia="Arial" w:hAnsi="Arial" w:cs="Arial"/>
        </w:rPr>
        <w:t>them</w:t>
      </w:r>
      <w:r w:rsidR="67B00B5B" w:rsidRPr="2FE0697F">
        <w:rPr>
          <w:rFonts w:ascii="Arial" w:eastAsia="Arial" w:hAnsi="Arial" w:cs="Arial"/>
        </w:rPr>
        <w:t xml:space="preserve"> </w:t>
      </w:r>
      <w:r w:rsidR="0313CE1F" w:rsidRPr="2FE0697F">
        <w:rPr>
          <w:rFonts w:ascii="Arial" w:eastAsia="Arial" w:hAnsi="Arial" w:cs="Arial"/>
        </w:rPr>
        <w:t>getting progressively worse</w:t>
      </w:r>
      <w:r w:rsidR="1A874849" w:rsidRPr="2FE0697F">
        <w:rPr>
          <w:rFonts w:ascii="Arial" w:eastAsia="Arial" w:hAnsi="Arial" w:cs="Arial"/>
        </w:rPr>
        <w:t xml:space="preserve"> and therefore, q</w:t>
      </w:r>
      <w:r w:rsidR="5C1FCC72" w:rsidRPr="2FE0697F">
        <w:rPr>
          <w:rFonts w:ascii="Arial" w:eastAsia="Arial" w:hAnsi="Arial" w:cs="Arial"/>
        </w:rPr>
        <w:t>uestions</w:t>
      </w:r>
      <w:r w:rsidR="274A47F1" w:rsidRPr="2FE0697F">
        <w:rPr>
          <w:rFonts w:ascii="Arial" w:eastAsia="Arial" w:hAnsi="Arial" w:cs="Arial"/>
        </w:rPr>
        <w:t>,</w:t>
      </w:r>
      <w:r w:rsidR="5C1FCC72" w:rsidRPr="2FE0697F">
        <w:rPr>
          <w:rFonts w:ascii="Arial" w:eastAsia="Arial" w:hAnsi="Arial" w:cs="Arial"/>
        </w:rPr>
        <w:t xml:space="preserve"> if access to a confidential abortion </w:t>
      </w:r>
      <w:r w:rsidR="6D8CAC5C" w:rsidRPr="2FE0697F">
        <w:rPr>
          <w:rFonts w:ascii="Arial" w:eastAsia="Arial" w:hAnsi="Arial" w:cs="Arial"/>
        </w:rPr>
        <w:t>a good idea for is</w:t>
      </w:r>
      <w:r w:rsidR="5C1FCC72" w:rsidRPr="2FE0697F">
        <w:rPr>
          <w:rFonts w:ascii="Arial" w:eastAsia="Arial" w:hAnsi="Arial" w:cs="Arial"/>
        </w:rPr>
        <w:t xml:space="preserve"> </w:t>
      </w:r>
      <w:r w:rsidR="198AE55C" w:rsidRPr="2FE0697F">
        <w:rPr>
          <w:rFonts w:ascii="Arial" w:eastAsia="Arial" w:hAnsi="Arial" w:cs="Arial"/>
        </w:rPr>
        <w:t>under 16’s</w:t>
      </w:r>
      <w:r w:rsidR="30D36459" w:rsidRPr="2FE0697F">
        <w:rPr>
          <w:rFonts w:ascii="Arial" w:eastAsia="Arial" w:hAnsi="Arial" w:cs="Arial"/>
        </w:rPr>
        <w:t>.</w:t>
      </w:r>
      <w:r w:rsidR="0531FA67" w:rsidRPr="2FE0697F">
        <w:rPr>
          <w:rFonts w:ascii="Arial" w:eastAsia="Arial" w:hAnsi="Arial" w:cs="Arial"/>
        </w:rPr>
        <w:t xml:space="preserve"> This may be questioned because of their lack of knowledge on the legislation due to the complexity of the language and meanings behind it. This </w:t>
      </w:r>
      <w:r w:rsidR="1BBBE1C4" w:rsidRPr="2FE0697F">
        <w:rPr>
          <w:rFonts w:ascii="Arial" w:eastAsia="Arial" w:hAnsi="Arial" w:cs="Arial"/>
        </w:rPr>
        <w:t>infers that</w:t>
      </w:r>
      <w:r w:rsidR="0531FA67" w:rsidRPr="2FE0697F">
        <w:rPr>
          <w:rFonts w:ascii="Arial" w:eastAsia="Arial" w:hAnsi="Arial" w:cs="Arial"/>
        </w:rPr>
        <w:t xml:space="preserve"> more educ</w:t>
      </w:r>
      <w:r w:rsidR="575E6982" w:rsidRPr="2FE0697F">
        <w:rPr>
          <w:rFonts w:ascii="Arial" w:eastAsia="Arial" w:hAnsi="Arial" w:cs="Arial"/>
        </w:rPr>
        <w:t>ation</w:t>
      </w:r>
      <w:r w:rsidR="2DED4F4B" w:rsidRPr="2FE0697F">
        <w:rPr>
          <w:rFonts w:ascii="Arial" w:eastAsia="Arial" w:hAnsi="Arial" w:cs="Arial"/>
        </w:rPr>
        <w:t xml:space="preserve"> may</w:t>
      </w:r>
      <w:r w:rsidR="575E6982" w:rsidRPr="2FE0697F">
        <w:rPr>
          <w:rFonts w:ascii="Arial" w:eastAsia="Arial" w:hAnsi="Arial" w:cs="Arial"/>
        </w:rPr>
        <w:t xml:space="preserve"> </w:t>
      </w:r>
      <w:r w:rsidR="6563ACB2" w:rsidRPr="2FE0697F">
        <w:rPr>
          <w:rFonts w:ascii="Arial" w:eastAsia="Arial" w:hAnsi="Arial" w:cs="Arial"/>
        </w:rPr>
        <w:t>be n</w:t>
      </w:r>
      <w:r w:rsidR="575E6982" w:rsidRPr="2FE0697F">
        <w:rPr>
          <w:rFonts w:ascii="Arial" w:eastAsia="Arial" w:hAnsi="Arial" w:cs="Arial"/>
        </w:rPr>
        <w:t>eeded before</w:t>
      </w:r>
      <w:r w:rsidR="6E2625B6" w:rsidRPr="2FE0697F">
        <w:rPr>
          <w:rFonts w:ascii="Arial" w:eastAsia="Arial" w:hAnsi="Arial" w:cs="Arial"/>
        </w:rPr>
        <w:t xml:space="preserve"> allowing under 16’s to consent to an abortion.</w:t>
      </w:r>
    </w:p>
    <w:p w14:paraId="39E892F6" w14:textId="0D8C456A" w:rsidR="1A33CDDC" w:rsidRDefault="1A33CDDC" w:rsidP="3B68FF25">
      <w:pPr>
        <w:spacing w:line="360" w:lineRule="auto"/>
        <w:rPr>
          <w:rFonts w:ascii="Arial" w:eastAsia="Arial" w:hAnsi="Arial" w:cs="Arial"/>
        </w:rPr>
      </w:pPr>
      <w:r w:rsidRPr="2FE0697F">
        <w:rPr>
          <w:rFonts w:ascii="Arial" w:eastAsia="Arial" w:hAnsi="Arial" w:cs="Arial"/>
        </w:rPr>
        <w:t xml:space="preserve">Coleman – </w:t>
      </w:r>
      <w:proofErr w:type="spellStart"/>
      <w:r w:rsidR="434DC542" w:rsidRPr="2FE0697F">
        <w:rPr>
          <w:rFonts w:ascii="Arial" w:eastAsia="Arial" w:hAnsi="Arial" w:cs="Arial"/>
        </w:rPr>
        <w:t>Minahan</w:t>
      </w:r>
      <w:proofErr w:type="spellEnd"/>
      <w:r w:rsidRPr="2FE0697F">
        <w:rPr>
          <w:rFonts w:ascii="Arial" w:eastAsia="Arial" w:hAnsi="Arial" w:cs="Arial"/>
        </w:rPr>
        <w:t xml:space="preserve"> et al (2020) supports this theor</w:t>
      </w:r>
      <w:r w:rsidR="4718CDDB" w:rsidRPr="2FE0697F">
        <w:rPr>
          <w:rFonts w:ascii="Arial" w:eastAsia="Arial" w:hAnsi="Arial" w:cs="Arial"/>
        </w:rPr>
        <w:t>y of</w:t>
      </w:r>
      <w:r w:rsidRPr="2FE0697F">
        <w:rPr>
          <w:rFonts w:ascii="Arial" w:eastAsia="Arial" w:hAnsi="Arial" w:cs="Arial"/>
        </w:rPr>
        <w:t xml:space="preserve"> limited social support due to their</w:t>
      </w:r>
      <w:r w:rsidR="0D92FC0D" w:rsidRPr="2FE0697F">
        <w:rPr>
          <w:rFonts w:ascii="Arial" w:eastAsia="Arial" w:hAnsi="Arial" w:cs="Arial"/>
        </w:rPr>
        <w:t xml:space="preserve"> non-</w:t>
      </w:r>
      <w:r w:rsidRPr="2FE0697F">
        <w:rPr>
          <w:rFonts w:ascii="Arial" w:eastAsia="Arial" w:hAnsi="Arial" w:cs="Arial"/>
        </w:rPr>
        <w:t>disclosure of their abortion.</w:t>
      </w:r>
      <w:r w:rsidR="4DAC0CE5" w:rsidRPr="2FE0697F">
        <w:rPr>
          <w:rFonts w:ascii="Arial" w:eastAsia="Arial" w:hAnsi="Arial" w:cs="Arial"/>
        </w:rPr>
        <w:t xml:space="preserve"> As it says, it is reasonable for them to be afraid of </w:t>
      </w:r>
      <w:r w:rsidR="4DAC0CE5" w:rsidRPr="2FE0697F">
        <w:rPr>
          <w:rFonts w:ascii="Arial" w:eastAsia="Arial" w:hAnsi="Arial" w:cs="Arial"/>
        </w:rPr>
        <w:lastRenderedPageBreak/>
        <w:t>revealing their pregnancies and abortion choices, and we need to widen our knowledge on the potential negative effects of laws requiring parental notification on teenagers. Teenagers' experiences with the stigma associated with abortion require more investigation.</w:t>
      </w:r>
      <w:r w:rsidR="3E06BA3D" w:rsidRPr="2FE0697F">
        <w:rPr>
          <w:rFonts w:ascii="Arial" w:eastAsia="Arial" w:hAnsi="Arial" w:cs="Arial"/>
        </w:rPr>
        <w:t xml:space="preserve"> </w:t>
      </w:r>
      <w:r w:rsidR="556CCAE5" w:rsidRPr="2FE0697F">
        <w:rPr>
          <w:rFonts w:ascii="Arial" w:eastAsia="Arial" w:hAnsi="Arial" w:cs="Arial"/>
        </w:rPr>
        <w:t xml:space="preserve">This can </w:t>
      </w:r>
      <w:r w:rsidR="352A880C" w:rsidRPr="2FE0697F">
        <w:rPr>
          <w:rFonts w:ascii="Arial" w:eastAsia="Arial" w:hAnsi="Arial" w:cs="Arial"/>
        </w:rPr>
        <w:t xml:space="preserve">also </w:t>
      </w:r>
      <w:r w:rsidR="556CCAE5" w:rsidRPr="2FE0697F">
        <w:rPr>
          <w:rFonts w:ascii="Arial" w:eastAsia="Arial" w:hAnsi="Arial" w:cs="Arial"/>
        </w:rPr>
        <w:t xml:space="preserve">be very dangerous for </w:t>
      </w:r>
      <w:r w:rsidR="586CBDA1" w:rsidRPr="2FE0697F">
        <w:rPr>
          <w:rFonts w:ascii="Arial" w:eastAsia="Arial" w:hAnsi="Arial" w:cs="Arial"/>
        </w:rPr>
        <w:t>a</w:t>
      </w:r>
      <w:r w:rsidR="556CCAE5" w:rsidRPr="2FE0697F">
        <w:rPr>
          <w:rFonts w:ascii="Arial" w:eastAsia="Arial" w:hAnsi="Arial" w:cs="Arial"/>
        </w:rPr>
        <w:t xml:space="preserve"> girl seeking an abortion due to the </w:t>
      </w:r>
      <w:r w:rsidR="5941EEA7" w:rsidRPr="2FE0697F">
        <w:rPr>
          <w:rFonts w:ascii="Arial" w:eastAsia="Arial" w:hAnsi="Arial" w:cs="Arial"/>
        </w:rPr>
        <w:t>emotional sensitivity of a child, this process may be very overwhelming for them</w:t>
      </w:r>
      <w:r w:rsidR="0E0FB809" w:rsidRPr="2FE0697F">
        <w:rPr>
          <w:rFonts w:ascii="Arial" w:eastAsia="Arial" w:hAnsi="Arial" w:cs="Arial"/>
        </w:rPr>
        <w:t xml:space="preserve"> to handle. Therefore, suggests more needs to be done to educate them on this subject within the law.</w:t>
      </w:r>
    </w:p>
    <w:p w14:paraId="28DCB0A8" w14:textId="777DCB0B" w:rsidR="31DCDEAB" w:rsidRDefault="31DCDEAB" w:rsidP="3B68FF25">
      <w:pPr>
        <w:spacing w:line="360" w:lineRule="auto"/>
        <w:rPr>
          <w:rFonts w:ascii="Arial" w:eastAsia="Arial" w:hAnsi="Arial" w:cs="Arial"/>
        </w:rPr>
      </w:pPr>
    </w:p>
    <w:p w14:paraId="21CC94C0" w14:textId="03AAEA7C" w:rsidR="006C7A8F" w:rsidRPr="008452F2" w:rsidRDefault="0F947B4D" w:rsidP="3B68FF25">
      <w:pPr>
        <w:pStyle w:val="NormalWeb"/>
        <w:spacing w:line="360" w:lineRule="auto"/>
        <w:divId w:val="1949969505"/>
        <w:rPr>
          <w:rFonts w:ascii="Arial" w:eastAsia="Arial" w:hAnsi="Arial" w:cs="Arial"/>
          <w:color w:val="000000"/>
        </w:rPr>
      </w:pPr>
      <w:r w:rsidRPr="2FE0697F">
        <w:rPr>
          <w:rFonts w:ascii="Arial" w:eastAsia="Arial" w:hAnsi="Arial" w:cs="Arial"/>
        </w:rPr>
        <w:t xml:space="preserve">B3 </w:t>
      </w:r>
      <w:r w:rsidR="005D4704" w:rsidRPr="2FE0697F">
        <w:rPr>
          <w:rFonts w:ascii="Arial" w:eastAsia="Arial" w:hAnsi="Arial" w:cs="Arial"/>
        </w:rPr>
        <w:t>–</w:t>
      </w:r>
      <w:r w:rsidRPr="2FE0697F">
        <w:rPr>
          <w:rFonts w:ascii="Arial" w:eastAsia="Arial" w:hAnsi="Arial" w:cs="Arial"/>
        </w:rPr>
        <w:t xml:space="preserve"> </w:t>
      </w:r>
      <w:r w:rsidR="006C7A8F" w:rsidRPr="2FE0697F">
        <w:rPr>
          <w:rFonts w:ascii="Arial" w:eastAsia="Arial" w:hAnsi="Arial" w:cs="Arial"/>
          <w:color w:val="000000" w:themeColor="text1"/>
        </w:rPr>
        <w:t xml:space="preserve">Upon reflection, </w:t>
      </w:r>
      <w:r w:rsidR="00935074" w:rsidRPr="2FE0697F">
        <w:rPr>
          <w:rFonts w:ascii="Arial" w:eastAsia="Arial" w:hAnsi="Arial" w:cs="Arial"/>
          <w:color w:val="000000" w:themeColor="text1"/>
        </w:rPr>
        <w:t>the design and content of my video</w:t>
      </w:r>
      <w:r w:rsidR="006C7A8F" w:rsidRPr="2FE0697F">
        <w:rPr>
          <w:rFonts w:ascii="Arial" w:eastAsia="Arial" w:hAnsi="Arial" w:cs="Arial"/>
          <w:color w:val="000000" w:themeColor="text1"/>
        </w:rPr>
        <w:t xml:space="preserve"> </w:t>
      </w:r>
      <w:bookmarkStart w:id="2" w:name="_Int_2WO0GCVz"/>
      <w:r w:rsidR="006C7A8F" w:rsidRPr="2FE0697F">
        <w:rPr>
          <w:rFonts w:ascii="Arial" w:eastAsia="Arial" w:hAnsi="Arial" w:cs="Arial"/>
          <w:color w:val="000000" w:themeColor="text1"/>
        </w:rPr>
        <w:t>are strategically tailored</w:t>
      </w:r>
      <w:bookmarkEnd w:id="2"/>
      <w:r w:rsidR="006C7A8F" w:rsidRPr="2FE0697F">
        <w:rPr>
          <w:rFonts w:ascii="Arial" w:eastAsia="Arial" w:hAnsi="Arial" w:cs="Arial"/>
          <w:color w:val="000000" w:themeColor="text1"/>
        </w:rPr>
        <w:t xml:space="preserve"> to capture the attention and engage the interest of 16-year-old viewers. The topic </w:t>
      </w:r>
      <w:r w:rsidR="5533D65B" w:rsidRPr="2FE0697F">
        <w:rPr>
          <w:rFonts w:ascii="Arial" w:eastAsia="Arial" w:hAnsi="Arial" w:cs="Arial"/>
          <w:color w:val="000000" w:themeColor="text1"/>
        </w:rPr>
        <w:t>I'm</w:t>
      </w:r>
      <w:r w:rsidR="006C7A8F" w:rsidRPr="2FE0697F">
        <w:rPr>
          <w:rFonts w:ascii="Arial" w:eastAsia="Arial" w:hAnsi="Arial" w:cs="Arial"/>
          <w:color w:val="000000" w:themeColor="text1"/>
        </w:rPr>
        <w:t xml:space="preserve"> address</w:t>
      </w:r>
      <w:r w:rsidR="2E98E940" w:rsidRPr="2FE0697F">
        <w:rPr>
          <w:rFonts w:ascii="Arial" w:eastAsia="Arial" w:hAnsi="Arial" w:cs="Arial"/>
          <w:color w:val="000000" w:themeColor="text1"/>
        </w:rPr>
        <w:t>ing</w:t>
      </w:r>
      <w:r w:rsidR="006C7A8F" w:rsidRPr="2FE0697F">
        <w:rPr>
          <w:rFonts w:ascii="Arial" w:eastAsia="Arial" w:hAnsi="Arial" w:cs="Arial"/>
          <w:color w:val="000000" w:themeColor="text1"/>
        </w:rPr>
        <w:t xml:space="preserve"> is one that is often </w:t>
      </w:r>
      <w:r w:rsidR="008452F2" w:rsidRPr="2FE0697F">
        <w:rPr>
          <w:rFonts w:ascii="Arial" w:eastAsia="Arial" w:hAnsi="Arial" w:cs="Arial"/>
          <w:color w:val="000000" w:themeColor="text1"/>
        </w:rPr>
        <w:t>under-explored</w:t>
      </w:r>
      <w:r w:rsidR="611BBCF4" w:rsidRPr="2FE0697F">
        <w:rPr>
          <w:rFonts w:ascii="Arial" w:eastAsia="Arial" w:hAnsi="Arial" w:cs="Arial"/>
          <w:color w:val="000000" w:themeColor="text1"/>
        </w:rPr>
        <w:t xml:space="preserve"> and under-explained</w:t>
      </w:r>
      <w:r w:rsidR="006C7A8F" w:rsidRPr="2FE0697F">
        <w:rPr>
          <w:rFonts w:ascii="Arial" w:eastAsia="Arial" w:hAnsi="Arial" w:cs="Arial"/>
          <w:color w:val="000000" w:themeColor="text1"/>
        </w:rPr>
        <w:t xml:space="preserve"> </w:t>
      </w:r>
      <w:r w:rsidR="03CF7DA5" w:rsidRPr="2FE0697F">
        <w:rPr>
          <w:rFonts w:ascii="Arial" w:eastAsia="Arial" w:hAnsi="Arial" w:cs="Arial"/>
          <w:color w:val="000000" w:themeColor="text1"/>
        </w:rPr>
        <w:t>within schools</w:t>
      </w:r>
      <w:r w:rsidR="30D12D14" w:rsidRPr="2FE0697F">
        <w:rPr>
          <w:rFonts w:ascii="Arial" w:eastAsia="Arial" w:hAnsi="Arial" w:cs="Arial"/>
          <w:color w:val="000000" w:themeColor="text1"/>
        </w:rPr>
        <w:t xml:space="preserve"> that have</w:t>
      </w:r>
      <w:r w:rsidR="006C7A8F" w:rsidRPr="2FE0697F">
        <w:rPr>
          <w:rFonts w:ascii="Arial" w:eastAsia="Arial" w:hAnsi="Arial" w:cs="Arial"/>
          <w:color w:val="000000" w:themeColor="text1"/>
        </w:rPr>
        <w:t xml:space="preserve"> younger audiences, and as such, I have sought to present the material in a manner that is both informative and accessible. By incorporating visually appealing elements, such as the use of cartoons and simplified language, I aim to </w:t>
      </w:r>
      <w:r w:rsidR="6B47B81B" w:rsidRPr="2FE0697F">
        <w:rPr>
          <w:rFonts w:ascii="Arial" w:eastAsia="Arial" w:hAnsi="Arial" w:cs="Arial"/>
          <w:color w:val="000000" w:themeColor="text1"/>
        </w:rPr>
        <w:t xml:space="preserve">make sure that young girls know their rights on </w:t>
      </w:r>
      <w:r w:rsidR="006C7A8F" w:rsidRPr="2FE0697F">
        <w:rPr>
          <w:rFonts w:ascii="Arial" w:eastAsia="Arial" w:hAnsi="Arial" w:cs="Arial"/>
          <w:color w:val="000000" w:themeColor="text1"/>
        </w:rPr>
        <w:t>the subject matter while ensuring that it resonates with the cognitive and developmental needs of adolescents.</w:t>
      </w:r>
    </w:p>
    <w:p w14:paraId="314DFB37" w14:textId="506A6E71" w:rsidR="31DCDEAB" w:rsidRDefault="006C7A8F" w:rsidP="3B68FF25">
      <w:pPr>
        <w:pStyle w:val="NormalWeb"/>
        <w:spacing w:line="360" w:lineRule="auto"/>
        <w:rPr>
          <w:rFonts w:ascii="Arial" w:eastAsia="Arial" w:hAnsi="Arial" w:cs="Arial"/>
          <w:color w:val="000000" w:themeColor="text1"/>
        </w:rPr>
      </w:pPr>
      <w:r w:rsidRPr="2FE0697F">
        <w:rPr>
          <w:rFonts w:ascii="Arial" w:eastAsia="Arial" w:hAnsi="Arial" w:cs="Arial"/>
          <w:color w:val="000000" w:themeColor="text1"/>
        </w:rPr>
        <w:t xml:space="preserve">One of the key strengths of my video lies in its ability to balance educational content with </w:t>
      </w:r>
      <w:r w:rsidR="3785DF2E" w:rsidRPr="2FE0697F">
        <w:rPr>
          <w:rFonts w:ascii="Arial" w:eastAsia="Arial" w:hAnsi="Arial" w:cs="Arial"/>
          <w:color w:val="000000" w:themeColor="text1"/>
        </w:rPr>
        <w:t>engagement,</w:t>
      </w:r>
      <w:r w:rsidRPr="2FE0697F">
        <w:rPr>
          <w:rFonts w:ascii="Arial" w:eastAsia="Arial" w:hAnsi="Arial" w:cs="Arial"/>
          <w:color w:val="000000" w:themeColor="text1"/>
        </w:rPr>
        <w:t xml:space="preserve"> making it more likely to </w:t>
      </w:r>
      <w:bookmarkStart w:id="3" w:name="_Int_2kFJDxgp"/>
      <w:r w:rsidRPr="2FE0697F">
        <w:rPr>
          <w:rFonts w:ascii="Arial" w:eastAsia="Arial" w:hAnsi="Arial" w:cs="Arial"/>
          <w:color w:val="000000" w:themeColor="text1"/>
        </w:rPr>
        <w:t>maintain</w:t>
      </w:r>
      <w:bookmarkEnd w:id="3"/>
      <w:r w:rsidRPr="2FE0697F">
        <w:rPr>
          <w:rFonts w:ascii="Arial" w:eastAsia="Arial" w:hAnsi="Arial" w:cs="Arial"/>
          <w:color w:val="000000" w:themeColor="text1"/>
        </w:rPr>
        <w:t xml:space="preserve"> the viewer’s attention. The vibrant colour scheme used throughout the video </w:t>
      </w:r>
      <w:bookmarkStart w:id="4" w:name="_Int_RlSQczVL"/>
      <w:r w:rsidRPr="2FE0697F">
        <w:rPr>
          <w:rFonts w:ascii="Arial" w:eastAsia="Arial" w:hAnsi="Arial" w:cs="Arial"/>
          <w:color w:val="000000" w:themeColor="text1"/>
        </w:rPr>
        <w:t>is specifically designed</w:t>
      </w:r>
      <w:bookmarkEnd w:id="4"/>
      <w:r w:rsidRPr="2FE0697F">
        <w:rPr>
          <w:rFonts w:ascii="Arial" w:eastAsia="Arial" w:hAnsi="Arial" w:cs="Arial"/>
          <w:color w:val="000000" w:themeColor="text1"/>
        </w:rPr>
        <w:t xml:space="preserve"> to capture and hold the audience's focus, </w:t>
      </w:r>
      <w:r w:rsidR="00523AA9" w:rsidRPr="2FE0697F">
        <w:rPr>
          <w:rFonts w:ascii="Arial" w:eastAsia="Arial" w:hAnsi="Arial" w:cs="Arial"/>
          <w:color w:val="000000" w:themeColor="text1"/>
        </w:rPr>
        <w:t xml:space="preserve">therefore </w:t>
      </w:r>
      <w:r w:rsidRPr="2FE0697F">
        <w:rPr>
          <w:rFonts w:ascii="Arial" w:eastAsia="Arial" w:hAnsi="Arial" w:cs="Arial"/>
          <w:color w:val="000000" w:themeColor="text1"/>
        </w:rPr>
        <w:t>enhancing the overall viewing experience.</w:t>
      </w:r>
      <w:r w:rsidR="00CA511B" w:rsidRPr="2FE0697F">
        <w:rPr>
          <w:rFonts w:ascii="Arial" w:eastAsia="Arial" w:hAnsi="Arial" w:cs="Arial"/>
          <w:color w:val="000000" w:themeColor="text1"/>
        </w:rPr>
        <w:t xml:space="preserve"> Bright</w:t>
      </w:r>
      <w:r w:rsidRPr="2FE0697F">
        <w:rPr>
          <w:rFonts w:ascii="Arial" w:eastAsia="Arial" w:hAnsi="Arial" w:cs="Arial"/>
          <w:color w:val="000000" w:themeColor="text1"/>
        </w:rPr>
        <w:t xml:space="preserve"> colours and dynamic visuals can significantly contribute to engagement, particularly in younger viewers, and I have </w:t>
      </w:r>
      <w:r w:rsidR="00CA511B" w:rsidRPr="2FE0697F">
        <w:rPr>
          <w:rFonts w:ascii="Arial" w:eastAsia="Arial" w:hAnsi="Arial" w:cs="Arial"/>
          <w:color w:val="000000" w:themeColor="text1"/>
        </w:rPr>
        <w:t>applied this</w:t>
      </w:r>
      <w:r w:rsidRPr="2FE0697F">
        <w:rPr>
          <w:rFonts w:ascii="Arial" w:eastAsia="Arial" w:hAnsi="Arial" w:cs="Arial"/>
          <w:color w:val="000000" w:themeColor="text1"/>
        </w:rPr>
        <w:t xml:space="preserve"> to </w:t>
      </w:r>
      <w:r w:rsidR="001E7F41" w:rsidRPr="2FE0697F">
        <w:rPr>
          <w:rFonts w:ascii="Arial" w:eastAsia="Arial" w:hAnsi="Arial" w:cs="Arial"/>
          <w:color w:val="000000" w:themeColor="text1"/>
        </w:rPr>
        <w:t xml:space="preserve">my video to </w:t>
      </w:r>
      <w:r w:rsidRPr="2FE0697F">
        <w:rPr>
          <w:rFonts w:ascii="Arial" w:eastAsia="Arial" w:hAnsi="Arial" w:cs="Arial"/>
          <w:color w:val="000000" w:themeColor="text1"/>
        </w:rPr>
        <w:t xml:space="preserve">ensure that the video </w:t>
      </w:r>
      <w:bookmarkStart w:id="5" w:name="_Int_Nu4Oy0rv"/>
      <w:r w:rsidRPr="2FE0697F">
        <w:rPr>
          <w:rFonts w:ascii="Arial" w:eastAsia="Arial" w:hAnsi="Arial" w:cs="Arial"/>
          <w:color w:val="000000" w:themeColor="text1"/>
        </w:rPr>
        <w:t>remains</w:t>
      </w:r>
      <w:bookmarkEnd w:id="5"/>
      <w:r w:rsidRPr="2FE0697F">
        <w:rPr>
          <w:rFonts w:ascii="Arial" w:eastAsia="Arial" w:hAnsi="Arial" w:cs="Arial"/>
          <w:color w:val="000000" w:themeColor="text1"/>
        </w:rPr>
        <w:t xml:space="preserve"> both stimulating and memorable.</w:t>
      </w:r>
    </w:p>
    <w:p w14:paraId="4574B2B6" w14:textId="66404EF5" w:rsidR="7BF82F04" w:rsidRDefault="7BF82F04" w:rsidP="3B68FF25">
      <w:pPr>
        <w:spacing w:before="240" w:after="240" w:line="360" w:lineRule="auto"/>
        <w:rPr>
          <w:rFonts w:ascii="Arial" w:eastAsia="Arial" w:hAnsi="Arial" w:cs="Arial"/>
          <w:color w:val="000000" w:themeColor="text1"/>
        </w:rPr>
      </w:pPr>
      <w:r w:rsidRPr="3B68FF25">
        <w:rPr>
          <w:rFonts w:ascii="Arial" w:eastAsia="Arial" w:hAnsi="Arial" w:cs="Arial"/>
          <w:color w:val="000000" w:themeColor="text1"/>
        </w:rPr>
        <w:t xml:space="preserve">The challenges I encountered in producing a resource on abortion were multifaceted, primarily stemming from the sensitive nature of the subject matter and the need to communicate complex legal information to a younger audience. Abortion, as a topic, can be deeply personal and emotionally charged, particularly for individuals who have had direct experience with it or who hold strong morals or views. The potential for triggering emotional responses from viewers was a significant consideration in my </w:t>
      </w:r>
      <w:r w:rsidRPr="3B68FF25">
        <w:rPr>
          <w:rFonts w:ascii="Arial" w:eastAsia="Arial" w:hAnsi="Arial" w:cs="Arial"/>
          <w:color w:val="000000" w:themeColor="text1"/>
        </w:rPr>
        <w:lastRenderedPageBreak/>
        <w:t xml:space="preserve">approach. Consequently, my goal was to present the information in a manner that was not only sensitive to these potential emotional triggers but also provided an educational opportunity for those seeking to understand the legal and practical aspects of accessing abortion services. I sought to frame the content in a way that would be respectful, non-judgmental, and empathetic, while also highlighting the accessibility of support and resources for individuals who might be unaware of their options. </w:t>
      </w:r>
    </w:p>
    <w:p w14:paraId="4DA07F1D" w14:textId="5E807E9F" w:rsidR="7BF82F04" w:rsidRDefault="7BF82F04" w:rsidP="3B68FF25">
      <w:pPr>
        <w:spacing w:before="240" w:after="240" w:line="360" w:lineRule="auto"/>
        <w:rPr>
          <w:rFonts w:ascii="Arial" w:eastAsia="Arial" w:hAnsi="Arial" w:cs="Arial"/>
          <w:color w:val="000000" w:themeColor="text1"/>
        </w:rPr>
      </w:pPr>
      <w:r w:rsidRPr="3B68FF25">
        <w:rPr>
          <w:rFonts w:ascii="Arial" w:eastAsia="Arial" w:hAnsi="Arial" w:cs="Arial"/>
          <w:color w:val="000000" w:themeColor="text1"/>
        </w:rPr>
        <w:t xml:space="preserve">In addition to the sensitivity of the topic itself, another significant challenge I faced was the need to communicate legal information to a younger demographic, specifically 16-year-olds. Legal language, by its nature, is often complex, technical, and densely packed with specialised terms and concepts that can be difficult for non-experts to grasp, particularly for adolescents who may have limited experience with legal matters.  I had to ensure that the content remained legally accurate while simplifying the language to make it accessible to a younger audience without sacrificing essential details.  </w:t>
      </w:r>
    </w:p>
    <w:p w14:paraId="4AE3CA5F" w14:textId="1C93B8DA" w:rsidR="4B7B684D" w:rsidRDefault="4B7B684D" w:rsidP="2FE0697F">
      <w:pPr>
        <w:spacing w:before="240" w:after="240" w:line="360" w:lineRule="auto"/>
        <w:rPr>
          <w:rFonts w:ascii="Arial" w:eastAsia="Arial" w:hAnsi="Arial" w:cs="Arial"/>
          <w:color w:val="000000" w:themeColor="text1"/>
        </w:rPr>
      </w:pPr>
      <w:r w:rsidRPr="2FE0697F">
        <w:rPr>
          <w:rFonts w:ascii="Arial" w:eastAsia="Arial" w:hAnsi="Arial" w:cs="Arial"/>
          <w:color w:val="000000" w:themeColor="text1"/>
        </w:rPr>
        <w:t>In reflecting on the development and effectiveness of my video resource, I believe it serves as an appropriate and engaging medium for reaching my intended audience of</w:t>
      </w:r>
      <w:r w:rsidR="740E7BCF" w:rsidRPr="2FE0697F">
        <w:rPr>
          <w:rFonts w:ascii="Arial" w:eastAsia="Arial" w:hAnsi="Arial" w:cs="Arial"/>
          <w:color w:val="000000" w:themeColor="text1"/>
        </w:rPr>
        <w:t xml:space="preserve"> </w:t>
      </w:r>
      <w:r w:rsidRPr="2FE0697F">
        <w:rPr>
          <w:rFonts w:ascii="Arial" w:eastAsia="Arial" w:hAnsi="Arial" w:cs="Arial"/>
          <w:color w:val="000000" w:themeColor="text1"/>
        </w:rPr>
        <w:t>16-year-olds. The decision to use video as the primary format was grounded in the understanding that young audiences are often more receptive to visual content. A video offers a compelling combination of visual imagery, motion, and the ability to convey information in a way that is both informative and engaging. Given the increasing reliance on digital media by adolescents, particularly in educational and social contexts, I believe that the video format provides a familiar platform for delivering content. This method has the potential to capture the attention of young viewers more effectively than traditional text-based</w:t>
      </w:r>
      <w:r w:rsidR="2326BC26" w:rsidRPr="2FE0697F">
        <w:rPr>
          <w:rFonts w:ascii="Arial" w:eastAsia="Arial" w:hAnsi="Arial" w:cs="Arial"/>
          <w:color w:val="000000" w:themeColor="text1"/>
        </w:rPr>
        <w:t xml:space="preserve"> resources</w:t>
      </w:r>
      <w:r w:rsidRPr="2FE0697F">
        <w:rPr>
          <w:rFonts w:ascii="Arial" w:eastAsia="Arial" w:hAnsi="Arial" w:cs="Arial"/>
          <w:color w:val="000000" w:themeColor="text1"/>
        </w:rPr>
        <w:t>.</w:t>
      </w:r>
      <w:r w:rsidR="0D9149C5" w:rsidRPr="2FE0697F">
        <w:rPr>
          <w:rFonts w:ascii="Arial" w:eastAsia="Arial" w:hAnsi="Arial" w:cs="Arial"/>
          <w:color w:val="000000" w:themeColor="text1"/>
        </w:rPr>
        <w:t xml:space="preserve"> I would plan on show casing my video</w:t>
      </w:r>
      <w:r w:rsidR="2E660287" w:rsidRPr="2FE0697F">
        <w:rPr>
          <w:rFonts w:ascii="Arial" w:eastAsia="Arial" w:hAnsi="Arial" w:cs="Arial"/>
          <w:color w:val="000000" w:themeColor="text1"/>
        </w:rPr>
        <w:t xml:space="preserve"> either </w:t>
      </w:r>
      <w:r w:rsidR="0D9149C5" w:rsidRPr="2FE0697F">
        <w:rPr>
          <w:rFonts w:ascii="Arial" w:eastAsia="Arial" w:hAnsi="Arial" w:cs="Arial"/>
          <w:color w:val="000000" w:themeColor="text1"/>
        </w:rPr>
        <w:t xml:space="preserve">within a classroom of a school or onto social media, such as Instagram </w:t>
      </w:r>
      <w:r w:rsidR="04584017" w:rsidRPr="2FE0697F">
        <w:rPr>
          <w:rFonts w:ascii="Arial" w:eastAsia="Arial" w:hAnsi="Arial" w:cs="Arial"/>
          <w:color w:val="000000" w:themeColor="text1"/>
        </w:rPr>
        <w:t>or</w:t>
      </w:r>
      <w:r w:rsidR="0D9149C5" w:rsidRPr="2FE0697F">
        <w:rPr>
          <w:rFonts w:ascii="Arial" w:eastAsia="Arial" w:hAnsi="Arial" w:cs="Arial"/>
          <w:color w:val="000000" w:themeColor="text1"/>
        </w:rPr>
        <w:t xml:space="preserve"> TikTok to </w:t>
      </w:r>
      <w:r w:rsidR="7BD6E4EE" w:rsidRPr="2FE0697F">
        <w:rPr>
          <w:rFonts w:ascii="Arial" w:eastAsia="Arial" w:hAnsi="Arial" w:cs="Arial"/>
          <w:color w:val="000000" w:themeColor="text1"/>
        </w:rPr>
        <w:t>be able to achieve</w:t>
      </w:r>
      <w:r w:rsidR="0D9149C5" w:rsidRPr="2FE0697F">
        <w:rPr>
          <w:rFonts w:ascii="Arial" w:eastAsia="Arial" w:hAnsi="Arial" w:cs="Arial"/>
          <w:color w:val="000000" w:themeColor="text1"/>
        </w:rPr>
        <w:t xml:space="preserve"> more engagement and coverage on this important subject</w:t>
      </w:r>
      <w:r w:rsidR="5CA0A680" w:rsidRPr="2FE0697F">
        <w:rPr>
          <w:rFonts w:ascii="Arial" w:eastAsia="Arial" w:hAnsi="Arial" w:cs="Arial"/>
          <w:color w:val="000000" w:themeColor="text1"/>
        </w:rPr>
        <w:t>.</w:t>
      </w:r>
    </w:p>
    <w:p w14:paraId="28305E8C" w14:textId="157C3B0F" w:rsidR="4B7B684D" w:rsidRDefault="4B7B684D" w:rsidP="3B68FF25">
      <w:pPr>
        <w:spacing w:before="240" w:after="240" w:line="360" w:lineRule="auto"/>
        <w:rPr>
          <w:rFonts w:ascii="Arial" w:eastAsia="Arial" w:hAnsi="Arial" w:cs="Arial"/>
          <w:color w:val="000000" w:themeColor="text1"/>
          <w:lang w:val="en-US"/>
        </w:rPr>
      </w:pPr>
      <w:r w:rsidRPr="3B68FF25">
        <w:rPr>
          <w:rFonts w:ascii="Arial" w:eastAsia="Arial" w:hAnsi="Arial" w:cs="Arial"/>
          <w:color w:val="000000" w:themeColor="text1"/>
        </w:rPr>
        <w:t xml:space="preserve">However, in evaluating the video after its initial creation, I have identified several areas where further development could enhance its effectiveness and better engage my target audience. One key enhancement I would implement is the addition of audio elements, </w:t>
      </w:r>
      <w:r w:rsidRPr="3B68FF25">
        <w:rPr>
          <w:rFonts w:ascii="Arial" w:eastAsia="Arial" w:hAnsi="Arial" w:cs="Arial"/>
          <w:color w:val="000000" w:themeColor="text1"/>
        </w:rPr>
        <w:lastRenderedPageBreak/>
        <w:t>either in the form of a voice-over or background music. While the visual aspects of the video are strong, I believe that incorporating a voice-over would offer several benefits. A well-delivered voice-over could help clarify key points, provide emphasis on important information, and create a more personal connection with the viewer. Furthermore, background music, if chosen thoughtfully, could add an emotional layer to the video, making it more engaging and potentially improving the retention of the content. Music has the capacity to enhance mood and pacing, helping to maintain the viewer’s attention and reinforcing the tone of the message being conveyed.</w:t>
      </w:r>
    </w:p>
    <w:p w14:paraId="6C53368D" w14:textId="41F9A88A" w:rsidR="3B68FF25" w:rsidRDefault="3B68FF25" w:rsidP="3B68FF25">
      <w:pPr>
        <w:spacing w:line="360" w:lineRule="auto"/>
        <w:rPr>
          <w:rFonts w:ascii="Arial" w:eastAsia="Arial" w:hAnsi="Arial" w:cs="Arial"/>
        </w:rPr>
      </w:pPr>
    </w:p>
    <w:p w14:paraId="1153678C" w14:textId="4443BD43" w:rsidR="3B68FF25" w:rsidRDefault="3B68FF25" w:rsidP="3B68FF25">
      <w:pPr>
        <w:spacing w:line="360" w:lineRule="auto"/>
        <w:rPr>
          <w:rFonts w:ascii="Arial" w:eastAsia="Arial" w:hAnsi="Arial" w:cs="Arial"/>
        </w:rPr>
      </w:pPr>
    </w:p>
    <w:p w14:paraId="608C5635" w14:textId="1E1D31D4" w:rsidR="3B68FF25" w:rsidRDefault="3B68FF25" w:rsidP="3B68FF25">
      <w:pPr>
        <w:spacing w:line="360" w:lineRule="auto"/>
        <w:rPr>
          <w:rFonts w:ascii="Arial" w:eastAsia="Arial" w:hAnsi="Arial" w:cs="Arial"/>
        </w:rPr>
      </w:pPr>
    </w:p>
    <w:p w14:paraId="36A1FFCE" w14:textId="2CEB53BA" w:rsidR="3B68FF25" w:rsidRDefault="3B68FF25" w:rsidP="3B68FF25">
      <w:pPr>
        <w:spacing w:line="360" w:lineRule="auto"/>
        <w:rPr>
          <w:rFonts w:ascii="Arial" w:eastAsia="Arial" w:hAnsi="Arial" w:cs="Arial"/>
        </w:rPr>
      </w:pPr>
    </w:p>
    <w:p w14:paraId="69C5127A" w14:textId="31C81324" w:rsidR="3B68FF25" w:rsidRDefault="3B68FF25" w:rsidP="3B68FF25">
      <w:pPr>
        <w:spacing w:line="360" w:lineRule="auto"/>
        <w:rPr>
          <w:rFonts w:ascii="Arial" w:eastAsia="Arial" w:hAnsi="Arial" w:cs="Arial"/>
        </w:rPr>
      </w:pPr>
    </w:p>
    <w:p w14:paraId="294AD2A6" w14:textId="4227D849" w:rsidR="3B68FF25" w:rsidRDefault="3B68FF25" w:rsidP="3B68FF25">
      <w:pPr>
        <w:spacing w:line="360" w:lineRule="auto"/>
        <w:rPr>
          <w:rFonts w:ascii="Arial" w:eastAsia="Arial" w:hAnsi="Arial" w:cs="Arial"/>
        </w:rPr>
      </w:pPr>
    </w:p>
    <w:p w14:paraId="4D375D37" w14:textId="5D410DE4" w:rsidR="3B68FF25" w:rsidRDefault="3B68FF25" w:rsidP="3B68FF25">
      <w:pPr>
        <w:spacing w:line="360" w:lineRule="auto"/>
        <w:rPr>
          <w:rFonts w:ascii="Arial" w:eastAsia="Arial" w:hAnsi="Arial" w:cs="Arial"/>
        </w:rPr>
      </w:pPr>
    </w:p>
    <w:p w14:paraId="3A29CF1F" w14:textId="4E967F9A" w:rsidR="3B68FF25" w:rsidRDefault="3B68FF25" w:rsidP="3B68FF25">
      <w:pPr>
        <w:spacing w:line="360" w:lineRule="auto"/>
        <w:rPr>
          <w:rFonts w:ascii="Arial" w:eastAsia="Arial" w:hAnsi="Arial" w:cs="Arial"/>
        </w:rPr>
      </w:pPr>
    </w:p>
    <w:p w14:paraId="621DB083" w14:textId="2B9176E1" w:rsidR="3B68FF25" w:rsidRDefault="3B68FF25" w:rsidP="3B68FF25">
      <w:pPr>
        <w:spacing w:line="360" w:lineRule="auto"/>
        <w:rPr>
          <w:rFonts w:ascii="Arial" w:eastAsia="Arial" w:hAnsi="Arial" w:cs="Arial"/>
        </w:rPr>
      </w:pPr>
    </w:p>
    <w:p w14:paraId="6F670AF9" w14:textId="0B256BBB" w:rsidR="3B68FF25" w:rsidRDefault="3B68FF25" w:rsidP="3B68FF25">
      <w:pPr>
        <w:spacing w:line="360" w:lineRule="auto"/>
        <w:rPr>
          <w:rFonts w:ascii="Arial" w:eastAsia="Arial" w:hAnsi="Arial" w:cs="Arial"/>
        </w:rPr>
      </w:pPr>
    </w:p>
    <w:p w14:paraId="33483AB0" w14:textId="2E999679" w:rsidR="3B68FF25" w:rsidRDefault="3B68FF25" w:rsidP="3B68FF25">
      <w:pPr>
        <w:spacing w:line="360" w:lineRule="auto"/>
        <w:rPr>
          <w:rFonts w:ascii="Arial" w:eastAsia="Arial" w:hAnsi="Arial" w:cs="Arial"/>
        </w:rPr>
      </w:pPr>
    </w:p>
    <w:p w14:paraId="33DB90C2" w14:textId="1C472CF7" w:rsidR="3B68FF25" w:rsidRDefault="3B68FF25" w:rsidP="3B68FF25">
      <w:pPr>
        <w:spacing w:line="360" w:lineRule="auto"/>
        <w:rPr>
          <w:rFonts w:ascii="Arial" w:eastAsia="Arial" w:hAnsi="Arial" w:cs="Arial"/>
        </w:rPr>
      </w:pPr>
    </w:p>
    <w:p w14:paraId="60691816" w14:textId="5A84F6FA" w:rsidR="3B68FF25" w:rsidRDefault="3B68FF25" w:rsidP="2FE0697F">
      <w:pPr>
        <w:spacing w:line="360" w:lineRule="auto"/>
        <w:rPr>
          <w:rFonts w:ascii="Arial" w:eastAsia="Arial" w:hAnsi="Arial" w:cs="Arial"/>
        </w:rPr>
      </w:pPr>
    </w:p>
    <w:p w14:paraId="29AB760B" w14:textId="26D743F5" w:rsidR="4B7B684D" w:rsidRDefault="4B7B684D" w:rsidP="3B68FF25">
      <w:pPr>
        <w:spacing w:line="360" w:lineRule="auto"/>
        <w:rPr>
          <w:rFonts w:ascii="Arial" w:eastAsia="Arial" w:hAnsi="Arial" w:cs="Arial"/>
        </w:rPr>
      </w:pPr>
      <w:r w:rsidRPr="3B68FF25">
        <w:rPr>
          <w:rFonts w:ascii="Arial" w:eastAsia="Arial" w:hAnsi="Arial" w:cs="Arial"/>
        </w:rPr>
        <w:t>Reference list:</w:t>
      </w:r>
    </w:p>
    <w:p w14:paraId="51D5C112" w14:textId="7964E654" w:rsidR="3EB7AFFE" w:rsidRDefault="3EB7AFFE" w:rsidP="3B68FF25">
      <w:pPr>
        <w:spacing w:before="240" w:after="240" w:line="360" w:lineRule="auto"/>
        <w:rPr>
          <w:rFonts w:ascii="Arial" w:eastAsia="Arial" w:hAnsi="Arial" w:cs="Arial"/>
        </w:rPr>
      </w:pPr>
      <w:r w:rsidRPr="3B68FF25">
        <w:rPr>
          <w:rFonts w:ascii="Arial" w:eastAsia="Arial" w:hAnsi="Arial" w:cs="Arial"/>
        </w:rPr>
        <w:t xml:space="preserve">British Advisory Clinic [BPAS] (2024) Abortion support and care for under 18’s. Available at: </w:t>
      </w:r>
      <w:hyperlink r:id="rId11">
        <w:r w:rsidRPr="3B68FF25">
          <w:rPr>
            <w:rStyle w:val="Hyperlink"/>
            <w:rFonts w:ascii="Arial" w:eastAsia="Arial" w:hAnsi="Arial" w:cs="Arial"/>
          </w:rPr>
          <w:t>https://www.bpas.org/abortion-care/under-18/</w:t>
        </w:r>
      </w:hyperlink>
      <w:r w:rsidRPr="3B68FF25">
        <w:rPr>
          <w:rFonts w:ascii="Arial" w:eastAsia="Arial" w:hAnsi="Arial" w:cs="Arial"/>
        </w:rPr>
        <w:t xml:space="preserve"> (Accessed: 02/11/24)</w:t>
      </w:r>
    </w:p>
    <w:p w14:paraId="028EE28F" w14:textId="5946D2B5" w:rsidR="3EB7AFFE" w:rsidRDefault="3EB7AFFE" w:rsidP="3B68FF25">
      <w:pPr>
        <w:spacing w:before="240" w:after="240" w:line="360" w:lineRule="auto"/>
        <w:rPr>
          <w:rFonts w:ascii="Arial" w:eastAsia="Arial" w:hAnsi="Arial" w:cs="Arial"/>
        </w:rPr>
      </w:pPr>
      <w:r w:rsidRPr="2FE0697F">
        <w:rPr>
          <w:rFonts w:ascii="Arial" w:eastAsia="Arial" w:hAnsi="Arial" w:cs="Arial"/>
        </w:rPr>
        <w:lastRenderedPageBreak/>
        <w:t xml:space="preserve">Coleman – </w:t>
      </w:r>
      <w:proofErr w:type="spellStart"/>
      <w:r w:rsidRPr="2FE0697F">
        <w:rPr>
          <w:rFonts w:ascii="Arial" w:eastAsia="Arial" w:hAnsi="Arial" w:cs="Arial"/>
        </w:rPr>
        <w:t>Minahan</w:t>
      </w:r>
      <w:proofErr w:type="spellEnd"/>
      <w:r w:rsidRPr="2FE0697F">
        <w:rPr>
          <w:rFonts w:ascii="Arial" w:eastAsia="Arial" w:hAnsi="Arial" w:cs="Arial"/>
        </w:rPr>
        <w:t xml:space="preserve">, K., Stevenson, A.J., </w:t>
      </w:r>
      <w:proofErr w:type="spellStart"/>
      <w:r w:rsidRPr="2FE0697F">
        <w:rPr>
          <w:rFonts w:ascii="Arial" w:eastAsia="Arial" w:hAnsi="Arial" w:cs="Arial"/>
        </w:rPr>
        <w:t>Obront</w:t>
      </w:r>
      <w:proofErr w:type="spellEnd"/>
      <w:r w:rsidRPr="2FE0697F">
        <w:rPr>
          <w:rFonts w:ascii="Arial" w:eastAsia="Arial" w:hAnsi="Arial" w:cs="Arial"/>
        </w:rPr>
        <w:t xml:space="preserve">, E. and Hays, S. (2020) ‘Adolescents Obtaining Abortion Without Parental Consent: Their reasons and Experiences of Social Support’ </w:t>
      </w:r>
      <w:r w:rsidRPr="2FE0697F">
        <w:rPr>
          <w:rFonts w:ascii="Arial" w:eastAsia="Arial" w:hAnsi="Arial" w:cs="Arial"/>
          <w:i/>
          <w:iCs/>
        </w:rPr>
        <w:t>Perspectives on Sexual and Reproductive Health</w:t>
      </w:r>
      <w:r w:rsidRPr="2FE0697F">
        <w:rPr>
          <w:rFonts w:ascii="Arial" w:eastAsia="Arial" w:hAnsi="Arial" w:cs="Arial"/>
        </w:rPr>
        <w:t xml:space="preserve">. Vol.52(1), p.15-22. Available at: </w:t>
      </w:r>
      <w:hyperlink r:id="rId12">
        <w:r w:rsidRPr="2FE0697F">
          <w:rPr>
            <w:rStyle w:val="Hyperlink"/>
            <w:rFonts w:ascii="Arial" w:eastAsia="Arial" w:hAnsi="Arial" w:cs="Arial"/>
          </w:rPr>
          <w:t>https://pmc.ncbi.nlm.nih.gov/articles/PMC7155056/</w:t>
        </w:r>
      </w:hyperlink>
      <w:r w:rsidRPr="2FE0697F">
        <w:rPr>
          <w:rFonts w:ascii="Arial" w:eastAsia="Arial" w:hAnsi="Arial" w:cs="Arial"/>
        </w:rPr>
        <w:t xml:space="preserve"> (Accessed: 02/11/24)</w:t>
      </w:r>
    </w:p>
    <w:p w14:paraId="35B280FB" w14:textId="755F6F3B" w:rsidR="4CA7C466" w:rsidRDefault="4CA7C466" w:rsidP="2FE0697F">
      <w:pPr>
        <w:spacing w:before="240" w:after="240" w:line="360" w:lineRule="auto"/>
      </w:pPr>
      <w:r w:rsidRPr="2FE0697F">
        <w:rPr>
          <w:rFonts w:ascii="Aptos" w:eastAsia="Aptos" w:hAnsi="Aptos" w:cs="Aptos"/>
          <w:color w:val="000000" w:themeColor="text1"/>
        </w:rPr>
        <w:t>Gov (2018)</w:t>
      </w:r>
      <w:r w:rsidRPr="2FE0697F">
        <w:rPr>
          <w:rFonts w:ascii="Aptos" w:eastAsia="Aptos" w:hAnsi="Aptos" w:cs="Aptos"/>
          <w:i/>
          <w:iCs/>
          <w:color w:val="000000" w:themeColor="text1"/>
        </w:rPr>
        <w:t xml:space="preserve"> Data Protection. </w:t>
      </w:r>
      <w:r w:rsidRPr="2FE0697F">
        <w:rPr>
          <w:rFonts w:ascii="Aptos" w:eastAsia="Aptos" w:hAnsi="Aptos" w:cs="Aptos"/>
          <w:color w:val="000000" w:themeColor="text1"/>
        </w:rPr>
        <w:t>Available at:</w:t>
      </w:r>
      <w:hyperlink r:id="rId13" w:anchor=":~:text=The%20Data%20Protection%20Act%202018%20is%20the%20UK's%20implementation%20of,used%20fairly%2C%20lawfully%20and%20transparently">
        <w:r w:rsidRPr="2FE0697F">
          <w:rPr>
            <w:rStyle w:val="Hyperlink"/>
            <w:rFonts w:ascii="Aptos" w:eastAsia="Aptos" w:hAnsi="Aptos" w:cs="Aptos"/>
          </w:rPr>
          <w:t>https://www.gov.uk/data-protection#:~:text=The%20Data%20Protection%20Act%202018%20is%20the%20UK's%20implementation%20of,used%20fairly%2C%20lawfully%20and%20transparently</w:t>
        </w:r>
      </w:hyperlink>
    </w:p>
    <w:p w14:paraId="625C765B" w14:textId="1FA4AD82" w:rsidR="3EB7AFFE" w:rsidRDefault="3EB7AFFE" w:rsidP="3B68FF25">
      <w:pPr>
        <w:spacing w:before="240" w:after="240" w:line="360" w:lineRule="auto"/>
        <w:rPr>
          <w:rFonts w:ascii="Arial" w:eastAsia="Arial" w:hAnsi="Arial" w:cs="Arial"/>
        </w:rPr>
      </w:pPr>
      <w:proofErr w:type="spellStart"/>
      <w:r w:rsidRPr="2FE0697F">
        <w:rPr>
          <w:rFonts w:ascii="Arial" w:eastAsia="Arial" w:hAnsi="Arial" w:cs="Arial"/>
        </w:rPr>
        <w:t>Kimport</w:t>
      </w:r>
      <w:proofErr w:type="spellEnd"/>
      <w:r w:rsidRPr="2FE0697F">
        <w:rPr>
          <w:rFonts w:ascii="Arial" w:eastAsia="Arial" w:hAnsi="Arial" w:cs="Arial"/>
        </w:rPr>
        <w:t xml:space="preserve">, K., Foster, K. and </w:t>
      </w:r>
      <w:proofErr w:type="spellStart"/>
      <w:r w:rsidRPr="2FE0697F">
        <w:rPr>
          <w:rFonts w:ascii="Arial" w:eastAsia="Arial" w:hAnsi="Arial" w:cs="Arial"/>
        </w:rPr>
        <w:t>Weitz</w:t>
      </w:r>
      <w:proofErr w:type="spellEnd"/>
      <w:r w:rsidRPr="2FE0697F">
        <w:rPr>
          <w:rFonts w:ascii="Arial" w:eastAsia="Arial" w:hAnsi="Arial" w:cs="Arial"/>
        </w:rPr>
        <w:t xml:space="preserve">, T.A (2011) ‘Social Sources of Women’s Emotional Difficulty After Abortion: Lessons from Women’s Abortion Narratives’ </w:t>
      </w:r>
      <w:r w:rsidRPr="2FE0697F">
        <w:rPr>
          <w:rFonts w:ascii="Arial" w:eastAsia="Arial" w:hAnsi="Arial" w:cs="Arial"/>
          <w:i/>
          <w:iCs/>
        </w:rPr>
        <w:t>Perspectives on Sexual and Reproductive Health</w:t>
      </w:r>
      <w:r w:rsidRPr="2FE0697F">
        <w:rPr>
          <w:rFonts w:ascii="Arial" w:eastAsia="Arial" w:hAnsi="Arial" w:cs="Arial"/>
        </w:rPr>
        <w:t xml:space="preserve">. Vol.43(2). Available at: </w:t>
      </w:r>
      <w:hyperlink r:id="rId14">
        <w:r w:rsidRPr="2FE0697F">
          <w:rPr>
            <w:rStyle w:val="Hyperlink"/>
            <w:rFonts w:ascii="Arial" w:eastAsia="Arial" w:hAnsi="Arial" w:cs="Arial"/>
          </w:rPr>
          <w:t>https://doi.org/10.1363/4310311</w:t>
        </w:r>
      </w:hyperlink>
      <w:r w:rsidRPr="2FE0697F">
        <w:rPr>
          <w:rFonts w:ascii="Arial" w:eastAsia="Arial" w:hAnsi="Arial" w:cs="Arial"/>
        </w:rPr>
        <w:t xml:space="preserve"> (Accessed: 01/11/24)</w:t>
      </w:r>
    </w:p>
    <w:p w14:paraId="7C3D19B4" w14:textId="18D0CA6D" w:rsidR="3EB7AFFE" w:rsidRDefault="3EB7AFFE" w:rsidP="3B68FF25">
      <w:pPr>
        <w:spacing w:before="240" w:after="240" w:line="360" w:lineRule="auto"/>
        <w:rPr>
          <w:rFonts w:ascii="Arial" w:eastAsia="Arial" w:hAnsi="Arial" w:cs="Arial"/>
        </w:rPr>
      </w:pPr>
      <w:r w:rsidRPr="3B68FF25">
        <w:rPr>
          <w:rFonts w:ascii="Arial" w:eastAsia="Arial" w:hAnsi="Arial" w:cs="Arial"/>
        </w:rPr>
        <w:t xml:space="preserve">The British Medical Association [BMA] (2023) The law and ethics of abortion. Available at: </w:t>
      </w:r>
      <w:hyperlink r:id="rId15">
        <w:r w:rsidRPr="3B68FF25">
          <w:rPr>
            <w:rStyle w:val="Hyperlink"/>
            <w:rFonts w:ascii="Arial" w:eastAsia="Arial" w:hAnsi="Arial" w:cs="Arial"/>
          </w:rPr>
          <w:t>https://www.bma.org.uk/media/3307/bma-the-law-and-ethics-of-abortion-report-march-2023-final-web.pdf</w:t>
        </w:r>
      </w:hyperlink>
      <w:r w:rsidRPr="3B68FF25">
        <w:rPr>
          <w:rFonts w:ascii="Arial" w:eastAsia="Arial" w:hAnsi="Arial" w:cs="Arial"/>
        </w:rPr>
        <w:t xml:space="preserve"> (Accessed: 01/11/24)</w:t>
      </w:r>
    </w:p>
    <w:p w14:paraId="52787244" w14:textId="30700844" w:rsidR="3EB7AFFE" w:rsidRDefault="3EB7AFFE" w:rsidP="3B68FF25">
      <w:pPr>
        <w:spacing w:before="240" w:after="240" w:line="360" w:lineRule="auto"/>
        <w:rPr>
          <w:rFonts w:ascii="Arial" w:eastAsia="Arial" w:hAnsi="Arial" w:cs="Arial"/>
        </w:rPr>
      </w:pPr>
      <w:r w:rsidRPr="3B68FF25">
        <w:rPr>
          <w:rFonts w:ascii="Arial" w:eastAsia="Arial" w:hAnsi="Arial" w:cs="Arial"/>
        </w:rPr>
        <w:t xml:space="preserve">The Royal College of Paediatrics and Child Health Organisation [RCPCH] (2022) RCPCH publishes safeguarding guidance for children and young people under 18 accessing early medical abortion services. Available at: </w:t>
      </w:r>
      <w:hyperlink r:id="rId16">
        <w:r w:rsidRPr="3B68FF25">
          <w:rPr>
            <w:rStyle w:val="Hyperlink"/>
            <w:rFonts w:ascii="Arial" w:eastAsia="Arial" w:hAnsi="Arial" w:cs="Arial"/>
          </w:rPr>
          <w:t>https://www.rcpch.ac.uk/news-events/news/rcpch-publishes-safeguarding-guidance-children-young-people-under-18-accessing</w:t>
        </w:r>
      </w:hyperlink>
      <w:r w:rsidRPr="3B68FF25">
        <w:rPr>
          <w:rFonts w:ascii="Arial" w:eastAsia="Arial" w:hAnsi="Arial" w:cs="Arial"/>
        </w:rPr>
        <w:t xml:space="preserve"> (Accessed: 03/11/24)</w:t>
      </w:r>
    </w:p>
    <w:p w14:paraId="05E80969" w14:textId="49D2119F" w:rsidR="3EB7AFFE" w:rsidRDefault="3EB7AFFE" w:rsidP="3B68FF25">
      <w:pPr>
        <w:spacing w:before="240" w:after="240" w:line="360" w:lineRule="auto"/>
        <w:rPr>
          <w:rFonts w:ascii="Arial" w:eastAsia="Arial" w:hAnsi="Arial" w:cs="Arial"/>
        </w:rPr>
      </w:pPr>
      <w:r w:rsidRPr="3B68FF25">
        <w:rPr>
          <w:rFonts w:ascii="Arial" w:eastAsia="Arial" w:hAnsi="Arial" w:cs="Arial"/>
        </w:rPr>
        <w:t xml:space="preserve">The Royal College of Paediatrics and Child Health Organisation [RCPCH] (2022) RCPCH statement on early medical abortion by telemedicine. Available at: </w:t>
      </w:r>
      <w:hyperlink r:id="rId17">
        <w:r w:rsidRPr="3B68FF25">
          <w:rPr>
            <w:rStyle w:val="Hyperlink"/>
            <w:rFonts w:ascii="Arial" w:eastAsia="Arial" w:hAnsi="Arial" w:cs="Arial"/>
          </w:rPr>
          <w:t>https://www.rcpch.ac.uk/news-events/news/rcpch-statement-early-medical-abortion-telemedicine</w:t>
        </w:r>
      </w:hyperlink>
      <w:r w:rsidRPr="3B68FF25">
        <w:rPr>
          <w:rFonts w:ascii="Arial" w:eastAsia="Arial" w:hAnsi="Arial" w:cs="Arial"/>
        </w:rPr>
        <w:t xml:space="preserve"> (Accessed: 03/11/24)</w:t>
      </w:r>
    </w:p>
    <w:p w14:paraId="04CE3BDB" w14:textId="26755056" w:rsidR="3EB7AFFE" w:rsidRDefault="3EB7AFFE" w:rsidP="3B68FF25">
      <w:pPr>
        <w:spacing w:before="240" w:after="240" w:line="360" w:lineRule="auto"/>
        <w:rPr>
          <w:rFonts w:ascii="Arial" w:eastAsia="Arial" w:hAnsi="Arial" w:cs="Arial"/>
        </w:rPr>
      </w:pPr>
      <w:r w:rsidRPr="2FE0697F">
        <w:rPr>
          <w:rFonts w:ascii="Arial" w:eastAsia="Arial" w:hAnsi="Arial" w:cs="Arial"/>
        </w:rPr>
        <w:t xml:space="preserve">World Health Organisation (2022) Abortion Care Guideline. Available at: </w:t>
      </w:r>
      <w:hyperlink r:id="rId18" w:anchor="v=onepage&amp;q=World%20Health%20Organization%20(2022).%20Abortion%20Care%20Guidelines&amp;f=false">
        <w:r w:rsidRPr="2FE0697F">
          <w:rPr>
            <w:rStyle w:val="Hyperlink"/>
            <w:rFonts w:ascii="Arial" w:eastAsia="Arial" w:hAnsi="Arial" w:cs="Arial"/>
          </w:rPr>
          <w:t>https://books.google.co.uk/books?id=vzZlEAAAQBAJ&amp;lpg=PR7&amp;ots=SRMmseBdnK&amp;dq=World%20Health%20Organization%20(2022).%20Abortion%20Care%20Guidelines&amp;l</w:t>
        </w:r>
        <w:r w:rsidRPr="2FE0697F">
          <w:rPr>
            <w:rStyle w:val="Hyperlink"/>
            <w:rFonts w:ascii="Arial" w:eastAsia="Arial" w:hAnsi="Arial" w:cs="Arial"/>
          </w:rPr>
          <w:lastRenderedPageBreak/>
          <w:t>r&amp;pg=PA79#v=onepage&amp;q=World%20Health%20Organization%20(2022).%20Abortion%20Care%20Guidelines&amp;f=false</w:t>
        </w:r>
      </w:hyperlink>
      <w:r w:rsidRPr="2FE0697F">
        <w:rPr>
          <w:rFonts w:ascii="Arial" w:eastAsia="Arial" w:hAnsi="Arial" w:cs="Arial"/>
        </w:rPr>
        <w:t xml:space="preserve"> (Accessed: 02/11/24)</w:t>
      </w:r>
    </w:p>
    <w:p w14:paraId="17E3E867" w14:textId="4DA72EA9" w:rsidR="0594EF30" w:rsidRDefault="0594EF30" w:rsidP="2FE0697F">
      <w:pPr>
        <w:spacing w:before="240" w:after="240" w:line="360" w:lineRule="auto"/>
      </w:pPr>
      <w:r w:rsidRPr="2FE0697F">
        <w:rPr>
          <w:rFonts w:ascii="Aptos" w:eastAsia="Aptos" w:hAnsi="Aptos" w:cs="Aptos"/>
          <w:color w:val="000000" w:themeColor="text1"/>
        </w:rPr>
        <w:t>Unicef (2022)</w:t>
      </w:r>
      <w:r w:rsidRPr="2FE0697F">
        <w:rPr>
          <w:rFonts w:ascii="Aptos" w:eastAsia="Aptos" w:hAnsi="Aptos" w:cs="Aptos"/>
          <w:i/>
          <w:iCs/>
          <w:color w:val="000000" w:themeColor="text1"/>
        </w:rPr>
        <w:t xml:space="preserve"> How we protect children’s rights with the UN convention on the rights of the child.</w:t>
      </w:r>
      <w:r w:rsidRPr="2FE0697F">
        <w:rPr>
          <w:rFonts w:ascii="Aptos" w:eastAsia="Aptos" w:hAnsi="Aptos" w:cs="Aptos"/>
          <w:color w:val="000000" w:themeColor="text1"/>
        </w:rPr>
        <w:t xml:space="preserve"> Available at: </w:t>
      </w:r>
      <w:hyperlink r:id="rId19">
        <w:r w:rsidRPr="2FE0697F">
          <w:rPr>
            <w:rStyle w:val="Hyperlink"/>
            <w:rFonts w:ascii="Aptos" w:eastAsia="Aptos" w:hAnsi="Aptos" w:cs="Aptos"/>
          </w:rPr>
          <w:t>https://www.unicef.org.uk/what-we-do/un-convention-child-rights/</w:t>
        </w:r>
      </w:hyperlink>
    </w:p>
    <w:p w14:paraId="7464689B" w14:textId="476AB9C4" w:rsidR="3B68FF25" w:rsidRDefault="3B68FF25" w:rsidP="3B68FF25">
      <w:pPr>
        <w:pStyle w:val="ListParagraph"/>
        <w:spacing w:line="360" w:lineRule="auto"/>
        <w:rPr>
          <w:rFonts w:ascii="Arial" w:eastAsia="Arial" w:hAnsi="Arial" w:cs="Arial"/>
        </w:rPr>
      </w:pPr>
    </w:p>
    <w:p w14:paraId="16CB002D" w14:textId="6D531041" w:rsidR="3EB7AFFE" w:rsidRDefault="3EB7AFFE" w:rsidP="3B68FF25">
      <w:pPr>
        <w:spacing w:line="360" w:lineRule="auto"/>
        <w:rPr>
          <w:rFonts w:ascii="Arial" w:eastAsia="Arial" w:hAnsi="Arial" w:cs="Arial"/>
        </w:rPr>
      </w:pPr>
      <w:r w:rsidRPr="3B68FF25">
        <w:rPr>
          <w:rFonts w:ascii="Arial" w:eastAsia="Arial" w:hAnsi="Arial" w:cs="Arial"/>
        </w:rPr>
        <w:t xml:space="preserve">Case Law - </w:t>
      </w:r>
    </w:p>
    <w:p w14:paraId="46C50140" w14:textId="7C1C7E63" w:rsidR="3EB7AFFE" w:rsidRDefault="3EB7AFFE" w:rsidP="3B68FF25">
      <w:pPr>
        <w:pStyle w:val="ListParagraph"/>
        <w:numPr>
          <w:ilvl w:val="0"/>
          <w:numId w:val="1"/>
        </w:numPr>
        <w:spacing w:line="360" w:lineRule="auto"/>
        <w:rPr>
          <w:rFonts w:ascii="Arial" w:eastAsia="Arial" w:hAnsi="Arial" w:cs="Arial"/>
          <w:color w:val="212121"/>
        </w:rPr>
      </w:pPr>
      <w:proofErr w:type="spellStart"/>
      <w:r w:rsidRPr="2FE0697F">
        <w:rPr>
          <w:rStyle w:val="sssh"/>
          <w:rFonts w:ascii="Arial" w:eastAsia="Arial" w:hAnsi="Arial" w:cs="Arial"/>
          <w:color w:val="212121"/>
        </w:rPr>
        <w:t>Gillick</w:t>
      </w:r>
      <w:proofErr w:type="spellEnd"/>
      <w:r w:rsidRPr="2FE0697F">
        <w:rPr>
          <w:rStyle w:val="apple-converted-space"/>
          <w:rFonts w:ascii="Arial" w:eastAsia="Arial" w:hAnsi="Arial" w:cs="Arial"/>
          <w:color w:val="212121"/>
        </w:rPr>
        <w:t xml:space="preserve"> v West Norfolk and Wisbech Area Health </w:t>
      </w:r>
      <w:r w:rsidR="32CEAD81" w:rsidRPr="2FE0697F">
        <w:rPr>
          <w:rStyle w:val="apple-converted-space"/>
          <w:rFonts w:ascii="Arial" w:eastAsia="Arial" w:hAnsi="Arial" w:cs="Arial"/>
          <w:color w:val="212121"/>
        </w:rPr>
        <w:t>Authority (</w:t>
      </w:r>
      <w:commentRangeStart w:id="6"/>
      <w:r w:rsidRPr="2FE0697F">
        <w:rPr>
          <w:rStyle w:val="apple-converted-space"/>
          <w:rFonts w:ascii="Arial" w:eastAsia="Arial" w:hAnsi="Arial" w:cs="Arial"/>
          <w:color w:val="212121"/>
        </w:rPr>
        <w:t>1985</w:t>
      </w:r>
      <w:commentRangeEnd w:id="6"/>
      <w:r>
        <w:rPr>
          <w:rStyle w:val="CommentReference"/>
        </w:rPr>
        <w:commentReference w:id="6"/>
      </w:r>
      <w:r w:rsidRPr="2FE0697F">
        <w:rPr>
          <w:rStyle w:val="apple-converted-space"/>
          <w:rFonts w:ascii="Arial" w:eastAsia="Arial" w:hAnsi="Arial" w:cs="Arial"/>
          <w:color w:val="212121"/>
        </w:rPr>
        <w:t>)</w:t>
      </w:r>
    </w:p>
    <w:sectPr w:rsidR="3EB7AFFE">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Martin Jones" w:date="2024-11-06T11:39:00Z" w:initials="MJ">
    <w:p w14:paraId="6B829EB8" w14:textId="77777777" w:rsidR="00C740E7" w:rsidRDefault="00C740E7" w:rsidP="00C740E7">
      <w:pPr>
        <w:pStyle w:val="CommentText"/>
      </w:pPr>
      <w:r>
        <w:rPr>
          <w:rStyle w:val="CommentReference"/>
        </w:rPr>
        <w:annotationRef/>
      </w:r>
      <w:r>
        <w:t>Link this to the UNCRC</w:t>
      </w:r>
    </w:p>
  </w:comment>
  <w:comment w:id="1" w:author="Martin Jones" w:date="2024-11-06T11:42:00Z" w:initials="MJ">
    <w:p w14:paraId="735BD06B" w14:textId="77777777" w:rsidR="00C740E7" w:rsidRDefault="00C740E7" w:rsidP="00C740E7">
      <w:pPr>
        <w:pStyle w:val="CommentText"/>
      </w:pPr>
      <w:r>
        <w:rPr>
          <w:rStyle w:val="CommentReference"/>
        </w:rPr>
        <w:annotationRef/>
      </w:r>
      <w:r>
        <w:t>Remember this section relates to how it can be difficult for your audience to understand the law. You need to address this</w:t>
      </w:r>
    </w:p>
  </w:comment>
  <w:comment w:id="6" w:author="Martin Jones" w:date="2024-11-06T11:46:00Z" w:initials="MJ">
    <w:p w14:paraId="3826D19F" w14:textId="77777777" w:rsidR="00621AD0" w:rsidRDefault="00621AD0" w:rsidP="00621AD0">
      <w:pPr>
        <w:pStyle w:val="CommentText"/>
      </w:pPr>
      <w:r>
        <w:rPr>
          <w:rStyle w:val="CommentReference"/>
        </w:rPr>
        <w:annotationRef/>
      </w:r>
      <w:r>
        <w:t>Citation needed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B829EB8" w15:done="1"/>
  <w15:commentEx w15:paraId="735BD06B" w15:done="1"/>
  <w15:commentEx w15:paraId="3826D19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6845F2C" w16cex:dateUtc="2024-11-06T11:39:00Z">
    <w16cex:extLst>
      <w16:ext w16:uri="{CE6994B0-6A32-4C9F-8C6B-6E91EDA988CE}">
        <cr:reactions xmlns:cr="http://schemas.microsoft.com/office/comments/2020/reactions">
          <cr:reaction reactionType="1">
            <cr:reactionInfo dateUtc="2024-11-08T16:18:36Z">
              <cr:user userId="S::2305145@student.uwtsd.ac.uk::d037867e-1fe0-4f29-9c8b-8450dded0274" userProvider="AD" userName="Ffion Oliver (2305145)"/>
            </cr:reactionInfo>
          </cr:reaction>
        </cr:reactions>
      </w16:ext>
    </w16cex:extLst>
  </w16cex:commentExtensible>
  <w16cex:commentExtensible w16cex:durableId="26B46D8B" w16cex:dateUtc="2024-11-06T11:42:00Z"/>
  <w16cex:commentExtensible w16cex:durableId="06E99FA7" w16cex:dateUtc="2024-11-06T11: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B829EB8" w16cid:durableId="76845F2C"/>
  <w16cid:commentId w16cid:paraId="735BD06B" w16cid:durableId="26B46D8B"/>
  <w16cid:commentId w16cid:paraId="3826D19F" w16cid:durableId="06E99F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816683" w14:textId="77777777" w:rsidR="002A2CD6" w:rsidRDefault="002A2CD6" w:rsidP="000773F9">
      <w:pPr>
        <w:spacing w:after="0" w:line="240" w:lineRule="auto"/>
      </w:pPr>
      <w:r>
        <w:separator/>
      </w:r>
    </w:p>
  </w:endnote>
  <w:endnote w:type="continuationSeparator" w:id="0">
    <w:p w14:paraId="210D7E67" w14:textId="77777777" w:rsidR="002A2CD6" w:rsidRDefault="002A2CD6" w:rsidP="000773F9">
      <w:pPr>
        <w:spacing w:after="0" w:line="240" w:lineRule="auto"/>
      </w:pPr>
      <w:r>
        <w:continuationSeparator/>
      </w:r>
    </w:p>
  </w:endnote>
  <w:endnote w:type="continuationNotice" w:id="1">
    <w:p w14:paraId="410E07E9" w14:textId="77777777" w:rsidR="00A84B50" w:rsidRDefault="00A84B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C9FAB8" w14:textId="77777777" w:rsidR="002A2CD6" w:rsidRDefault="002A2CD6" w:rsidP="000773F9">
      <w:pPr>
        <w:spacing w:after="0" w:line="240" w:lineRule="auto"/>
      </w:pPr>
      <w:r>
        <w:separator/>
      </w:r>
    </w:p>
  </w:footnote>
  <w:footnote w:type="continuationSeparator" w:id="0">
    <w:p w14:paraId="1EC67F9B" w14:textId="77777777" w:rsidR="002A2CD6" w:rsidRDefault="002A2CD6" w:rsidP="000773F9">
      <w:pPr>
        <w:spacing w:after="0" w:line="240" w:lineRule="auto"/>
      </w:pPr>
      <w:r>
        <w:continuationSeparator/>
      </w:r>
    </w:p>
  </w:footnote>
  <w:footnote w:type="continuationNotice" w:id="1">
    <w:p w14:paraId="74D8775C" w14:textId="77777777" w:rsidR="00A84B50" w:rsidRDefault="00A84B5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m6boYwWV/2pX3h" int2:id="0cjvEe9c">
      <int2:state int2:value="Rejected" int2:type="AugLoop_Text_Critique"/>
    </int2:textHash>
    <int2:textHash int2:hashCode="xkOlccZvXDolUt" int2:id="37yGy3RB">
      <int2:state int2:value="Rejected" int2:type="AugLoop_Text_Critique"/>
    </int2:textHash>
    <int2:textHash int2:hashCode="B8eVqz59fGnfNR" int2:id="J0rIDjY9">
      <int2:state int2:value="Rejected" int2:type="AugLoop_Text_Critique"/>
    </int2:textHash>
    <int2:bookmark int2:bookmarkName="_Int_2kFJDxgp" int2:invalidationBookmarkName="" int2:hashCode="6xX40Nbu8SUY24" int2:id="59j4GkbB">
      <int2:state int2:value="Rejected" int2:type="AugLoop_Text_Critique"/>
    </int2:bookmark>
    <int2:bookmark int2:bookmarkName="_Int_Nu4Oy0rv" int2:invalidationBookmarkName="" int2:hashCode="dalNooyseA++F1" int2:id="Il1I873I">
      <int2:state int2:value="Rejected" int2:type="AugLoop_Text_Critique"/>
    </int2:bookmark>
    <int2:bookmark int2:bookmarkName="_Int_RlSQczVL" int2:invalidationBookmarkName="" int2:hashCode="BSx4Duegs91ydQ" int2:id="f7cf0bCA">
      <int2:state int2:value="Rejected" int2:type="AugLoop_Text_Critique"/>
    </int2:bookmark>
    <int2:bookmark int2:bookmarkName="_Int_2WO0GCVz" int2:invalidationBookmarkName="" int2:hashCode="RsASYAGPqHDNQy" int2:id="ylQ7Bxu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A6B433"/>
    <w:multiLevelType w:val="hybridMultilevel"/>
    <w:tmpl w:val="FFFFFFFF"/>
    <w:lvl w:ilvl="0" w:tplc="898088A8">
      <w:start w:val="1"/>
      <w:numFmt w:val="bullet"/>
      <w:lvlText w:val=""/>
      <w:lvlJc w:val="left"/>
      <w:pPr>
        <w:ind w:left="720" w:hanging="360"/>
      </w:pPr>
      <w:rPr>
        <w:rFonts w:ascii="Symbol" w:hAnsi="Symbol" w:hint="default"/>
      </w:rPr>
    </w:lvl>
    <w:lvl w:ilvl="1" w:tplc="F672229C">
      <w:start w:val="1"/>
      <w:numFmt w:val="bullet"/>
      <w:lvlText w:val="o"/>
      <w:lvlJc w:val="left"/>
      <w:pPr>
        <w:ind w:left="1440" w:hanging="360"/>
      </w:pPr>
      <w:rPr>
        <w:rFonts w:ascii="Courier New" w:hAnsi="Courier New" w:hint="default"/>
      </w:rPr>
    </w:lvl>
    <w:lvl w:ilvl="2" w:tplc="01B6E6FA">
      <w:start w:val="1"/>
      <w:numFmt w:val="bullet"/>
      <w:lvlText w:val=""/>
      <w:lvlJc w:val="left"/>
      <w:pPr>
        <w:ind w:left="2160" w:hanging="360"/>
      </w:pPr>
      <w:rPr>
        <w:rFonts w:ascii="Wingdings" w:hAnsi="Wingdings" w:hint="default"/>
      </w:rPr>
    </w:lvl>
    <w:lvl w:ilvl="3" w:tplc="A22296CA">
      <w:start w:val="1"/>
      <w:numFmt w:val="bullet"/>
      <w:lvlText w:val=""/>
      <w:lvlJc w:val="left"/>
      <w:pPr>
        <w:ind w:left="2880" w:hanging="360"/>
      </w:pPr>
      <w:rPr>
        <w:rFonts w:ascii="Symbol" w:hAnsi="Symbol" w:hint="default"/>
      </w:rPr>
    </w:lvl>
    <w:lvl w:ilvl="4" w:tplc="3702CA4E">
      <w:start w:val="1"/>
      <w:numFmt w:val="bullet"/>
      <w:lvlText w:val="o"/>
      <w:lvlJc w:val="left"/>
      <w:pPr>
        <w:ind w:left="3600" w:hanging="360"/>
      </w:pPr>
      <w:rPr>
        <w:rFonts w:ascii="Courier New" w:hAnsi="Courier New" w:hint="default"/>
      </w:rPr>
    </w:lvl>
    <w:lvl w:ilvl="5" w:tplc="AC7EFAF6">
      <w:start w:val="1"/>
      <w:numFmt w:val="bullet"/>
      <w:lvlText w:val=""/>
      <w:lvlJc w:val="left"/>
      <w:pPr>
        <w:ind w:left="4320" w:hanging="360"/>
      </w:pPr>
      <w:rPr>
        <w:rFonts w:ascii="Wingdings" w:hAnsi="Wingdings" w:hint="default"/>
      </w:rPr>
    </w:lvl>
    <w:lvl w:ilvl="6" w:tplc="7324CEEE">
      <w:start w:val="1"/>
      <w:numFmt w:val="bullet"/>
      <w:lvlText w:val=""/>
      <w:lvlJc w:val="left"/>
      <w:pPr>
        <w:ind w:left="5040" w:hanging="360"/>
      </w:pPr>
      <w:rPr>
        <w:rFonts w:ascii="Symbol" w:hAnsi="Symbol" w:hint="default"/>
      </w:rPr>
    </w:lvl>
    <w:lvl w:ilvl="7" w:tplc="0A68B0C4">
      <w:start w:val="1"/>
      <w:numFmt w:val="bullet"/>
      <w:lvlText w:val="o"/>
      <w:lvlJc w:val="left"/>
      <w:pPr>
        <w:ind w:left="5760" w:hanging="360"/>
      </w:pPr>
      <w:rPr>
        <w:rFonts w:ascii="Courier New" w:hAnsi="Courier New" w:hint="default"/>
      </w:rPr>
    </w:lvl>
    <w:lvl w:ilvl="8" w:tplc="ECFAF1D6">
      <w:start w:val="1"/>
      <w:numFmt w:val="bullet"/>
      <w:lvlText w:val=""/>
      <w:lvlJc w:val="left"/>
      <w:pPr>
        <w:ind w:left="6480" w:hanging="360"/>
      </w:pPr>
      <w:rPr>
        <w:rFonts w:ascii="Wingdings" w:hAnsi="Wingdings" w:hint="default"/>
      </w:rPr>
    </w:lvl>
  </w:abstractNum>
  <w:abstractNum w:abstractNumId="1" w15:restartNumberingAfterBreak="0">
    <w:nsid w:val="7A99497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015763308">
    <w:abstractNumId w:val="1"/>
  </w:num>
  <w:num w:numId="2" w16cid:durableId="8252971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artin Jones">
    <w15:presenceInfo w15:providerId="AD" w15:userId="S::martin.jones@uwtsd.ac.uk::2d9c58ca-61e2-483e-8827-563749cc82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2345B7"/>
    <w:rsid w:val="000773F9"/>
    <w:rsid w:val="00080F41"/>
    <w:rsid w:val="00090AC9"/>
    <w:rsid w:val="000927B6"/>
    <w:rsid w:val="000F282B"/>
    <w:rsid w:val="00100B8A"/>
    <w:rsid w:val="00102A84"/>
    <w:rsid w:val="00104137"/>
    <w:rsid w:val="00135BCF"/>
    <w:rsid w:val="001803E2"/>
    <w:rsid w:val="00190BF6"/>
    <w:rsid w:val="001E7F41"/>
    <w:rsid w:val="002A2CD6"/>
    <w:rsid w:val="002B1ECD"/>
    <w:rsid w:val="002C0AF6"/>
    <w:rsid w:val="00320DF7"/>
    <w:rsid w:val="003846C0"/>
    <w:rsid w:val="003D5135"/>
    <w:rsid w:val="004177A2"/>
    <w:rsid w:val="00454C98"/>
    <w:rsid w:val="004F5E50"/>
    <w:rsid w:val="004F6C0C"/>
    <w:rsid w:val="005016CF"/>
    <w:rsid w:val="005031EA"/>
    <w:rsid w:val="00523AA9"/>
    <w:rsid w:val="005248CA"/>
    <w:rsid w:val="005B13EA"/>
    <w:rsid w:val="005B2498"/>
    <w:rsid w:val="005C6764"/>
    <w:rsid w:val="005D4704"/>
    <w:rsid w:val="005D487A"/>
    <w:rsid w:val="00605A54"/>
    <w:rsid w:val="0061565E"/>
    <w:rsid w:val="00621AD0"/>
    <w:rsid w:val="00683F50"/>
    <w:rsid w:val="006C2CD7"/>
    <w:rsid w:val="006C7A8F"/>
    <w:rsid w:val="006E59C7"/>
    <w:rsid w:val="007038AF"/>
    <w:rsid w:val="00733318"/>
    <w:rsid w:val="00744074"/>
    <w:rsid w:val="00755FF6"/>
    <w:rsid w:val="00765FF9"/>
    <w:rsid w:val="007A211E"/>
    <w:rsid w:val="007B2BD7"/>
    <w:rsid w:val="008215F1"/>
    <w:rsid w:val="008452F2"/>
    <w:rsid w:val="008C1A68"/>
    <w:rsid w:val="0092581A"/>
    <w:rsid w:val="00935074"/>
    <w:rsid w:val="00945A88"/>
    <w:rsid w:val="00A50F13"/>
    <w:rsid w:val="00A51452"/>
    <w:rsid w:val="00A84B50"/>
    <w:rsid w:val="00AA7213"/>
    <w:rsid w:val="00AD19E3"/>
    <w:rsid w:val="00B41732"/>
    <w:rsid w:val="00B602C6"/>
    <w:rsid w:val="00B773EC"/>
    <w:rsid w:val="00B8282E"/>
    <w:rsid w:val="00B90AF8"/>
    <w:rsid w:val="00C2623E"/>
    <w:rsid w:val="00C740E7"/>
    <w:rsid w:val="00C92477"/>
    <w:rsid w:val="00CA06A7"/>
    <w:rsid w:val="00CA511B"/>
    <w:rsid w:val="00D04C86"/>
    <w:rsid w:val="00DF62C1"/>
    <w:rsid w:val="00E336A3"/>
    <w:rsid w:val="00E43EED"/>
    <w:rsid w:val="00E842CD"/>
    <w:rsid w:val="00ECFF7F"/>
    <w:rsid w:val="00EE778D"/>
    <w:rsid w:val="00F056C1"/>
    <w:rsid w:val="00F2196A"/>
    <w:rsid w:val="00F527D5"/>
    <w:rsid w:val="00FD4008"/>
    <w:rsid w:val="00FF3A16"/>
    <w:rsid w:val="01D134C1"/>
    <w:rsid w:val="0313CE1F"/>
    <w:rsid w:val="0380823A"/>
    <w:rsid w:val="03CF7DA5"/>
    <w:rsid w:val="03E7FDA5"/>
    <w:rsid w:val="04584017"/>
    <w:rsid w:val="045E897C"/>
    <w:rsid w:val="04DA6F9D"/>
    <w:rsid w:val="051FC5D3"/>
    <w:rsid w:val="0531FA67"/>
    <w:rsid w:val="053D2F52"/>
    <w:rsid w:val="05568DD4"/>
    <w:rsid w:val="0594EF30"/>
    <w:rsid w:val="06144DA6"/>
    <w:rsid w:val="06B41F56"/>
    <w:rsid w:val="07BE0946"/>
    <w:rsid w:val="088D7B4F"/>
    <w:rsid w:val="08F8CDC2"/>
    <w:rsid w:val="0943112B"/>
    <w:rsid w:val="0995659C"/>
    <w:rsid w:val="09F26B15"/>
    <w:rsid w:val="0A424E7F"/>
    <w:rsid w:val="0A53EDAF"/>
    <w:rsid w:val="0B00EBDA"/>
    <w:rsid w:val="0B177A07"/>
    <w:rsid w:val="0B530150"/>
    <w:rsid w:val="0C34C175"/>
    <w:rsid w:val="0C56E8C6"/>
    <w:rsid w:val="0C6B4BBA"/>
    <w:rsid w:val="0C6F5B83"/>
    <w:rsid w:val="0C8BFC16"/>
    <w:rsid w:val="0D06D558"/>
    <w:rsid w:val="0D5CBB13"/>
    <w:rsid w:val="0D9149C5"/>
    <w:rsid w:val="0D92FC0D"/>
    <w:rsid w:val="0E0FB809"/>
    <w:rsid w:val="0F44FB84"/>
    <w:rsid w:val="0F947B4D"/>
    <w:rsid w:val="0F994921"/>
    <w:rsid w:val="0FA34222"/>
    <w:rsid w:val="1002AE1B"/>
    <w:rsid w:val="10758FB2"/>
    <w:rsid w:val="10A39505"/>
    <w:rsid w:val="10E48348"/>
    <w:rsid w:val="10ECF0CA"/>
    <w:rsid w:val="1112409E"/>
    <w:rsid w:val="120B2084"/>
    <w:rsid w:val="1235B0E0"/>
    <w:rsid w:val="125EC616"/>
    <w:rsid w:val="12BBEBC7"/>
    <w:rsid w:val="1379D403"/>
    <w:rsid w:val="13A8EE52"/>
    <w:rsid w:val="13A9B51A"/>
    <w:rsid w:val="13DEEF51"/>
    <w:rsid w:val="15003F03"/>
    <w:rsid w:val="16423F00"/>
    <w:rsid w:val="16FEC08A"/>
    <w:rsid w:val="17256D7D"/>
    <w:rsid w:val="176753B1"/>
    <w:rsid w:val="17DC7DC0"/>
    <w:rsid w:val="18F98383"/>
    <w:rsid w:val="194562F6"/>
    <w:rsid w:val="198AE55C"/>
    <w:rsid w:val="19C25072"/>
    <w:rsid w:val="19D7A8E7"/>
    <w:rsid w:val="19EBC28F"/>
    <w:rsid w:val="19F7A01F"/>
    <w:rsid w:val="1A168522"/>
    <w:rsid w:val="1A33CDDC"/>
    <w:rsid w:val="1A874849"/>
    <w:rsid w:val="1BAADBC6"/>
    <w:rsid w:val="1BBBE1C4"/>
    <w:rsid w:val="1BC53663"/>
    <w:rsid w:val="1C6C628C"/>
    <w:rsid w:val="1C901319"/>
    <w:rsid w:val="1D4D4C48"/>
    <w:rsid w:val="1D7CB964"/>
    <w:rsid w:val="1E1C09D5"/>
    <w:rsid w:val="1E2ED8A0"/>
    <w:rsid w:val="1E45320B"/>
    <w:rsid w:val="2046EF31"/>
    <w:rsid w:val="20759877"/>
    <w:rsid w:val="21222009"/>
    <w:rsid w:val="22508FF9"/>
    <w:rsid w:val="2326BC26"/>
    <w:rsid w:val="23736102"/>
    <w:rsid w:val="2394D684"/>
    <w:rsid w:val="245EE173"/>
    <w:rsid w:val="255E2B0D"/>
    <w:rsid w:val="25D71551"/>
    <w:rsid w:val="25DC75BF"/>
    <w:rsid w:val="25DCAAAF"/>
    <w:rsid w:val="2650EDA4"/>
    <w:rsid w:val="26787B2F"/>
    <w:rsid w:val="26C5FC98"/>
    <w:rsid w:val="26DF97DC"/>
    <w:rsid w:val="274A47F1"/>
    <w:rsid w:val="276EDD5A"/>
    <w:rsid w:val="27978580"/>
    <w:rsid w:val="27A91C03"/>
    <w:rsid w:val="283D06F0"/>
    <w:rsid w:val="2849C499"/>
    <w:rsid w:val="286C587C"/>
    <w:rsid w:val="28ED7CBD"/>
    <w:rsid w:val="2916FBD1"/>
    <w:rsid w:val="2955D0D7"/>
    <w:rsid w:val="2A0CC59A"/>
    <w:rsid w:val="2A461D08"/>
    <w:rsid w:val="2AAA80B2"/>
    <w:rsid w:val="2AB9D6D4"/>
    <w:rsid w:val="2B25391E"/>
    <w:rsid w:val="2B5BE8C8"/>
    <w:rsid w:val="2BD54ED1"/>
    <w:rsid w:val="2C5C94BC"/>
    <w:rsid w:val="2CB93BF7"/>
    <w:rsid w:val="2DED4F4B"/>
    <w:rsid w:val="2E660287"/>
    <w:rsid w:val="2E98E940"/>
    <w:rsid w:val="2ED9837A"/>
    <w:rsid w:val="2F0DE516"/>
    <w:rsid w:val="2F13EDB1"/>
    <w:rsid w:val="2F227B19"/>
    <w:rsid w:val="2F7715B0"/>
    <w:rsid w:val="2FE0697F"/>
    <w:rsid w:val="3057A4FF"/>
    <w:rsid w:val="30BF6BBF"/>
    <w:rsid w:val="30D12D14"/>
    <w:rsid w:val="30D36459"/>
    <w:rsid w:val="30D94CAB"/>
    <w:rsid w:val="31DCDEAB"/>
    <w:rsid w:val="322F8C97"/>
    <w:rsid w:val="325A716F"/>
    <w:rsid w:val="3281610D"/>
    <w:rsid w:val="32CEAD81"/>
    <w:rsid w:val="33FE5AC6"/>
    <w:rsid w:val="341DF752"/>
    <w:rsid w:val="341E7055"/>
    <w:rsid w:val="3450694C"/>
    <w:rsid w:val="352A880C"/>
    <w:rsid w:val="37215B7B"/>
    <w:rsid w:val="3785DF2E"/>
    <w:rsid w:val="3787EC57"/>
    <w:rsid w:val="38A46AD0"/>
    <w:rsid w:val="396FCD4C"/>
    <w:rsid w:val="3A3BC278"/>
    <w:rsid w:val="3A431F49"/>
    <w:rsid w:val="3AB7BF14"/>
    <w:rsid w:val="3ADC6858"/>
    <w:rsid w:val="3ADE63BA"/>
    <w:rsid w:val="3B68FF25"/>
    <w:rsid w:val="3B9509EB"/>
    <w:rsid w:val="3BBA9659"/>
    <w:rsid w:val="3C32D848"/>
    <w:rsid w:val="3CC26706"/>
    <w:rsid w:val="3D382175"/>
    <w:rsid w:val="3D5C17FA"/>
    <w:rsid w:val="3DF3055C"/>
    <w:rsid w:val="3E06BA3D"/>
    <w:rsid w:val="3E548AAB"/>
    <w:rsid w:val="3EB7AFFE"/>
    <w:rsid w:val="3F72695E"/>
    <w:rsid w:val="3FD7D856"/>
    <w:rsid w:val="3FF0B527"/>
    <w:rsid w:val="41C66150"/>
    <w:rsid w:val="41F4EDF8"/>
    <w:rsid w:val="42803F0B"/>
    <w:rsid w:val="434DC542"/>
    <w:rsid w:val="43AD49D4"/>
    <w:rsid w:val="43D14969"/>
    <w:rsid w:val="44659DCD"/>
    <w:rsid w:val="44CDCE6A"/>
    <w:rsid w:val="4577AFC5"/>
    <w:rsid w:val="4657B5DA"/>
    <w:rsid w:val="465A9044"/>
    <w:rsid w:val="467DF5CF"/>
    <w:rsid w:val="4718CDDB"/>
    <w:rsid w:val="475A03BC"/>
    <w:rsid w:val="489A7D21"/>
    <w:rsid w:val="48CDCBF9"/>
    <w:rsid w:val="48F673CD"/>
    <w:rsid w:val="4929B251"/>
    <w:rsid w:val="493B7362"/>
    <w:rsid w:val="49BCFED7"/>
    <w:rsid w:val="4AF60EDA"/>
    <w:rsid w:val="4B1F6538"/>
    <w:rsid w:val="4B7B684D"/>
    <w:rsid w:val="4BF6DB8A"/>
    <w:rsid w:val="4C2429D4"/>
    <w:rsid w:val="4C27AFEB"/>
    <w:rsid w:val="4CA7C466"/>
    <w:rsid w:val="4D0B4BE9"/>
    <w:rsid w:val="4D0CC195"/>
    <w:rsid w:val="4D103929"/>
    <w:rsid w:val="4DAC0CE5"/>
    <w:rsid w:val="4E6E4E5D"/>
    <w:rsid w:val="4F30F163"/>
    <w:rsid w:val="4F9DCF92"/>
    <w:rsid w:val="4FE0946F"/>
    <w:rsid w:val="4FF0373B"/>
    <w:rsid w:val="51A27919"/>
    <w:rsid w:val="527A1425"/>
    <w:rsid w:val="5283F6CD"/>
    <w:rsid w:val="5286BF80"/>
    <w:rsid w:val="529E6DE4"/>
    <w:rsid w:val="52C068A4"/>
    <w:rsid w:val="52C4CCE4"/>
    <w:rsid w:val="53CDD6DD"/>
    <w:rsid w:val="5403EBA7"/>
    <w:rsid w:val="5478DDA3"/>
    <w:rsid w:val="54E3AA47"/>
    <w:rsid w:val="54EA4792"/>
    <w:rsid w:val="5533D65B"/>
    <w:rsid w:val="55503719"/>
    <w:rsid w:val="556CCAE5"/>
    <w:rsid w:val="55A20977"/>
    <w:rsid w:val="561807CE"/>
    <w:rsid w:val="569831E0"/>
    <w:rsid w:val="56BD4389"/>
    <w:rsid w:val="57444560"/>
    <w:rsid w:val="575E6982"/>
    <w:rsid w:val="57C9AE18"/>
    <w:rsid w:val="57F72A4C"/>
    <w:rsid w:val="57F97412"/>
    <w:rsid w:val="586CBDA1"/>
    <w:rsid w:val="58D19AD9"/>
    <w:rsid w:val="59194826"/>
    <w:rsid w:val="5941EEA7"/>
    <w:rsid w:val="599F0207"/>
    <w:rsid w:val="5A115442"/>
    <w:rsid w:val="5A493F9B"/>
    <w:rsid w:val="5A4B34F2"/>
    <w:rsid w:val="5AB1C86D"/>
    <w:rsid w:val="5B93DB2E"/>
    <w:rsid w:val="5C1FCC72"/>
    <w:rsid w:val="5C244365"/>
    <w:rsid w:val="5CA0A680"/>
    <w:rsid w:val="5CD25963"/>
    <w:rsid w:val="5CEE47ED"/>
    <w:rsid w:val="5CF2C1D1"/>
    <w:rsid w:val="5D0FC5FE"/>
    <w:rsid w:val="5D2C3D38"/>
    <w:rsid w:val="5DCA0E46"/>
    <w:rsid w:val="5E094D4C"/>
    <w:rsid w:val="5F4F56FF"/>
    <w:rsid w:val="5F782034"/>
    <w:rsid w:val="5FF011F1"/>
    <w:rsid w:val="602CA288"/>
    <w:rsid w:val="602F7A19"/>
    <w:rsid w:val="611BBCF4"/>
    <w:rsid w:val="616339A7"/>
    <w:rsid w:val="62B9EB68"/>
    <w:rsid w:val="633CE658"/>
    <w:rsid w:val="63CEE1F1"/>
    <w:rsid w:val="6563ACB2"/>
    <w:rsid w:val="656EC8F4"/>
    <w:rsid w:val="67B00B5B"/>
    <w:rsid w:val="68564C6D"/>
    <w:rsid w:val="68847BB9"/>
    <w:rsid w:val="68CAFC1D"/>
    <w:rsid w:val="68E2B3C8"/>
    <w:rsid w:val="6997E247"/>
    <w:rsid w:val="6A2A461E"/>
    <w:rsid w:val="6A64201E"/>
    <w:rsid w:val="6AC41636"/>
    <w:rsid w:val="6B2FA0E9"/>
    <w:rsid w:val="6B47B81B"/>
    <w:rsid w:val="6B6743E2"/>
    <w:rsid w:val="6B91D58A"/>
    <w:rsid w:val="6C972A1D"/>
    <w:rsid w:val="6D8CAC5C"/>
    <w:rsid w:val="6D911E23"/>
    <w:rsid w:val="6E2625B6"/>
    <w:rsid w:val="6ED07B04"/>
    <w:rsid w:val="70EA9B24"/>
    <w:rsid w:val="71111B26"/>
    <w:rsid w:val="714467CD"/>
    <w:rsid w:val="716374E1"/>
    <w:rsid w:val="72B33C3F"/>
    <w:rsid w:val="72FF42E4"/>
    <w:rsid w:val="731DDA08"/>
    <w:rsid w:val="73C73693"/>
    <w:rsid w:val="73F2CEE6"/>
    <w:rsid w:val="740E7BCF"/>
    <w:rsid w:val="74424C10"/>
    <w:rsid w:val="74A1B65C"/>
    <w:rsid w:val="75B84466"/>
    <w:rsid w:val="7618B04F"/>
    <w:rsid w:val="76386867"/>
    <w:rsid w:val="772B5D23"/>
    <w:rsid w:val="77BAFB3C"/>
    <w:rsid w:val="77D6F4E0"/>
    <w:rsid w:val="78179817"/>
    <w:rsid w:val="79041B88"/>
    <w:rsid w:val="79753EF4"/>
    <w:rsid w:val="79E0D948"/>
    <w:rsid w:val="7AC5724D"/>
    <w:rsid w:val="7B2345B7"/>
    <w:rsid w:val="7B261AA2"/>
    <w:rsid w:val="7B85C12F"/>
    <w:rsid w:val="7BD59553"/>
    <w:rsid w:val="7BD6E4EE"/>
    <w:rsid w:val="7BF82F04"/>
    <w:rsid w:val="7D41EDAE"/>
    <w:rsid w:val="7DC5CB90"/>
    <w:rsid w:val="7DD58956"/>
    <w:rsid w:val="7DE7E1B3"/>
    <w:rsid w:val="7DFF4237"/>
    <w:rsid w:val="7E43CCCD"/>
    <w:rsid w:val="7EB371AE"/>
    <w:rsid w:val="7F16F03F"/>
    <w:rsid w:val="7F544F5C"/>
    <w:rsid w:val="7F94CD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345B7"/>
  <w15:chartTrackingRefBased/>
  <w15:docId w15:val="{90342FE3-0C3E-1641-91EB-FA6CE6573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1DCDEAB"/>
    <w:rPr>
      <w:lang w:val="en-GB"/>
    </w:rPr>
  </w:style>
  <w:style w:type="paragraph" w:styleId="Heading1">
    <w:name w:val="heading 1"/>
    <w:basedOn w:val="Normal"/>
    <w:next w:val="Normal"/>
    <w:link w:val="Heading1Char"/>
    <w:uiPriority w:val="9"/>
    <w:qFormat/>
    <w:rsid w:val="31DCDE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31DCDE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31DCDE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31DCDE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31DCDE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31DCDE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31DCDE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31DCDEAB"/>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31DCDEAB"/>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31DCDEAB"/>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31DCDEAB"/>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31DCDEAB"/>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31DCDE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1DCDEAB"/>
    <w:pPr>
      <w:ind w:left="720"/>
      <w:contextualSpacing/>
    </w:pPr>
  </w:style>
  <w:style w:type="paragraph" w:styleId="TOC1">
    <w:name w:val="toc 1"/>
    <w:basedOn w:val="Normal"/>
    <w:next w:val="Normal"/>
    <w:uiPriority w:val="39"/>
    <w:unhideWhenUsed/>
    <w:rsid w:val="31DCDEAB"/>
    <w:pPr>
      <w:spacing w:after="100"/>
    </w:pPr>
  </w:style>
  <w:style w:type="paragraph" w:styleId="TOC2">
    <w:name w:val="toc 2"/>
    <w:basedOn w:val="Normal"/>
    <w:next w:val="Normal"/>
    <w:uiPriority w:val="39"/>
    <w:unhideWhenUsed/>
    <w:rsid w:val="31DCDEAB"/>
    <w:pPr>
      <w:spacing w:after="100"/>
      <w:ind w:left="220"/>
    </w:pPr>
  </w:style>
  <w:style w:type="paragraph" w:styleId="TOC3">
    <w:name w:val="toc 3"/>
    <w:basedOn w:val="Normal"/>
    <w:next w:val="Normal"/>
    <w:uiPriority w:val="39"/>
    <w:unhideWhenUsed/>
    <w:rsid w:val="31DCDEAB"/>
    <w:pPr>
      <w:spacing w:after="100"/>
      <w:ind w:left="440"/>
    </w:pPr>
  </w:style>
  <w:style w:type="paragraph" w:styleId="TOC4">
    <w:name w:val="toc 4"/>
    <w:basedOn w:val="Normal"/>
    <w:next w:val="Normal"/>
    <w:uiPriority w:val="39"/>
    <w:unhideWhenUsed/>
    <w:rsid w:val="31DCDEAB"/>
    <w:pPr>
      <w:spacing w:after="100"/>
      <w:ind w:left="660"/>
    </w:pPr>
  </w:style>
  <w:style w:type="paragraph" w:styleId="TOC5">
    <w:name w:val="toc 5"/>
    <w:basedOn w:val="Normal"/>
    <w:next w:val="Normal"/>
    <w:uiPriority w:val="39"/>
    <w:unhideWhenUsed/>
    <w:rsid w:val="31DCDEAB"/>
    <w:pPr>
      <w:spacing w:after="100"/>
      <w:ind w:left="880"/>
    </w:pPr>
  </w:style>
  <w:style w:type="paragraph" w:styleId="TOC6">
    <w:name w:val="toc 6"/>
    <w:basedOn w:val="Normal"/>
    <w:next w:val="Normal"/>
    <w:uiPriority w:val="39"/>
    <w:unhideWhenUsed/>
    <w:rsid w:val="31DCDEAB"/>
    <w:pPr>
      <w:spacing w:after="100"/>
      <w:ind w:left="1100"/>
    </w:pPr>
  </w:style>
  <w:style w:type="paragraph" w:styleId="TOC7">
    <w:name w:val="toc 7"/>
    <w:basedOn w:val="Normal"/>
    <w:next w:val="Normal"/>
    <w:uiPriority w:val="39"/>
    <w:unhideWhenUsed/>
    <w:rsid w:val="31DCDEAB"/>
    <w:pPr>
      <w:spacing w:after="100"/>
      <w:ind w:left="1320"/>
    </w:pPr>
  </w:style>
  <w:style w:type="paragraph" w:styleId="TOC8">
    <w:name w:val="toc 8"/>
    <w:basedOn w:val="Normal"/>
    <w:next w:val="Normal"/>
    <w:uiPriority w:val="39"/>
    <w:unhideWhenUsed/>
    <w:rsid w:val="31DCDEAB"/>
    <w:pPr>
      <w:spacing w:after="100"/>
      <w:ind w:left="1540"/>
    </w:pPr>
  </w:style>
  <w:style w:type="paragraph" w:styleId="TOC9">
    <w:name w:val="toc 9"/>
    <w:basedOn w:val="Normal"/>
    <w:next w:val="Normal"/>
    <w:uiPriority w:val="39"/>
    <w:unhideWhenUsed/>
    <w:rsid w:val="31DCDEAB"/>
    <w:pPr>
      <w:spacing w:after="100"/>
      <w:ind w:left="1760"/>
    </w:pPr>
  </w:style>
  <w:style w:type="paragraph" w:styleId="EndnoteText">
    <w:name w:val="endnote text"/>
    <w:basedOn w:val="Normal"/>
    <w:uiPriority w:val="99"/>
    <w:semiHidden/>
    <w:unhideWhenUsed/>
    <w:rsid w:val="31DCDEAB"/>
    <w:pPr>
      <w:spacing w:after="0" w:line="240" w:lineRule="auto"/>
    </w:pPr>
    <w:rPr>
      <w:sz w:val="20"/>
      <w:szCs w:val="20"/>
    </w:rPr>
  </w:style>
  <w:style w:type="paragraph" w:styleId="Footer">
    <w:name w:val="footer"/>
    <w:basedOn w:val="Normal"/>
    <w:uiPriority w:val="99"/>
    <w:unhideWhenUsed/>
    <w:rsid w:val="31DCDEAB"/>
    <w:pPr>
      <w:tabs>
        <w:tab w:val="center" w:pos="4680"/>
        <w:tab w:val="right" w:pos="9360"/>
      </w:tabs>
      <w:spacing w:after="0" w:line="240" w:lineRule="auto"/>
    </w:pPr>
  </w:style>
  <w:style w:type="paragraph" w:styleId="FootnoteText">
    <w:name w:val="footnote text"/>
    <w:basedOn w:val="Normal"/>
    <w:uiPriority w:val="99"/>
    <w:semiHidden/>
    <w:unhideWhenUsed/>
    <w:rsid w:val="31DCDEAB"/>
    <w:pPr>
      <w:spacing w:after="0" w:line="240" w:lineRule="auto"/>
    </w:pPr>
    <w:rPr>
      <w:sz w:val="20"/>
      <w:szCs w:val="20"/>
    </w:rPr>
  </w:style>
  <w:style w:type="paragraph" w:styleId="Header">
    <w:name w:val="header"/>
    <w:basedOn w:val="Normal"/>
    <w:uiPriority w:val="99"/>
    <w:unhideWhenUsed/>
    <w:rsid w:val="31DCDEAB"/>
    <w:pPr>
      <w:tabs>
        <w:tab w:val="center" w:pos="4680"/>
        <w:tab w:val="right" w:pos="9360"/>
      </w:tabs>
      <w:spacing w:after="0" w:line="240" w:lineRule="auto"/>
    </w:pPr>
  </w:style>
  <w:style w:type="character" w:styleId="EndnoteReference">
    <w:name w:val="endnote reference"/>
    <w:basedOn w:val="DefaultParagraphFont"/>
    <w:uiPriority w:val="99"/>
    <w:semiHidden/>
    <w:unhideWhenUsed/>
    <w:rsid w:val="000773F9"/>
    <w:rPr>
      <w:vertAlign w:val="superscript"/>
    </w:rPr>
  </w:style>
  <w:style w:type="character" w:styleId="FootnoteReference">
    <w:name w:val="footnote reference"/>
    <w:basedOn w:val="DefaultParagraphFont"/>
    <w:uiPriority w:val="99"/>
    <w:semiHidden/>
    <w:unhideWhenUsed/>
    <w:rsid w:val="000773F9"/>
    <w:rPr>
      <w:vertAlign w:val="superscript"/>
    </w:rPr>
  </w:style>
  <w:style w:type="paragraph" w:styleId="NormalWeb">
    <w:name w:val="Normal (Web)"/>
    <w:basedOn w:val="Normal"/>
    <w:uiPriority w:val="99"/>
    <w:semiHidden/>
    <w:unhideWhenUsed/>
    <w:rsid w:val="006C7A8F"/>
    <w:pPr>
      <w:spacing w:before="100" w:beforeAutospacing="1" w:after="100" w:afterAutospacing="1" w:line="240" w:lineRule="auto"/>
    </w:pPr>
    <w:rPr>
      <w:rFonts w:ascii="Times New Roman" w:hAnsi="Times New Roman" w:cs="Times New Roman"/>
      <w:lang w:eastAsia="en-GB"/>
    </w:rPr>
  </w:style>
  <w:style w:type="character" w:customStyle="1" w:styleId="sssh">
    <w:name w:val="ss_sh"/>
    <w:basedOn w:val="DefaultParagraphFont"/>
    <w:uiPriority w:val="1"/>
    <w:rsid w:val="3B68FF25"/>
    <w:rPr>
      <w:rFonts w:asciiTheme="minorHAnsi" w:eastAsiaTheme="minorEastAsia" w:hAnsiTheme="minorHAnsi" w:cstheme="minorBidi"/>
      <w:sz w:val="24"/>
      <w:szCs w:val="24"/>
    </w:rPr>
  </w:style>
  <w:style w:type="character" w:customStyle="1" w:styleId="apple-converted-space">
    <w:name w:val="apple-converted-space"/>
    <w:basedOn w:val="DefaultParagraphFont"/>
    <w:uiPriority w:val="1"/>
    <w:rsid w:val="3B68FF25"/>
    <w:rPr>
      <w:rFonts w:asciiTheme="minorHAnsi" w:eastAsiaTheme="minorEastAsia" w:hAnsiTheme="minorHAnsi" w:cstheme="minorBidi"/>
      <w:sz w:val="24"/>
      <w:szCs w:val="24"/>
    </w:rPr>
  </w:style>
  <w:style w:type="character" w:customStyle="1" w:styleId="ssit">
    <w:name w:val="ss_it"/>
    <w:basedOn w:val="DefaultParagraphFont"/>
    <w:uiPriority w:val="1"/>
    <w:rsid w:val="3B68FF25"/>
    <w:rPr>
      <w:rFonts w:asciiTheme="minorHAnsi" w:eastAsiaTheme="minorEastAsia" w:hAnsiTheme="minorHAnsi" w:cstheme="minorBidi"/>
      <w:sz w:val="24"/>
      <w:szCs w:val="24"/>
    </w:rPr>
  </w:style>
  <w:style w:type="character" w:styleId="Hyperlink">
    <w:name w:val="Hyperlink"/>
    <w:basedOn w:val="DefaultParagraphFont"/>
    <w:uiPriority w:val="99"/>
    <w:unhideWhenUsed/>
    <w:rPr>
      <w:color w:val="467886" w:themeColor="hyperlink"/>
      <w:u w:val="single"/>
    </w:rPr>
  </w:style>
  <w:style w:type="character" w:styleId="CommentReference">
    <w:name w:val="annotation reference"/>
    <w:basedOn w:val="DefaultParagraphFont"/>
    <w:uiPriority w:val="99"/>
    <w:semiHidden/>
    <w:unhideWhenUsed/>
    <w:rsid w:val="004F5E50"/>
    <w:rPr>
      <w:sz w:val="16"/>
      <w:szCs w:val="16"/>
    </w:rPr>
  </w:style>
  <w:style w:type="paragraph" w:styleId="CommentText">
    <w:name w:val="annotation text"/>
    <w:basedOn w:val="Normal"/>
    <w:link w:val="CommentTextChar"/>
    <w:uiPriority w:val="99"/>
    <w:unhideWhenUsed/>
    <w:rsid w:val="004F5E50"/>
    <w:pPr>
      <w:spacing w:line="240" w:lineRule="auto"/>
    </w:pPr>
    <w:rPr>
      <w:sz w:val="20"/>
      <w:szCs w:val="20"/>
    </w:rPr>
  </w:style>
  <w:style w:type="character" w:customStyle="1" w:styleId="CommentTextChar">
    <w:name w:val="Comment Text Char"/>
    <w:basedOn w:val="DefaultParagraphFont"/>
    <w:link w:val="CommentText"/>
    <w:uiPriority w:val="99"/>
    <w:rsid w:val="004F5E50"/>
    <w:rPr>
      <w:sz w:val="20"/>
      <w:szCs w:val="20"/>
      <w:lang w:val="en-GB"/>
    </w:rPr>
  </w:style>
  <w:style w:type="paragraph" w:styleId="CommentSubject">
    <w:name w:val="annotation subject"/>
    <w:basedOn w:val="CommentText"/>
    <w:next w:val="CommentText"/>
    <w:link w:val="CommentSubjectChar"/>
    <w:uiPriority w:val="99"/>
    <w:semiHidden/>
    <w:unhideWhenUsed/>
    <w:rsid w:val="004F5E50"/>
    <w:rPr>
      <w:b/>
      <w:bCs/>
    </w:rPr>
  </w:style>
  <w:style w:type="character" w:customStyle="1" w:styleId="CommentSubjectChar">
    <w:name w:val="Comment Subject Char"/>
    <w:basedOn w:val="CommentTextChar"/>
    <w:link w:val="CommentSubject"/>
    <w:uiPriority w:val="99"/>
    <w:semiHidden/>
    <w:rsid w:val="004F5E50"/>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9992981">
      <w:bodyDiv w:val="1"/>
      <w:marLeft w:val="0"/>
      <w:marRight w:val="0"/>
      <w:marTop w:val="0"/>
      <w:marBottom w:val="0"/>
      <w:divBdr>
        <w:top w:val="none" w:sz="0" w:space="0" w:color="auto"/>
        <w:left w:val="none" w:sz="0" w:space="0" w:color="auto"/>
        <w:bottom w:val="none" w:sz="0" w:space="0" w:color="auto"/>
        <w:right w:val="none" w:sz="0" w:space="0" w:color="auto"/>
      </w:divBdr>
      <w:divsChild>
        <w:div w:id="1571453626">
          <w:marLeft w:val="0"/>
          <w:marRight w:val="0"/>
          <w:marTop w:val="0"/>
          <w:marBottom w:val="0"/>
          <w:divBdr>
            <w:top w:val="none" w:sz="0" w:space="0" w:color="auto"/>
            <w:left w:val="none" w:sz="0" w:space="0" w:color="auto"/>
            <w:bottom w:val="none" w:sz="0" w:space="0" w:color="auto"/>
            <w:right w:val="none" w:sz="0" w:space="0" w:color="auto"/>
          </w:divBdr>
          <w:divsChild>
            <w:div w:id="973483490">
              <w:marLeft w:val="0"/>
              <w:marRight w:val="0"/>
              <w:marTop w:val="0"/>
              <w:marBottom w:val="0"/>
              <w:divBdr>
                <w:top w:val="none" w:sz="0" w:space="0" w:color="auto"/>
                <w:left w:val="none" w:sz="0" w:space="0" w:color="auto"/>
                <w:bottom w:val="none" w:sz="0" w:space="0" w:color="auto"/>
                <w:right w:val="none" w:sz="0" w:space="0" w:color="auto"/>
              </w:divBdr>
              <w:divsChild>
                <w:div w:id="382943898">
                  <w:marLeft w:val="0"/>
                  <w:marRight w:val="0"/>
                  <w:marTop w:val="0"/>
                  <w:marBottom w:val="0"/>
                  <w:divBdr>
                    <w:top w:val="none" w:sz="0" w:space="0" w:color="auto"/>
                    <w:left w:val="none" w:sz="0" w:space="0" w:color="auto"/>
                    <w:bottom w:val="none" w:sz="0" w:space="0" w:color="auto"/>
                    <w:right w:val="none" w:sz="0" w:space="0" w:color="auto"/>
                  </w:divBdr>
                  <w:divsChild>
                    <w:div w:id="1083454561">
                      <w:marLeft w:val="0"/>
                      <w:marRight w:val="0"/>
                      <w:marTop w:val="0"/>
                      <w:marBottom w:val="0"/>
                      <w:divBdr>
                        <w:top w:val="none" w:sz="0" w:space="0" w:color="auto"/>
                        <w:left w:val="none" w:sz="0" w:space="0" w:color="auto"/>
                        <w:bottom w:val="none" w:sz="0" w:space="0" w:color="auto"/>
                        <w:right w:val="none" w:sz="0" w:space="0" w:color="auto"/>
                      </w:divBdr>
                      <w:divsChild>
                        <w:div w:id="464201379">
                          <w:marLeft w:val="0"/>
                          <w:marRight w:val="0"/>
                          <w:marTop w:val="0"/>
                          <w:marBottom w:val="0"/>
                          <w:divBdr>
                            <w:top w:val="none" w:sz="0" w:space="0" w:color="auto"/>
                            <w:left w:val="none" w:sz="0" w:space="0" w:color="auto"/>
                            <w:bottom w:val="none" w:sz="0" w:space="0" w:color="auto"/>
                            <w:right w:val="none" w:sz="0" w:space="0" w:color="auto"/>
                          </w:divBdr>
                          <w:divsChild>
                            <w:div w:id="194996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gov.uk/data-protection" TargetMode="External"/><Relationship Id="rId18" Type="http://schemas.openxmlformats.org/officeDocument/2006/relationships/hyperlink" Target="https://books.google.co.uk/books?id=vzZlEAAAQBAJ&amp;lpg=PR7&amp;ots=SRMmseBdnK&amp;dq=World%20Health%20Organization%20(2022).%20Abortion%20Care%20Guidelines&amp;lr&amp;pg=PA79" TargetMode="Externa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comments" Target="comments.xml"/><Relationship Id="rId12" Type="http://schemas.openxmlformats.org/officeDocument/2006/relationships/hyperlink" Target="https://pmc.ncbi.nlm.nih.gov/articles/PMC7155056/" TargetMode="External"/><Relationship Id="rId17" Type="http://schemas.openxmlformats.org/officeDocument/2006/relationships/hyperlink" Target="https://www.rcpch.ac.uk/news-events/news/rcpch-statement-early-medical-abortion-telemedicine" TargetMode="External"/><Relationship Id="rId2" Type="http://schemas.openxmlformats.org/officeDocument/2006/relationships/styles" Target="styles.xml"/><Relationship Id="rId16" Type="http://schemas.openxmlformats.org/officeDocument/2006/relationships/hyperlink" Target="https://www.rcpch.ac.uk/news-events/news/rcpch-publishes-safeguarding-guidance-children-young-people-under-18-accessi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pas.org/abortion-care/under-18/" TargetMode="External"/><Relationship Id="rId5" Type="http://schemas.openxmlformats.org/officeDocument/2006/relationships/footnotes" Target="footnotes.xml"/><Relationship Id="rId15" Type="http://schemas.openxmlformats.org/officeDocument/2006/relationships/hyperlink" Target="https://www.bma.org.uk/media/3307/bma-the-law-and-ethics-of-abortion-report-march-2023-final-web.pdf" TargetMode="External"/><Relationship Id="rId23" Type="http://schemas.microsoft.com/office/2020/10/relationships/intelligence" Target="intelligence2.xml"/><Relationship Id="rId10" Type="http://schemas.microsoft.com/office/2018/08/relationships/commentsExtensible" Target="commentsExtensible.xml"/><Relationship Id="rId19" Type="http://schemas.openxmlformats.org/officeDocument/2006/relationships/hyperlink" Target="https://www.unicef.org.uk/what-we-do/un-convention-child-rights/"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doi.org/10.1363/431031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2057</Words>
  <Characters>11730</Characters>
  <Application>Microsoft Office Word</Application>
  <DocSecurity>0</DocSecurity>
  <Lines>97</Lines>
  <Paragraphs>27</Paragraphs>
  <ScaleCrop>false</ScaleCrop>
  <Company/>
  <LinksUpToDate>false</LinksUpToDate>
  <CharactersWithSpaces>13760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Oliver (2305145)</dc:creator>
  <cp:keywords/>
  <dc:description/>
  <cp:lastModifiedBy>Ffion Oliver (2305145)</cp:lastModifiedBy>
  <cp:revision>2</cp:revision>
  <dcterms:created xsi:type="dcterms:W3CDTF">2024-11-08T19:35:00Z</dcterms:created>
  <dcterms:modified xsi:type="dcterms:W3CDTF">2024-11-08T19:35:00Z</dcterms:modified>
</cp:coreProperties>
</file>