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pStyle w:val="3"/>
        <w:jc w:val="center"/>
      </w:pPr>
      <w:r>
        <w:rPr>
          <w:rFonts w:hint="eastAsia"/>
        </w:rPr>
        <w:drawing>
          <wp:inline distT="0" distB="0" distL="0" distR="0">
            <wp:extent cx="5274310" cy="3252470"/>
            <wp:effectExtent l="0" t="0" r="0" b="0"/>
            <wp:docPr id="19358729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72942" name="图片 7"/>
                    <pic:cNvPicPr>
                      <a:picLocks noChangeAspect="1" noChangeArrowheads="1"/>
                    </pic:cNvPicPr>
                  </pic:nvPicPr>
                  <pic:blipFill>
                    <a:blip r:embed="rId7" cstate="print">
                      <a:extLst>
                        <a:ext uri="{28A0092B-C50C-407E-A947-70E740481C1C}">
                          <a14:useLocalDpi xmlns:a14="http://schemas.microsoft.com/office/drawing/2010/main" val="0"/>
                        </a:ext>
                      </a:extLst>
                    </a:blip>
                    <a:srcRect t="14633"/>
                    <a:stretch>
                      <a:fillRect/>
                    </a:stretch>
                  </pic:blipFill>
                  <pic:spPr>
                    <a:xfrm>
                      <a:off x="0" y="0"/>
                      <a:ext cx="5274310" cy="3252470"/>
                    </a:xfrm>
                    <a:prstGeom prst="rect">
                      <a:avLst/>
                    </a:prstGeom>
                    <a:noFill/>
                    <a:ln>
                      <a:noFill/>
                    </a:ln>
                  </pic:spPr>
                </pic:pic>
              </a:graphicData>
            </a:graphic>
          </wp:inline>
        </w:drawing>
      </w:r>
    </w:p>
    <w:p>
      <w:pPr>
        <w:spacing w:line="480" w:lineRule="auto"/>
        <w:jc w:val="both"/>
        <w:rPr>
          <w:rFonts w:ascii="Times New Roman" w:hAnsi="Times New Roman" w:cs="Times New Roman"/>
          <w:b/>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b/>
          <w:sz w:val="24"/>
          <w:szCs w:val="24"/>
        </w:rPr>
        <w:t xml:space="preserve">Google’s HRM and Artificial Intelligence </w:t>
      </w:r>
    </w:p>
    <w:p>
      <w:pPr>
        <w:pStyle w:val="3"/>
      </w:pPr>
    </w:p>
    <w:p>
      <w:pPr>
        <w:pStyle w:val="3"/>
      </w:pPr>
    </w:p>
    <w:p>
      <w:pPr>
        <w:pStyle w:val="3"/>
        <w:widowControl/>
        <w:snapToGrid w:val="0"/>
        <w:spacing w:line="276" w:lineRule="auto"/>
        <w:outlineLvl w:val="0"/>
        <w:rPr>
          <w:sz w:val="24"/>
        </w:rPr>
      </w:pPr>
    </w:p>
    <w:p>
      <w:pPr>
        <w:pStyle w:val="2"/>
        <w:keepNext w:val="0"/>
        <w:keepLines w:val="0"/>
        <w:widowControl/>
        <w:suppressLineNumbers w:val="0"/>
        <w:pBdr>
          <w:top w:val="none" w:color="auto" w:sz="0" w:space="0"/>
          <w:left w:val="single" w:color="00457B" w:sz="48" w:space="4"/>
          <w:bottom w:val="none" w:color="auto" w:sz="0" w:space="0"/>
        </w:pBdr>
        <w:shd w:val="clear" w:fill="FFFFFF"/>
        <w:spacing w:before="150" w:beforeAutospacing="0" w:after="150" w:afterAutospacing="0" w:line="18" w:lineRule="atLeast"/>
        <w:ind w:left="0" w:firstLine="0"/>
        <w:jc w:val="left"/>
        <w:rPr>
          <w:rFonts w:hint="default" w:asciiTheme="minorHAnsi" w:hAnsiTheme="minorHAnsi" w:eastAsiaTheme="minorHAnsi" w:cstheme="minorBidi"/>
          <w:b w:val="0"/>
          <w:bCs w:val="0"/>
          <w:kern w:val="0"/>
          <w:sz w:val="24"/>
          <w:szCs w:val="22"/>
          <w:lang w:val="en-US" w:eastAsia="zh-CN" w:bidi="ar-SA"/>
        </w:rPr>
      </w:pPr>
      <w:bookmarkStart w:id="0" w:name="_Toc139309544"/>
      <w:bookmarkStart w:id="1" w:name="_Toc139302346"/>
      <w:bookmarkStart w:id="2" w:name="_Toc139309594"/>
      <w:bookmarkStart w:id="3" w:name="_Toc6755"/>
      <w:bookmarkStart w:id="4" w:name="_Toc28791"/>
      <w:r>
        <w:rPr>
          <w:rFonts w:hint="eastAsia" w:asciiTheme="minorHAnsi" w:hAnsiTheme="minorHAnsi" w:eastAsiaTheme="minorHAnsi" w:cstheme="minorBidi"/>
          <w:b w:val="0"/>
          <w:bCs w:val="0"/>
          <w:kern w:val="0"/>
          <w:sz w:val="24"/>
          <w:szCs w:val="22"/>
          <w:lang w:val="en-US" w:eastAsia="zh-CN" w:bidi="ar-SA"/>
        </w:rPr>
        <w:t xml:space="preserve">MODULE NAME: </w:t>
      </w:r>
      <w:r>
        <w:rPr>
          <w:rFonts w:hint="default" w:asciiTheme="minorHAnsi" w:hAnsiTheme="minorHAnsi" w:eastAsiaTheme="minorHAnsi" w:cstheme="minorBidi"/>
          <w:b w:val="0"/>
          <w:bCs w:val="0"/>
          <w:kern w:val="0"/>
          <w:sz w:val="24"/>
          <w:szCs w:val="22"/>
          <w:lang w:val="en-US" w:eastAsia="zh-CN" w:bidi="ar-SA"/>
        </w:rPr>
        <w:t>Human Resource Management (BMMB7007)</w:t>
      </w:r>
    </w:p>
    <w:p>
      <w:pPr>
        <w:spacing w:line="480" w:lineRule="auto"/>
        <w:jc w:val="both"/>
        <w:rPr>
          <w:rFonts w:hint="eastAsia"/>
          <w:lang w:val="en-US" w:eastAsia="zh-CN"/>
        </w:rPr>
      </w:pPr>
      <w:r>
        <w:rPr>
          <w:rFonts w:hint="eastAsia"/>
          <w:sz w:val="24"/>
          <w:lang w:val="en-US" w:eastAsia="zh-CN"/>
        </w:rPr>
        <w:t>LECTURE</w:t>
      </w:r>
      <w:r>
        <w:rPr>
          <w:rFonts w:hint="eastAsia" w:asciiTheme="minorHAnsi" w:hAnsiTheme="minorHAnsi" w:eastAsiaTheme="minorHAnsi" w:cstheme="minorBidi"/>
          <w:b w:val="0"/>
          <w:bCs w:val="0"/>
          <w:kern w:val="0"/>
          <w:sz w:val="24"/>
          <w:szCs w:val="22"/>
          <w:lang w:val="en-US" w:eastAsia="zh-CN" w:bidi="ar-SA"/>
        </w:rPr>
        <w:t xml:space="preserve">R: </w:t>
      </w:r>
      <w:r>
        <w:rPr>
          <w:rFonts w:hint="default" w:asciiTheme="minorHAnsi" w:hAnsiTheme="minorHAnsi" w:eastAsiaTheme="minorHAnsi" w:cstheme="minorBidi"/>
          <w:b w:val="0"/>
          <w:bCs w:val="0"/>
          <w:kern w:val="0"/>
          <w:sz w:val="24"/>
          <w:szCs w:val="22"/>
          <w:lang w:val="en-US" w:eastAsia="zh-CN" w:bidi="ar-SA"/>
        </w:rPr>
        <w:t>James Moore </w:t>
      </w:r>
    </w:p>
    <w:p>
      <w:pPr>
        <w:pStyle w:val="3"/>
        <w:widowControl/>
        <w:snapToGrid w:val="0"/>
        <w:spacing w:line="276" w:lineRule="auto"/>
        <w:outlineLvl w:val="0"/>
        <w:rPr>
          <w:rFonts w:hint="default"/>
          <w:sz w:val="24"/>
          <w:lang w:val="en-US" w:eastAsia="zh-CN"/>
        </w:rPr>
      </w:pPr>
      <w:r>
        <w:rPr>
          <w:sz w:val="24"/>
        </w:rPr>
        <w:t xml:space="preserve">STUDENT NAME: </w:t>
      </w:r>
      <w:bookmarkEnd w:id="0"/>
      <w:bookmarkEnd w:id="1"/>
      <w:bookmarkEnd w:id="2"/>
      <w:bookmarkEnd w:id="3"/>
      <w:bookmarkEnd w:id="4"/>
      <w:r>
        <w:rPr>
          <w:rFonts w:hint="eastAsia"/>
          <w:sz w:val="24"/>
          <w:lang w:val="en-US" w:eastAsia="zh-CN"/>
        </w:rPr>
        <w:t xml:space="preserve">Lu Yuewen </w:t>
      </w:r>
    </w:p>
    <w:p>
      <w:pPr>
        <w:pStyle w:val="3"/>
        <w:widowControl/>
        <w:snapToGrid w:val="0"/>
        <w:spacing w:line="276" w:lineRule="auto"/>
        <w:outlineLvl w:val="0"/>
        <w:rPr>
          <w:rFonts w:hint="default"/>
          <w:sz w:val="24"/>
          <w:lang w:val="en-US" w:eastAsia="zh-CN"/>
        </w:rPr>
      </w:pPr>
      <w:bookmarkStart w:id="5" w:name="_Toc139309545"/>
      <w:bookmarkStart w:id="6" w:name="_Toc139302347"/>
      <w:bookmarkStart w:id="7" w:name="_Toc139309595"/>
      <w:r>
        <w:rPr>
          <w:sz w:val="24"/>
        </w:rPr>
        <w:t>STUDENT NUMBER:</w:t>
      </w:r>
      <w:bookmarkEnd w:id="5"/>
      <w:bookmarkEnd w:id="6"/>
      <w:bookmarkEnd w:id="7"/>
      <w:r>
        <w:rPr>
          <w:rFonts w:hint="eastAsia"/>
          <w:sz w:val="24"/>
          <w:lang w:val="en-US" w:eastAsia="zh-CN"/>
        </w:rPr>
        <w:t xml:space="preserve"> 2232638</w:t>
      </w:r>
    </w:p>
    <w:p>
      <w:pPr>
        <w:spacing w:line="480" w:lineRule="auto"/>
        <w:jc w:val="center"/>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Table of Contents </w:t>
      </w:r>
    </w:p>
    <w:p>
      <w:pPr>
        <w:pStyle w:val="14"/>
        <w:numPr>
          <w:ilvl w:val="0"/>
          <w:numId w:val="1"/>
        </w:numPr>
        <w:spacing w:line="480" w:lineRule="auto"/>
        <w:rPr>
          <w:rFonts w:ascii="Times New Roman" w:hAnsi="Times New Roman" w:cs="Times New Roman"/>
          <w:b/>
          <w:bCs/>
          <w:sz w:val="24"/>
          <w:szCs w:val="24"/>
        </w:rPr>
      </w:pPr>
      <w:r>
        <w:rPr>
          <w:rFonts w:ascii="Times New Roman" w:hAnsi="Times New Roman" w:cs="Times New Roman"/>
          <w:b/>
          <w:bCs/>
          <w:sz w:val="24"/>
          <w:szCs w:val="24"/>
        </w:rPr>
        <w:t>Introduction……………………………………………..…………………………….3</w:t>
      </w:r>
    </w:p>
    <w:p>
      <w:pPr>
        <w:spacing w:line="480" w:lineRule="auto"/>
        <w:ind w:firstLine="360"/>
        <w:rPr>
          <w:rFonts w:ascii="Times New Roman" w:hAnsi="Times New Roman" w:cs="Times New Roman"/>
          <w:bCs/>
          <w:sz w:val="24"/>
          <w:szCs w:val="24"/>
        </w:rPr>
      </w:pPr>
      <w:r>
        <w:rPr>
          <w:rFonts w:ascii="Times New Roman" w:hAnsi="Times New Roman" w:cs="Times New Roman"/>
          <w:bCs/>
          <w:sz w:val="24"/>
          <w:szCs w:val="24"/>
        </w:rPr>
        <w:t>1.1. HR Function……………………………...………….……………………..……...4</w:t>
      </w:r>
    </w:p>
    <w:p>
      <w:pPr>
        <w:spacing w:line="480" w:lineRule="auto"/>
        <w:ind w:firstLine="360"/>
        <w:rPr>
          <w:rFonts w:ascii="Times New Roman" w:hAnsi="Times New Roman" w:cs="Times New Roman"/>
          <w:bCs/>
          <w:sz w:val="24"/>
          <w:szCs w:val="24"/>
        </w:rPr>
      </w:pPr>
      <w:r>
        <w:rPr>
          <w:rFonts w:ascii="Times New Roman" w:hAnsi="Times New Roman" w:cs="Times New Roman"/>
          <w:bCs/>
          <w:sz w:val="24"/>
          <w:szCs w:val="24"/>
        </w:rPr>
        <w:t>1.2. HRM Research ……………...………………………………………………..…..5</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2.0. Google Business Environment …………………………….…………….………….6</w:t>
      </w:r>
    </w:p>
    <w:p>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2.1. Internal Factors ……………………………………..………….…..…….…...7</w:t>
      </w:r>
    </w:p>
    <w:p>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2.2. External Factors ………………………………………..…………………….7</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3.0. Google’s HRM Model……………………………………………………………….8</w:t>
      </w:r>
    </w:p>
    <w:p>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3.1. Google’s Talent Approached Knowledge……...……………………….…….9</w:t>
      </w:r>
    </w:p>
    <w:p>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3.2. Shortcomings of Google’s HRM Model …………………………………….11</w:t>
      </w:r>
    </w:p>
    <w:p>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3.4. Recommended Improvements in Google HRM Model……………………...14</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4.0. Artificial Intelligence and Google Inc. HRM.………………………..……………15</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4.1. AI Impact on Google Inc. HRM …………………………….……………….16</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5.0. Conclusion…………………………………….….……………………..…………...17</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6.0. Recommendation………………………………..……………………..…………….18</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8.0. References ………………………………………………………………………...….20</w:t>
      </w: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pStyle w:val="14"/>
        <w:numPr>
          <w:ilvl w:val="0"/>
          <w:numId w:val="2"/>
        </w:numPr>
        <w:spacing w:line="480" w:lineRule="auto"/>
        <w:rPr>
          <w:rFonts w:ascii="Times New Roman" w:hAnsi="Times New Roman" w:cs="Times New Roman"/>
          <w:b/>
          <w:sz w:val="24"/>
          <w:szCs w:val="24"/>
        </w:rPr>
      </w:pPr>
      <w:r>
        <w:rPr>
          <w:rFonts w:ascii="Times New Roman" w:hAnsi="Times New Roman" w:cs="Times New Roman"/>
          <w:b/>
          <w:sz w:val="24"/>
          <w:szCs w:val="24"/>
        </w:rPr>
        <w:t xml:space="preserve"> INTRODUCTION </w:t>
      </w:r>
    </w:p>
    <w:p>
      <w:pPr>
        <w:spacing w:line="480" w:lineRule="auto"/>
        <w:rPr>
          <w:rFonts w:ascii="Times New Roman" w:hAnsi="Times New Roman" w:cs="Times New Roman"/>
          <w:b/>
          <w:sz w:val="24"/>
          <w:szCs w:val="24"/>
        </w:rPr>
      </w:pPr>
      <w:r>
        <w:rPr>
          <w:rFonts w:ascii="Times New Roman" w:hAnsi="Times New Roman" w:cs="Times New Roman"/>
          <w:sz w:val="24"/>
          <w:szCs w:val="24"/>
        </w:rPr>
        <w:t xml:space="preserve">Human Resource Management (HRM) is a critical function in any organization as it is responsible for managing and developing human capital. The importance of HRM has significantly increased in recent years due to the changing nature of the business environment, increased competition, and globalization </w:t>
      </w:r>
      <w:r>
        <w:rPr>
          <w:rFonts w:ascii="Times New Roman" w:hAnsi="Times New Roman"/>
          <w:sz w:val="24"/>
          <w:szCs w:val="24"/>
        </w:rPr>
        <w:t>(Adler &amp; Ghadar, 2018)</w:t>
      </w:r>
      <w:r>
        <w:rPr>
          <w:rFonts w:ascii="Times New Roman" w:hAnsi="Times New Roman" w:cs="Times New Roman"/>
          <w:sz w:val="24"/>
          <w:szCs w:val="24"/>
        </w:rPr>
        <w:t>. In a global context, HRM faces challenges that require a critical and analytical understanding to address effectively.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major challenges faced by HRM in a global context is managing a diverse workforce </w:t>
      </w:r>
      <w:r>
        <w:rPr>
          <w:rFonts w:ascii="Times New Roman" w:hAnsi="Times New Roman"/>
          <w:sz w:val="24"/>
          <w:szCs w:val="24"/>
        </w:rPr>
        <w:t>(Adler &amp; Ghadar, 2018)</w:t>
      </w:r>
      <w:r>
        <w:rPr>
          <w:rFonts w:ascii="Times New Roman" w:hAnsi="Times New Roman" w:cs="Times New Roman"/>
          <w:sz w:val="24"/>
          <w:szCs w:val="24"/>
        </w:rPr>
        <w:t xml:space="preserve">. In a globalized economy, organizations must manage employees from different cultures, backgrounds, and languages. HRM must understand these differences and develop policies and practices that accommodate diverse needs while promoting a shared organizational culture </w:t>
      </w:r>
      <w:r>
        <w:rPr>
          <w:rFonts w:ascii="Times New Roman" w:hAnsi="Times New Roman"/>
          <w:sz w:val="24"/>
          <w:szCs w:val="24"/>
        </w:rPr>
        <w:t>(Purgał-Popiela et al., 2023)</w:t>
      </w:r>
      <w:r>
        <w:rPr>
          <w:rFonts w:ascii="Times New Roman" w:hAnsi="Times New Roman" w:cs="Times New Roman"/>
          <w:sz w:val="24"/>
          <w:szCs w:val="24"/>
        </w:rPr>
        <w:t>. This requires an analytical understanding of cultural differences and a critical approach to developing effective policies.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challenge for HRM in a global context is developing and implementing effective talent management strategies. With increased competition for talent, HRM must develop strategies to attract, retain, and develop top talent </w:t>
      </w:r>
      <w:r>
        <w:rPr>
          <w:rFonts w:ascii="Times New Roman" w:hAnsi="Times New Roman"/>
          <w:sz w:val="24"/>
          <w:szCs w:val="24"/>
        </w:rPr>
        <w:t>(Gunderson, 2001)</w:t>
      </w:r>
      <w:r>
        <w:rPr>
          <w:rFonts w:ascii="Times New Roman" w:hAnsi="Times New Roman" w:cs="Times New Roman"/>
          <w:sz w:val="24"/>
          <w:szCs w:val="24"/>
        </w:rPr>
        <w:t xml:space="preserve">. This requires a critical analysis of the organization's talent needs and an understanding of the global talent market. Effective talent management strategies must also consider cultural differences, the changing nature of work, and the need for a diverse and inclusive workforce </w:t>
      </w:r>
      <w:r>
        <w:rPr>
          <w:rFonts w:ascii="Times New Roman" w:hAnsi="Times New Roman"/>
          <w:sz w:val="24"/>
          <w:szCs w:val="24"/>
        </w:rPr>
        <w:t>(Gunderson, 2001)</w:t>
      </w:r>
      <w:r>
        <w:rPr>
          <w:rFonts w:ascii="Times New Roman" w:hAnsi="Times New Roman" w:cs="Times New Roman"/>
          <w:sz w:val="24"/>
          <w:szCs w:val="24"/>
        </w:rPr>
        <w:t>. HRM in a global context must also address the changing nature of work. The rise of remote work and the gig economy presents new challenges for HRM in managing a flexible and distributed workforce (Budhwar et al., 2022). HRM must develop policies and practices that support remote work while ensuring that employees are engaged, productive, and connected to the organization's culture.</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 critical and analytical understanding of the changing nature of HRM in a global context is crucial to developing effective policies and practices that promote organizational success </w:t>
      </w:r>
      <w:r>
        <w:rPr>
          <w:rFonts w:ascii="Times New Roman" w:hAnsi="Times New Roman"/>
          <w:sz w:val="24"/>
          <w:szCs w:val="24"/>
        </w:rPr>
        <w:t>(Purgał-Popiela et al., 2023)</w:t>
      </w:r>
      <w:r>
        <w:rPr>
          <w:rFonts w:ascii="Times New Roman" w:hAnsi="Times New Roman" w:cs="Times New Roman"/>
          <w:sz w:val="24"/>
          <w:szCs w:val="24"/>
        </w:rPr>
        <w:t>. HRM must understand the challenges presented by a diverse workforce, the global talent market, and the changing nature of work to develop effective strategies that address these challenges.</w:t>
      </w:r>
    </w:p>
    <w:p>
      <w:pPr>
        <w:pStyle w:val="14"/>
        <w:numPr>
          <w:ilvl w:val="1"/>
          <w:numId w:val="2"/>
        </w:numPr>
        <w:spacing w:line="480" w:lineRule="auto"/>
        <w:rPr>
          <w:rFonts w:ascii="Times New Roman" w:hAnsi="Times New Roman" w:cs="Times New Roman"/>
          <w:b/>
          <w:sz w:val="24"/>
          <w:szCs w:val="24"/>
        </w:rPr>
      </w:pPr>
      <w:r>
        <w:rPr>
          <w:rFonts w:ascii="Times New Roman" w:hAnsi="Times New Roman" w:cs="Times New Roman"/>
          <w:b/>
          <w:sz w:val="24"/>
          <w:szCs w:val="24"/>
        </w:rPr>
        <w:t>HR Function</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The HR function plays a vital role in building sustainable organizational capability and fostering innovation through people. HR can help organizations achieve sustainability by developing and implementing strategies that align with the organization's vision, values, and long-term goals </w:t>
      </w:r>
      <w:r>
        <w:rPr>
          <w:rFonts w:ascii="Times New Roman" w:hAnsi="Times New Roman"/>
          <w:sz w:val="24"/>
          <w:szCs w:val="24"/>
        </w:rPr>
        <w:t>(Jo et al., 2023)</w:t>
      </w:r>
      <w:r>
        <w:rPr>
          <w:rFonts w:ascii="Times New Roman" w:hAnsi="Times New Roman" w:cs="Times New Roman"/>
          <w:sz w:val="24"/>
          <w:szCs w:val="24"/>
        </w:rPr>
        <w:t xml:space="preserve">. One way HR can help deliver sustainable organizational capability is by investing in employee development (Omar, 2021). HR can facilitate training and development programs that help employees acquire new skills and knowledge to improve their performance, adapt to changing job requirements, and promote career growth. HR can also support a culture of continuous learning and knowledge-sharing, which helps employees remain relevant and adaptable in a rapidly changing business environment </w:t>
      </w:r>
      <w:r>
        <w:rPr>
          <w:rFonts w:ascii="Times New Roman" w:hAnsi="Times New Roman"/>
          <w:sz w:val="24"/>
          <w:szCs w:val="24"/>
        </w:rPr>
        <w:t>(Kramar, 2013)</w:t>
      </w:r>
      <w:r>
        <w:rPr>
          <w:rFonts w:ascii="Times New Roman" w:hAnsi="Times New Roman" w:cs="Times New Roman"/>
          <w:sz w:val="24"/>
          <w:szCs w:val="24"/>
        </w:rPr>
        <w:t>.</w:t>
      </w:r>
    </w:p>
    <w:p>
      <w:pPr>
        <w:spacing w:line="480" w:lineRule="auto"/>
        <w:rPr>
          <w:rFonts w:ascii="Times New Roman" w:hAnsi="Times New Roman" w:cs="Times New Roman"/>
          <w:sz w:val="24"/>
          <w:szCs w:val="24"/>
        </w:rPr>
      </w:pPr>
      <w:r>
        <w:rPr>
          <w:rFonts w:ascii="Times New Roman" w:hAnsi="Times New Roman" w:cs="Times New Roman"/>
          <w:sz w:val="24"/>
          <w:szCs w:val="24"/>
        </w:rPr>
        <w:t>HR can also help foster innovation through people by creating a work environment that encourages creativity and collaboration. This includes promoting an open and inclusive culture that encourages employees to share their ideas and perspectives, providing opportunities for cross-functional teams to work together, and creating a reward and recognition system that celebrates innovation and risk-taking.</w:t>
      </w:r>
    </w:p>
    <w:p>
      <w:pPr>
        <w:spacing w:line="480" w:lineRule="auto"/>
        <w:rPr>
          <w:rFonts w:ascii="Times New Roman" w:hAnsi="Times New Roman" w:cs="Times New Roman"/>
          <w:sz w:val="24"/>
          <w:szCs w:val="24"/>
        </w:rPr>
      </w:pPr>
      <w:r>
        <w:rPr>
          <w:rFonts w:ascii="Times New Roman" w:hAnsi="Times New Roman" w:cs="Times New Roman"/>
          <w:sz w:val="24"/>
          <w:szCs w:val="24"/>
        </w:rPr>
        <w:t>HR can also support innovation by attracting and retaining top talent, particularly those who are innovative and entrepreneurial. HR can develop and implement recruitment and retention strategies that focus on identifying and attracting individuals who possess the desired skills and characteristics required for innovative work.</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HR can also help foster sustainability by promoting a culture of corporate social responsibility. HR can develop and implement sustainability policies that align with the organization's values and goals, such as reducing waste, promoting diversity and inclusion, and supporting community initiatives (Piwowar‐Sulej, 2021). HR can also lead efforts to communicate these policies to employees, customers, and other stakeholders, building trust and enhancing the organization's reputation </w:t>
      </w:r>
      <w:r>
        <w:rPr>
          <w:rFonts w:ascii="Times New Roman" w:hAnsi="Times New Roman"/>
          <w:sz w:val="24"/>
          <w:szCs w:val="24"/>
        </w:rPr>
        <w:t>(Akinyi, 2022)</w:t>
      </w:r>
      <w:r>
        <w:rPr>
          <w:rFonts w:ascii="Times New Roman" w:hAnsi="Times New Roman" w:cs="Times New Roman"/>
          <w:sz w:val="24"/>
          <w:szCs w:val="24"/>
        </w:rPr>
        <w:t xml:space="preserve">. The HR function can help deliver sustainable organizational capability and innovation through people by investing in employee development, fostering a culture of creativity and collaboration, attracting and retaining top talent, and promoting a culture of corporate social responsibility </w:t>
      </w:r>
      <w:r>
        <w:rPr>
          <w:rFonts w:ascii="Times New Roman" w:hAnsi="Times New Roman"/>
          <w:sz w:val="24"/>
          <w:szCs w:val="24"/>
        </w:rPr>
        <w:t>(Akinyi, 2022)</w:t>
      </w:r>
      <w:r>
        <w:rPr>
          <w:rFonts w:ascii="Times New Roman" w:hAnsi="Times New Roman" w:cs="Times New Roman"/>
          <w:sz w:val="24"/>
          <w:szCs w:val="24"/>
        </w:rPr>
        <w:t>. By focusing on these areas, HR can help organizations build a more sustainable future while driving innovation and growth.</w:t>
      </w:r>
    </w:p>
    <w:p>
      <w:pPr>
        <w:pStyle w:val="14"/>
        <w:numPr>
          <w:ilvl w:val="1"/>
          <w:numId w:val="2"/>
        </w:numPr>
        <w:spacing w:line="480" w:lineRule="auto"/>
        <w:rPr>
          <w:rFonts w:ascii="Times New Roman" w:hAnsi="Times New Roman" w:cs="Times New Roman"/>
          <w:b/>
          <w:sz w:val="24"/>
          <w:szCs w:val="24"/>
        </w:rPr>
      </w:pPr>
      <w:r>
        <w:rPr>
          <w:rFonts w:ascii="Times New Roman" w:hAnsi="Times New Roman" w:cs="Times New Roman"/>
          <w:b/>
          <w:sz w:val="24"/>
          <w:szCs w:val="24"/>
        </w:rPr>
        <w:t>HRM Research.</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HRM research and advanced scholarship play a critical role in advancing knowledge and understanding of the HRM field. Academics, researchers, and practitioners in various fields such as management, psychology, sociology, and economics conduct this research </w:t>
      </w:r>
      <w:r>
        <w:rPr>
          <w:rFonts w:ascii="Times New Roman" w:hAnsi="Times New Roman"/>
          <w:sz w:val="24"/>
          <w:szCs w:val="24"/>
        </w:rPr>
        <w:t>(Searle, 2020)</w:t>
      </w:r>
      <w:r>
        <w:rPr>
          <w:rFonts w:ascii="Times New Roman" w:hAnsi="Times New Roman" w:cs="Times New Roman"/>
          <w:sz w:val="24"/>
          <w:szCs w:val="24"/>
        </w:rPr>
        <w:t>. The goal of HRM research is to investigate, analyze, and interpret the complex dynamics of HRM practices and their impact on individuals, organizations, and society.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Advanced scholarship in HRM involves the development of new theories, models, and frameworks to understand and explain HRM practices and their outcomes </w:t>
      </w:r>
      <w:r>
        <w:rPr>
          <w:rFonts w:ascii="Times New Roman" w:hAnsi="Times New Roman"/>
          <w:sz w:val="24"/>
          <w:szCs w:val="24"/>
        </w:rPr>
        <w:t>(Lazazzara &amp; Galanaki, 2020)</w:t>
      </w:r>
      <w:r>
        <w:rPr>
          <w:rFonts w:ascii="Times New Roman" w:hAnsi="Times New Roman" w:cs="Times New Roman"/>
          <w:sz w:val="24"/>
          <w:szCs w:val="24"/>
        </w:rPr>
        <w:t xml:space="preserve">. This includes research on topics such as talent management, employee engagement, performance management, diversity and inclusion, and HRM in the digital age </w:t>
      </w:r>
      <w:r>
        <w:rPr>
          <w:rFonts w:ascii="Times New Roman" w:hAnsi="Times New Roman"/>
          <w:sz w:val="24"/>
          <w:szCs w:val="24"/>
        </w:rPr>
        <w:t>(Malik &amp; Budhwar, 2023)</w:t>
      </w:r>
      <w:r>
        <w:rPr>
          <w:rFonts w:ascii="Times New Roman" w:hAnsi="Times New Roman" w:cs="Times New Roman"/>
          <w:sz w:val="24"/>
          <w:szCs w:val="24"/>
        </w:rPr>
        <w:t xml:space="preserve">. Also, scholarship in HRM also involves interdisciplinary research, which integrates different fields of knowledge to address complex HRM issues. For example, researchers may use insights from social psychology, economics, and organizational behavior to develop new models of motivation and performance </w:t>
      </w:r>
      <w:r>
        <w:rPr>
          <w:rFonts w:ascii="Times New Roman" w:hAnsi="Times New Roman"/>
          <w:sz w:val="24"/>
          <w:szCs w:val="24"/>
        </w:rPr>
        <w:t>(Lazazzara &amp; Galanaki, 2020)</w:t>
      </w:r>
      <w:r>
        <w:rPr>
          <w:rFonts w:ascii="Times New Roman" w:hAnsi="Times New Roman" w:cs="Times New Roman"/>
          <w:sz w:val="24"/>
          <w:szCs w:val="24"/>
        </w:rPr>
        <w:t>.</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important aspect of HRM research and advanced scholarship is its practical implications. Researchers often collaborate with HR practitioners to develop evidence-based practices that address specific HRM issues </w:t>
      </w:r>
      <w:r>
        <w:rPr>
          <w:rFonts w:ascii="Times New Roman" w:hAnsi="Times New Roman"/>
          <w:sz w:val="24"/>
          <w:szCs w:val="24"/>
        </w:rPr>
        <w:t>(Gregeby &amp; Hugosson, 2017)</w:t>
      </w:r>
      <w:r>
        <w:rPr>
          <w:rFonts w:ascii="Times New Roman" w:hAnsi="Times New Roman" w:cs="Times New Roman"/>
          <w:sz w:val="24"/>
          <w:szCs w:val="24"/>
        </w:rPr>
        <w:t xml:space="preserve">. This collaboration can lead to the development of more effective HRM practices that improve organizational outcomes and employee well-being. HRM research and advanced scholarship are critical to advancing knowledge and understanding of HRM practices and their impact on individuals, organizations, and society </w:t>
      </w:r>
      <w:r>
        <w:rPr>
          <w:rFonts w:ascii="Times New Roman" w:hAnsi="Times New Roman"/>
          <w:sz w:val="24"/>
          <w:szCs w:val="24"/>
        </w:rPr>
        <w:t>(Gregeby &amp; Hugosson, 2017)</w:t>
      </w:r>
      <w:r>
        <w:rPr>
          <w:rFonts w:ascii="Times New Roman" w:hAnsi="Times New Roman" w:cs="Times New Roman"/>
          <w:sz w:val="24"/>
          <w:szCs w:val="24"/>
        </w:rPr>
        <w:t>. This research helps to develop new theories, models, and frameworks, and contributes to evidence-based HRM practices that improve organizational outcomes and employee well-being.</w:t>
      </w:r>
    </w:p>
    <w:p>
      <w:pPr>
        <w:pStyle w:val="14"/>
        <w:numPr>
          <w:ilvl w:val="0"/>
          <w:numId w:val="2"/>
        </w:numPr>
        <w:spacing w:line="480" w:lineRule="auto"/>
        <w:rPr>
          <w:rFonts w:ascii="Times New Roman" w:hAnsi="Times New Roman" w:cs="Times New Roman"/>
          <w:b/>
          <w:sz w:val="24"/>
          <w:szCs w:val="24"/>
        </w:rPr>
      </w:pPr>
      <w:r>
        <w:rPr>
          <w:rFonts w:ascii="Times New Roman" w:hAnsi="Times New Roman" w:cs="Times New Roman"/>
          <w:b/>
          <w:sz w:val="24"/>
          <w:szCs w:val="24"/>
        </w:rPr>
        <w:t xml:space="preserve"> GOOGLE BUSINESS ENVIRONMENT </w:t>
      </w:r>
    </w:p>
    <w:p>
      <w:pPr>
        <w:spacing w:line="480" w:lineRule="auto"/>
        <w:rPr>
          <w:rFonts w:ascii="Times New Roman" w:hAnsi="Times New Roman" w:cs="Times New Roman"/>
          <w:sz w:val="24"/>
          <w:szCs w:val="24"/>
        </w:rPr>
      </w:pPr>
      <w:r>
        <w:rPr>
          <w:rFonts w:ascii="Times New Roman" w:hAnsi="Times New Roman" w:cs="Times New Roman"/>
          <w:sz w:val="24"/>
          <w:szCs w:val="24"/>
        </w:rPr>
        <w:t>Google is a multinational technology company that operates in a highly dynamic and competitive business environment. The company's success is largely dependent on its ability to attract and retain top talent and maintain its position as an innovative leader in the industry. In this section, I will evaluate Google's HR business environment and analyze how internal and external factors affect its resourcing strategies and influence its policies, procedures, and processes (Adamseged &amp; Grundmann, 2020).</w:t>
      </w:r>
    </w:p>
    <w:p>
      <w:pPr>
        <w:pStyle w:val="14"/>
        <w:numPr>
          <w:ilvl w:val="1"/>
          <w:numId w:val="2"/>
        </w:numPr>
        <w:spacing w:line="480" w:lineRule="auto"/>
        <w:rPr>
          <w:rFonts w:ascii="Times New Roman" w:hAnsi="Times New Roman" w:cs="Times New Roman"/>
          <w:b/>
          <w:sz w:val="24"/>
          <w:szCs w:val="24"/>
        </w:rPr>
      </w:pPr>
      <w:r>
        <w:rPr>
          <w:rFonts w:ascii="Times New Roman" w:hAnsi="Times New Roman" w:cs="Times New Roman"/>
          <w:b/>
          <w:sz w:val="24"/>
          <w:szCs w:val="24"/>
        </w:rPr>
        <w:t>Internal Factors: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Organizational Culture: Google is known for its innovative and people-centric culture, which has been instrumental in attracting and retaining top talent </w:t>
      </w:r>
      <w:r>
        <w:rPr>
          <w:rFonts w:ascii="Times New Roman" w:hAnsi="Times New Roman"/>
          <w:sz w:val="24"/>
          <w:szCs w:val="24"/>
        </w:rPr>
        <w:t>(Shrivastava et al., 2018)</w:t>
      </w:r>
      <w:r>
        <w:rPr>
          <w:rFonts w:ascii="Times New Roman" w:hAnsi="Times New Roman" w:cs="Times New Roman"/>
          <w:sz w:val="24"/>
          <w:szCs w:val="24"/>
        </w:rPr>
        <w:t>. The company values employee empowerment, creativity, and collaboration, which are reflected in its HR policies and practices.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Talent Needs: Google's business is highly dependent on its ability to attract and retain top talent. The company's resourcing strategies are designed to identify and recruit individuals who possess the desired skills, experience, and cultural fit required to succeed in the company's fast-paced and innovative work environment </w:t>
      </w:r>
      <w:r>
        <w:rPr>
          <w:rFonts w:ascii="Times New Roman" w:hAnsi="Times New Roman"/>
          <w:sz w:val="24"/>
          <w:szCs w:val="24"/>
        </w:rPr>
        <w:t>(Zhu, 2023)</w:t>
      </w:r>
      <w:r>
        <w:rPr>
          <w:rFonts w:ascii="Times New Roman" w:hAnsi="Times New Roman" w:cs="Times New Roman"/>
          <w:sz w:val="24"/>
          <w:szCs w:val="24"/>
        </w:rPr>
        <w:t>.</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HR Capabilities: Google has a highly skilled HR team that is responsible for developing and implementing HR policies, procedures, and processes that support the company's strategic objectives </w:t>
      </w:r>
      <w:r>
        <w:rPr>
          <w:rFonts w:ascii="Times New Roman" w:hAnsi="Times New Roman"/>
          <w:sz w:val="24"/>
          <w:szCs w:val="24"/>
        </w:rPr>
        <w:t>(Zhu, 2023)</w:t>
      </w:r>
      <w:r>
        <w:rPr>
          <w:rFonts w:ascii="Times New Roman" w:hAnsi="Times New Roman" w:cs="Times New Roman"/>
          <w:sz w:val="24"/>
          <w:szCs w:val="24"/>
        </w:rPr>
        <w:t>. The HR team works closely with other business units to ensure that HR strategies are aligned with the company's overall goals and objectives.</w:t>
      </w:r>
    </w:p>
    <w:p>
      <w:pPr>
        <w:numPr>
          <w:ilvl w:val="1"/>
          <w:numId w:val="2"/>
        </w:numPr>
        <w:spacing w:line="480" w:lineRule="auto"/>
        <w:rPr>
          <w:rFonts w:ascii="Times New Roman" w:hAnsi="Times New Roman" w:cs="Times New Roman"/>
          <w:b/>
          <w:sz w:val="24"/>
          <w:szCs w:val="24"/>
        </w:rPr>
      </w:pPr>
      <w:r>
        <w:rPr>
          <w:rFonts w:ascii="Times New Roman" w:hAnsi="Times New Roman" w:cs="Times New Roman"/>
          <w:b/>
          <w:sz w:val="24"/>
          <w:szCs w:val="24"/>
        </w:rPr>
        <w:t>External Factors:</w:t>
      </w:r>
    </w:p>
    <w:p>
      <w:pPr>
        <w:spacing w:line="480" w:lineRule="auto"/>
        <w:rPr>
          <w:rFonts w:ascii="Times New Roman" w:hAnsi="Times New Roman" w:cs="Times New Roman"/>
          <w:sz w:val="24"/>
          <w:szCs w:val="24"/>
        </w:rPr>
      </w:pPr>
      <w:r>
        <w:rPr>
          <w:rFonts w:ascii="Times New Roman" w:hAnsi="Times New Roman" w:cs="Times New Roman"/>
          <w:sz w:val="24"/>
          <w:szCs w:val="24"/>
        </w:rPr>
        <w:t>Labor Market Conditions: Google operates in a highly competitive labor market where demand for top talent is high. The company's resourcing strategies are influenced by market conditions, such as the availability of skilled workers, the level of competition, and prevailing compensation trends.</w:t>
      </w:r>
    </w:p>
    <w:p>
      <w:pPr>
        <w:spacing w:line="480" w:lineRule="auto"/>
        <w:rPr>
          <w:rFonts w:ascii="Times New Roman" w:hAnsi="Times New Roman" w:cs="Times New Roman"/>
          <w:sz w:val="24"/>
          <w:szCs w:val="24"/>
        </w:rPr>
      </w:pPr>
      <w:r>
        <w:rPr>
          <w:rFonts w:ascii="Times New Roman" w:hAnsi="Times New Roman" w:cs="Times New Roman"/>
          <w:sz w:val="24"/>
          <w:szCs w:val="24"/>
        </w:rPr>
        <w:t>Technological Advancements: Google operates in a rapidly changing technology landscape that requires a highly skilled and adaptable workforce. The company's HR policies and practices are designed to attract and retain individuals who possess the necessary skills and knowledge to succeed in this environment.</w:t>
      </w:r>
    </w:p>
    <w:p>
      <w:pPr>
        <w:spacing w:line="480" w:lineRule="auto"/>
        <w:rPr>
          <w:rFonts w:ascii="Times New Roman" w:hAnsi="Times New Roman" w:cs="Times New Roman"/>
          <w:sz w:val="24"/>
          <w:szCs w:val="24"/>
        </w:rPr>
      </w:pPr>
      <w:r>
        <w:rPr>
          <w:rFonts w:ascii="Times New Roman" w:hAnsi="Times New Roman" w:cs="Times New Roman"/>
          <w:sz w:val="24"/>
          <w:szCs w:val="24"/>
        </w:rPr>
        <w:t>Regulatory Environment: Google operates in a complex regulatory environment that requires the company to comply with various employment laws and regulations. The company's HR policies and practices are designed to ensure compliance with these laws and regulations, while also promoting a positive and inclusive work environment.</w:t>
      </w:r>
    </w:p>
    <w:p>
      <w:pPr>
        <w:spacing w:line="480" w:lineRule="auto"/>
        <w:rPr>
          <w:rFonts w:ascii="Times New Roman" w:hAnsi="Times New Roman" w:cs="Times New Roman"/>
          <w:sz w:val="24"/>
          <w:szCs w:val="24"/>
        </w:rPr>
      </w:pPr>
      <w:r>
        <w:rPr>
          <w:rFonts w:ascii="Times New Roman" w:hAnsi="Times New Roman" w:cs="Times New Roman"/>
          <w:sz w:val="24"/>
          <w:szCs w:val="24"/>
        </w:rPr>
        <w:t>Google's HR business environment is highly dynamic and complex, with various internal and external factors that affect its resourcing strategies and influence its HR policies, procedures, and processes. To succeed in this environment, Google's HR team must be highly skilled and adaptable, and must work closely with other business units to ensure that HR strategies are aligned with the company's overall goals and objectives.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Google places a high emphasis on onboarding its personnel. The company has a comprehensive onboarding process that begins before the employee's first day on the job and continues for several months </w:t>
      </w:r>
      <w:r>
        <w:rPr>
          <w:rFonts w:ascii="Times New Roman" w:hAnsi="Times New Roman"/>
          <w:sz w:val="24"/>
          <w:szCs w:val="24"/>
        </w:rPr>
        <w:t>(Huff &amp; Schüssler, 2016)</w:t>
      </w:r>
      <w:r>
        <w:rPr>
          <w:rFonts w:ascii="Times New Roman" w:hAnsi="Times New Roman" w:cs="Times New Roman"/>
          <w:sz w:val="24"/>
          <w:szCs w:val="24"/>
        </w:rPr>
        <w:t>. The process includes pre-boarding activities such as providing new employees with information about the company's culture and values, introducing them to their team members and colleagues, and giving them access to learning and development resources. Once the employee begins their job, the onboarding process includes a range of activities such as training, mentoring, and coaching to help the employee get up to speed quickly and become a productive member of their team.</w:t>
      </w:r>
    </w:p>
    <w:p>
      <w:pPr>
        <w:spacing w:line="480" w:lineRule="auto"/>
        <w:rPr>
          <w:rFonts w:ascii="Times New Roman" w:hAnsi="Times New Roman" w:cs="Times New Roman"/>
          <w:sz w:val="24"/>
          <w:szCs w:val="24"/>
        </w:rPr>
      </w:pPr>
    </w:p>
    <w:p>
      <w:pPr>
        <w:pStyle w:val="14"/>
        <w:numPr>
          <w:ilvl w:val="0"/>
          <w:numId w:val="2"/>
        </w:numPr>
        <w:spacing w:line="480" w:lineRule="auto"/>
        <w:rPr>
          <w:rFonts w:ascii="Times New Roman" w:hAnsi="Times New Roman" w:cs="Times New Roman"/>
          <w:b/>
          <w:sz w:val="24"/>
          <w:szCs w:val="24"/>
        </w:rPr>
      </w:pPr>
      <w:r>
        <w:rPr>
          <w:rFonts w:ascii="Times New Roman" w:hAnsi="Times New Roman" w:cs="Times New Roman"/>
          <w:b/>
          <w:sz w:val="24"/>
          <w:szCs w:val="24"/>
        </w:rPr>
        <w:t xml:space="preserve"> GOOGLE’S HRM MODEL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Google places a strong emphasis on building a culture of employee activism. The company encourages employees to take ownership of their work, and to think creatively and innovatively about how they can contribute to the company's success </w:t>
      </w:r>
      <w:r>
        <w:rPr>
          <w:rFonts w:ascii="Times New Roman" w:hAnsi="Times New Roman"/>
          <w:sz w:val="24"/>
          <w:szCs w:val="24"/>
        </w:rPr>
        <w:t>(Huff &amp; Schüssler, 2016)</w:t>
      </w:r>
      <w:r>
        <w:rPr>
          <w:rFonts w:ascii="Times New Roman" w:hAnsi="Times New Roman" w:cs="Times New Roman"/>
          <w:sz w:val="24"/>
          <w:szCs w:val="24"/>
        </w:rPr>
        <w:t xml:space="preserve">. The company also provides a range of opportunities for employees to get involved in social and environmental initiatives, and to use their skills and expertise to make a positive impact in their communities. </w:t>
      </w:r>
    </w:p>
    <w:p>
      <w:pPr>
        <w:spacing w:line="480" w:lineRule="auto"/>
        <w:rPr>
          <w:rFonts w:ascii="Times New Roman" w:hAnsi="Times New Roman" w:cs="Times New Roman"/>
          <w:sz w:val="24"/>
          <w:szCs w:val="24"/>
        </w:rPr>
      </w:pPr>
      <w:r>
        <w:rPr>
          <w:rFonts w:ascii="Times New Roman" w:hAnsi="Times New Roman" w:cs="Times New Roman"/>
          <w:sz w:val="24"/>
          <w:szCs w:val="24"/>
        </w:rPr>
        <w:t>For the purpose of creating training programs, Google's HR management combines the relational model with the results-oriented approach. This strategy focuses on generating measurable results while fostering strong relationships between staff members and their mentors or bosses. It enables Google to give each employee individualized training to raise their performance, effectiveness, and output</w:t>
      </w:r>
      <w:r>
        <w:t xml:space="preserve"> (</w:t>
      </w:r>
      <w:r>
        <w:rPr>
          <w:rFonts w:ascii="Times New Roman" w:hAnsi="Times New Roman" w:cs="Times New Roman"/>
          <w:sz w:val="24"/>
          <w:szCs w:val="24"/>
        </w:rPr>
        <w:t>Bissola &amp; Imperatori, 2014). Google also thinks that great people should receive exceptional rewards. It bases its remuneration policy on personal qualities including skill, experience, and work responsibilities as well as performance. This strategy encourages workers to give their best efforts, and it also enables Google to retain the greatest personnel in the sector.</w:t>
      </w:r>
    </w:p>
    <w:p>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Relational Model – </w:t>
      </w:r>
      <w:r>
        <w:rPr>
          <w:rFonts w:ascii="Times New Roman" w:hAnsi="Times New Roman" w:cs="Times New Roman"/>
          <w:i/>
          <w:sz w:val="24"/>
          <w:szCs w:val="24"/>
        </w:rPr>
        <w:t>The relational model emphasizes building strong relationships between employees and their supervisors, and it is rooted in the idea that strong relationships lead to improved performance and productivity (Bissola &amp; Imperatori, 2014).</w:t>
      </w:r>
    </w:p>
    <w:p>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Results-oriented Model – </w:t>
      </w:r>
      <w:r>
        <w:rPr>
          <w:rFonts w:ascii="Times New Roman" w:hAnsi="Times New Roman" w:cs="Times New Roman"/>
          <w:i/>
          <w:sz w:val="24"/>
          <w:szCs w:val="24"/>
        </w:rPr>
        <w:t>The results-oriented approach focuses on achieving measurable results, so Google's training programs are designed to help employees achieve specific goals and objectives. The company also believes in providing exceptional rewards based on performance and personal attributes (Hauff et al., 2020).</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Google places a high emphasis on building strong bonds with its employees. The company offers a range of benefits and perks that are designed to support employees' work-life balance and overall well-being </w:t>
      </w:r>
      <w:r>
        <w:rPr>
          <w:rFonts w:ascii="Times New Roman" w:hAnsi="Times New Roman"/>
          <w:sz w:val="24"/>
          <w:szCs w:val="24"/>
        </w:rPr>
        <w:t>(Huff &amp; Schüssler, 2016)</w:t>
      </w:r>
      <w:r>
        <w:rPr>
          <w:rFonts w:ascii="Times New Roman" w:hAnsi="Times New Roman" w:cs="Times New Roman"/>
          <w:sz w:val="24"/>
          <w:szCs w:val="24"/>
        </w:rPr>
        <w:t>. For example, the company offers generous health and wellness benefits, flexible work arrangements, and on-site amenities such as gyms, cafes, and recreational spaces (Dimitrakaki, 2022). The company also places a strong emphasis on creating a culture of psychological safety, where employees feel comfortable speaking up, sharing their ideas, and Challenging The Status Quo.</w:t>
      </w:r>
    </w:p>
    <w:p>
      <w:pPr>
        <w:spacing w:line="480" w:lineRule="auto"/>
        <w:rPr>
          <w:rFonts w:ascii="Times New Roman" w:hAnsi="Times New Roman" w:cs="Times New Roman"/>
          <w:sz w:val="24"/>
          <w:szCs w:val="24"/>
        </w:rPr>
      </w:pPr>
      <w:r>
        <w:rPr>
          <w:rFonts w:ascii="Times New Roman" w:hAnsi="Times New Roman" w:cs="Times New Roman"/>
          <w:sz w:val="24"/>
          <w:szCs w:val="24"/>
        </w:rPr>
        <w:t>Google is known for its strong employer brand, which is built on the company's innovative culture, cutting-edge technology, and commitment to social and environmental responsibility. The company invests heavily in employer branding, using a range of marketing and communications channels to showcase its unique culture and values, and to attract top talent from around the world (Hauff et al., 2020). The company also has a dedicated team of professionals who manage its employer brand and reputation, and who work closely with HR and recruiting teams to ensure that the company's brand is consistent across all touchpoints. Google's approach to onboarding, building a business activist culture, employer bonding, and branding are designed to attract and retain top talent, and to support the company's overall business objectives (Hauff et al., 2020). The company's HR professionals play a critical role in developing and implementing these initiatives, and in ensuring that they are aligned with the company's overall strategy and values.</w:t>
      </w:r>
    </w:p>
    <w:p>
      <w:pPr>
        <w:spacing w:line="480" w:lineRule="auto"/>
        <w:rPr>
          <w:rFonts w:ascii="Times New Roman" w:hAnsi="Times New Roman" w:cs="Times New Roman"/>
          <w:sz w:val="24"/>
          <w:szCs w:val="24"/>
        </w:rPr>
      </w:pPr>
      <w:r>
        <w:rPr>
          <w:rFonts w:ascii="Times New Roman" w:hAnsi="Times New Roman" w:cs="Times New Roman"/>
          <w:sz w:val="24"/>
          <w:szCs w:val="24"/>
        </w:rPr>
        <w:t>Google's cross-functional management model makes employees accountable for their personal actions right from the recruitment level. This approach ensures that every employee takes ownership of their work and is responsible for their actions. Google also promotes individual talent and innovativeness, which allows employees to express their creativity and ideas freely. This approach helps Google to foster a culture of innovation and collaboration (Hauff et al., 2020).</w:t>
      </w:r>
    </w:p>
    <w:p>
      <w:pPr>
        <w:numPr>
          <w:ilvl w:val="1"/>
          <w:numId w:val="2"/>
        </w:numPr>
        <w:spacing w:line="480" w:lineRule="auto"/>
        <w:rPr>
          <w:rFonts w:ascii="Times New Roman" w:hAnsi="Times New Roman" w:cs="Times New Roman"/>
          <w:b/>
          <w:sz w:val="24"/>
          <w:szCs w:val="24"/>
        </w:rPr>
      </w:pPr>
      <w:r>
        <w:rPr>
          <w:rFonts w:ascii="Times New Roman" w:hAnsi="Times New Roman" w:cs="Times New Roman"/>
          <w:b/>
          <w:sz w:val="24"/>
          <w:szCs w:val="24"/>
        </w:rPr>
        <w:t>Google’s Talent Approached Knowledge</w:t>
      </w:r>
    </w:p>
    <w:p>
      <w:pPr>
        <w:spacing w:line="480" w:lineRule="auto"/>
        <w:rPr>
          <w:rFonts w:ascii="Times New Roman" w:hAnsi="Times New Roman" w:cs="Times New Roman"/>
          <w:sz w:val="24"/>
          <w:szCs w:val="24"/>
        </w:rPr>
      </w:pPr>
      <w:r>
        <w:rPr>
          <w:rFonts w:ascii="Times New Roman" w:hAnsi="Times New Roman" w:cs="Times New Roman"/>
          <w:sz w:val="24"/>
          <w:szCs w:val="24"/>
        </w:rPr>
        <w:t>Google operates in a talent-led knowledge economy, where knowledge and innovation are critical drivers of competitive advantage. The company's success depends on its ability to attract and retain top talent, and its HR professionals play a key role in developing and implementing initiatives to support this objective.</w:t>
      </w:r>
    </w:p>
    <w:p>
      <w:pPr>
        <w:spacing w:line="480" w:lineRule="auto"/>
        <w:rPr>
          <w:rFonts w:ascii="Times New Roman" w:hAnsi="Times New Roman" w:cs="Times New Roman"/>
          <w:sz w:val="24"/>
          <w:szCs w:val="24"/>
        </w:rPr>
      </w:pPr>
      <w:r>
        <w:rPr>
          <w:rFonts w:ascii="Times New Roman" w:hAnsi="Times New Roman" w:cs="Times New Roman"/>
          <w:sz w:val="24"/>
          <w:szCs w:val="24"/>
        </w:rPr>
        <w:t>To attract and retain top talent, Google has developed a range of HR programs and initiatives. These include offering competitive compensation packages and benefits, providing opportunities for career growth and development, fostering a supportive and inclusive workplace culture, and promoting work-life balance (Fesharaki, 2021). The company also invests heavily in employee learning and development programs, such as training and education opportunities, to help employees build the skills and knowledge needed to succeed in their roles.</w:t>
      </w:r>
    </w:p>
    <w:p>
      <w:pPr>
        <w:spacing w:line="480" w:lineRule="auto"/>
        <w:rPr>
          <w:rFonts w:ascii="Times New Roman" w:hAnsi="Times New Roman" w:cs="Times New Roman"/>
          <w:sz w:val="24"/>
          <w:szCs w:val="24"/>
        </w:rPr>
      </w:pPr>
      <w:r>
        <w:rPr>
          <w:rFonts w:ascii="Times New Roman" w:hAnsi="Times New Roman" w:cs="Times New Roman"/>
          <w:sz w:val="24"/>
          <w:szCs w:val="24"/>
        </w:rPr>
        <w:t>Google's HR professionals are responsible for managing the company's talent pipeline and developing strategies to attract, retain, and develop top talent. This includes developing effective recruitment and hiring processes, identifying and developing high-potential employees, and supporting the ongoing learning and development of employees at all levels of the organization (Hauff, 2019).</w:t>
      </w:r>
    </w:p>
    <w:p>
      <w:pPr>
        <w:spacing w:line="480" w:lineRule="auto"/>
        <w:rPr>
          <w:rFonts w:ascii="Times New Roman" w:hAnsi="Times New Roman" w:cs="Times New Roman"/>
          <w:sz w:val="24"/>
          <w:szCs w:val="24"/>
        </w:rPr>
      </w:pPr>
      <w:r>
        <w:rPr>
          <w:rFonts w:ascii="Times New Roman" w:hAnsi="Times New Roman" w:cs="Times New Roman"/>
          <w:sz w:val="24"/>
          <w:szCs w:val="24"/>
        </w:rPr>
        <w:t>The company's HR professionals also play a key role in creating and maintaining a culture of innovation and continuous improvement. This includes fostering an environment where employees are encouraged to take risks, experiment with new ideas, and collaborate with colleagues to develop innovative solutions to complex problems. The company's HR professionals also work closely with managers and employees to develop and implement performance management processes that are aligned with the company's values and objectives, and that support employee growth and development (Zhu, 2023).</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the talent-led knowledge economy of Google is based on the recognition that human capital is a critical driver of competitive advantage in today's economy. By investing in its employees and fostering a culture of innovation and continuous improvement, Google is able to attract and retain top talent, and to develop new and innovative products and services that drive business success (Hauff, 2019). </w:t>
      </w:r>
    </w:p>
    <w:p>
      <w:pPr>
        <w:spacing w:line="480" w:lineRule="auto"/>
        <w:rPr>
          <w:rFonts w:ascii="Times New Roman" w:hAnsi="Times New Roman" w:cs="Times New Roman"/>
          <w:sz w:val="24"/>
          <w:szCs w:val="24"/>
        </w:rPr>
      </w:pPr>
      <w:r>
        <w:rPr>
          <w:rFonts w:ascii="Times New Roman" w:hAnsi="Times New Roman" w:cs="Times New Roman"/>
          <w:sz w:val="24"/>
          <w:szCs w:val="24"/>
        </w:rPr>
        <w:t>Google Inc. is a multinational technology company that is widely known for its search engine, as well as a range of other products and services. The company has a significant presence in the fields of internet search, online advertising, cloud computing, software development, and mobile technology, among others.</w:t>
      </w:r>
    </w:p>
    <w:p>
      <w:pPr>
        <w:numPr>
          <w:ilvl w:val="1"/>
          <w:numId w:val="2"/>
        </w:numPr>
        <w:spacing w:line="480" w:lineRule="auto"/>
        <w:rPr>
          <w:rFonts w:ascii="Times New Roman" w:hAnsi="Times New Roman" w:cs="Times New Roman"/>
          <w:b/>
          <w:bCs/>
          <w:sz w:val="24"/>
          <w:szCs w:val="24"/>
        </w:rPr>
      </w:pPr>
      <w:r>
        <w:rPr>
          <w:rFonts w:ascii="Times New Roman" w:hAnsi="Times New Roman" w:cs="Times New Roman"/>
          <w:b/>
          <w:bCs/>
          <w:sz w:val="24"/>
          <w:szCs w:val="24"/>
        </w:rPr>
        <w:t>Shortcomings of Google’s HRM Model</w:t>
      </w:r>
    </w:p>
    <w:p>
      <w:pPr>
        <w:spacing w:line="480" w:lineRule="auto"/>
        <w:rPr>
          <w:rFonts w:ascii="Times New Roman" w:hAnsi="Times New Roman" w:cs="Times New Roman"/>
          <w:sz w:val="24"/>
          <w:szCs w:val="24"/>
        </w:rPr>
      </w:pPr>
      <w:r>
        <w:rPr>
          <w:rFonts w:ascii="Times New Roman" w:hAnsi="Times New Roman" w:cs="Times New Roman"/>
          <w:sz w:val="24"/>
          <w:szCs w:val="24"/>
        </w:rPr>
        <w:t>Google has been known for its innovative and employee-centric HR practices. However, like any other HR model, Google's HRM model also faces some challenges. Some of the key challenges of Google's HRM model include:</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Maintaining a balance between innovation and consistency</w:t>
      </w:r>
    </w:p>
    <w:p>
      <w:pPr>
        <w:spacing w:line="480" w:lineRule="auto"/>
        <w:rPr>
          <w:rFonts w:ascii="Times New Roman" w:hAnsi="Times New Roman" w:cs="Times New Roman"/>
          <w:sz w:val="24"/>
          <w:szCs w:val="24"/>
        </w:rPr>
      </w:pPr>
      <w:r>
        <w:rPr>
          <w:rFonts w:ascii="Times New Roman" w:hAnsi="Times New Roman" w:cs="Times New Roman"/>
          <w:sz w:val="24"/>
          <w:szCs w:val="24"/>
        </w:rPr>
        <w:t>Google is known for its innovative HR practices, but it can be challenging to maintain a balance between innovation and consistency</w:t>
      </w:r>
      <w:r>
        <w:t xml:space="preserve"> (</w:t>
      </w:r>
      <w:r>
        <w:rPr>
          <w:rFonts w:ascii="Times New Roman" w:hAnsi="Times New Roman" w:cs="Times New Roman"/>
          <w:sz w:val="24"/>
          <w:szCs w:val="24"/>
        </w:rPr>
        <w:t>Shrivastava et al., 2018). With the rapid changes in technology and the workforce, it can be difficult to keep up with the latest trends while still maintaining a consistent HR strategy.</w:t>
      </w:r>
    </w:p>
    <w:p>
      <w:pPr>
        <w:spacing w:line="480" w:lineRule="auto"/>
        <w:rPr>
          <w:rFonts w:ascii="Times New Roman" w:hAnsi="Times New Roman" w:cs="Times New Roman"/>
          <w:sz w:val="24"/>
          <w:szCs w:val="24"/>
        </w:rPr>
      </w:pPr>
      <w:r>
        <w:rPr>
          <w:rFonts w:ascii="Times New Roman" w:hAnsi="Times New Roman" w:cs="Times New Roman"/>
          <w:b/>
          <w:bCs/>
          <w:i/>
          <w:iCs/>
          <w:sz w:val="24"/>
          <w:szCs w:val="24"/>
        </w:rPr>
        <w:t>Attracting and retaining top talent</w:t>
      </w:r>
      <w:r>
        <w:rPr>
          <w:rFonts w:ascii="Times New Roman" w:hAnsi="Times New Roman" w:cs="Times New Roman"/>
          <w:sz w:val="24"/>
          <w:szCs w:val="24"/>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Google is a highly competitive environment, and it can be challenging to attract and retain top talent in such an environment. The company needs to continuously develop and enhance its HR strategies to keep up with the expectations and needs of its workforce (Saks, 2021).</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Ensuring diversity and inclusion</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Google has been criticized for its lack of diversity and inclusion in the past, and this remains a challenge for the company's HRM model. The company needs to continue to work towards creating a more diverse and inclusive workplace, and develop strategies that promote diversity and inclusivity.</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Adapting to local cultures and regulations</w:t>
      </w:r>
    </w:p>
    <w:p>
      <w:pPr>
        <w:spacing w:line="480" w:lineRule="auto"/>
        <w:rPr>
          <w:rFonts w:ascii="Times New Roman" w:hAnsi="Times New Roman" w:cs="Times New Roman"/>
          <w:sz w:val="24"/>
          <w:szCs w:val="24"/>
        </w:rPr>
      </w:pPr>
      <w:r>
        <w:rPr>
          <w:rFonts w:ascii="Times New Roman" w:hAnsi="Times New Roman" w:cs="Times New Roman"/>
          <w:sz w:val="24"/>
          <w:szCs w:val="24"/>
        </w:rPr>
        <w:t>Google is a global company with a presence in many countries, and it can be challenging to adapt to the local cultures and regulations of each country. The company needs to be mindful of local laws and customs while still maintaining its global HRM model (Akinyi, 2022).</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Balancing employee well-being and productivity</w:t>
      </w:r>
    </w:p>
    <w:p>
      <w:pPr>
        <w:spacing w:line="480" w:lineRule="auto"/>
        <w:rPr>
          <w:rFonts w:ascii="Times New Roman" w:hAnsi="Times New Roman" w:cs="Times New Roman"/>
          <w:sz w:val="24"/>
          <w:szCs w:val="24"/>
        </w:rPr>
      </w:pPr>
      <w:r>
        <w:rPr>
          <w:rFonts w:ascii="Times New Roman" w:hAnsi="Times New Roman" w:cs="Times New Roman"/>
          <w:sz w:val="24"/>
          <w:szCs w:val="24"/>
        </w:rPr>
        <w:t>Google has a reputation for providing its employees with a high level of autonomy and work-life balance. However, it can be challenging to balance employee well-being and productivity in a fast-paced and competitive environment (Huff &amp; Schüssler, 2016). The company needs to continuously develop and enhance its HR strategies to ensure that its employees are happy, healthy, and productive.</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numPr>
          <w:ilvl w:val="1"/>
          <w:numId w:val="2"/>
        </w:numPr>
        <w:spacing w:line="480" w:lineRule="auto"/>
        <w:rPr>
          <w:rFonts w:ascii="Times New Roman" w:hAnsi="Times New Roman" w:cs="Times New Roman"/>
          <w:b/>
          <w:bCs/>
          <w:sz w:val="24"/>
          <w:szCs w:val="24"/>
        </w:rPr>
      </w:pPr>
      <w:r>
        <w:rPr>
          <w:rFonts w:ascii="Times New Roman" w:hAnsi="Times New Roman" w:cs="Times New Roman"/>
          <w:b/>
          <w:bCs/>
          <w:sz w:val="24"/>
          <w:szCs w:val="24"/>
        </w:rPr>
        <w:t>Recommended Improvements in Google HRM Model</w:t>
      </w:r>
    </w:p>
    <w:p>
      <w:pPr>
        <w:spacing w:line="480" w:lineRule="auto"/>
        <w:rPr>
          <w:rFonts w:ascii="Times New Roman" w:hAnsi="Times New Roman" w:cs="Times New Roman"/>
          <w:sz w:val="24"/>
          <w:szCs w:val="24"/>
        </w:rPr>
      </w:pPr>
      <w:r>
        <w:rPr>
          <w:rFonts w:ascii="Times New Roman" w:hAnsi="Times New Roman" w:cs="Times New Roman"/>
          <w:sz w:val="24"/>
          <w:szCs w:val="24"/>
        </w:rPr>
        <w:t>Google has been known for its innovative and employee-eccentric HR practices. However, like any other HR model, Google's HRM model also faces some challenges. Some of the key challenges facing Google’s HRM model can be improved through the ways mentioned below.</w:t>
      </w:r>
    </w:p>
    <w:p>
      <w:pPr>
        <w:spacing w:line="480" w:lineRule="auto"/>
        <w:rPr>
          <w:rFonts w:ascii="Times New Roman" w:hAnsi="Times New Roman" w:cs="Times New Roman"/>
          <w:sz w:val="24"/>
          <w:szCs w:val="24"/>
        </w:rPr>
      </w:pPr>
      <w:r>
        <w:rPr>
          <w:rFonts w:ascii="Times New Roman" w:hAnsi="Times New Roman" w:cs="Times New Roman"/>
          <w:sz w:val="24"/>
          <w:szCs w:val="24"/>
        </w:rPr>
        <w:t>Firstly, Google should practice maintaining a balance between innovation and consistency. Google is known for its innovative HR practices, but it can be challenging to maintain a balance between innovation and consistency (Huff &amp; Schüssler, 2016). With the rapid changes in technology and the workforce, it can be difficult to keep up with the latest trends while still maintaining a consistent HR strategy.</w:t>
      </w:r>
    </w:p>
    <w:p>
      <w:pPr>
        <w:spacing w:line="480" w:lineRule="auto"/>
        <w:rPr>
          <w:rFonts w:ascii="Times New Roman" w:hAnsi="Times New Roman" w:cs="Times New Roman"/>
          <w:sz w:val="24"/>
          <w:szCs w:val="24"/>
        </w:rPr>
      </w:pPr>
      <w:r>
        <w:rPr>
          <w:rFonts w:ascii="Times New Roman" w:hAnsi="Times New Roman" w:cs="Times New Roman"/>
          <w:sz w:val="24"/>
          <w:szCs w:val="24"/>
        </w:rPr>
        <w:t>The second recommendation is learning the art of attracting and retaining top talent. Google is a highly competitive environment, and it can be challenging to attract and retain top talent in such an environment. The company needs to continuously develop and enhance its HR strategies to keep up with the expectations and needs of its workforce (Akinyi, 2022).</w:t>
      </w:r>
    </w:p>
    <w:p>
      <w:pPr>
        <w:spacing w:line="480" w:lineRule="auto"/>
        <w:rPr>
          <w:rFonts w:ascii="Times New Roman" w:hAnsi="Times New Roman" w:cs="Times New Roman"/>
          <w:sz w:val="24"/>
          <w:szCs w:val="24"/>
        </w:rPr>
      </w:pPr>
      <w:r>
        <w:rPr>
          <w:rFonts w:ascii="Times New Roman" w:hAnsi="Times New Roman" w:cs="Times New Roman"/>
          <w:sz w:val="24"/>
          <w:szCs w:val="24"/>
        </w:rPr>
        <w:t>Thirdly, Google should promote diversity and inclusion in their HRM model. Google has been criticized for its lack of diversity and inclusion in the past, and this remains a challenge for the company's HRM model. The company needs to continue to work towards creating a more diverse and inclusive workplace, and develop strategies that promote diversity and inclusivity. Google is a global company with a presence in many countries, and it can be challenging to adapt to the local cultures and regulations of each country. The company needs to be mindful of local laws and customs while still maintaining its global HRM model.</w:t>
      </w:r>
    </w:p>
    <w:p>
      <w:pPr>
        <w:spacing w:line="480" w:lineRule="auto"/>
        <w:rPr>
          <w:rFonts w:ascii="Times New Roman" w:hAnsi="Times New Roman" w:cs="Times New Roman"/>
          <w:b/>
          <w:bCs/>
          <w:sz w:val="24"/>
          <w:szCs w:val="24"/>
        </w:rPr>
      </w:pPr>
      <w:r>
        <w:rPr>
          <w:rFonts w:ascii="Times New Roman" w:hAnsi="Times New Roman" w:cs="Times New Roman"/>
          <w:sz w:val="24"/>
          <w:szCs w:val="24"/>
        </w:rPr>
        <w:t>Finally, Google’s HRM model should seek to balance employee well-being and productivity: Google has a reputation for providing its employees with a high level of autonomy and work-life balance. However, it can be challenging to balance employee well-being and productivity in a fast-paced and competitive environment</w:t>
      </w:r>
      <w:r>
        <w:t xml:space="preserve"> (</w:t>
      </w:r>
      <w:r>
        <w:rPr>
          <w:rFonts w:ascii="Times New Roman" w:hAnsi="Times New Roman" w:cs="Times New Roman"/>
          <w:sz w:val="24"/>
          <w:szCs w:val="24"/>
        </w:rPr>
        <w:t>Shrivastava et al., 2018). The company needs to continuously develop and enhance its HR strategies to ensure that its employees are happy, healthy, and productive.</w:t>
      </w:r>
      <w:r>
        <w:rPr>
          <w:rFonts w:ascii="Times New Roman" w:hAnsi="Times New Roman" w:cs="Times New Roman"/>
          <w:b/>
          <w:bCs/>
          <w:sz w:val="24"/>
          <w:szCs w:val="24"/>
        </w:rPr>
        <w:t xml:space="preserve"> </w:t>
      </w:r>
    </w:p>
    <w:p>
      <w:pPr>
        <w:spacing w:line="480" w:lineRule="auto"/>
        <w:rPr>
          <w:rFonts w:ascii="Times New Roman" w:hAnsi="Times New Roman" w:cs="Times New Roman"/>
          <w:b/>
          <w:sz w:val="24"/>
          <w:szCs w:val="24"/>
        </w:rPr>
      </w:pPr>
      <w:r>
        <w:rPr>
          <w:rFonts w:ascii="Times New Roman" w:hAnsi="Times New Roman" w:cs="Times New Roman"/>
          <w:b/>
          <w:sz w:val="24"/>
          <w:szCs w:val="24"/>
        </w:rPr>
        <w:t>4.0. ARTIFICIAL INTELLIGENCE AND GOOGLE INC. HRM</w:t>
      </w:r>
    </w:p>
    <w:p>
      <w:pPr>
        <w:spacing w:line="480" w:lineRule="auto"/>
        <w:rPr>
          <w:rFonts w:ascii="Times New Roman" w:hAnsi="Times New Roman" w:cs="Times New Roman"/>
          <w:sz w:val="24"/>
          <w:szCs w:val="24"/>
        </w:rPr>
      </w:pPr>
      <w:r>
        <w:rPr>
          <w:rFonts w:ascii="Times New Roman" w:hAnsi="Times New Roman" w:cs="Times New Roman"/>
          <w:sz w:val="24"/>
          <w:szCs w:val="24"/>
        </w:rPr>
        <w:t>Social Capital: Google Inc. has a strong social capital as it has established itself as one of the most recognized and respected brands in the world. Its brand value is estimated at over $300 billion, making it one of the most valuable brands globally. This strong brand recognition has allowed Google to form numerous partnerships and collaborations with other organizations, both in the tech industry and beyond. Additionally, Google has a strong presence on social media, with millions of followers across various platforms.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Intellectual Capital: Google Inc. is also known for its strong intellectual capital. The company has a significant investment in research and development, which has resulted in many innovations and technological breakthroughs </w:t>
      </w:r>
      <w:r>
        <w:rPr>
          <w:rFonts w:ascii="Times New Roman" w:hAnsi="Times New Roman"/>
          <w:sz w:val="24"/>
          <w:szCs w:val="24"/>
        </w:rPr>
        <w:t>(Saks, 2021)</w:t>
      </w:r>
      <w:r>
        <w:rPr>
          <w:rFonts w:ascii="Times New Roman" w:hAnsi="Times New Roman" w:cs="Times New Roman"/>
          <w:sz w:val="24"/>
          <w:szCs w:val="24"/>
        </w:rPr>
        <w:t>. Some of the most notable examples include the Google search algorithm, Google Maps, and Google Assistant. Google has also acquired numerous companies over the years, which have brought in a wealth of knowledge and expertise to the company.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Human Capital: Google Inc. has a highly skilled and diverse workforce that is one of the key assets of the company. The company is known for its competitive hiring practices and attracting top talent from all over the world. Google's employees are highly educated, with many having advanced degrees in computer science, engineering, and other related fields </w:t>
      </w:r>
      <w:r>
        <w:rPr>
          <w:rFonts w:ascii="Times New Roman" w:hAnsi="Times New Roman"/>
          <w:sz w:val="24"/>
          <w:szCs w:val="24"/>
        </w:rPr>
        <w:t>(Saks, 2021)</w:t>
      </w:r>
      <w:r>
        <w:rPr>
          <w:rFonts w:ascii="Times New Roman" w:hAnsi="Times New Roman" w:cs="Times New Roman"/>
          <w:sz w:val="24"/>
          <w:szCs w:val="24"/>
        </w:rPr>
        <w:t>. Google has also established itself as an employer of choice, offering competitive salaries, comprehensive benefits, and a culture of innovation and collaboration. As a result, the company has a very low turnover rate and a high employee satisfaction rate.</w:t>
      </w:r>
    </w:p>
    <w:p>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t>4.1. AI Impact on Google Inc. HRM</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Artificial Intelligence (AI) is transforming many industries, including human resource management (HRM). Here are some ways that AI is impacting HR such as AI is being used to automate and streamline the recruitment process. AI-powered systems can screen resumes, conduct initial interviews, and even provide feedback to candidates. This saves HR managers time and helps identify top candidates more efficiently </w:t>
      </w:r>
      <w:r>
        <w:rPr>
          <w:rFonts w:ascii="Times New Roman" w:hAnsi="Times New Roman"/>
          <w:sz w:val="24"/>
          <w:szCs w:val="24"/>
        </w:rPr>
        <w:t>(Saks, 2021)</w:t>
      </w:r>
      <w:r>
        <w:rPr>
          <w:rFonts w:ascii="Times New Roman" w:hAnsi="Times New Roman" w:cs="Times New Roman"/>
          <w:sz w:val="24"/>
          <w:szCs w:val="24"/>
        </w:rPr>
        <w:t xml:space="preserve">. Secondly, AI tools can be used to analyze employee sentiment and engagement levels by analyzing data from employee surveys and feedback. This can help HR managers identify problem areas and take proactive measures to address issues. Also, AI-powered learning and development programs can be tailored to individual employee needs and learning styles </w:t>
      </w:r>
      <w:r>
        <w:rPr>
          <w:rFonts w:ascii="Times New Roman" w:hAnsi="Times New Roman"/>
          <w:sz w:val="24"/>
          <w:szCs w:val="24"/>
        </w:rPr>
        <w:t>(Renkema, 2021)</w:t>
      </w:r>
      <w:r>
        <w:rPr>
          <w:rFonts w:ascii="Times New Roman" w:hAnsi="Times New Roman" w:cs="Times New Roman"/>
          <w:sz w:val="24"/>
          <w:szCs w:val="24"/>
        </w:rPr>
        <w:t>. This helps employees to develop their skills more effectively and efficiently.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Performance Management: AI can provide real-time feedback to employees on their performance, helping them to identify areas for improvement and set goals. This can lead to more productive and engaged employees. When it comes to data analysis, AI can help HR managers to analyze large amounts of data on employee performance, engagement, and retention </w:t>
      </w:r>
      <w:r>
        <w:rPr>
          <w:rFonts w:ascii="Times New Roman" w:hAnsi="Times New Roman"/>
          <w:sz w:val="24"/>
          <w:szCs w:val="24"/>
        </w:rPr>
        <w:t>(Saks, 2021)</w:t>
      </w:r>
      <w:r>
        <w:rPr>
          <w:rFonts w:ascii="Times New Roman" w:hAnsi="Times New Roman" w:cs="Times New Roman"/>
          <w:sz w:val="24"/>
          <w:szCs w:val="24"/>
        </w:rPr>
        <w:t xml:space="preserve">. This can provide insights into workforce trends and help to identify potential issues before they become problems. AI is helping to automate and streamline many HR functions, freeing up HR managers to focus on strategic initiatives and more high-value activities. However, there are also concerns around the potential for bias in AI algorithms, which HR managers need to be aware of and address proactively </w:t>
      </w:r>
      <w:r>
        <w:rPr>
          <w:rFonts w:ascii="Times New Roman" w:hAnsi="Times New Roman"/>
          <w:sz w:val="24"/>
          <w:szCs w:val="24"/>
        </w:rPr>
        <w:t>(Alhan, 2023)</w:t>
      </w:r>
      <w:r>
        <w:rPr>
          <w:rFonts w:ascii="Times New Roman" w:hAnsi="Times New Roman" w:cs="Times New Roman"/>
          <w:sz w:val="24"/>
          <w:szCs w:val="24"/>
        </w:rPr>
        <w:t>.</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5.0. CONCLUSION</w:t>
      </w:r>
    </w:p>
    <w:p>
      <w:pPr>
        <w:spacing w:line="480" w:lineRule="auto"/>
        <w:rPr>
          <w:rFonts w:ascii="Times New Roman" w:hAnsi="Times New Roman" w:cs="Times New Roman"/>
          <w:sz w:val="24"/>
          <w:szCs w:val="24"/>
        </w:rPr>
      </w:pPr>
      <w:r>
        <w:rPr>
          <w:rFonts w:ascii="Times New Roman" w:hAnsi="Times New Roman" w:cs="Times New Roman"/>
          <w:sz w:val="24"/>
          <w:szCs w:val="24"/>
        </w:rPr>
        <w:t>Google is widely recognized as one of the most successful and innovative companies in the world, and its approach to human resource management has played a significant role in its success. Google's human resource management strategies are based on its unique culture of innovation, collaboration, and employee empowerment.</w:t>
      </w:r>
    </w:p>
    <w:p>
      <w:pPr>
        <w:spacing w:line="480" w:lineRule="auto"/>
        <w:rPr>
          <w:rFonts w:ascii="Times New Roman" w:hAnsi="Times New Roman" w:cs="Times New Roman"/>
          <w:sz w:val="24"/>
          <w:szCs w:val="24"/>
        </w:rPr>
      </w:pPr>
      <w:r>
        <w:rPr>
          <w:rFonts w:ascii="Times New Roman" w:hAnsi="Times New Roman" w:cs="Times New Roman"/>
          <w:sz w:val="24"/>
          <w:szCs w:val="24"/>
        </w:rPr>
        <w:t>One of the key elements of Google's HR approach is its emphasis on hiring the best talent available. Google seeks to attract and retain the most skilled, creative, and ambitious employees by offering competitive salaries, generous benefits, and a flexible work environment that promotes work-life balance.</w:t>
      </w:r>
    </w:p>
    <w:p>
      <w:pPr>
        <w:spacing w:line="480" w:lineRule="auto"/>
        <w:rPr>
          <w:rFonts w:ascii="Times New Roman" w:hAnsi="Times New Roman" w:cs="Times New Roman"/>
          <w:sz w:val="24"/>
          <w:szCs w:val="24"/>
        </w:rPr>
      </w:pPr>
      <w:r>
        <w:rPr>
          <w:rFonts w:ascii="Times New Roman" w:hAnsi="Times New Roman" w:cs="Times New Roman"/>
          <w:sz w:val="24"/>
          <w:szCs w:val="24"/>
        </w:rPr>
        <w:t>In addition to its emphasis on hiring the best talent, Google's HR strategies focus on fostering a culture of innovation and collaboration. This is achieved through a range of programs and initiatives, including open communication channels, cross-functional teams, and flexible work arrangements that allow employees to pursue their interests and work on projects that align with their strengths.</w:t>
      </w:r>
    </w:p>
    <w:p>
      <w:pPr>
        <w:spacing w:line="480" w:lineRule="auto"/>
        <w:rPr>
          <w:rFonts w:ascii="Times New Roman" w:hAnsi="Times New Roman" w:cs="Times New Roman"/>
          <w:sz w:val="24"/>
          <w:szCs w:val="24"/>
        </w:rPr>
      </w:pPr>
      <w:r>
        <w:rPr>
          <w:rFonts w:ascii="Times New Roman" w:hAnsi="Times New Roman" w:cs="Times New Roman"/>
          <w:sz w:val="24"/>
          <w:szCs w:val="24"/>
        </w:rPr>
        <w:t>Google's HR strategies have been instrumental in the company's success, and have helped it to attract and retain some of the most talented individuals in the tech industry. However, it's worth noting that there have been criticisms of Google's HR practices, particularly with regard to diversity and inclusion. Despite this, Google remains one of the most admired and innovative companies in the world, and its approach to HR management continues to be studied and emulated by organizations around the globe.</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6.0. RECOMMENDATIONS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Below are some of the recommendations that Google can use to empower its employees and make even a more successful team.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Firstly, Google should focus on diversity and inclusion. While Google has made efforts to improve diversity and inclusion in its workforce, there is still room for improvement. By prioritizing diversity and inclusion, Google can benefit from a wider range of perspectives and experiences that can lead to better decision-making and innovation </w:t>
      </w:r>
      <w:r>
        <w:rPr>
          <w:rFonts w:ascii="Times New Roman" w:hAnsi="Times New Roman"/>
          <w:sz w:val="24"/>
          <w:szCs w:val="24"/>
        </w:rPr>
        <w:t>(Hauff, 2019)</w:t>
      </w:r>
      <w:r>
        <w:rPr>
          <w:rFonts w:ascii="Times New Roman" w:hAnsi="Times New Roman" w:cs="Times New Roman"/>
          <w:sz w:val="24"/>
          <w:szCs w:val="24"/>
        </w:rPr>
        <w:t xml:space="preserve">. Google already offers a range of training and development programs, but there is always room for improvement </w:t>
      </w:r>
      <w:r>
        <w:rPr>
          <w:rFonts w:ascii="Times New Roman" w:hAnsi="Times New Roman"/>
          <w:sz w:val="24"/>
          <w:szCs w:val="24"/>
        </w:rPr>
        <w:t>(Hauff, 2019)</w:t>
      </w:r>
      <w:r>
        <w:rPr>
          <w:rFonts w:ascii="Times New Roman" w:hAnsi="Times New Roman" w:cs="Times New Roman"/>
          <w:sz w:val="24"/>
          <w:szCs w:val="24"/>
        </w:rPr>
        <w:t>. By providing employees with opportunities for learning and growth, Google can foster a culture of continuous improvement and help employees reach their full potential.</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Google's flexible work arrangements are a key factor in its success, but there may be opportunities to improve work-life balance even further. By providing more support for employees' mental and physical health, Google can help employees to be more productive and engaged. Google is known for its collaborative culture, but there may be ways to further encourage collaboration across departments and teams </w:t>
      </w:r>
      <w:r>
        <w:rPr>
          <w:rFonts w:ascii="Times New Roman" w:hAnsi="Times New Roman"/>
          <w:sz w:val="24"/>
          <w:szCs w:val="24"/>
        </w:rPr>
        <w:t>(Johnson et al., 2012)</w:t>
      </w:r>
      <w:r>
        <w:rPr>
          <w:rFonts w:ascii="Times New Roman" w:hAnsi="Times New Roman" w:cs="Times New Roman"/>
          <w:sz w:val="24"/>
          <w:szCs w:val="24"/>
        </w:rPr>
        <w:t>. By creating more opportunities for cross-functional projects and teams, Google can help employees to build stronger relationships and share knowledge more effectively.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Google is already known for its open communication channels, but there may be opportunities to increase transparency even further. By providing more information about company decisions and goals, Google can help employees to feel more informed and engaged </w:t>
      </w:r>
      <w:r>
        <w:rPr>
          <w:rFonts w:ascii="Times New Roman" w:hAnsi="Times New Roman"/>
          <w:sz w:val="24"/>
          <w:szCs w:val="24"/>
        </w:rPr>
        <w:t>(Johnson et al., 2012)</w:t>
      </w:r>
      <w:r>
        <w:rPr>
          <w:rFonts w:ascii="Times New Roman" w:hAnsi="Times New Roman" w:cs="Times New Roman"/>
          <w:sz w:val="24"/>
          <w:szCs w:val="24"/>
        </w:rPr>
        <w:t>. By continuing to invest in its employees and focusing on diversity, inclusion, and work-life balance, Google can continue to be a leader in the field of human resource management and maintain its position as one of the most innovative and successful companies in the world.</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Based on the above-mentioned recommendations, below is the plan of action that Google HRM could harness to improve employee productivity and satisfaction; and incorporate Artificial Intelligence for the benefit of the company </w:t>
      </w:r>
      <w:r>
        <w:rPr>
          <w:rFonts w:ascii="Times New Roman" w:hAnsi="Times New Roman"/>
          <w:sz w:val="24"/>
          <w:szCs w:val="24"/>
        </w:rPr>
        <w:t>(Ruël, 2020)</w:t>
      </w:r>
      <w:r>
        <w:rPr>
          <w:rFonts w:ascii="Times New Roman" w:hAnsi="Times New Roman" w:cs="Times New Roman"/>
          <w:sz w:val="24"/>
          <w:szCs w:val="24"/>
        </w:rPr>
        <w:t xml:space="preserve">. Firstly, Google’s HRM should harness critical thinking skills to identify the strengths and weaknesses of the applicants in the recruiting process. Critical thinking skills by the interview panel will ensure only the best candidate are accepted. Secondly, the HR departments should work on their communication skills to understanding the different cultural, religious, and political backgrounds of the employees through open communication forums. Through allowing open forums between the employees, supervisors, and human resource managers to discuss challenges arising at work, Google’s HRM can improve employees’ satisfaction </w:t>
      </w:r>
      <w:r>
        <w:rPr>
          <w:rFonts w:ascii="Times New Roman" w:hAnsi="Times New Roman"/>
          <w:sz w:val="24"/>
          <w:szCs w:val="24"/>
        </w:rPr>
        <w:t>(Ruël, 2020)</w:t>
      </w:r>
      <w:r>
        <w:rPr>
          <w:rFonts w:ascii="Times New Roman" w:hAnsi="Times New Roman" w:cs="Times New Roman"/>
          <w:sz w:val="24"/>
          <w:szCs w:val="24"/>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Google’s HRM should up their interdisciplinary collaboration skills to promote social cohesion in the workplace. Bringing the different departments in sync with the IT department to help them understand AI and its significance in their roles and duties </w:t>
      </w:r>
      <w:r>
        <w:rPr>
          <w:rFonts w:ascii="Times New Roman" w:hAnsi="Times New Roman"/>
          <w:sz w:val="24"/>
          <w:szCs w:val="24"/>
        </w:rPr>
        <w:t>(Ruël, 2020)</w:t>
      </w:r>
      <w:r>
        <w:rPr>
          <w:rFonts w:ascii="Times New Roman" w:hAnsi="Times New Roman" w:cs="Times New Roman"/>
          <w:sz w:val="24"/>
          <w:szCs w:val="24"/>
        </w:rPr>
        <w:t xml:space="preserve">. Harnessing AI in different departments to reduce the workload and oversee the smooth running of the assigned roles and duties. </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b/>
          <w:bCs/>
          <w:sz w:val="24"/>
          <w:szCs w:val="24"/>
        </w:rPr>
        <w:t>References</w:t>
      </w:r>
    </w:p>
    <w:p>
      <w:pPr>
        <w:spacing w:line="480" w:lineRule="auto"/>
        <w:ind w:left="567" w:hanging="567"/>
      </w:pPr>
      <w:r>
        <w:rPr>
          <w:rFonts w:ascii="Times New Roman" w:hAnsi="Times New Roman" w:eastAsia="Times New Roman" w:cs="Times New Roman"/>
          <w:sz w:val="24"/>
          <w:szCs w:val="24"/>
        </w:rPr>
        <w:t xml:space="preserve">Adamseged, M. E., &amp; Grundmann, P. (2020). </w:t>
      </w:r>
      <w:r>
        <w:rPr>
          <w:rFonts w:hint="default"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Understanding business environments and success factors for emerging bioeconomy enterprises through a comprehensive analytical framework</w:t>
      </w:r>
      <w:r>
        <w:rPr>
          <w:rFonts w:hint="default"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12</w:t>
      </w:r>
      <w:r>
        <w:rPr>
          <w:rFonts w:ascii="Times New Roman" w:hAnsi="Times New Roman" w:eastAsia="Times New Roman" w:cs="Times New Roman"/>
          <w:sz w:val="24"/>
          <w:szCs w:val="24"/>
        </w:rPr>
        <w:t xml:space="preserve">(21), 9018. </w:t>
      </w:r>
      <w:r>
        <w:fldChar w:fldCharType="begin"/>
      </w:r>
      <w:r>
        <w:instrText xml:space="preserve"> HYPERLINK "https://doi.org/10.3390/su12219018" \h </w:instrText>
      </w:r>
      <w:r>
        <w:fldChar w:fldCharType="separate"/>
      </w:r>
      <w:r>
        <w:rPr>
          <w:rStyle w:val="11"/>
          <w:rFonts w:ascii="Times New Roman" w:hAnsi="Times New Roman" w:eastAsia="Times New Roman" w:cs="Times New Roman"/>
          <w:color w:val="auto"/>
          <w:sz w:val="24"/>
          <w:szCs w:val="24"/>
        </w:rPr>
        <w:t>https://doi.org/10.3390/su12219018</w:t>
      </w:r>
      <w:r>
        <w:rPr>
          <w:rStyle w:val="11"/>
          <w:rFonts w:ascii="Times New Roman" w:hAnsi="Times New Roman" w:eastAsia="Times New Roman" w:cs="Times New Roman"/>
          <w:color w:val="auto"/>
          <w:sz w:val="24"/>
          <w:szCs w:val="24"/>
        </w:rPr>
        <w:fldChar w:fldCharType="end"/>
      </w:r>
      <w:r>
        <w:rPr>
          <w:rFonts w:ascii="Times New Roman" w:hAnsi="Times New Roman" w:eastAsia="Times New Roman" w:cs="Times New Roman"/>
          <w:sz w:val="24"/>
          <w:szCs w:val="24"/>
        </w:rPr>
        <w:t xml:space="preserve"> </w:t>
      </w:r>
    </w:p>
    <w:p>
      <w:pPr>
        <w:pStyle w:val="6"/>
        <w:spacing w:line="480" w:lineRule="auto"/>
        <w:ind w:left="567" w:hanging="567"/>
      </w:pPr>
      <w:r>
        <w:t xml:space="preserve">Adler, N. J., &amp; Ghadar, F. (2018). </w:t>
      </w:r>
      <w:r>
        <w:rPr>
          <w:rFonts w:hint="default"/>
          <w:lang w:val="en-US" w:eastAsia="zh-CN"/>
        </w:rPr>
        <w:t>‘</w:t>
      </w:r>
      <w:r>
        <w:t>Strategies Human Resource Management: A global perspective</w:t>
      </w:r>
      <w:r>
        <w:rPr>
          <w:rFonts w:hint="default"/>
          <w:lang w:val="en-US" w:eastAsia="zh-CN"/>
        </w:rPr>
        <w:t>’</w:t>
      </w:r>
      <w:r>
        <w:t xml:space="preserve"> </w:t>
      </w:r>
      <w:r>
        <w:rPr>
          <w:i/>
          <w:iCs/>
        </w:rPr>
        <w:t>Human Resource Management</w:t>
      </w:r>
      <w:r>
        <w:t xml:space="preserve">. </w:t>
      </w:r>
      <w:r>
        <w:fldChar w:fldCharType="begin"/>
      </w:r>
      <w:r>
        <w:instrText xml:space="preserve"> HYPERLINK "https://doi.org/10.1515/9783110869101.235" </w:instrText>
      </w:r>
      <w:r>
        <w:fldChar w:fldCharType="separate"/>
      </w:r>
      <w:r>
        <w:rPr>
          <w:rStyle w:val="11"/>
          <w:color w:val="auto"/>
        </w:rPr>
        <w:t>https://doi.org/10.1515/9783110869101.235</w:t>
      </w:r>
      <w:r>
        <w:rPr>
          <w:rStyle w:val="11"/>
          <w:color w:val="auto"/>
        </w:rPr>
        <w:fldChar w:fldCharType="end"/>
      </w:r>
      <w:r>
        <w:t xml:space="preserve"> </w:t>
      </w:r>
    </w:p>
    <w:p>
      <w:pPr>
        <w:pStyle w:val="6"/>
        <w:spacing w:line="480" w:lineRule="auto"/>
        <w:ind w:left="567" w:hanging="567"/>
      </w:pPr>
      <w:r>
        <w:t xml:space="preserve">Akinyi, B. E. (2022). </w:t>
      </w:r>
      <w:r>
        <w:rPr>
          <w:rFonts w:hint="default"/>
          <w:lang w:val="en-US" w:eastAsia="zh-CN"/>
        </w:rPr>
        <w:t>‘</w:t>
      </w:r>
      <w:r>
        <w:t>Analysis of the impact of human resource outsourcing on the effectiveness of the human resource function, Nairobi, Kenya.</w:t>
      </w:r>
      <w:r>
        <w:rPr>
          <w:rFonts w:hint="default"/>
          <w:lang w:val="en-US" w:eastAsia="zh-CN"/>
        </w:rPr>
        <w:t>’</w:t>
      </w:r>
      <w:r>
        <w:t xml:space="preserve"> </w:t>
      </w:r>
      <w:r>
        <w:rPr>
          <w:i/>
          <w:iCs/>
        </w:rPr>
        <w:t>Journal of Human Resource &amp;amp;Leadership</w:t>
      </w:r>
      <w:r>
        <w:t xml:space="preserve">, </w:t>
      </w:r>
      <w:r>
        <w:rPr>
          <w:i/>
          <w:iCs/>
        </w:rPr>
        <w:t>6</w:t>
      </w:r>
      <w:r>
        <w:t xml:space="preserve">(4), 21–41. </w:t>
      </w:r>
      <w:r>
        <w:fldChar w:fldCharType="begin"/>
      </w:r>
      <w:r>
        <w:instrText xml:space="preserve"> HYPERLINK "https://doi.org/10.53819/81018102t305" </w:instrText>
      </w:r>
      <w:r>
        <w:fldChar w:fldCharType="separate"/>
      </w:r>
      <w:r>
        <w:rPr>
          <w:rStyle w:val="11"/>
          <w:color w:val="auto"/>
        </w:rPr>
        <w:t>https://doi.org/10.53819/81018102t305</w:t>
      </w:r>
      <w:r>
        <w:rPr>
          <w:rStyle w:val="11"/>
          <w:color w:val="auto"/>
        </w:rPr>
        <w:fldChar w:fldCharType="end"/>
      </w:r>
    </w:p>
    <w:p>
      <w:pPr>
        <w:pStyle w:val="6"/>
        <w:spacing w:line="480" w:lineRule="auto"/>
        <w:ind w:left="567" w:hanging="567"/>
      </w:pPr>
      <w:r>
        <w:t xml:space="preserve">Alhan, O. (2023). </w:t>
      </w:r>
      <w:r>
        <w:rPr>
          <w:rFonts w:hint="default"/>
          <w:lang w:val="en-US" w:eastAsia="zh-CN"/>
        </w:rPr>
        <w:t>‘</w:t>
      </w:r>
      <w:r>
        <w:t>Positive and negative effects of digitalization on Human Resource Management</w:t>
      </w:r>
      <w:r>
        <w:rPr>
          <w:rFonts w:hint="default"/>
          <w:lang w:val="en-US" w:eastAsia="zh-CN"/>
        </w:rPr>
        <w:t>’</w:t>
      </w:r>
      <w:r>
        <w:t xml:space="preserve">. </w:t>
      </w:r>
      <w:r>
        <w:rPr>
          <w:i/>
          <w:iCs/>
        </w:rPr>
        <w:t>Contributions to Management Science</w:t>
      </w:r>
      <w:r>
        <w:t xml:space="preserve">, 15–26. </w:t>
      </w:r>
      <w:r>
        <w:fldChar w:fldCharType="begin"/>
      </w:r>
      <w:r>
        <w:instrText xml:space="preserve"> HYPERLINK "https://doi.org/10.1007/978-3-031-23432-3_2" </w:instrText>
      </w:r>
      <w:r>
        <w:fldChar w:fldCharType="separate"/>
      </w:r>
      <w:r>
        <w:rPr>
          <w:rStyle w:val="11"/>
          <w:color w:val="auto"/>
        </w:rPr>
        <w:t>https://doi.org/10.1007/978-3-031-23432-3_2</w:t>
      </w:r>
      <w:r>
        <w:rPr>
          <w:rStyle w:val="11"/>
          <w:color w:val="auto"/>
        </w:rPr>
        <w:fldChar w:fldCharType="end"/>
      </w:r>
    </w:p>
    <w:p>
      <w:pPr>
        <w:pStyle w:val="6"/>
        <w:spacing w:line="480" w:lineRule="auto"/>
        <w:ind w:left="567" w:hanging="567"/>
      </w:pPr>
      <w:r>
        <w:t xml:space="preserve">Bissola, R., &amp;amp; Imperatori, B. (2014). </w:t>
      </w:r>
      <w:r>
        <w:rPr>
          <w:rFonts w:hint="default"/>
          <w:lang w:val="en-US" w:eastAsia="zh-CN"/>
        </w:rPr>
        <w:t>‘</w:t>
      </w:r>
      <w:r>
        <w:t>Adoption of relational e-HRM practices measure</w:t>
      </w:r>
      <w:r>
        <w:rPr>
          <w:rFonts w:hint="default"/>
          <w:lang w:val="en-US" w:eastAsia="zh-CN"/>
        </w:rPr>
        <w:t>’</w:t>
      </w:r>
      <w:r>
        <w:t xml:space="preserve">. </w:t>
      </w:r>
      <w:r>
        <w:rPr>
          <w:i/>
          <w:iCs/>
        </w:rPr>
        <w:t xml:space="preserve">PsycTESTS Dataset. </w:t>
      </w:r>
      <w:r>
        <w:rPr>
          <w:color w:val="auto"/>
          <w:u w:val="single"/>
        </w:rPr>
        <w:t>https://doi.org/10.1037/t60722-000</w:t>
      </w:r>
    </w:p>
    <w:p>
      <w:pPr>
        <w:spacing w:line="480" w:lineRule="auto"/>
        <w:ind w:left="720" w:hanging="720"/>
        <w:rPr>
          <w:rFonts w:ascii="Times New Roman" w:hAnsi="Times New Roman" w:eastAsia="Times New Roman" w:cs="Times New Roman"/>
          <w:sz w:val="24"/>
          <w:szCs w:val="24"/>
        </w:rPr>
      </w:pPr>
      <w:r>
        <w:t xml:space="preserve"> </w:t>
      </w:r>
      <w:r>
        <w:rPr>
          <w:rFonts w:ascii="Times New Roman" w:hAnsi="Times New Roman" w:eastAsia="Times New Roman" w:cs="Times New Roman"/>
          <w:sz w:val="24"/>
          <w:szCs w:val="24"/>
        </w:rPr>
        <w:t xml:space="preserve">Budhwar, P., Malik, A., De Silva, M. T., &amp; Thevisuthan, P. (2022). </w:t>
      </w:r>
      <w:r>
        <w:rPr>
          <w:rFonts w:hint="default"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Artificial Intelligence – Challenges and opportunities for International HRM: A review and research agenda.</w:t>
      </w:r>
      <w:r>
        <w:rPr>
          <w:rFonts w:hint="default"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The International Journal of Human Resource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33</w:t>
      </w:r>
      <w:r>
        <w:rPr>
          <w:rFonts w:ascii="Times New Roman" w:hAnsi="Times New Roman" w:eastAsia="Times New Roman" w:cs="Times New Roman"/>
          <w:sz w:val="24"/>
          <w:szCs w:val="24"/>
        </w:rPr>
        <w:t xml:space="preserve">(6), 1065–1097. </w:t>
      </w:r>
      <w:r>
        <w:fldChar w:fldCharType="begin"/>
      </w:r>
      <w:r>
        <w:instrText xml:space="preserve"> HYPERLINK "https://doi.org/10.1080/09585192.2022.2035161" \h </w:instrText>
      </w:r>
      <w:r>
        <w:fldChar w:fldCharType="separate"/>
      </w:r>
      <w:r>
        <w:rPr>
          <w:rStyle w:val="11"/>
          <w:rFonts w:ascii="Times New Roman" w:hAnsi="Times New Roman" w:eastAsia="Times New Roman" w:cs="Times New Roman"/>
          <w:color w:val="auto"/>
          <w:sz w:val="24"/>
          <w:szCs w:val="24"/>
        </w:rPr>
        <w:t>https://doi.org/10.1080/09585192.2022.2035161</w:t>
      </w:r>
      <w:r>
        <w:rPr>
          <w:rStyle w:val="11"/>
          <w:rFonts w:ascii="Times New Roman" w:hAnsi="Times New Roman" w:eastAsia="Times New Roman" w:cs="Times New Roman"/>
          <w:color w:val="auto"/>
          <w:sz w:val="24"/>
          <w:szCs w:val="24"/>
        </w:rPr>
        <w:fldChar w:fldCharType="end"/>
      </w:r>
      <w:r>
        <w:rPr>
          <w:rFonts w:ascii="Times New Roman" w:hAnsi="Times New Roman" w:eastAsia="Times New Roman" w:cs="Times New Roman"/>
          <w:sz w:val="24"/>
          <w:szCs w:val="24"/>
        </w:rPr>
        <w:t xml:space="preserve"> </w:t>
      </w:r>
    </w:p>
    <w:p>
      <w:pPr>
        <w:spacing w:line="480" w:lineRule="auto"/>
        <w:ind w:left="567" w:hanging="567"/>
        <w:rPr>
          <w:rStyle w:val="11"/>
          <w:rFonts w:ascii="Times New Roman" w:hAnsi="Times New Roman" w:eastAsia="Times New Roman" w:cs="Times New Roman"/>
          <w:color w:val="auto"/>
          <w:sz w:val="24"/>
          <w:szCs w:val="24"/>
        </w:rPr>
      </w:pPr>
      <w:r>
        <w:rPr>
          <w:rFonts w:ascii="Times New Roman" w:hAnsi="Times New Roman" w:eastAsia="Times New Roman" w:cs="Times New Roman"/>
          <w:sz w:val="24"/>
          <w:szCs w:val="24"/>
        </w:rPr>
        <w:t xml:space="preserve">Dimitrakaki, I. (2022). Organizational culture and performance. The case of Google. </w:t>
      </w:r>
      <w:r>
        <w:rPr>
          <w:rFonts w:ascii="Times New Roman" w:hAnsi="Times New Roman" w:eastAsia="Times New Roman" w:cs="Times New Roman"/>
          <w:i/>
          <w:iCs/>
          <w:sz w:val="24"/>
          <w:szCs w:val="24"/>
        </w:rPr>
        <w:t>Global Research Review in Business and Economics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8</w:t>
      </w:r>
      <w:r>
        <w:rPr>
          <w:rFonts w:ascii="Times New Roman" w:hAnsi="Times New Roman" w:eastAsia="Times New Roman" w:cs="Times New Roman"/>
          <w:sz w:val="24"/>
          <w:szCs w:val="24"/>
        </w:rPr>
        <w:t xml:space="preserve">(5). </w:t>
      </w:r>
      <w:r>
        <w:fldChar w:fldCharType="begin"/>
      </w:r>
      <w:r>
        <w:instrText xml:space="preserve"> HYPERLINK "https://doi.org/10.56805/grrbe" \h </w:instrText>
      </w:r>
      <w:r>
        <w:fldChar w:fldCharType="separate"/>
      </w:r>
      <w:r>
        <w:rPr>
          <w:rStyle w:val="11"/>
          <w:rFonts w:ascii="Times New Roman" w:hAnsi="Times New Roman" w:eastAsia="Times New Roman" w:cs="Times New Roman"/>
          <w:color w:val="auto"/>
          <w:sz w:val="24"/>
          <w:szCs w:val="24"/>
        </w:rPr>
        <w:t>https://doi.org/10.56805/grrbe</w:t>
      </w:r>
      <w:r>
        <w:rPr>
          <w:rStyle w:val="11"/>
          <w:rFonts w:ascii="Times New Roman" w:hAnsi="Times New Roman" w:eastAsia="Times New Roman" w:cs="Times New Roman"/>
          <w:color w:val="auto"/>
          <w:sz w:val="24"/>
          <w:szCs w:val="24"/>
        </w:rPr>
        <w:fldChar w:fldCharType="end"/>
      </w:r>
    </w:p>
    <w:p>
      <w:pPr>
        <w:spacing w:line="480" w:lineRule="auto"/>
        <w:ind w:left="567" w:hanging="567"/>
        <w:rPr>
          <w:rFonts w:ascii="Times New Roman" w:hAnsi="Times New Roman" w:eastAsia="Times New Roman" w:cs="Times New Roman"/>
          <w:sz w:val="24"/>
          <w:szCs w:val="24"/>
        </w:rPr>
      </w:pPr>
      <w:r>
        <w:rPr>
          <w:rFonts w:ascii="Times New Roman" w:hAnsi="Times New Roman" w:eastAsia="Times New Roman"/>
          <w:sz w:val="24"/>
          <w:szCs w:val="24"/>
        </w:rPr>
        <w:t xml:space="preserve">Fesharaki, F. (2021). </w:t>
      </w:r>
      <w:r>
        <w:rPr>
          <w:rFonts w:hint="default" w:ascii="Times New Roman" w:hAnsi="Times New Roman" w:eastAsia="宋体"/>
          <w:sz w:val="24"/>
          <w:szCs w:val="24"/>
          <w:lang w:val="en-US" w:eastAsia="zh-CN"/>
        </w:rPr>
        <w:t>‘</w:t>
      </w:r>
      <w:r>
        <w:rPr>
          <w:rFonts w:ascii="Times New Roman" w:hAnsi="Times New Roman" w:eastAsia="Times New Roman"/>
          <w:sz w:val="24"/>
          <w:szCs w:val="24"/>
        </w:rPr>
        <w:t>Memetic mapping and genealogy of Google’s Organizational culture.</w:t>
      </w:r>
      <w:r>
        <w:rPr>
          <w:rFonts w:hint="default" w:ascii="Times New Roman" w:hAnsi="Times New Roman" w:eastAsia="宋体"/>
          <w:sz w:val="24"/>
          <w:szCs w:val="24"/>
          <w:lang w:val="en-US" w:eastAsia="zh-CN"/>
        </w:rPr>
        <w:t>’</w:t>
      </w:r>
      <w:r>
        <w:rPr>
          <w:rFonts w:ascii="Times New Roman" w:hAnsi="Times New Roman" w:eastAsia="Times New Roman"/>
          <w:sz w:val="24"/>
          <w:szCs w:val="24"/>
        </w:rPr>
        <w:t xml:space="preserve"> </w:t>
      </w:r>
      <w:r>
        <w:rPr>
          <w:rFonts w:ascii="Times New Roman" w:hAnsi="Times New Roman" w:eastAsia="Times New Roman"/>
          <w:i/>
          <w:iCs/>
          <w:sz w:val="24"/>
          <w:szCs w:val="24"/>
        </w:rPr>
        <w:t>International Journal of Organizational Analysis, 30(6), 1271–1285.</w:t>
      </w:r>
      <w:r>
        <w:rPr>
          <w:rFonts w:ascii="Times New Roman" w:hAnsi="Times New Roman" w:eastAsia="Times New Roman"/>
          <w:sz w:val="24"/>
          <w:szCs w:val="24"/>
        </w:rPr>
        <w:t xml:space="preserve"> </w:t>
      </w:r>
      <w:r>
        <w:fldChar w:fldCharType="begin"/>
      </w:r>
      <w:r>
        <w:instrText xml:space="preserve"> HYPERLINK "https://doi.org/10.1108/ijoa-07-2020-2284" </w:instrText>
      </w:r>
      <w:r>
        <w:fldChar w:fldCharType="separate"/>
      </w:r>
      <w:r>
        <w:rPr>
          <w:rStyle w:val="11"/>
          <w:rFonts w:ascii="Times New Roman" w:hAnsi="Times New Roman" w:eastAsia="Times New Roman"/>
          <w:color w:val="auto"/>
          <w:sz w:val="24"/>
          <w:szCs w:val="24"/>
        </w:rPr>
        <w:t>https://doi.org/10.1108/ijoa-07-2020-2284</w:t>
      </w:r>
      <w:r>
        <w:rPr>
          <w:rStyle w:val="11"/>
          <w:rFonts w:ascii="Times New Roman" w:hAnsi="Times New Roman" w:eastAsia="Times New Roman"/>
          <w:color w:val="auto"/>
          <w:sz w:val="24"/>
          <w:szCs w:val="24"/>
        </w:rPr>
        <w:fldChar w:fldCharType="end"/>
      </w:r>
      <w:r>
        <w:rPr>
          <w:rFonts w:ascii="Times New Roman" w:hAnsi="Times New Roman" w:eastAsia="Times New Roman" w:cs="Times New Roman"/>
          <w:sz w:val="24"/>
          <w:szCs w:val="24"/>
        </w:rPr>
        <w:t xml:space="preserve"> </w:t>
      </w:r>
    </w:p>
    <w:p>
      <w:pPr>
        <w:pStyle w:val="6"/>
        <w:spacing w:line="480" w:lineRule="auto"/>
        <w:ind w:left="567" w:hanging="567"/>
      </w:pPr>
      <w:r>
        <w:t xml:space="preserve">Gregeby, J., &amp; Hugosson, M. (2017). </w:t>
      </w:r>
      <w:r>
        <w:rPr>
          <w:rFonts w:hint="default"/>
          <w:lang w:val="en-US" w:eastAsia="zh-CN"/>
        </w:rPr>
        <w:t>‘</w:t>
      </w:r>
      <w:r>
        <w:t>What about agency in e-HRM research?</w:t>
      </w:r>
      <w:r>
        <w:rPr>
          <w:rFonts w:hint="default"/>
          <w:lang w:val="en-US" w:eastAsia="zh-CN"/>
        </w:rPr>
        <w:t>’</w:t>
      </w:r>
      <w:r>
        <w:t xml:space="preserve"> </w:t>
      </w:r>
      <w:r>
        <w:rPr>
          <w:i/>
          <w:iCs/>
        </w:rPr>
        <w:t>Electronic HRM in the Smart Era</w:t>
      </w:r>
      <w:r>
        <w:t xml:space="preserve">, 261–285. </w:t>
      </w:r>
      <w:r>
        <w:fldChar w:fldCharType="begin"/>
      </w:r>
      <w:r>
        <w:instrText xml:space="preserve"> HYPERLINK "https://doi.org/10.1108/978-1-78714-315-920161010" </w:instrText>
      </w:r>
      <w:r>
        <w:fldChar w:fldCharType="separate"/>
      </w:r>
      <w:r>
        <w:rPr>
          <w:rStyle w:val="11"/>
          <w:color w:val="auto"/>
        </w:rPr>
        <w:t>https://doi.org/10.1108/978-1-78714-315-920161010</w:t>
      </w:r>
      <w:r>
        <w:rPr>
          <w:rStyle w:val="11"/>
          <w:color w:val="auto"/>
        </w:rPr>
        <w:fldChar w:fldCharType="end"/>
      </w:r>
    </w:p>
    <w:p>
      <w:pPr>
        <w:pStyle w:val="6"/>
        <w:spacing w:line="480" w:lineRule="auto"/>
        <w:ind w:left="567" w:hanging="567"/>
      </w:pPr>
      <w:r>
        <w:t xml:space="preserve">Gunderson, M. (2001). </w:t>
      </w:r>
      <w:r>
        <w:rPr>
          <w:rFonts w:hint="default"/>
          <w:lang w:val="en-US" w:eastAsia="zh-CN"/>
        </w:rPr>
        <w:t>‘</w:t>
      </w:r>
      <w:r>
        <w:t>Economics of Personnel and Human Resource Management</w:t>
      </w:r>
      <w:r>
        <w:rPr>
          <w:rFonts w:hint="default"/>
          <w:lang w:val="en-US" w:eastAsia="zh-CN"/>
        </w:rPr>
        <w:t>’</w:t>
      </w:r>
      <w:r>
        <w:t xml:space="preserve">. </w:t>
      </w:r>
      <w:r>
        <w:rPr>
          <w:i/>
          <w:iCs/>
        </w:rPr>
        <w:t>Human Resource Management Review</w:t>
      </w:r>
      <w:r>
        <w:t xml:space="preserve">, </w:t>
      </w:r>
      <w:r>
        <w:rPr>
          <w:i/>
          <w:iCs/>
        </w:rPr>
        <w:t>11</w:t>
      </w:r>
      <w:r>
        <w:t xml:space="preserve">(4), 431–452. </w:t>
      </w:r>
      <w:r>
        <w:fldChar w:fldCharType="begin"/>
      </w:r>
      <w:r>
        <w:instrText xml:space="preserve"> HYPERLINK "https://doi.org/10.1016/s1053-4822(01)00048-1" </w:instrText>
      </w:r>
      <w:r>
        <w:fldChar w:fldCharType="separate"/>
      </w:r>
      <w:r>
        <w:rPr>
          <w:rStyle w:val="11"/>
          <w:color w:val="auto"/>
        </w:rPr>
        <w:t>https://doi.org/10.1016/s1053-4822(01)00048-1</w:t>
      </w:r>
      <w:r>
        <w:rPr>
          <w:rStyle w:val="11"/>
          <w:color w:val="auto"/>
        </w:rPr>
        <w:fldChar w:fldCharType="end"/>
      </w:r>
    </w:p>
    <w:p>
      <w:pPr>
        <w:pStyle w:val="6"/>
        <w:spacing w:line="480" w:lineRule="auto"/>
        <w:ind w:left="567" w:hanging="567"/>
      </w:pPr>
      <w:r>
        <w:t xml:space="preserve">Hauff, S. (2019). </w:t>
      </w:r>
      <w:r>
        <w:rPr>
          <w:rFonts w:hint="default"/>
          <w:lang w:val="en-US" w:eastAsia="zh-CN"/>
        </w:rPr>
        <w:t>‘</w:t>
      </w:r>
      <w:r>
        <w:t>Analytical strategies in HRM Systems Research: A comparative analysis and some recommendations</w:t>
      </w:r>
      <w:r>
        <w:rPr>
          <w:rFonts w:hint="default"/>
          <w:lang w:val="en-US" w:eastAsia="zh-CN"/>
        </w:rPr>
        <w:t>’</w:t>
      </w:r>
      <w:r>
        <w:t xml:space="preserve">. </w:t>
      </w:r>
      <w:r>
        <w:rPr>
          <w:i/>
          <w:iCs/>
        </w:rPr>
        <w:t>The International Journal of Human Resource Management</w:t>
      </w:r>
      <w:r>
        <w:t xml:space="preserve">, </w:t>
      </w:r>
      <w:r>
        <w:rPr>
          <w:i/>
          <w:iCs/>
        </w:rPr>
        <w:t>32</w:t>
      </w:r>
      <w:r>
        <w:t xml:space="preserve">(9), 1923–1952. </w:t>
      </w:r>
      <w:r>
        <w:fldChar w:fldCharType="begin"/>
      </w:r>
      <w:r>
        <w:instrText xml:space="preserve"> HYPERLINK "https://doi.org/10.1080/09585192.2018.1547779" </w:instrText>
      </w:r>
      <w:r>
        <w:fldChar w:fldCharType="separate"/>
      </w:r>
      <w:r>
        <w:rPr>
          <w:rStyle w:val="11"/>
          <w:color w:val="auto"/>
        </w:rPr>
        <w:t>https://doi.org/10.1080/09585192.2018.1547779</w:t>
      </w:r>
      <w:r>
        <w:rPr>
          <w:rStyle w:val="11"/>
          <w:color w:val="auto"/>
        </w:rPr>
        <w:fldChar w:fldCharType="end"/>
      </w:r>
    </w:p>
    <w:p>
      <w:pPr>
        <w:pStyle w:val="6"/>
        <w:spacing w:line="480" w:lineRule="auto"/>
        <w:ind w:left="567" w:hanging="567"/>
      </w:pPr>
      <w:r>
        <w:t xml:space="preserve">Hauff, S., Guerci, M., &amp;amp; Gilardi, S. (2020). </w:t>
      </w:r>
      <w:r>
        <w:rPr>
          <w:rFonts w:hint="default"/>
          <w:lang w:val="en-US" w:eastAsia="zh-CN"/>
        </w:rPr>
        <w:t>‘</w:t>
      </w:r>
      <w:r>
        <w:t>Well-being-oriented HRM configurations: Diffusion, contingencies and outcomes.</w:t>
      </w:r>
      <w:r>
        <w:rPr>
          <w:rFonts w:hint="default"/>
          <w:lang w:val="en-US" w:eastAsia="zh-CN"/>
        </w:rPr>
        <w:t>’</w:t>
      </w:r>
      <w:r>
        <w:t xml:space="preserve"> </w:t>
      </w:r>
      <w:r>
        <w:rPr>
          <w:i/>
          <w:iCs/>
        </w:rPr>
        <w:t>Evidence-Based HRM: A Global Forum for Empirical Scholarship,</w:t>
      </w:r>
      <w:r>
        <w:t xml:space="preserve"> 8(3), 253–271. </w:t>
      </w:r>
      <w:r>
        <w:rPr>
          <w:color w:val="auto"/>
          <w:u w:val="single"/>
        </w:rPr>
        <w:t>https://doi.org/10.1108/ebhrm-09-2019-0080</w:t>
      </w:r>
    </w:p>
    <w:p>
      <w:pPr>
        <w:pStyle w:val="6"/>
        <w:spacing w:line="480" w:lineRule="auto"/>
        <w:ind w:left="567" w:hanging="567"/>
      </w:pPr>
      <w:r>
        <w:t xml:space="preserve">Huff, J., &amp; Schüssler, M. (2016). </w:t>
      </w:r>
      <w:r>
        <w:rPr>
          <w:rFonts w:hint="default"/>
          <w:lang w:val="en-US" w:eastAsia="zh-CN"/>
        </w:rPr>
        <w:t>‘</w:t>
      </w:r>
      <w:r>
        <w:t>HRM and the role of internal fit - A systems-behavioral model of HRM effectiveness.</w:t>
      </w:r>
      <w:r>
        <w:rPr>
          <w:rFonts w:hint="default"/>
          <w:lang w:val="en-US" w:eastAsia="zh-CN"/>
        </w:rPr>
        <w:t>’</w:t>
      </w:r>
      <w:r>
        <w:t xml:space="preserve"> </w:t>
      </w:r>
      <w:r>
        <w:rPr>
          <w:i/>
          <w:iCs/>
        </w:rPr>
        <w:t>Academy of Management Proceedings</w:t>
      </w:r>
      <w:r>
        <w:t xml:space="preserve">, </w:t>
      </w:r>
      <w:r>
        <w:rPr>
          <w:i/>
          <w:iCs/>
        </w:rPr>
        <w:t>2016</w:t>
      </w:r>
      <w:r>
        <w:t xml:space="preserve">(1), 13701. </w:t>
      </w:r>
      <w:r>
        <w:fldChar w:fldCharType="begin"/>
      </w:r>
      <w:r>
        <w:instrText xml:space="preserve"> HYPERLINK "https://doi.org/10.5465/ambpp.2016.13701abstract" </w:instrText>
      </w:r>
      <w:r>
        <w:fldChar w:fldCharType="separate"/>
      </w:r>
      <w:r>
        <w:rPr>
          <w:rStyle w:val="11"/>
          <w:color w:val="auto"/>
        </w:rPr>
        <w:t>https://doi.org/10.5465/ambpp.2016.13701abstract</w:t>
      </w:r>
      <w:r>
        <w:rPr>
          <w:rStyle w:val="11"/>
          <w:color w:val="auto"/>
        </w:rPr>
        <w:fldChar w:fldCharType="end"/>
      </w:r>
    </w:p>
    <w:p>
      <w:pPr>
        <w:pStyle w:val="6"/>
        <w:spacing w:line="480" w:lineRule="auto"/>
        <w:ind w:left="567" w:hanging="567"/>
      </w:pPr>
      <w:r>
        <w:t>Jo, J., Chadwick, C., &amp; Han, J. H. (2023).</w:t>
      </w:r>
      <w:r>
        <w:rPr>
          <w:rFonts w:hint="default"/>
          <w:lang w:val="en-US" w:eastAsia="zh-CN"/>
        </w:rPr>
        <w:t>’</w:t>
      </w:r>
      <w:r>
        <w:t xml:space="preserve"> How the human resource (HR) function adds strategic value: A relational perspective of the HR function</w:t>
      </w:r>
      <w:r>
        <w:rPr>
          <w:rFonts w:hint="default"/>
          <w:lang w:val="en-US" w:eastAsia="zh-CN"/>
        </w:rPr>
        <w:t>’</w:t>
      </w:r>
      <w:r>
        <w:t xml:space="preserve">. </w:t>
      </w:r>
      <w:r>
        <w:rPr>
          <w:i/>
          <w:iCs/>
        </w:rPr>
        <w:t>Human Resource Management</w:t>
      </w:r>
      <w:r>
        <w:t xml:space="preserve">. </w:t>
      </w:r>
      <w:r>
        <w:fldChar w:fldCharType="begin"/>
      </w:r>
      <w:r>
        <w:instrText xml:space="preserve"> HYPERLINK "https://doi.org/10.1002/hrm.22184" </w:instrText>
      </w:r>
      <w:r>
        <w:fldChar w:fldCharType="separate"/>
      </w:r>
      <w:r>
        <w:rPr>
          <w:rStyle w:val="11"/>
          <w:color w:val="auto"/>
        </w:rPr>
        <w:t>https://doi.org/10.1002/hrm.22184</w:t>
      </w:r>
      <w:r>
        <w:rPr>
          <w:rStyle w:val="11"/>
          <w:color w:val="auto"/>
        </w:rPr>
        <w:fldChar w:fldCharType="end"/>
      </w:r>
    </w:p>
    <w:p>
      <w:pPr>
        <w:pStyle w:val="6"/>
        <w:spacing w:line="480" w:lineRule="auto"/>
        <w:ind w:left="567" w:hanging="567"/>
      </w:pPr>
      <w:r>
        <w:t xml:space="preserve">Johnson, R. E., Rosen, C. C., Chang, C.-H. (Daisy), Djurdjevic, E., &amp;amp; Taing, M. U. (2012). </w:t>
      </w:r>
      <w:r>
        <w:rPr>
          <w:rFonts w:hint="default"/>
          <w:lang w:val="en-US" w:eastAsia="zh-CN"/>
        </w:rPr>
        <w:t>‘</w:t>
      </w:r>
      <w:r>
        <w:t>Recommendations for improving the construct clarity of higher-order Multidimensional Constructs.</w:t>
      </w:r>
      <w:r>
        <w:rPr>
          <w:rFonts w:hint="default"/>
          <w:lang w:val="en-US" w:eastAsia="zh-CN"/>
        </w:rPr>
        <w:t>’</w:t>
      </w:r>
      <w:r>
        <w:t xml:space="preserve"> </w:t>
      </w:r>
      <w:r>
        <w:rPr>
          <w:i/>
          <w:iCs/>
        </w:rPr>
        <w:t>Human Resource Management Review,</w:t>
      </w:r>
      <w:r>
        <w:t xml:space="preserve"> 22(2), 62–72. </w:t>
      </w:r>
      <w:r>
        <w:fldChar w:fldCharType="begin"/>
      </w:r>
      <w:r>
        <w:instrText xml:space="preserve"> HYPERLINK "https://doi.org/10.1016/j.hrmr.2011.11.006" </w:instrText>
      </w:r>
      <w:r>
        <w:fldChar w:fldCharType="separate"/>
      </w:r>
      <w:r>
        <w:rPr>
          <w:rStyle w:val="11"/>
          <w:color w:val="auto"/>
        </w:rPr>
        <w:t>https://doi.org/10.1016/j.hrmr.2011.11.006</w:t>
      </w:r>
      <w:r>
        <w:rPr>
          <w:rStyle w:val="11"/>
          <w:color w:val="auto"/>
        </w:rPr>
        <w:fldChar w:fldCharType="end"/>
      </w:r>
    </w:p>
    <w:p>
      <w:pPr>
        <w:pStyle w:val="6"/>
        <w:spacing w:line="480" w:lineRule="auto"/>
        <w:ind w:left="567" w:hanging="567"/>
      </w:pPr>
      <w:r>
        <w:t>Kramar, R. (2013)</w:t>
      </w:r>
      <w:r>
        <w:rPr>
          <w:rFonts w:hint="eastAsia"/>
          <w:lang w:val="en-US" w:eastAsia="zh-CN"/>
        </w:rPr>
        <w:t xml:space="preserve"> </w:t>
      </w:r>
      <w:r>
        <w:rPr>
          <w:rFonts w:hint="default"/>
          <w:lang w:val="en-US" w:eastAsia="zh-CN"/>
        </w:rPr>
        <w:t>‘</w:t>
      </w:r>
      <w:r>
        <w:t>Beyond strategic human resource management: Is sustainable human resource management the next approach?</w:t>
      </w:r>
      <w:r>
        <w:rPr>
          <w:rFonts w:hint="default"/>
          <w:lang w:val="en-US" w:eastAsia="zh-CN"/>
        </w:rPr>
        <w:t>’</w:t>
      </w:r>
      <w:r>
        <w:t xml:space="preserve"> </w:t>
      </w:r>
      <w:r>
        <w:rPr>
          <w:i/>
          <w:iCs/>
        </w:rPr>
        <w:t>The International Journal of Human Resource Management</w:t>
      </w:r>
      <w:r>
        <w:t xml:space="preserve">, </w:t>
      </w:r>
      <w:r>
        <w:rPr>
          <w:i/>
          <w:iCs/>
        </w:rPr>
        <w:t>25</w:t>
      </w:r>
      <w:r>
        <w:t xml:space="preserve">(8), 1069–1089. </w:t>
      </w:r>
      <w:r>
        <w:fldChar w:fldCharType="begin"/>
      </w:r>
      <w:r>
        <w:instrText xml:space="preserve"> HYPERLINK "https://doi.org/10.1080/09585192.2013.816863" </w:instrText>
      </w:r>
      <w:r>
        <w:fldChar w:fldCharType="separate"/>
      </w:r>
      <w:r>
        <w:rPr>
          <w:rStyle w:val="11"/>
          <w:color w:val="auto"/>
        </w:rPr>
        <w:t>https://doi.org/10.1080/09585192.2013.816863</w:t>
      </w:r>
      <w:r>
        <w:rPr>
          <w:rStyle w:val="11"/>
          <w:color w:val="auto"/>
        </w:rPr>
        <w:fldChar w:fldCharType="end"/>
      </w:r>
    </w:p>
    <w:p>
      <w:pPr>
        <w:pStyle w:val="6"/>
        <w:spacing w:line="480" w:lineRule="auto"/>
        <w:ind w:left="567" w:hanging="567"/>
      </w:pPr>
      <w:r>
        <w:t xml:space="preserve">Lazazzara, A., &amp; Galanaki, E. (2020). </w:t>
      </w:r>
      <w:r>
        <w:rPr>
          <w:rFonts w:hint="default"/>
          <w:lang w:val="en-US" w:eastAsia="zh-CN"/>
        </w:rPr>
        <w:t>‘</w:t>
      </w:r>
      <w:r>
        <w:t>Resource-based view perspective in e-HRM Research</w:t>
      </w:r>
      <w:r>
        <w:rPr>
          <w:rFonts w:hint="default"/>
          <w:lang w:val="en-US" w:eastAsia="zh-CN"/>
        </w:rPr>
        <w:t>’</w:t>
      </w:r>
      <w:r>
        <w:t xml:space="preserve">. </w:t>
      </w:r>
      <w:r>
        <w:rPr>
          <w:i/>
          <w:iCs/>
        </w:rPr>
        <w:t>Encyclopedia of Electronic HRM</w:t>
      </w:r>
      <w:r>
        <w:t xml:space="preserve">, 117–122. </w:t>
      </w:r>
      <w:r>
        <w:fldChar w:fldCharType="begin"/>
      </w:r>
      <w:r>
        <w:instrText xml:space="preserve"> HYPERLINK "https://doi.org/10.1515/9783110633702-018" </w:instrText>
      </w:r>
      <w:r>
        <w:fldChar w:fldCharType="separate"/>
      </w:r>
      <w:r>
        <w:rPr>
          <w:rStyle w:val="11"/>
          <w:color w:val="auto"/>
        </w:rPr>
        <w:t>https://doi.org/10.1515/9783110633702-018</w:t>
      </w:r>
      <w:r>
        <w:rPr>
          <w:rStyle w:val="11"/>
          <w:color w:val="auto"/>
        </w:rPr>
        <w:fldChar w:fldCharType="end"/>
      </w:r>
    </w:p>
    <w:p>
      <w:pPr>
        <w:pStyle w:val="6"/>
        <w:spacing w:line="480" w:lineRule="auto"/>
        <w:ind w:left="567" w:hanging="567"/>
      </w:pPr>
      <w:r>
        <w:t>Malik, A., &amp; Budhwar, P. (2023)</w:t>
      </w:r>
      <w:r>
        <w:rPr>
          <w:rFonts w:hint="eastAsia"/>
          <w:lang w:val="en-US" w:eastAsia="zh-CN"/>
        </w:rPr>
        <w:t xml:space="preserve"> </w:t>
      </w:r>
      <w:r>
        <w:rPr>
          <w:rFonts w:hint="default"/>
          <w:lang w:val="en-US" w:eastAsia="zh-CN"/>
        </w:rPr>
        <w:t>‘</w:t>
      </w:r>
      <w:r>
        <w:t>Conclusion: AI and HRM - Future Research Agendas.</w:t>
      </w:r>
      <w:r>
        <w:rPr>
          <w:rFonts w:hint="default"/>
          <w:lang w:val="en-US" w:eastAsia="zh-CN"/>
        </w:rPr>
        <w:t>’</w:t>
      </w:r>
      <w:r>
        <w:rPr>
          <w:rFonts w:hint="eastAsia"/>
          <w:lang w:val="en-US" w:eastAsia="zh-CN"/>
        </w:rPr>
        <w:t xml:space="preserve"> </w:t>
      </w:r>
      <w:r>
        <w:rPr>
          <w:i/>
          <w:iCs/>
        </w:rPr>
        <w:t>Artificial Intelligence and International HRM</w:t>
      </w:r>
      <w:r>
        <w:t xml:space="preserve">, 202–207. </w:t>
      </w:r>
      <w:r>
        <w:fldChar w:fldCharType="begin"/>
      </w:r>
      <w:r>
        <w:instrText xml:space="preserve"> HYPERLINK "https://doi.org/10.4324/9781003377085-8" </w:instrText>
      </w:r>
      <w:r>
        <w:fldChar w:fldCharType="separate"/>
      </w:r>
      <w:r>
        <w:rPr>
          <w:rStyle w:val="11"/>
          <w:color w:val="auto"/>
        </w:rPr>
        <w:t>https://doi.org/10.4324/9781003377085-8</w:t>
      </w:r>
      <w:r>
        <w:rPr>
          <w:rStyle w:val="11"/>
          <w:color w:val="auto"/>
        </w:rPr>
        <w:fldChar w:fldCharType="end"/>
      </w:r>
    </w:p>
    <w:p>
      <w:pPr>
        <w:pStyle w:val="6"/>
        <w:spacing w:line="480" w:lineRule="auto"/>
        <w:ind w:left="567" w:hanging="567"/>
      </w:pPr>
      <w:r>
        <w:t xml:space="preserve">Omar, K. M. (2021). </w:t>
      </w:r>
      <w:r>
        <w:rPr>
          <w:rFonts w:hint="default"/>
          <w:lang w:val="en-US" w:eastAsia="zh-CN"/>
        </w:rPr>
        <w:t>‘</w:t>
      </w:r>
      <w:r>
        <w:t>Key elements of the HRM challenges in the technology era 21st Century.</w:t>
      </w:r>
      <w:r>
        <w:rPr>
          <w:rFonts w:hint="default"/>
          <w:lang w:val="en-US" w:eastAsia="zh-CN"/>
        </w:rPr>
        <w:t>’</w:t>
      </w:r>
      <w:r>
        <w:rPr>
          <w:rFonts w:hint="eastAsia"/>
          <w:lang w:val="en-US" w:eastAsia="zh-CN"/>
        </w:rPr>
        <w:t xml:space="preserve"> </w:t>
      </w:r>
      <w:r>
        <w:rPr>
          <w:i/>
          <w:iCs/>
        </w:rPr>
        <w:t>Open Journal of Business and Management</w:t>
      </w:r>
      <w:r>
        <w:t xml:space="preserve">, 09(01), 32–43. </w:t>
      </w:r>
      <w:r>
        <w:fldChar w:fldCharType="begin"/>
      </w:r>
      <w:r>
        <w:instrText xml:space="preserve"> HYPERLINK "https://doi.org/10.4236/ojbm.2021.91002" </w:instrText>
      </w:r>
      <w:r>
        <w:fldChar w:fldCharType="separate"/>
      </w:r>
      <w:r>
        <w:rPr>
          <w:rStyle w:val="11"/>
          <w:color w:val="auto"/>
        </w:rPr>
        <w:t>https://doi.org/10.4236/ojbm.2021.91002</w:t>
      </w:r>
      <w:r>
        <w:rPr>
          <w:rStyle w:val="11"/>
          <w:color w:val="auto"/>
        </w:rPr>
        <w:fldChar w:fldCharType="end"/>
      </w:r>
    </w:p>
    <w:p>
      <w:pPr>
        <w:pStyle w:val="6"/>
        <w:spacing w:line="480" w:lineRule="auto"/>
        <w:ind w:left="567" w:hanging="567"/>
      </w:pPr>
      <w:r>
        <w:t xml:space="preserve">Piwowar‐Sulej, K. (2021). </w:t>
      </w:r>
      <w:r>
        <w:rPr>
          <w:rFonts w:hint="default"/>
          <w:lang w:val="en-US" w:eastAsia="zh-CN"/>
        </w:rPr>
        <w:t>‘</w:t>
      </w:r>
      <w:r>
        <w:t>Core functions of sustainable human resource management. A hybrid literature review with the use of h‐classics methodology</w:t>
      </w:r>
      <w:r>
        <w:rPr>
          <w:rFonts w:hint="default"/>
          <w:lang w:val="en-US" w:eastAsia="zh-CN"/>
        </w:rPr>
        <w:t>’</w:t>
      </w:r>
      <w:r>
        <w:t xml:space="preserve">. </w:t>
      </w:r>
      <w:r>
        <w:rPr>
          <w:i/>
          <w:iCs/>
        </w:rPr>
        <w:t>Sustainable Development</w:t>
      </w:r>
      <w:r>
        <w:t xml:space="preserve">, 29(4), 671–693. </w:t>
      </w:r>
      <w:r>
        <w:fldChar w:fldCharType="begin"/>
      </w:r>
      <w:r>
        <w:instrText xml:space="preserve"> HYPERLINK "https://doi.org/10.1002/sd.2166" </w:instrText>
      </w:r>
      <w:r>
        <w:fldChar w:fldCharType="separate"/>
      </w:r>
      <w:r>
        <w:rPr>
          <w:rStyle w:val="11"/>
          <w:color w:val="auto"/>
        </w:rPr>
        <w:t>https://doi.org/10.1002/sd.2166</w:t>
      </w:r>
      <w:r>
        <w:rPr>
          <w:rStyle w:val="11"/>
          <w:color w:val="auto"/>
        </w:rPr>
        <w:fldChar w:fldCharType="end"/>
      </w:r>
    </w:p>
    <w:p>
      <w:pPr>
        <w:pStyle w:val="6"/>
        <w:spacing w:line="480" w:lineRule="auto"/>
        <w:ind w:left="567" w:hanging="567"/>
      </w:pPr>
      <w:r>
        <w:t xml:space="preserve">Purgał-Popiela, J., Pauli, U., &amp; Pocztowski, A. (2023). </w:t>
      </w:r>
      <w:r>
        <w:rPr>
          <w:rFonts w:hint="default"/>
          <w:lang w:val="en-US" w:eastAsia="zh-CN"/>
        </w:rPr>
        <w:t>‘</w:t>
      </w:r>
      <w:r>
        <w:t>HRM-related challenges faced by internationalised smes</w:t>
      </w:r>
      <w:r>
        <w:rPr>
          <w:rFonts w:hint="default"/>
          <w:lang w:val="en-US" w:eastAsia="zh-CN"/>
        </w:rPr>
        <w:t>’</w:t>
      </w:r>
      <w:r>
        <w:t xml:space="preserve">. </w:t>
      </w:r>
      <w:r>
        <w:rPr>
          <w:i/>
          <w:iCs/>
        </w:rPr>
        <w:t>Human Resource Management in Early Internationalised SMEs</w:t>
      </w:r>
      <w:r>
        <w:t xml:space="preserve">, 42–63. </w:t>
      </w:r>
      <w:r>
        <w:fldChar w:fldCharType="begin"/>
      </w:r>
      <w:r>
        <w:instrText xml:space="preserve"> HYPERLINK "https://doi.org/10.4324/9781003319979-3" </w:instrText>
      </w:r>
      <w:r>
        <w:fldChar w:fldCharType="separate"/>
      </w:r>
      <w:r>
        <w:rPr>
          <w:rStyle w:val="11"/>
          <w:color w:val="auto"/>
        </w:rPr>
        <w:t>https://doi.org/10.4324/9781003319979-3</w:t>
      </w:r>
      <w:r>
        <w:rPr>
          <w:rStyle w:val="11"/>
          <w:color w:val="auto"/>
        </w:rPr>
        <w:fldChar w:fldCharType="end"/>
      </w:r>
    </w:p>
    <w:p>
      <w:pPr>
        <w:pStyle w:val="6"/>
        <w:spacing w:line="480" w:lineRule="auto"/>
        <w:ind w:left="567" w:hanging="567"/>
      </w:pPr>
      <w:r>
        <w:t>Renkema, M. (2021)</w:t>
      </w:r>
      <w:r>
        <w:rPr>
          <w:rFonts w:hint="eastAsia"/>
          <w:lang w:val="en-US" w:eastAsia="zh-CN"/>
        </w:rPr>
        <w:t xml:space="preserve"> </w:t>
      </w:r>
      <w:r>
        <w:rPr>
          <w:rFonts w:hint="default"/>
          <w:lang w:val="en-US" w:eastAsia="zh-CN"/>
        </w:rPr>
        <w:t>‘</w:t>
      </w:r>
      <w:r>
        <w:t>Ai, Digitalisation, and HRM: Foundations, extensions, and New Directions on AI, Digitalisation, and HRM</w:t>
      </w:r>
      <w:r>
        <w:rPr>
          <w:rFonts w:hint="default"/>
          <w:lang w:val="en-US" w:eastAsia="zh-CN"/>
        </w:rPr>
        <w:t>’</w:t>
      </w:r>
      <w:r>
        <w:t xml:space="preserve">. </w:t>
      </w:r>
      <w:r>
        <w:rPr>
          <w:i/>
          <w:iCs/>
        </w:rPr>
        <w:t>New Directions in the Future of Work</w:t>
      </w:r>
      <w:r>
        <w:t xml:space="preserve">, 77–96. </w:t>
      </w:r>
      <w:r>
        <w:fldChar w:fldCharType="begin"/>
      </w:r>
      <w:r>
        <w:instrText xml:space="preserve"> HYPERLINK "https://doi.org/10.1108/978-1-80071-298-020211011" </w:instrText>
      </w:r>
      <w:r>
        <w:fldChar w:fldCharType="separate"/>
      </w:r>
      <w:r>
        <w:rPr>
          <w:rStyle w:val="11"/>
          <w:color w:val="auto"/>
        </w:rPr>
        <w:t>https://doi.org/10.1108/978-1-80071-298-020211011</w:t>
      </w:r>
      <w:r>
        <w:rPr>
          <w:rStyle w:val="11"/>
          <w:color w:val="auto"/>
        </w:rPr>
        <w:fldChar w:fldCharType="end"/>
      </w:r>
    </w:p>
    <w:p>
      <w:pPr>
        <w:pStyle w:val="6"/>
        <w:spacing w:line="480" w:lineRule="auto"/>
        <w:ind w:left="567" w:hanging="567"/>
      </w:pPr>
      <w:r>
        <w:t>Ruël, H. (2020).</w:t>
      </w:r>
      <w:r>
        <w:rPr>
          <w:rFonts w:hint="default"/>
          <w:lang w:val="en-US" w:eastAsia="zh-CN"/>
        </w:rPr>
        <w:t>’</w:t>
      </w:r>
      <w:r>
        <w:t xml:space="preserve"> E-HRM goals, types and outcomes in e-HRM Innovation</w:t>
      </w:r>
      <w:r>
        <w:rPr>
          <w:rFonts w:hint="default"/>
          <w:lang w:val="en-US" w:eastAsia="zh-CN"/>
        </w:rPr>
        <w:t>’</w:t>
      </w:r>
      <w:r>
        <w:t xml:space="preserve">. </w:t>
      </w:r>
      <w:r>
        <w:rPr>
          <w:i/>
          <w:iCs/>
        </w:rPr>
        <w:t>Encyclopedia of Electronic HRM,</w:t>
      </w:r>
      <w:r>
        <w:t xml:space="preserve"> 47–53. </w:t>
      </w:r>
      <w:r>
        <w:fldChar w:fldCharType="begin"/>
      </w:r>
      <w:r>
        <w:instrText xml:space="preserve"> HYPERLINK "https://doi.org/10.1515/9783110633702-008" </w:instrText>
      </w:r>
      <w:r>
        <w:fldChar w:fldCharType="separate"/>
      </w:r>
      <w:r>
        <w:rPr>
          <w:rStyle w:val="11"/>
          <w:color w:val="auto"/>
        </w:rPr>
        <w:t>https://doi.org/10.1515/9783110633702-008</w:t>
      </w:r>
      <w:r>
        <w:rPr>
          <w:rStyle w:val="11"/>
          <w:color w:val="auto"/>
        </w:rPr>
        <w:fldChar w:fldCharType="end"/>
      </w:r>
    </w:p>
    <w:p>
      <w:pPr>
        <w:pStyle w:val="6"/>
        <w:spacing w:line="480" w:lineRule="auto"/>
        <w:ind w:left="567" w:hanging="567"/>
      </w:pPr>
      <w:r>
        <w:t xml:space="preserve">Saks, A. M. (2021). </w:t>
      </w:r>
      <w:r>
        <w:rPr>
          <w:rFonts w:hint="default"/>
          <w:lang w:val="en-US" w:eastAsia="zh-CN"/>
        </w:rPr>
        <w:t>‘</w:t>
      </w:r>
      <w:r>
        <w:t>A model of caring in organizations for Human Resource Development.</w:t>
      </w:r>
      <w:r>
        <w:rPr>
          <w:rFonts w:hint="default"/>
          <w:lang w:val="en-US" w:eastAsia="zh-CN"/>
        </w:rPr>
        <w:t>’</w:t>
      </w:r>
      <w:r>
        <w:t xml:space="preserve"> </w:t>
      </w:r>
      <w:r>
        <w:rPr>
          <w:i/>
          <w:iCs/>
        </w:rPr>
        <w:t>Human Resource Development Review</w:t>
      </w:r>
      <w:r>
        <w:t xml:space="preserve">, </w:t>
      </w:r>
      <w:r>
        <w:rPr>
          <w:i/>
          <w:iCs/>
        </w:rPr>
        <w:t>20</w:t>
      </w:r>
      <w:r>
        <w:t xml:space="preserve">(3), 289–321. </w:t>
      </w:r>
      <w:r>
        <w:fldChar w:fldCharType="begin"/>
      </w:r>
      <w:r>
        <w:instrText xml:space="preserve"> HYPERLINK "https://doi.org/10.1177/15344843211024035" </w:instrText>
      </w:r>
      <w:r>
        <w:fldChar w:fldCharType="separate"/>
      </w:r>
      <w:r>
        <w:rPr>
          <w:rStyle w:val="11"/>
          <w:color w:val="auto"/>
        </w:rPr>
        <w:t>https://doi.org/10.1177/15344843211024035</w:t>
      </w:r>
      <w:r>
        <w:rPr>
          <w:rStyle w:val="11"/>
          <w:color w:val="auto"/>
        </w:rPr>
        <w:fldChar w:fldCharType="end"/>
      </w:r>
    </w:p>
    <w:p>
      <w:pPr>
        <w:pStyle w:val="6"/>
        <w:spacing w:line="480" w:lineRule="auto"/>
        <w:ind w:left="567" w:hanging="567"/>
      </w:pPr>
      <w:r>
        <w:t xml:space="preserve">Searle, R. H. (2020). HRM and Trust, or trust and HRM? an underdeveloped context for Trust Research. </w:t>
      </w:r>
      <w:r>
        <w:rPr>
          <w:i/>
          <w:iCs/>
        </w:rPr>
        <w:t>Handbook of Advances in Trust Research</w:t>
      </w:r>
      <w:r>
        <w:t xml:space="preserve">, 9–28. </w:t>
      </w:r>
      <w:r>
        <w:fldChar w:fldCharType="begin"/>
      </w:r>
      <w:r>
        <w:instrText xml:space="preserve"> HYPERLINK "https://doi.org/10.4337/9780857931382.00009" </w:instrText>
      </w:r>
      <w:r>
        <w:fldChar w:fldCharType="separate"/>
      </w:r>
      <w:r>
        <w:rPr>
          <w:rStyle w:val="11"/>
          <w:color w:val="auto"/>
        </w:rPr>
        <w:t>https://doi.org/10.4337/9780857931382.00009</w:t>
      </w:r>
      <w:r>
        <w:rPr>
          <w:rStyle w:val="11"/>
          <w:color w:val="auto"/>
        </w:rPr>
        <w:fldChar w:fldCharType="end"/>
      </w:r>
    </w:p>
    <w:p>
      <w:pPr>
        <w:pStyle w:val="6"/>
        <w:spacing w:line="480" w:lineRule="auto"/>
        <w:ind w:left="567" w:hanging="567"/>
      </w:pPr>
      <w:r>
        <w:t xml:space="preserve">Shrivastava, S., Nagdev, K., &amp; Rajesh, A. (2018). Redefining HR using people analytics: The case of google. </w:t>
      </w:r>
      <w:r>
        <w:rPr>
          <w:i/>
          <w:iCs/>
        </w:rPr>
        <w:t>Human Resource Management International Digest</w:t>
      </w:r>
      <w:r>
        <w:t xml:space="preserve">, </w:t>
      </w:r>
      <w:r>
        <w:rPr>
          <w:i/>
          <w:iCs/>
        </w:rPr>
        <w:t>26</w:t>
      </w:r>
      <w:r>
        <w:t xml:space="preserve">(2), 3–6. </w:t>
      </w:r>
      <w:r>
        <w:fldChar w:fldCharType="begin"/>
      </w:r>
      <w:r>
        <w:instrText xml:space="preserve"> HYPERLINK "https://doi.org/10.1108/hrmid-06-2017-0112" </w:instrText>
      </w:r>
      <w:r>
        <w:fldChar w:fldCharType="separate"/>
      </w:r>
      <w:r>
        <w:rPr>
          <w:rStyle w:val="11"/>
          <w:color w:val="auto"/>
        </w:rPr>
        <w:t>https://doi.org/10.1108/hrmid-06-2017-0112</w:t>
      </w:r>
      <w:r>
        <w:rPr>
          <w:rStyle w:val="11"/>
          <w:color w:val="auto"/>
        </w:rPr>
        <w:fldChar w:fldCharType="end"/>
      </w:r>
    </w:p>
    <w:p>
      <w:pPr>
        <w:pStyle w:val="6"/>
        <w:spacing w:line="480" w:lineRule="auto"/>
        <w:ind w:left="567" w:hanging="567"/>
        <w:rPr>
          <w:rFonts w:ascii="Times New Roman" w:hAnsi="Times New Roman" w:cs="Times New Roman"/>
          <w:sz w:val="24"/>
          <w:szCs w:val="24"/>
        </w:rPr>
      </w:pPr>
      <w:r>
        <w:t xml:space="preserve">Zhu, Z. (2023). Research on human resource allocation pattern and its function -- taking Google as an example. </w:t>
      </w:r>
      <w:r>
        <w:rPr>
          <w:i/>
          <w:iCs/>
        </w:rPr>
        <w:t>Highlights in Business, Economics and Management</w:t>
      </w:r>
      <w:r>
        <w:t xml:space="preserve">, </w:t>
      </w:r>
      <w:r>
        <w:rPr>
          <w:i/>
          <w:iCs/>
        </w:rPr>
        <w:t>7</w:t>
      </w:r>
      <w:r>
        <w:t xml:space="preserve">, 8–14. </w:t>
      </w:r>
      <w:r>
        <w:fldChar w:fldCharType="begin"/>
      </w:r>
      <w:r>
        <w:instrText xml:space="preserve"> HYPERLINK "https://doi.org/10.54097/hbem.v7i.6810" </w:instrText>
      </w:r>
      <w:r>
        <w:fldChar w:fldCharType="separate"/>
      </w:r>
      <w:r>
        <w:rPr>
          <w:rStyle w:val="11"/>
          <w:color w:val="auto"/>
        </w:rPr>
        <w:t>https://doi.org/10.54097/hbem.v7i.6810</w:t>
      </w:r>
      <w:r>
        <w:rPr>
          <w:rStyle w:val="11"/>
          <w:color w:val="auto"/>
        </w:rPr>
        <w:fldChar w:fldCharType="end"/>
      </w:r>
      <w:bookmarkStart w:id="8" w:name="_GoBack"/>
      <w:bookmarkEnd w:id="8"/>
    </w:p>
    <w:sectPr>
      <w:head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8568571"/>
    </w:sdtPr>
    <w:sdtContent>
      <w:p>
        <w:pPr>
          <w:pStyle w:val="5"/>
          <w:jc w:val="right"/>
        </w:pPr>
        <w:r>
          <w:fldChar w:fldCharType="begin"/>
        </w:r>
        <w:r>
          <w:instrText xml:space="preserve"> PAGE   \* MERGEFORMAT </w:instrText>
        </w:r>
        <w:r>
          <w:fldChar w:fldCharType="separate"/>
        </w:r>
        <w:r>
          <w:t>4</w:t>
        </w:r>
        <w:r>
          <w:fldChar w:fldCharType="end"/>
        </w:r>
      </w:p>
    </w:sdtContent>
  </w:sdt>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A106B"/>
    <w:multiLevelType w:val="multilevel"/>
    <w:tmpl w:val="04BA106B"/>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1">
    <w:nsid w:val="73083E82"/>
    <w:multiLevelType w:val="multilevel"/>
    <w:tmpl w:val="73083E82"/>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JjZjhjMGYwMWJlZmMwYTZmMjI1MzQwNTU1YTNlNmYifQ=="/>
  </w:docVars>
  <w:rsids>
    <w:rsidRoot w:val="00D5252B"/>
    <w:rsid w:val="00066916"/>
    <w:rsid w:val="000E4141"/>
    <w:rsid w:val="001021A0"/>
    <w:rsid w:val="00257C5C"/>
    <w:rsid w:val="0026622C"/>
    <w:rsid w:val="003167B4"/>
    <w:rsid w:val="0038330D"/>
    <w:rsid w:val="003C36D1"/>
    <w:rsid w:val="003D4662"/>
    <w:rsid w:val="00450E0B"/>
    <w:rsid w:val="00466CA9"/>
    <w:rsid w:val="004D51AF"/>
    <w:rsid w:val="00513A1C"/>
    <w:rsid w:val="005967EC"/>
    <w:rsid w:val="006A47D5"/>
    <w:rsid w:val="006D6CF6"/>
    <w:rsid w:val="0073349B"/>
    <w:rsid w:val="00790ED0"/>
    <w:rsid w:val="008F7CD4"/>
    <w:rsid w:val="009D184A"/>
    <w:rsid w:val="00A26DCB"/>
    <w:rsid w:val="00A55C7B"/>
    <w:rsid w:val="00B24688"/>
    <w:rsid w:val="00C04009"/>
    <w:rsid w:val="00C0648D"/>
    <w:rsid w:val="00C80594"/>
    <w:rsid w:val="00D5252B"/>
    <w:rsid w:val="00D7749C"/>
    <w:rsid w:val="00DA480F"/>
    <w:rsid w:val="00E0361D"/>
    <w:rsid w:val="00E2097D"/>
    <w:rsid w:val="00E20FFF"/>
    <w:rsid w:val="00F26B75"/>
    <w:rsid w:val="21F94324"/>
    <w:rsid w:val="25A70CCD"/>
    <w:rsid w:val="28761BCB"/>
    <w:rsid w:val="29365291"/>
    <w:rsid w:val="38C97D0E"/>
    <w:rsid w:val="3C8016E3"/>
    <w:rsid w:val="48D36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unhideWhenUsed/>
    <w:qFormat/>
    <w:uiPriority w:val="99"/>
    <w:pPr>
      <w:spacing w:after="120"/>
    </w:pPr>
  </w:style>
  <w:style w:type="paragraph" w:styleId="4">
    <w:name w:val="footer"/>
    <w:basedOn w:val="1"/>
    <w:link w:val="13"/>
    <w:unhideWhenUsed/>
    <w:qFormat/>
    <w:uiPriority w:val="99"/>
    <w:pPr>
      <w:tabs>
        <w:tab w:val="center" w:pos="4680"/>
        <w:tab w:val="right" w:pos="9360"/>
      </w:tabs>
      <w:spacing w:after="0" w:line="240" w:lineRule="auto"/>
    </w:pPr>
  </w:style>
  <w:style w:type="paragraph" w:styleId="5">
    <w:name w:val="header"/>
    <w:basedOn w:val="1"/>
    <w:link w:val="12"/>
    <w:unhideWhenUsed/>
    <w:qFormat/>
    <w:uiPriority w:val="99"/>
    <w:pPr>
      <w:tabs>
        <w:tab w:val="center" w:pos="4680"/>
        <w:tab w:val="right" w:pos="9360"/>
      </w:tabs>
      <w:spacing w:after="0" w:line="240" w:lineRule="auto"/>
    </w:pPr>
  </w:style>
  <w:style w:type="paragraph" w:styleId="6">
    <w:name w:val="Normal (Web)"/>
    <w:semiHidden/>
    <w:unhideWhenUsed/>
    <w:qFormat/>
    <w:uiPriority w:val="99"/>
    <w:pPr>
      <w:spacing w:beforeAutospacing="1" w:afterAutospacing="1"/>
    </w:pPr>
    <w:rPr>
      <w:rFonts w:ascii="Times New Roman" w:hAnsi="Times New Roman" w:eastAsia="宋体" w:cs="Times New Roman"/>
      <w:sz w:val="24"/>
      <w:szCs w:val="24"/>
      <w:lang w:val="en-US" w:eastAsia="zh-CN" w:bidi="ar-SA"/>
    </w:rPr>
  </w:style>
  <w:style w:type="table" w:styleId="8">
    <w:name w:val="Table Grid"/>
    <w:basedOn w:val="7"/>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rPr>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Header Char"/>
    <w:basedOn w:val="9"/>
    <w:link w:val="5"/>
    <w:qFormat/>
    <w:uiPriority w:val="99"/>
  </w:style>
  <w:style w:type="character" w:customStyle="1" w:styleId="13">
    <w:name w:val="Footer Char"/>
    <w:basedOn w:val="9"/>
    <w:link w:val="4"/>
    <w:qFormat/>
    <w:uiPriority w:val="99"/>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Louis Dreyfus Company</Company>
  <Pages>24</Pages>
  <Words>5033</Words>
  <Characters>30817</Characters>
  <Lines>265</Lines>
  <Paragraphs>74</Paragraphs>
  <TotalTime>5</TotalTime>
  <ScaleCrop>false</ScaleCrop>
  <LinksUpToDate>false</LinksUpToDate>
  <CharactersWithSpaces>35740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2023-03-13T08:00:00Z</dcterms:created>
  <dc:creator>Dr Alekiii</dc:creator>
  <cp:lastModifiedBy>kittij徐</cp:lastModifiedBy>
  <dcterms:modified xsi:type="dcterms:W3CDTF">2023-07-18T03:49:02Z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F2B72D335EB647DBA9B7A6433509110C_13</vt:lpwstr>
  </property>
</Properties>
</file>