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E83E3" w14:textId="37A2B23A" w:rsidR="00BF1038" w:rsidRPr="00DB55FA" w:rsidRDefault="00BF1038" w:rsidP="00DB55FA">
      <w:pPr>
        <w:jc w:val="center"/>
        <w:rPr>
          <w:b/>
          <w:bCs/>
          <w:sz w:val="36"/>
          <w:szCs w:val="36"/>
          <w:u w:val="single"/>
        </w:rPr>
      </w:pPr>
      <w:r w:rsidRPr="00DB55FA">
        <w:rPr>
          <w:b/>
          <w:bCs/>
          <w:sz w:val="36"/>
          <w:szCs w:val="36"/>
          <w:u w:val="single"/>
        </w:rPr>
        <w:t>Reflection task</w:t>
      </w:r>
    </w:p>
    <w:p w14:paraId="1AE8F101" w14:textId="77777777" w:rsidR="00BF1038" w:rsidRDefault="00BF1038" w:rsidP="00BF1038"/>
    <w:p w14:paraId="421C498D" w14:textId="33CC9827" w:rsidR="00BF1038" w:rsidRPr="002E2087" w:rsidRDefault="00BF1038" w:rsidP="00BF1038">
      <w:r w:rsidRPr="002E2087">
        <w:t>The following piece of work will include two reflections known to a Physiotherapy Technician (PTT) who works on an acute stroke ward. Due to the data protection act (</w:t>
      </w:r>
      <w:r w:rsidRPr="002E2087">
        <w:rPr>
          <w:color w:val="000000"/>
          <w:shd w:val="clear" w:color="auto" w:fill="FFFFFF"/>
        </w:rPr>
        <w:t>UK Government, 2018)</w:t>
      </w:r>
      <w:r w:rsidRPr="002E2087">
        <w:t xml:space="preserve"> the use of pseudo names will be used instead of the patient’s name.</w:t>
      </w:r>
      <w:r w:rsidR="0076352D" w:rsidRPr="002E2087">
        <w:t xml:space="preserve"> The context of both cases will include how science influenced treatment, therapeutic interventions, and treatment plan.</w:t>
      </w:r>
    </w:p>
    <w:p w14:paraId="52DDB169" w14:textId="77777777" w:rsidR="0076352D" w:rsidRPr="002E2087" w:rsidRDefault="0076352D" w:rsidP="00BF1038"/>
    <w:p w14:paraId="398B1838" w14:textId="4B24A65E" w:rsidR="00BF1038" w:rsidRPr="002E2087" w:rsidRDefault="0076352D" w:rsidP="00BF1038">
      <w:pPr>
        <w:rPr>
          <w:color w:val="000000"/>
          <w:shd w:val="clear" w:color="auto" w:fill="FFFFFF"/>
        </w:rPr>
      </w:pPr>
      <w:r w:rsidRPr="002E2087">
        <w:t xml:space="preserve">Patient A was admitted to hospital with symptoms of a stroke. After having </w:t>
      </w:r>
      <w:r w:rsidR="00E26CAC" w:rsidRPr="002E2087">
        <w:t>a</w:t>
      </w:r>
      <w:r w:rsidRPr="002E2087">
        <w:t xml:space="preserve"> Magnetic Resonance Imaging (MRI) scan which is a non-invasive imaging tool that produces three dimensional details anatomical images </w:t>
      </w:r>
      <w:r w:rsidRPr="002E2087">
        <w:rPr>
          <w:color w:val="000000"/>
          <w:shd w:val="clear" w:color="auto" w:fill="FFFFFF"/>
        </w:rPr>
        <w:t>(National Institute of Biomedical Imaging and Bioengineering, 2023</w:t>
      </w:r>
      <w:r w:rsidRPr="002E2087">
        <w:rPr>
          <w:color w:val="000000"/>
          <w:shd w:val="clear" w:color="auto" w:fill="FFFFFF"/>
        </w:rPr>
        <w:t xml:space="preserve">) it was confirmed ‘A’ had a stroke, the MRI showed that ‘A’ had an infarct in the </w:t>
      </w:r>
      <w:r w:rsidR="00E26CAC" w:rsidRPr="002E2087">
        <w:rPr>
          <w:color w:val="000000"/>
          <w:shd w:val="clear" w:color="auto" w:fill="FFFFFF"/>
        </w:rPr>
        <w:t>frontal lobe which is a part of the brain that affects the behaviour function of an individual. Following this information, the Physiotherapists (PT) treated ‘A’ symptoms following their treatment plan which included; weak right upper limb, weak right lower limb, altered gait pattern from the stroke. The PT</w:t>
      </w:r>
      <w:r w:rsidR="004716AA">
        <w:rPr>
          <w:color w:val="000000"/>
          <w:shd w:val="clear" w:color="auto" w:fill="FFFFFF"/>
        </w:rPr>
        <w:t xml:space="preserve"> and PTT </w:t>
      </w:r>
      <w:r w:rsidR="00E26CAC" w:rsidRPr="002E2087">
        <w:rPr>
          <w:color w:val="000000"/>
          <w:shd w:val="clear" w:color="auto" w:fill="FFFFFF"/>
        </w:rPr>
        <w:t>did mobility practice and strengthening of the lower and upper limb with exercises using TheraBand. When mobilising the patient, the PT</w:t>
      </w:r>
      <w:r w:rsidR="004716AA">
        <w:rPr>
          <w:color w:val="000000"/>
          <w:shd w:val="clear" w:color="auto" w:fill="FFFFFF"/>
        </w:rPr>
        <w:t xml:space="preserve"> and PTT</w:t>
      </w:r>
      <w:r w:rsidR="00E26CAC" w:rsidRPr="002E2087">
        <w:rPr>
          <w:color w:val="000000"/>
          <w:shd w:val="clear" w:color="auto" w:fill="FFFFFF"/>
        </w:rPr>
        <w:t xml:space="preserve"> made sure they had a chair following behind to limit the risk of the patient falling when they fatigued as they would be able to have a seat and rest. Patient ‘A’ was in hospital for 3 weeks where they continued to deliver this treatment plan to ‘A’. Patient ‘A’ had a history of scoliosis which is the abnormal twisting and curvature of the spine </w:t>
      </w:r>
      <w:r w:rsidR="00E26CAC" w:rsidRPr="002E2087">
        <w:rPr>
          <w:color w:val="000000"/>
          <w:shd w:val="clear" w:color="auto" w:fill="FFFFFF"/>
        </w:rPr>
        <w:t>(NHS Inform, 2023)</w:t>
      </w:r>
      <w:r w:rsidR="008D67FE" w:rsidRPr="002E2087">
        <w:rPr>
          <w:color w:val="000000"/>
          <w:shd w:val="clear" w:color="auto" w:fill="FFFFFF"/>
        </w:rPr>
        <w:t xml:space="preserve"> which was diagnosed as a child, as a result of this the PTT knew that the ‘A’ would have an abnormal gait pattern meaning that they had to discover what was normal to ‘A’. When ‘A’ was medically and physically fit they were discharged home with no further </w:t>
      </w:r>
      <w:r w:rsidR="00891696" w:rsidRPr="002E2087">
        <w:rPr>
          <w:color w:val="000000"/>
          <w:shd w:val="clear" w:color="auto" w:fill="FFFFFF"/>
        </w:rPr>
        <w:t xml:space="preserve">therapy </w:t>
      </w:r>
      <w:r w:rsidR="008D67FE" w:rsidRPr="002E2087">
        <w:rPr>
          <w:color w:val="000000"/>
          <w:shd w:val="clear" w:color="auto" w:fill="FFFFFF"/>
        </w:rPr>
        <w:t>intervention needed.</w:t>
      </w:r>
    </w:p>
    <w:p w14:paraId="57D5F4E6" w14:textId="77777777" w:rsidR="008D67FE" w:rsidRPr="002E2087" w:rsidRDefault="008D67FE" w:rsidP="00BF1038">
      <w:pPr>
        <w:rPr>
          <w:color w:val="000000"/>
          <w:shd w:val="clear" w:color="auto" w:fill="FFFFFF"/>
        </w:rPr>
      </w:pPr>
    </w:p>
    <w:p w14:paraId="488FDA2F" w14:textId="6F39368C" w:rsidR="008D67FE" w:rsidRDefault="008D67FE" w:rsidP="00BF1038">
      <w:pPr>
        <w:rPr>
          <w:color w:val="000000"/>
          <w:shd w:val="clear" w:color="auto" w:fill="FFFFFF"/>
        </w:rPr>
      </w:pPr>
      <w:r w:rsidRPr="002E2087">
        <w:rPr>
          <w:color w:val="000000"/>
          <w:shd w:val="clear" w:color="auto" w:fill="FFFFFF"/>
        </w:rPr>
        <w:t xml:space="preserve">Patient ‘B’ was admitted to hospital to what ‘B’ thought was a worsening in known Multiple Sclerosis (MS) which is </w:t>
      </w:r>
      <w:r w:rsidR="00891696" w:rsidRPr="002E2087">
        <w:rPr>
          <w:color w:val="000000"/>
          <w:shd w:val="clear" w:color="auto" w:fill="FFFFFF"/>
        </w:rPr>
        <w:t xml:space="preserve">a condition which affects the brain and spinal cord causing a wide range of issues such as movement in arm or leg, balance, sensation </w:t>
      </w:r>
      <w:r w:rsidR="00891696" w:rsidRPr="002E2087">
        <w:rPr>
          <w:color w:val="000000"/>
          <w:shd w:val="clear" w:color="auto" w:fill="FFFFFF"/>
        </w:rPr>
        <w:t>(NHS, 2022)</w:t>
      </w:r>
      <w:r w:rsidR="00891696" w:rsidRPr="002E2087">
        <w:rPr>
          <w:color w:val="000000"/>
          <w:shd w:val="clear" w:color="auto" w:fill="FFFFFF"/>
        </w:rPr>
        <w:t xml:space="preserve">. ‘B’s symptoms were a lot more significant than the symptoms of MS to which ‘B’ had a Transient Ischemic Attack (TIA) which is the same as a stroke, but symptoms last a short period of time </w:t>
      </w:r>
      <w:r w:rsidR="00891696" w:rsidRPr="002E2087">
        <w:rPr>
          <w:color w:val="000000"/>
          <w:shd w:val="clear" w:color="auto" w:fill="FFFFFF"/>
        </w:rPr>
        <w:t>(Stroke Association, 2015)</w:t>
      </w:r>
      <w:r w:rsidR="00891696" w:rsidRPr="002E2087">
        <w:rPr>
          <w:color w:val="000000"/>
          <w:shd w:val="clear" w:color="auto" w:fill="FFFFFF"/>
        </w:rPr>
        <w:t xml:space="preserve">. The PT </w:t>
      </w:r>
      <w:r w:rsidR="004716AA">
        <w:rPr>
          <w:color w:val="000000"/>
          <w:shd w:val="clear" w:color="auto" w:fill="FFFFFF"/>
        </w:rPr>
        <w:t xml:space="preserve">and PTT </w:t>
      </w:r>
      <w:r w:rsidR="00891696" w:rsidRPr="002E2087">
        <w:rPr>
          <w:color w:val="000000"/>
          <w:shd w:val="clear" w:color="auto" w:fill="FFFFFF"/>
        </w:rPr>
        <w:t>intervened as soon as results came back and got the patient mobilising straight away, as ‘B’ was already improving with their symptoms, Patient ‘B’ was only hospitalised for 3 days and was discharged home with no further therapy input needed.</w:t>
      </w:r>
      <w:r w:rsidR="002E2087" w:rsidRPr="002E2087">
        <w:rPr>
          <w:color w:val="000000"/>
          <w:shd w:val="clear" w:color="auto" w:fill="FFFFFF"/>
        </w:rPr>
        <w:t xml:space="preserve"> Patient ‘B’ previously had Cancer of the throat which affected ‘B’ speech making it a barrier for the </w:t>
      </w:r>
      <w:r w:rsidR="004716AA">
        <w:rPr>
          <w:color w:val="000000"/>
          <w:shd w:val="clear" w:color="auto" w:fill="FFFFFF"/>
        </w:rPr>
        <w:t xml:space="preserve">PT and </w:t>
      </w:r>
      <w:r w:rsidR="002E2087" w:rsidRPr="002E2087">
        <w:rPr>
          <w:color w:val="000000"/>
          <w:shd w:val="clear" w:color="auto" w:fill="FFFFFF"/>
        </w:rPr>
        <w:t>PTT to gather information due to it not being clear what the patient was saying.</w:t>
      </w:r>
    </w:p>
    <w:p w14:paraId="2CD66E54" w14:textId="77777777" w:rsidR="002E2087" w:rsidRDefault="002E2087" w:rsidP="00BF1038">
      <w:pPr>
        <w:rPr>
          <w:color w:val="000000"/>
          <w:shd w:val="clear" w:color="auto" w:fill="FFFFFF"/>
        </w:rPr>
      </w:pPr>
    </w:p>
    <w:p w14:paraId="192C141D" w14:textId="378EDC65" w:rsidR="008D67FE" w:rsidRDefault="002E2087" w:rsidP="008D67FE">
      <w:pPr>
        <w:rPr>
          <w:color w:val="000000"/>
          <w:shd w:val="clear" w:color="auto" w:fill="FFFFFF"/>
        </w:rPr>
      </w:pPr>
      <w:r>
        <w:rPr>
          <w:color w:val="000000"/>
          <w:shd w:val="clear" w:color="auto" w:fill="FFFFFF"/>
        </w:rPr>
        <w:t xml:space="preserve">To conclude this the use of science is evident and it played an important role in getting a diagnosis for these two patients allowing them to have a treatment plan tailored to the patient’s needs from a social, </w:t>
      </w:r>
      <w:r w:rsidR="004716AA">
        <w:rPr>
          <w:color w:val="000000"/>
          <w:shd w:val="clear" w:color="auto" w:fill="FFFFFF"/>
        </w:rPr>
        <w:t>physical,</w:t>
      </w:r>
      <w:r>
        <w:rPr>
          <w:color w:val="000000"/>
          <w:shd w:val="clear" w:color="auto" w:fill="FFFFFF"/>
        </w:rPr>
        <w:t xml:space="preserve"> and also their medical issues.</w:t>
      </w:r>
    </w:p>
    <w:p w14:paraId="7C223364" w14:textId="77777777" w:rsidR="002E2087" w:rsidRPr="002E2087" w:rsidRDefault="002E2087" w:rsidP="008D67FE">
      <w:pPr>
        <w:rPr>
          <w:color w:val="000000"/>
          <w:shd w:val="clear" w:color="auto" w:fill="FFFFFF"/>
        </w:rPr>
      </w:pPr>
    </w:p>
    <w:p w14:paraId="0E97EEE2" w14:textId="77777777" w:rsidR="008D67FE" w:rsidRDefault="008D67FE" w:rsidP="00BF1038"/>
    <w:p w14:paraId="1984A88F" w14:textId="77777777" w:rsidR="008D67FE" w:rsidRDefault="008D67FE" w:rsidP="00BF1038"/>
    <w:p w14:paraId="57B3169D" w14:textId="77777777" w:rsidR="008D67FE" w:rsidRDefault="008D67FE" w:rsidP="00BF1038"/>
    <w:p w14:paraId="5DD82282" w14:textId="77777777" w:rsidR="008D67FE" w:rsidRDefault="008D67FE" w:rsidP="00BF1038"/>
    <w:p w14:paraId="60167266" w14:textId="77777777" w:rsidR="008D67FE" w:rsidRDefault="008D67FE" w:rsidP="00BF1038"/>
    <w:p w14:paraId="207B0636" w14:textId="30A3AE5B" w:rsidR="00BF1038" w:rsidRPr="002E2087" w:rsidRDefault="00BF1038" w:rsidP="00BF1038">
      <w:pPr>
        <w:rPr>
          <w:i/>
          <w:iCs/>
          <w:u w:val="single"/>
        </w:rPr>
      </w:pPr>
      <w:r w:rsidRPr="002E2087">
        <w:rPr>
          <w:i/>
          <w:iCs/>
          <w:u w:val="single"/>
        </w:rPr>
        <w:lastRenderedPageBreak/>
        <w:t xml:space="preserve">Reference List </w:t>
      </w:r>
    </w:p>
    <w:p w14:paraId="380B42F3" w14:textId="77777777" w:rsidR="00BF1038" w:rsidRDefault="00BF1038" w:rsidP="00BF1038"/>
    <w:p w14:paraId="51B604CC" w14:textId="77777777" w:rsidR="00BF1038" w:rsidRPr="002E2087" w:rsidRDefault="00BF1038" w:rsidP="00BF1038">
      <w:pPr>
        <w:shd w:val="clear" w:color="auto" w:fill="FFFFFF"/>
        <w:spacing w:after="240" w:line="360" w:lineRule="atLeast"/>
        <w:rPr>
          <w:rFonts w:eastAsia="Times New Roman" w:cstheme="minorHAnsi"/>
          <w:color w:val="000000"/>
          <w:kern w:val="0"/>
          <w:lang w:eastAsia="en-GB"/>
          <w14:ligatures w14:val="none"/>
        </w:rPr>
      </w:pPr>
      <w:r w:rsidRPr="00BF1038">
        <w:rPr>
          <w:rFonts w:eastAsia="Times New Roman" w:cstheme="minorHAnsi"/>
          <w:color w:val="000000"/>
          <w:kern w:val="0"/>
          <w:lang w:eastAsia="en-GB"/>
          <w14:ligatures w14:val="none"/>
        </w:rPr>
        <w:t>UK Government (2018). </w:t>
      </w:r>
      <w:r w:rsidRPr="00BF1038">
        <w:rPr>
          <w:rFonts w:eastAsia="Times New Roman" w:cstheme="minorHAnsi"/>
          <w:i/>
          <w:iCs/>
          <w:color w:val="000000"/>
          <w:kern w:val="0"/>
          <w:lang w:eastAsia="en-GB"/>
          <w14:ligatures w14:val="none"/>
        </w:rPr>
        <w:t>Data Protection Act</w:t>
      </w:r>
      <w:r w:rsidRPr="00BF1038">
        <w:rPr>
          <w:rFonts w:eastAsia="Times New Roman" w:cstheme="minorHAnsi"/>
          <w:color w:val="000000"/>
          <w:kern w:val="0"/>
          <w:lang w:eastAsia="en-GB"/>
          <w14:ligatures w14:val="none"/>
        </w:rPr>
        <w:t>. [online] Gov.uk. Available at: https://www.gov.uk/data-protection [Accessed 30 Jun. 2023].</w:t>
      </w:r>
    </w:p>
    <w:p w14:paraId="3CE112C9" w14:textId="77777777" w:rsidR="0076352D" w:rsidRPr="002E2087" w:rsidRDefault="0076352D" w:rsidP="0076352D">
      <w:pPr>
        <w:shd w:val="clear" w:color="auto" w:fill="FFFFFF"/>
        <w:spacing w:after="240" w:line="360" w:lineRule="atLeast"/>
        <w:rPr>
          <w:rFonts w:eastAsia="Times New Roman" w:cstheme="minorHAnsi"/>
          <w:color w:val="000000"/>
          <w:kern w:val="0"/>
          <w:lang w:eastAsia="en-GB"/>
          <w14:ligatures w14:val="none"/>
        </w:rPr>
      </w:pPr>
      <w:r w:rsidRPr="0076352D">
        <w:rPr>
          <w:rFonts w:eastAsia="Times New Roman" w:cstheme="minorHAnsi"/>
          <w:color w:val="000000"/>
          <w:kern w:val="0"/>
          <w:lang w:eastAsia="en-GB"/>
          <w14:ligatures w14:val="none"/>
        </w:rPr>
        <w:t>National Institute of Biomedical Imaging and Bioengineering (2023). </w:t>
      </w:r>
      <w:r w:rsidRPr="0076352D">
        <w:rPr>
          <w:rFonts w:eastAsia="Times New Roman" w:cstheme="minorHAnsi"/>
          <w:i/>
          <w:iCs/>
          <w:color w:val="000000"/>
          <w:kern w:val="0"/>
          <w:lang w:eastAsia="en-GB"/>
          <w14:ligatures w14:val="none"/>
        </w:rPr>
        <w:t>Magnetic Resonance Imaging (MRI)</w:t>
      </w:r>
      <w:r w:rsidRPr="0076352D">
        <w:rPr>
          <w:rFonts w:eastAsia="Times New Roman" w:cstheme="minorHAnsi"/>
          <w:color w:val="000000"/>
          <w:kern w:val="0"/>
          <w:lang w:eastAsia="en-GB"/>
          <w14:ligatures w14:val="none"/>
        </w:rPr>
        <w:t>. [online] www.nibib.nih.gov. Available at: https://www.nibib.nih.gov/science-education/science-topics/magnetic-resonance-imaging-mri#:~:text=MRIs%20employ%20powerful%20magnets%20which [Accessed 30 Jun. 2023].</w:t>
      </w:r>
    </w:p>
    <w:p w14:paraId="6382F6DD" w14:textId="290B8158" w:rsidR="00891696" w:rsidRPr="002E2087" w:rsidRDefault="00E26CAC" w:rsidP="00E26CAC">
      <w:pPr>
        <w:shd w:val="clear" w:color="auto" w:fill="FFFFFF"/>
        <w:spacing w:after="240" w:line="360" w:lineRule="atLeast"/>
        <w:rPr>
          <w:rFonts w:eastAsia="Times New Roman" w:cstheme="minorHAnsi"/>
          <w:color w:val="000000"/>
          <w:kern w:val="0"/>
          <w:lang w:eastAsia="en-GB"/>
          <w14:ligatures w14:val="none"/>
        </w:rPr>
      </w:pPr>
      <w:r w:rsidRPr="00E26CAC">
        <w:rPr>
          <w:rFonts w:eastAsia="Times New Roman" w:cstheme="minorHAnsi"/>
          <w:color w:val="000000"/>
          <w:kern w:val="0"/>
          <w:lang w:eastAsia="en-GB"/>
          <w14:ligatures w14:val="none"/>
        </w:rPr>
        <w:t>NHS Inform (2023). </w:t>
      </w:r>
      <w:r w:rsidRPr="00E26CAC">
        <w:rPr>
          <w:rFonts w:eastAsia="Times New Roman" w:cstheme="minorHAnsi"/>
          <w:i/>
          <w:iCs/>
          <w:color w:val="000000"/>
          <w:kern w:val="0"/>
          <w:lang w:eastAsia="en-GB"/>
          <w14:ligatures w14:val="none"/>
        </w:rPr>
        <w:t>Scoliosis</w:t>
      </w:r>
      <w:r w:rsidRPr="00E26CAC">
        <w:rPr>
          <w:rFonts w:eastAsia="Times New Roman" w:cstheme="minorHAnsi"/>
          <w:color w:val="000000"/>
          <w:kern w:val="0"/>
          <w:lang w:eastAsia="en-GB"/>
          <w14:ligatures w14:val="none"/>
        </w:rPr>
        <w:t>. [online] www.nhsinform.scot. Available at: https://www.nhsinform.scot/illnesses-and-conditions/muscle-bone-and-joints/conditions/scoliosis# [Accessed 30 Jun. 2023].</w:t>
      </w:r>
    </w:p>
    <w:p w14:paraId="6C2404A6" w14:textId="77777777" w:rsidR="00891696" w:rsidRPr="002E2087" w:rsidRDefault="00891696" w:rsidP="00891696">
      <w:pPr>
        <w:shd w:val="clear" w:color="auto" w:fill="FFFFFF"/>
        <w:spacing w:after="240" w:line="360" w:lineRule="atLeast"/>
        <w:rPr>
          <w:rFonts w:eastAsia="Times New Roman" w:cstheme="minorHAnsi"/>
          <w:color w:val="000000"/>
          <w:kern w:val="0"/>
          <w:lang w:eastAsia="en-GB"/>
          <w14:ligatures w14:val="none"/>
        </w:rPr>
      </w:pPr>
      <w:r w:rsidRPr="00891696">
        <w:rPr>
          <w:rFonts w:eastAsia="Times New Roman" w:cstheme="minorHAnsi"/>
          <w:color w:val="000000"/>
          <w:kern w:val="0"/>
          <w:lang w:eastAsia="en-GB"/>
          <w14:ligatures w14:val="none"/>
        </w:rPr>
        <w:t>NHS (2022). </w:t>
      </w:r>
      <w:r w:rsidRPr="00891696">
        <w:rPr>
          <w:rFonts w:eastAsia="Times New Roman" w:cstheme="minorHAnsi"/>
          <w:i/>
          <w:iCs/>
          <w:color w:val="000000"/>
          <w:kern w:val="0"/>
          <w:lang w:eastAsia="en-GB"/>
          <w14:ligatures w14:val="none"/>
        </w:rPr>
        <w:t>Multiple Sclerosis</w:t>
      </w:r>
      <w:r w:rsidRPr="00891696">
        <w:rPr>
          <w:rFonts w:eastAsia="Times New Roman" w:cstheme="minorHAnsi"/>
          <w:color w:val="000000"/>
          <w:kern w:val="0"/>
          <w:lang w:eastAsia="en-GB"/>
          <w14:ligatures w14:val="none"/>
        </w:rPr>
        <w:t>. [online] NHS. Available at: https://www.nhs.uk/conditions/multiple-sclerosis/ [Accessed 31 Jun. 2023].</w:t>
      </w:r>
    </w:p>
    <w:p w14:paraId="565307A7" w14:textId="77777777" w:rsidR="00891696" w:rsidRPr="00891696" w:rsidRDefault="00891696" w:rsidP="00891696">
      <w:pPr>
        <w:shd w:val="clear" w:color="auto" w:fill="FFFFFF"/>
        <w:spacing w:after="240" w:line="360" w:lineRule="atLeast"/>
        <w:rPr>
          <w:rFonts w:eastAsia="Times New Roman" w:cstheme="minorHAnsi"/>
          <w:color w:val="000000"/>
          <w:kern w:val="0"/>
          <w:lang w:eastAsia="en-GB"/>
          <w14:ligatures w14:val="none"/>
        </w:rPr>
      </w:pPr>
      <w:r w:rsidRPr="00891696">
        <w:rPr>
          <w:rFonts w:eastAsia="Times New Roman" w:cstheme="minorHAnsi"/>
          <w:color w:val="000000"/>
          <w:kern w:val="0"/>
          <w:lang w:eastAsia="en-GB"/>
          <w14:ligatures w14:val="none"/>
        </w:rPr>
        <w:t>Stroke Association (2015). </w:t>
      </w:r>
      <w:r w:rsidRPr="00891696">
        <w:rPr>
          <w:rFonts w:eastAsia="Times New Roman" w:cstheme="minorHAnsi"/>
          <w:i/>
          <w:iCs/>
          <w:color w:val="000000"/>
          <w:kern w:val="0"/>
          <w:lang w:eastAsia="en-GB"/>
          <w14:ligatures w14:val="none"/>
        </w:rPr>
        <w:t>Transient ischaemic attack</w:t>
      </w:r>
      <w:r w:rsidRPr="00891696">
        <w:rPr>
          <w:rFonts w:eastAsia="Times New Roman" w:cstheme="minorHAnsi"/>
          <w:color w:val="000000"/>
          <w:kern w:val="0"/>
          <w:lang w:eastAsia="en-GB"/>
          <w14:ligatures w14:val="none"/>
        </w:rPr>
        <w:t>. [online] Stroke Association. Available at: https://www.stroke.org.uk/what-is-stroke/types-of-stroke/transient-ischaemic-attack [Accessed 1 Jul. 2023].</w:t>
      </w:r>
    </w:p>
    <w:p w14:paraId="096D74CC" w14:textId="4A598655" w:rsidR="00891696" w:rsidRPr="00891696" w:rsidRDefault="00891696" w:rsidP="00891696">
      <w:pPr>
        <w:shd w:val="clear" w:color="auto" w:fill="FFFFFF"/>
        <w:spacing w:after="240" w:line="360" w:lineRule="atLeast"/>
        <w:rPr>
          <w:rFonts w:eastAsia="Times New Roman" w:cstheme="minorHAnsi"/>
          <w:color w:val="000000"/>
          <w:kern w:val="0"/>
          <w:lang w:eastAsia="en-GB"/>
          <w14:ligatures w14:val="none"/>
        </w:rPr>
      </w:pPr>
      <w:r w:rsidRPr="00891696">
        <w:rPr>
          <w:rFonts w:ascii="Times New Roman" w:eastAsia="Times New Roman" w:hAnsi="Times New Roman" w:cs="Times New Roman"/>
          <w:color w:val="000000"/>
          <w:kern w:val="0"/>
          <w:shd w:val="clear" w:color="auto" w:fill="FFFFFF"/>
          <w:lang w:eastAsia="en-GB"/>
          <w14:ligatures w14:val="none"/>
        </w:rPr>
        <w:t>‌</w:t>
      </w:r>
    </w:p>
    <w:p w14:paraId="2C4775CB" w14:textId="3CD33603" w:rsidR="00891696" w:rsidRPr="00E26CAC" w:rsidRDefault="00891696" w:rsidP="00891696">
      <w:pPr>
        <w:shd w:val="clear" w:color="auto" w:fill="FFFFFF"/>
        <w:spacing w:after="240" w:line="360" w:lineRule="atLeast"/>
        <w:rPr>
          <w:rFonts w:eastAsia="Times New Roman" w:cstheme="minorHAnsi"/>
          <w:color w:val="000000"/>
          <w:kern w:val="0"/>
          <w:lang w:eastAsia="en-GB"/>
          <w14:ligatures w14:val="none"/>
        </w:rPr>
      </w:pPr>
      <w:r w:rsidRPr="00891696">
        <w:rPr>
          <w:rFonts w:ascii="Times New Roman" w:eastAsia="Times New Roman" w:hAnsi="Times New Roman" w:cs="Times New Roman"/>
          <w:color w:val="000000"/>
          <w:kern w:val="0"/>
          <w:shd w:val="clear" w:color="auto" w:fill="FFFFFF"/>
          <w:lang w:eastAsia="en-GB"/>
          <w14:ligatures w14:val="none"/>
        </w:rPr>
        <w:t>‌</w:t>
      </w:r>
    </w:p>
    <w:p w14:paraId="123A73B9" w14:textId="1ABD7971" w:rsidR="00E26CAC" w:rsidRPr="0076352D" w:rsidRDefault="00E26CAC" w:rsidP="00E26CAC">
      <w:pPr>
        <w:shd w:val="clear" w:color="auto" w:fill="FFFFFF"/>
        <w:spacing w:after="240" w:line="360" w:lineRule="atLeast"/>
        <w:rPr>
          <w:rFonts w:eastAsia="Times New Roman" w:cstheme="minorHAnsi"/>
          <w:color w:val="000000"/>
          <w:kern w:val="0"/>
          <w:lang w:eastAsia="en-GB"/>
          <w14:ligatures w14:val="none"/>
        </w:rPr>
      </w:pPr>
      <w:r w:rsidRPr="00E26CAC">
        <w:rPr>
          <w:rFonts w:eastAsia="Times New Roman" w:cstheme="minorHAnsi"/>
          <w:color w:val="000000"/>
          <w:kern w:val="0"/>
          <w:shd w:val="clear" w:color="auto" w:fill="FFFFFF"/>
          <w:lang w:eastAsia="en-GB"/>
          <w14:ligatures w14:val="none"/>
        </w:rPr>
        <w:t>‌</w:t>
      </w:r>
    </w:p>
    <w:p w14:paraId="1D70CDC1" w14:textId="219A9089" w:rsidR="0076352D" w:rsidRPr="00BF1038" w:rsidRDefault="0076352D" w:rsidP="0076352D">
      <w:pPr>
        <w:shd w:val="clear" w:color="auto" w:fill="FFFFFF"/>
        <w:spacing w:after="240" w:line="360" w:lineRule="atLeast"/>
        <w:rPr>
          <w:rFonts w:ascii="Times New Roman" w:eastAsia="Times New Roman" w:hAnsi="Times New Roman" w:cs="Times New Roman"/>
          <w:color w:val="000000"/>
          <w:kern w:val="0"/>
          <w:lang w:eastAsia="en-GB"/>
          <w14:ligatures w14:val="none"/>
        </w:rPr>
      </w:pPr>
      <w:r w:rsidRPr="0076352D">
        <w:rPr>
          <w:rFonts w:ascii="Times New Roman" w:eastAsia="Times New Roman" w:hAnsi="Times New Roman" w:cs="Times New Roman"/>
          <w:color w:val="000000"/>
          <w:kern w:val="0"/>
          <w:shd w:val="clear" w:color="auto" w:fill="FFFFFF"/>
          <w:lang w:eastAsia="en-GB"/>
          <w14:ligatures w14:val="none"/>
        </w:rPr>
        <w:t>‌</w:t>
      </w:r>
    </w:p>
    <w:p w14:paraId="6A3FB27C" w14:textId="1B4FC6F0" w:rsidR="00BF1038" w:rsidRPr="00E26CAC" w:rsidRDefault="00BF1038" w:rsidP="00E26CAC"/>
    <w:p w14:paraId="1691497C" w14:textId="77777777" w:rsidR="00BF1038" w:rsidRDefault="00BF1038"/>
    <w:sectPr w:rsidR="00BF10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D56016"/>
    <w:multiLevelType w:val="hybridMultilevel"/>
    <w:tmpl w:val="111CCD0E"/>
    <w:lvl w:ilvl="0" w:tplc="0809000D">
      <w:start w:val="1"/>
      <w:numFmt w:val="bullet"/>
      <w:lvlText w:val=""/>
      <w:lvlJc w:val="left"/>
      <w:pPr>
        <w:tabs>
          <w:tab w:val="num" w:pos="1080"/>
        </w:tabs>
        <w:ind w:left="1080" w:hanging="360"/>
      </w:pPr>
      <w:rPr>
        <w:rFonts w:ascii="Wingdings" w:hAnsi="Wingdings" w:hint="default"/>
      </w:rPr>
    </w:lvl>
    <w:lvl w:ilvl="1" w:tplc="8E945432">
      <w:start w:val="1"/>
      <w:numFmt w:val="bullet"/>
      <w:lvlText w:val="•"/>
      <w:lvlJc w:val="left"/>
      <w:pPr>
        <w:tabs>
          <w:tab w:val="num" w:pos="1800"/>
        </w:tabs>
        <w:ind w:left="1800" w:hanging="360"/>
      </w:pPr>
      <w:rPr>
        <w:rFonts w:ascii="Times New Roman" w:hAnsi="Times New Roman" w:hint="default"/>
      </w:rPr>
    </w:lvl>
    <w:lvl w:ilvl="2" w:tplc="8D5694CC" w:tentative="1">
      <w:start w:val="1"/>
      <w:numFmt w:val="bullet"/>
      <w:lvlText w:val="•"/>
      <w:lvlJc w:val="left"/>
      <w:pPr>
        <w:tabs>
          <w:tab w:val="num" w:pos="2520"/>
        </w:tabs>
        <w:ind w:left="2520" w:hanging="360"/>
      </w:pPr>
      <w:rPr>
        <w:rFonts w:ascii="Times New Roman" w:hAnsi="Times New Roman" w:hint="default"/>
      </w:rPr>
    </w:lvl>
    <w:lvl w:ilvl="3" w:tplc="D94CDCFC" w:tentative="1">
      <w:start w:val="1"/>
      <w:numFmt w:val="bullet"/>
      <w:lvlText w:val="•"/>
      <w:lvlJc w:val="left"/>
      <w:pPr>
        <w:tabs>
          <w:tab w:val="num" w:pos="3240"/>
        </w:tabs>
        <w:ind w:left="3240" w:hanging="360"/>
      </w:pPr>
      <w:rPr>
        <w:rFonts w:ascii="Times New Roman" w:hAnsi="Times New Roman" w:hint="default"/>
      </w:rPr>
    </w:lvl>
    <w:lvl w:ilvl="4" w:tplc="6ADAA20C" w:tentative="1">
      <w:start w:val="1"/>
      <w:numFmt w:val="bullet"/>
      <w:lvlText w:val="•"/>
      <w:lvlJc w:val="left"/>
      <w:pPr>
        <w:tabs>
          <w:tab w:val="num" w:pos="3960"/>
        </w:tabs>
        <w:ind w:left="3960" w:hanging="360"/>
      </w:pPr>
      <w:rPr>
        <w:rFonts w:ascii="Times New Roman" w:hAnsi="Times New Roman" w:hint="default"/>
      </w:rPr>
    </w:lvl>
    <w:lvl w:ilvl="5" w:tplc="4E1AB3AC" w:tentative="1">
      <w:start w:val="1"/>
      <w:numFmt w:val="bullet"/>
      <w:lvlText w:val="•"/>
      <w:lvlJc w:val="left"/>
      <w:pPr>
        <w:tabs>
          <w:tab w:val="num" w:pos="4680"/>
        </w:tabs>
        <w:ind w:left="4680" w:hanging="360"/>
      </w:pPr>
      <w:rPr>
        <w:rFonts w:ascii="Times New Roman" w:hAnsi="Times New Roman" w:hint="default"/>
      </w:rPr>
    </w:lvl>
    <w:lvl w:ilvl="6" w:tplc="70B432A2" w:tentative="1">
      <w:start w:val="1"/>
      <w:numFmt w:val="bullet"/>
      <w:lvlText w:val="•"/>
      <w:lvlJc w:val="left"/>
      <w:pPr>
        <w:tabs>
          <w:tab w:val="num" w:pos="5400"/>
        </w:tabs>
        <w:ind w:left="5400" w:hanging="360"/>
      </w:pPr>
      <w:rPr>
        <w:rFonts w:ascii="Times New Roman" w:hAnsi="Times New Roman" w:hint="default"/>
      </w:rPr>
    </w:lvl>
    <w:lvl w:ilvl="7" w:tplc="FE7A18F2" w:tentative="1">
      <w:start w:val="1"/>
      <w:numFmt w:val="bullet"/>
      <w:lvlText w:val="•"/>
      <w:lvlJc w:val="left"/>
      <w:pPr>
        <w:tabs>
          <w:tab w:val="num" w:pos="6120"/>
        </w:tabs>
        <w:ind w:left="6120" w:hanging="360"/>
      </w:pPr>
      <w:rPr>
        <w:rFonts w:ascii="Times New Roman" w:hAnsi="Times New Roman" w:hint="default"/>
      </w:rPr>
    </w:lvl>
    <w:lvl w:ilvl="8" w:tplc="5936C452" w:tentative="1">
      <w:start w:val="1"/>
      <w:numFmt w:val="bullet"/>
      <w:lvlText w:val="•"/>
      <w:lvlJc w:val="left"/>
      <w:pPr>
        <w:tabs>
          <w:tab w:val="num" w:pos="6840"/>
        </w:tabs>
        <w:ind w:left="6840" w:hanging="360"/>
      </w:pPr>
      <w:rPr>
        <w:rFonts w:ascii="Times New Roman" w:hAnsi="Times New Roman" w:hint="default"/>
      </w:rPr>
    </w:lvl>
  </w:abstractNum>
  <w:num w:numId="1" w16cid:durableId="622276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2DA"/>
    <w:rsid w:val="000109E4"/>
    <w:rsid w:val="000802DA"/>
    <w:rsid w:val="002E2087"/>
    <w:rsid w:val="004716AA"/>
    <w:rsid w:val="00555F6C"/>
    <w:rsid w:val="0076352D"/>
    <w:rsid w:val="00891696"/>
    <w:rsid w:val="008D67FE"/>
    <w:rsid w:val="00AB11CE"/>
    <w:rsid w:val="00B33689"/>
    <w:rsid w:val="00BF1038"/>
    <w:rsid w:val="00C8024A"/>
    <w:rsid w:val="00DB55FA"/>
    <w:rsid w:val="00E26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42D75B"/>
  <w15:chartTrackingRefBased/>
  <w15:docId w15:val="{5C385A2B-969F-1D43-9338-032D79CC8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1038"/>
    <w:pPr>
      <w:ind w:left="720"/>
      <w:contextualSpacing/>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BF103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F1038"/>
  </w:style>
  <w:style w:type="character" w:customStyle="1" w:styleId="glossary-link">
    <w:name w:val="glossary-link"/>
    <w:basedOn w:val="DefaultParagraphFont"/>
    <w:rsid w:val="007635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393619">
      <w:bodyDiv w:val="1"/>
      <w:marLeft w:val="0"/>
      <w:marRight w:val="0"/>
      <w:marTop w:val="0"/>
      <w:marBottom w:val="0"/>
      <w:divBdr>
        <w:top w:val="none" w:sz="0" w:space="0" w:color="auto"/>
        <w:left w:val="none" w:sz="0" w:space="0" w:color="auto"/>
        <w:bottom w:val="none" w:sz="0" w:space="0" w:color="auto"/>
        <w:right w:val="none" w:sz="0" w:space="0" w:color="auto"/>
      </w:divBdr>
    </w:div>
    <w:div w:id="736588651">
      <w:bodyDiv w:val="1"/>
      <w:marLeft w:val="0"/>
      <w:marRight w:val="0"/>
      <w:marTop w:val="0"/>
      <w:marBottom w:val="0"/>
      <w:divBdr>
        <w:top w:val="none" w:sz="0" w:space="0" w:color="auto"/>
        <w:left w:val="none" w:sz="0" w:space="0" w:color="auto"/>
        <w:bottom w:val="none" w:sz="0" w:space="0" w:color="auto"/>
        <w:right w:val="none" w:sz="0" w:space="0" w:color="auto"/>
      </w:divBdr>
    </w:div>
    <w:div w:id="906113279">
      <w:bodyDiv w:val="1"/>
      <w:marLeft w:val="0"/>
      <w:marRight w:val="0"/>
      <w:marTop w:val="0"/>
      <w:marBottom w:val="0"/>
      <w:divBdr>
        <w:top w:val="none" w:sz="0" w:space="0" w:color="auto"/>
        <w:left w:val="none" w:sz="0" w:space="0" w:color="auto"/>
        <w:bottom w:val="none" w:sz="0" w:space="0" w:color="auto"/>
        <w:right w:val="none" w:sz="0" w:space="0" w:color="auto"/>
      </w:divBdr>
    </w:div>
    <w:div w:id="979769003">
      <w:bodyDiv w:val="1"/>
      <w:marLeft w:val="0"/>
      <w:marRight w:val="0"/>
      <w:marTop w:val="0"/>
      <w:marBottom w:val="0"/>
      <w:divBdr>
        <w:top w:val="none" w:sz="0" w:space="0" w:color="auto"/>
        <w:left w:val="none" w:sz="0" w:space="0" w:color="auto"/>
        <w:bottom w:val="none" w:sz="0" w:space="0" w:color="auto"/>
        <w:right w:val="none" w:sz="0" w:space="0" w:color="auto"/>
      </w:divBdr>
    </w:div>
    <w:div w:id="1931507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2</Pages>
  <Words>605</Words>
  <Characters>3454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Jones</dc:creator>
  <cp:keywords/>
  <dc:description/>
  <cp:lastModifiedBy>Will Jones</cp:lastModifiedBy>
  <cp:revision>4</cp:revision>
  <dcterms:created xsi:type="dcterms:W3CDTF">2023-06-30T10:10:00Z</dcterms:created>
  <dcterms:modified xsi:type="dcterms:W3CDTF">2023-06-30T11:13:00Z</dcterms:modified>
</cp:coreProperties>
</file>