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A65A83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E0732">
        <w:rPr>
          <w:rFonts w:asciiTheme="minorBidi" w:hAnsiTheme="minorBidi"/>
          <w:sz w:val="28"/>
          <w:szCs w:val="28"/>
        </w:rPr>
        <w:t>Saleem Hussain</w:t>
      </w:r>
    </w:p>
    <w:p w14:paraId="485B6F49" w14:textId="3676FAA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E0732">
        <w:rPr>
          <w:rFonts w:asciiTheme="minorBidi" w:hAnsiTheme="minorBidi"/>
          <w:sz w:val="28"/>
          <w:szCs w:val="28"/>
        </w:rPr>
        <w:t>2506895</w:t>
      </w:r>
    </w:p>
    <w:p w14:paraId="3C1E7A20" w14:textId="5F3BA58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E0732">
        <w:rPr>
          <w:rFonts w:asciiTheme="minorBidi" w:hAnsiTheme="minorBidi"/>
          <w:sz w:val="28"/>
          <w:szCs w:val="28"/>
        </w:rPr>
        <w:t>LCHS4001</w:t>
      </w:r>
    </w:p>
    <w:p w14:paraId="4EEB2DA3" w14:textId="0C16474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E0732">
        <w:rPr>
          <w:rFonts w:asciiTheme="minorBidi" w:hAnsiTheme="minorBidi"/>
          <w:sz w:val="28"/>
          <w:szCs w:val="28"/>
        </w:rPr>
        <w:t>Academic and Employability Skills</w:t>
      </w:r>
    </w:p>
    <w:p w14:paraId="112342CB" w14:textId="5CAA379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E0732">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B148518"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79697B">
        <w:rPr>
          <w:rFonts w:asciiTheme="minorBidi" w:hAnsiTheme="minorBidi"/>
          <w:sz w:val="28"/>
          <w:szCs w:val="28"/>
        </w:rPr>
        <w:t>20 November 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4B19233" w14:textId="5E0AE002" w:rsidR="00C20184" w:rsidRDefault="00184A9A">
          <w:pPr>
            <w:pStyle w:val="TOC1"/>
            <w:tabs>
              <w:tab w:val="right" w:leader="dot" w:pos="9016"/>
            </w:tabs>
            <w:rPr>
              <w:rFonts w:asciiTheme="minorHAnsi" w:hAnsiTheme="minorHAnsi" w:cstheme="minorBidi"/>
              <w:b w:val="0"/>
              <w:bCs w:val="0"/>
              <w:i w:val="0"/>
              <w:iCs w:val="0"/>
              <w:noProof/>
              <w:lang w:eastAsia="en-GB"/>
            </w:rPr>
          </w:pPr>
          <w:r w:rsidRPr="00242974">
            <w:rPr>
              <w:b w:val="0"/>
              <w:bCs w:val="0"/>
            </w:rPr>
            <w:fldChar w:fldCharType="begin"/>
          </w:r>
          <w:r w:rsidRPr="00242974">
            <w:instrText xml:space="preserve"> TOC \o "1-3" \h \z \u </w:instrText>
          </w:r>
          <w:r w:rsidRPr="00242974">
            <w:rPr>
              <w:b w:val="0"/>
              <w:bCs w:val="0"/>
            </w:rPr>
            <w:fldChar w:fldCharType="separate"/>
          </w:r>
          <w:hyperlink w:anchor="_Toc214574136" w:history="1">
            <w:r w:rsidR="00C20184" w:rsidRPr="0084481B">
              <w:rPr>
                <w:rStyle w:val="Hyperlink"/>
                <w:noProof/>
              </w:rPr>
              <w:t>1: Written Report</w:t>
            </w:r>
            <w:r w:rsidR="00C20184">
              <w:rPr>
                <w:noProof/>
                <w:webHidden/>
              </w:rPr>
              <w:tab/>
            </w:r>
            <w:r w:rsidR="00C20184">
              <w:rPr>
                <w:noProof/>
                <w:webHidden/>
              </w:rPr>
              <w:fldChar w:fldCharType="begin"/>
            </w:r>
            <w:r w:rsidR="00C20184">
              <w:rPr>
                <w:noProof/>
                <w:webHidden/>
              </w:rPr>
              <w:instrText xml:space="preserve"> PAGEREF _Toc214574136 \h </w:instrText>
            </w:r>
            <w:r w:rsidR="00C20184">
              <w:rPr>
                <w:noProof/>
                <w:webHidden/>
              </w:rPr>
            </w:r>
            <w:r w:rsidR="00C20184">
              <w:rPr>
                <w:noProof/>
                <w:webHidden/>
              </w:rPr>
              <w:fldChar w:fldCharType="separate"/>
            </w:r>
            <w:r w:rsidR="00C20184">
              <w:rPr>
                <w:noProof/>
                <w:webHidden/>
              </w:rPr>
              <w:t>3</w:t>
            </w:r>
            <w:r w:rsidR="00C20184">
              <w:rPr>
                <w:noProof/>
                <w:webHidden/>
              </w:rPr>
              <w:fldChar w:fldCharType="end"/>
            </w:r>
          </w:hyperlink>
        </w:p>
        <w:p w14:paraId="6B42952D" w14:textId="4B3990D9" w:rsidR="00C20184" w:rsidRDefault="00C20184">
          <w:pPr>
            <w:pStyle w:val="TOC2"/>
            <w:tabs>
              <w:tab w:val="right" w:leader="dot" w:pos="9016"/>
            </w:tabs>
            <w:rPr>
              <w:rFonts w:asciiTheme="minorHAnsi" w:hAnsiTheme="minorHAnsi" w:cstheme="minorBidi"/>
              <w:b w:val="0"/>
              <w:bCs w:val="0"/>
              <w:noProof/>
              <w:sz w:val="24"/>
              <w:szCs w:val="24"/>
              <w:lang w:eastAsia="en-GB"/>
            </w:rPr>
          </w:pPr>
          <w:hyperlink w:anchor="_Toc214574137" w:history="1">
            <w:r w:rsidRPr="0084481B">
              <w:rPr>
                <w:rStyle w:val="Hyperlink"/>
                <w:noProof/>
              </w:rPr>
              <w:t>1.1 Introduction</w:t>
            </w:r>
            <w:r>
              <w:rPr>
                <w:noProof/>
                <w:webHidden/>
              </w:rPr>
              <w:tab/>
            </w:r>
            <w:r>
              <w:rPr>
                <w:noProof/>
                <w:webHidden/>
              </w:rPr>
              <w:fldChar w:fldCharType="begin"/>
            </w:r>
            <w:r>
              <w:rPr>
                <w:noProof/>
                <w:webHidden/>
              </w:rPr>
              <w:instrText xml:space="preserve"> PAGEREF _Toc214574137 \h </w:instrText>
            </w:r>
            <w:r>
              <w:rPr>
                <w:noProof/>
                <w:webHidden/>
              </w:rPr>
            </w:r>
            <w:r>
              <w:rPr>
                <w:noProof/>
                <w:webHidden/>
              </w:rPr>
              <w:fldChar w:fldCharType="separate"/>
            </w:r>
            <w:r>
              <w:rPr>
                <w:noProof/>
                <w:webHidden/>
              </w:rPr>
              <w:t>3</w:t>
            </w:r>
            <w:r>
              <w:rPr>
                <w:noProof/>
                <w:webHidden/>
              </w:rPr>
              <w:fldChar w:fldCharType="end"/>
            </w:r>
          </w:hyperlink>
        </w:p>
        <w:p w14:paraId="7461D9B4" w14:textId="40AB1C92" w:rsidR="00C20184" w:rsidRDefault="00C20184">
          <w:pPr>
            <w:pStyle w:val="TOC2"/>
            <w:tabs>
              <w:tab w:val="right" w:leader="dot" w:pos="9016"/>
            </w:tabs>
            <w:rPr>
              <w:rFonts w:asciiTheme="minorHAnsi" w:hAnsiTheme="minorHAnsi" w:cstheme="minorBidi"/>
              <w:b w:val="0"/>
              <w:bCs w:val="0"/>
              <w:noProof/>
              <w:sz w:val="24"/>
              <w:szCs w:val="24"/>
              <w:lang w:eastAsia="en-GB"/>
            </w:rPr>
          </w:pPr>
          <w:hyperlink w:anchor="_Toc214574138" w:history="1">
            <w:r w:rsidRPr="0084481B">
              <w:rPr>
                <w:rStyle w:val="Hyperlink"/>
                <w:noProof/>
              </w:rPr>
              <w:t>1.2 Description of, and background to, Mental Health support worker in healthcare</w:t>
            </w:r>
            <w:r>
              <w:rPr>
                <w:noProof/>
                <w:webHidden/>
              </w:rPr>
              <w:tab/>
            </w:r>
            <w:r>
              <w:rPr>
                <w:noProof/>
                <w:webHidden/>
              </w:rPr>
              <w:fldChar w:fldCharType="begin"/>
            </w:r>
            <w:r>
              <w:rPr>
                <w:noProof/>
                <w:webHidden/>
              </w:rPr>
              <w:instrText xml:space="preserve"> PAGEREF _Toc214574138 \h </w:instrText>
            </w:r>
            <w:r>
              <w:rPr>
                <w:noProof/>
                <w:webHidden/>
              </w:rPr>
            </w:r>
            <w:r>
              <w:rPr>
                <w:noProof/>
                <w:webHidden/>
              </w:rPr>
              <w:fldChar w:fldCharType="separate"/>
            </w:r>
            <w:r>
              <w:rPr>
                <w:noProof/>
                <w:webHidden/>
              </w:rPr>
              <w:t>3</w:t>
            </w:r>
            <w:r>
              <w:rPr>
                <w:noProof/>
                <w:webHidden/>
              </w:rPr>
              <w:fldChar w:fldCharType="end"/>
            </w:r>
          </w:hyperlink>
        </w:p>
        <w:p w14:paraId="68E9C00E" w14:textId="47C63C47" w:rsidR="00C20184" w:rsidRDefault="00C20184">
          <w:pPr>
            <w:pStyle w:val="TOC2"/>
            <w:tabs>
              <w:tab w:val="right" w:leader="dot" w:pos="9016"/>
            </w:tabs>
            <w:rPr>
              <w:rFonts w:asciiTheme="minorHAnsi" w:hAnsiTheme="minorHAnsi" w:cstheme="minorBidi"/>
              <w:b w:val="0"/>
              <w:bCs w:val="0"/>
              <w:noProof/>
              <w:sz w:val="24"/>
              <w:szCs w:val="24"/>
              <w:lang w:eastAsia="en-GB"/>
            </w:rPr>
          </w:pPr>
          <w:hyperlink w:anchor="_Toc214574139" w:history="1">
            <w:r w:rsidRPr="0084481B">
              <w:rPr>
                <w:rStyle w:val="Hyperlink"/>
                <w:noProof/>
              </w:rPr>
              <w:t>1.4 Strategies to improve the skills for Mental Health support worker</w:t>
            </w:r>
            <w:r>
              <w:rPr>
                <w:noProof/>
                <w:webHidden/>
              </w:rPr>
              <w:tab/>
            </w:r>
            <w:r>
              <w:rPr>
                <w:noProof/>
                <w:webHidden/>
              </w:rPr>
              <w:fldChar w:fldCharType="begin"/>
            </w:r>
            <w:r>
              <w:rPr>
                <w:noProof/>
                <w:webHidden/>
              </w:rPr>
              <w:instrText xml:space="preserve"> PAGEREF _Toc214574139 \h </w:instrText>
            </w:r>
            <w:r>
              <w:rPr>
                <w:noProof/>
                <w:webHidden/>
              </w:rPr>
            </w:r>
            <w:r>
              <w:rPr>
                <w:noProof/>
                <w:webHidden/>
              </w:rPr>
              <w:fldChar w:fldCharType="separate"/>
            </w:r>
            <w:r>
              <w:rPr>
                <w:noProof/>
                <w:webHidden/>
              </w:rPr>
              <w:t>4</w:t>
            </w:r>
            <w:r>
              <w:rPr>
                <w:noProof/>
                <w:webHidden/>
              </w:rPr>
              <w:fldChar w:fldCharType="end"/>
            </w:r>
          </w:hyperlink>
        </w:p>
        <w:p w14:paraId="6A79C80D" w14:textId="30819434" w:rsidR="00C20184" w:rsidRDefault="00C20184">
          <w:pPr>
            <w:pStyle w:val="TOC2"/>
            <w:tabs>
              <w:tab w:val="right" w:leader="dot" w:pos="9016"/>
            </w:tabs>
            <w:rPr>
              <w:rFonts w:asciiTheme="minorHAnsi" w:hAnsiTheme="minorHAnsi" w:cstheme="minorBidi"/>
              <w:b w:val="0"/>
              <w:bCs w:val="0"/>
              <w:noProof/>
              <w:sz w:val="24"/>
              <w:szCs w:val="24"/>
              <w:lang w:eastAsia="en-GB"/>
            </w:rPr>
          </w:pPr>
          <w:hyperlink w:anchor="_Toc214574140" w:history="1">
            <w:r w:rsidRPr="0084481B">
              <w:rPr>
                <w:rStyle w:val="Hyperlink"/>
                <w:noProof/>
              </w:rPr>
              <w:t>1.4 Conclusion</w:t>
            </w:r>
            <w:r>
              <w:rPr>
                <w:noProof/>
                <w:webHidden/>
              </w:rPr>
              <w:tab/>
            </w:r>
            <w:r>
              <w:rPr>
                <w:noProof/>
                <w:webHidden/>
              </w:rPr>
              <w:fldChar w:fldCharType="begin"/>
            </w:r>
            <w:r>
              <w:rPr>
                <w:noProof/>
                <w:webHidden/>
              </w:rPr>
              <w:instrText xml:space="preserve"> PAGEREF _Toc214574140 \h </w:instrText>
            </w:r>
            <w:r>
              <w:rPr>
                <w:noProof/>
                <w:webHidden/>
              </w:rPr>
            </w:r>
            <w:r>
              <w:rPr>
                <w:noProof/>
                <w:webHidden/>
              </w:rPr>
              <w:fldChar w:fldCharType="separate"/>
            </w:r>
            <w:r>
              <w:rPr>
                <w:noProof/>
                <w:webHidden/>
              </w:rPr>
              <w:t>5</w:t>
            </w:r>
            <w:r>
              <w:rPr>
                <w:noProof/>
                <w:webHidden/>
              </w:rPr>
              <w:fldChar w:fldCharType="end"/>
            </w:r>
          </w:hyperlink>
        </w:p>
        <w:p w14:paraId="5CFC9B4C" w14:textId="79AE5B5A" w:rsidR="00C20184" w:rsidRDefault="00C20184">
          <w:pPr>
            <w:pStyle w:val="TOC2"/>
            <w:tabs>
              <w:tab w:val="right" w:leader="dot" w:pos="9016"/>
            </w:tabs>
            <w:rPr>
              <w:rFonts w:asciiTheme="minorHAnsi" w:hAnsiTheme="minorHAnsi" w:cstheme="minorBidi"/>
              <w:b w:val="0"/>
              <w:bCs w:val="0"/>
              <w:noProof/>
              <w:sz w:val="24"/>
              <w:szCs w:val="24"/>
              <w:lang w:eastAsia="en-GB"/>
            </w:rPr>
          </w:pPr>
          <w:hyperlink w:anchor="_Toc214574141" w:history="1">
            <w:r w:rsidRPr="0084481B">
              <w:rPr>
                <w:rStyle w:val="Hyperlink"/>
                <w:noProof/>
              </w:rPr>
              <w:t>1.5 Reference List</w:t>
            </w:r>
            <w:r>
              <w:rPr>
                <w:noProof/>
                <w:webHidden/>
              </w:rPr>
              <w:tab/>
            </w:r>
            <w:r>
              <w:rPr>
                <w:noProof/>
                <w:webHidden/>
              </w:rPr>
              <w:fldChar w:fldCharType="begin"/>
            </w:r>
            <w:r>
              <w:rPr>
                <w:noProof/>
                <w:webHidden/>
              </w:rPr>
              <w:instrText xml:space="preserve"> PAGEREF _Toc214574141 \h </w:instrText>
            </w:r>
            <w:r>
              <w:rPr>
                <w:noProof/>
                <w:webHidden/>
              </w:rPr>
            </w:r>
            <w:r>
              <w:rPr>
                <w:noProof/>
                <w:webHidden/>
              </w:rPr>
              <w:fldChar w:fldCharType="separate"/>
            </w:r>
            <w:r>
              <w:rPr>
                <w:noProof/>
                <w:webHidden/>
              </w:rPr>
              <w:t>6</w:t>
            </w:r>
            <w:r>
              <w:rPr>
                <w:noProof/>
                <w:webHidden/>
              </w:rPr>
              <w:fldChar w:fldCharType="end"/>
            </w:r>
          </w:hyperlink>
        </w:p>
        <w:p w14:paraId="6138A55F" w14:textId="61DEA71F"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633DB1BB" w:rsidR="002A5577" w:rsidRPr="00242974" w:rsidRDefault="002A5577" w:rsidP="002A5577">
      <w:pPr>
        <w:rPr>
          <w:b/>
          <w:bCs/>
          <w:sz w:val="21"/>
          <w:szCs w:val="21"/>
        </w:rPr>
      </w:pPr>
    </w:p>
    <w:p w14:paraId="77C18CB4" w14:textId="04172E19" w:rsidR="00933720" w:rsidRPr="002976D4" w:rsidRDefault="00AA77C8" w:rsidP="00F36ADC">
      <w:pPr>
        <w:pStyle w:val="Heading1"/>
        <w:rPr>
          <w:color w:val="4472C4" w:themeColor="accent1"/>
        </w:rPr>
      </w:pPr>
      <w:bookmarkStart w:id="0" w:name="_Toc214574136"/>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0CAE5527" w14:textId="4319184E" w:rsidR="00AC7BE2" w:rsidRPr="00242974" w:rsidRDefault="00AC7BE2" w:rsidP="00774092">
      <w:pPr>
        <w:jc w:val="both"/>
        <w:rPr>
          <w:sz w:val="21"/>
          <w:szCs w:val="21"/>
        </w:rPr>
      </w:pPr>
    </w:p>
    <w:p w14:paraId="7E817B09" w14:textId="50F31860" w:rsidR="00A035CD" w:rsidRPr="002976D4" w:rsidRDefault="00AA77C8" w:rsidP="00500295">
      <w:pPr>
        <w:pStyle w:val="Heading2"/>
        <w:rPr>
          <w:color w:val="4472C4" w:themeColor="accent1"/>
        </w:rPr>
      </w:pPr>
      <w:bookmarkStart w:id="1" w:name="_Toc214574137"/>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4CC61BC1" w14:textId="2A056D21" w:rsidR="00F36ADC" w:rsidRPr="005B7184" w:rsidRDefault="007E6C46" w:rsidP="005B7184">
      <w:pPr>
        <w:spacing w:after="0" w:line="360" w:lineRule="auto"/>
        <w:jc w:val="both"/>
        <w:rPr>
          <w:rFonts w:ascii="Arial" w:hAnsi="Arial" w:cs="Arial"/>
          <w:sz w:val="22"/>
        </w:rPr>
      </w:pPr>
      <w:r w:rsidRPr="005B7184">
        <w:rPr>
          <w:rFonts w:ascii="Arial" w:hAnsi="Arial" w:cs="Arial"/>
          <w:sz w:val="22"/>
        </w:rPr>
        <w:t xml:space="preserve">A </w:t>
      </w:r>
      <w:r w:rsidR="005B7184">
        <w:rPr>
          <w:rFonts w:ascii="Arial" w:hAnsi="Arial" w:cs="Arial"/>
          <w:sz w:val="22"/>
        </w:rPr>
        <w:t>M</w:t>
      </w:r>
      <w:r w:rsidRPr="005B7184">
        <w:rPr>
          <w:rFonts w:ascii="Arial" w:hAnsi="Arial" w:cs="Arial"/>
          <w:sz w:val="22"/>
        </w:rPr>
        <w:t xml:space="preserve">ental health support worker holds an important position in aiding with individuals experiencing mental health challenges. This report aims to examine the role of mental health support worker by outlining the primary duties, the necessary skills for the role, and approaches to enhance these skills. Initially, the report will detail the responsibilities and importance of the position, then assess three key skills essential for effective performance. Finally, it will present three methods to develop these skills, highlighting their impact on improving both job effectiveness and patient care. </w:t>
      </w:r>
    </w:p>
    <w:p w14:paraId="12961E72" w14:textId="77777777" w:rsidR="007E6C46" w:rsidRPr="00242974" w:rsidRDefault="007E6C46" w:rsidP="00500295">
      <w:pPr>
        <w:spacing w:after="0" w:line="240" w:lineRule="auto"/>
        <w:jc w:val="both"/>
        <w:rPr>
          <w:sz w:val="21"/>
          <w:szCs w:val="21"/>
        </w:rPr>
      </w:pPr>
    </w:p>
    <w:p w14:paraId="50A9FBC6" w14:textId="6F133C8F" w:rsidR="008B0B22" w:rsidRPr="002976D4" w:rsidRDefault="00AA77C8" w:rsidP="008B0B22">
      <w:pPr>
        <w:pStyle w:val="Heading2"/>
        <w:rPr>
          <w:color w:val="4472C4" w:themeColor="accent1"/>
          <w:szCs w:val="24"/>
        </w:rPr>
      </w:pPr>
      <w:bookmarkStart w:id="2" w:name="_Toc214574138"/>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7E6C46">
        <w:rPr>
          <w:color w:val="4472C4" w:themeColor="accent1"/>
          <w:szCs w:val="24"/>
        </w:rPr>
        <w:t xml:space="preserve">Mental Health support worker </w:t>
      </w:r>
      <w:r w:rsidR="008B0B22" w:rsidRPr="002976D4">
        <w:rPr>
          <w:color w:val="4472C4" w:themeColor="accent1"/>
          <w:szCs w:val="24"/>
        </w:rPr>
        <w:t xml:space="preserve">in </w:t>
      </w:r>
      <w:r w:rsidR="00E0365D" w:rsidRPr="002976D4">
        <w:rPr>
          <w:color w:val="4472C4" w:themeColor="accent1"/>
          <w:szCs w:val="24"/>
        </w:rPr>
        <w:t>healthcare</w:t>
      </w:r>
      <w:bookmarkEnd w:id="2"/>
      <w:r w:rsidR="008B0B22" w:rsidRPr="002976D4">
        <w:rPr>
          <w:color w:val="4472C4" w:themeColor="accent1"/>
          <w:szCs w:val="24"/>
        </w:rPr>
        <w:t xml:space="preserve"> </w:t>
      </w:r>
    </w:p>
    <w:p w14:paraId="7ECE99E6" w14:textId="1FD2C93B" w:rsidR="00676FEB" w:rsidRPr="005B7184" w:rsidRDefault="00130E68" w:rsidP="005B7184">
      <w:pPr>
        <w:spacing w:after="0" w:line="360" w:lineRule="auto"/>
        <w:jc w:val="both"/>
        <w:rPr>
          <w:rFonts w:ascii="Arial" w:hAnsi="Arial" w:cs="Arial"/>
          <w:sz w:val="22"/>
        </w:rPr>
      </w:pPr>
      <w:r w:rsidRPr="005B7184">
        <w:rPr>
          <w:rFonts w:ascii="Arial" w:hAnsi="Arial" w:cs="Arial"/>
          <w:sz w:val="22"/>
        </w:rPr>
        <w:t>The position of a Mental Health support worker is essential in promoting the well-being of individuals experiencing mental health conditions such as depression, anxiety, schizophrenia, and bipolar disorder. These workers provide both emotional and practical assistance, aiding clients in managing symptoms, maintaining daily routines, and following treatment plans. They work alongside Multidisciplinary teams, including nurses, psychologists, and psychiatrist, to offer comprehensive care across various environments like hospitals, community health centres, and residential facilities</w:t>
      </w:r>
      <w:r w:rsidR="00F031EA" w:rsidRPr="005B7184">
        <w:rPr>
          <w:rFonts w:ascii="Arial" w:hAnsi="Arial" w:cs="Arial"/>
          <w:sz w:val="22"/>
        </w:rPr>
        <w:t xml:space="preserve"> </w:t>
      </w:r>
      <w:r w:rsidR="00C76AE1" w:rsidRPr="005B7184">
        <w:rPr>
          <w:rFonts w:ascii="Arial" w:hAnsi="Arial" w:cs="Arial"/>
          <w:sz w:val="22"/>
        </w:rPr>
        <w:t>(Njuguna, Ngune and Middlewick, 2025)</w:t>
      </w:r>
      <w:r w:rsidR="00F031EA" w:rsidRPr="005B7184">
        <w:rPr>
          <w:rFonts w:ascii="Arial" w:hAnsi="Arial" w:cs="Arial"/>
          <w:sz w:val="22"/>
        </w:rPr>
        <w:t>.</w:t>
      </w:r>
    </w:p>
    <w:p w14:paraId="673B2545" w14:textId="77777777" w:rsidR="00130E68" w:rsidRPr="005B7184" w:rsidRDefault="00130E68" w:rsidP="005B7184">
      <w:pPr>
        <w:spacing w:after="0" w:line="360" w:lineRule="auto"/>
        <w:jc w:val="both"/>
        <w:rPr>
          <w:rFonts w:ascii="Arial" w:hAnsi="Arial" w:cs="Arial"/>
          <w:sz w:val="22"/>
        </w:rPr>
      </w:pPr>
    </w:p>
    <w:p w14:paraId="3BDDF502" w14:textId="0093BB70" w:rsidR="00130E68" w:rsidRPr="005B7184" w:rsidRDefault="00130E68" w:rsidP="005B7184">
      <w:pPr>
        <w:spacing w:after="0" w:line="360" w:lineRule="auto"/>
        <w:jc w:val="both"/>
        <w:rPr>
          <w:rFonts w:ascii="Arial" w:hAnsi="Arial" w:cs="Arial"/>
          <w:sz w:val="22"/>
        </w:rPr>
      </w:pPr>
      <w:r w:rsidRPr="005B7184">
        <w:rPr>
          <w:rFonts w:ascii="Arial" w:hAnsi="Arial" w:cs="Arial"/>
          <w:sz w:val="22"/>
        </w:rPr>
        <w:t xml:space="preserve">Primary responsibilities include delivering daily support, monitoring </w:t>
      </w:r>
      <w:r w:rsidR="007044A6" w:rsidRPr="005B7184">
        <w:rPr>
          <w:rFonts w:ascii="Arial" w:hAnsi="Arial" w:cs="Arial"/>
          <w:sz w:val="22"/>
        </w:rPr>
        <w:t>client’s</w:t>
      </w:r>
      <w:r w:rsidRPr="005B7184">
        <w:rPr>
          <w:rFonts w:ascii="Arial" w:hAnsi="Arial" w:cs="Arial"/>
          <w:sz w:val="22"/>
        </w:rPr>
        <w:t xml:space="preserve"> mental health, assisting in developing coping strategies, and advising on medication management. A critical aspect of the role is ensuring </w:t>
      </w:r>
      <w:r w:rsidR="00E7145C" w:rsidRPr="005B7184">
        <w:rPr>
          <w:rFonts w:ascii="Arial" w:hAnsi="Arial" w:cs="Arial"/>
          <w:sz w:val="22"/>
        </w:rPr>
        <w:t>client safety by observing behavioural changes and reporting concerns to healthcare professionals. Beyond technical duties, the role demands strong interpersonal skills to interact with clients compassionately and empathically. Effective communication is also vital for coordinating with clients and healthcare teams to maintain continuity of care and achieve positive patient outcomes</w:t>
      </w:r>
      <w:r w:rsidR="00E96DA5" w:rsidRPr="005B7184">
        <w:rPr>
          <w:rFonts w:ascii="Arial" w:hAnsi="Arial" w:cs="Arial"/>
          <w:sz w:val="22"/>
        </w:rPr>
        <w:t xml:space="preserve"> (Noel et al., 2022</w:t>
      </w:r>
      <w:r w:rsidR="007044A6" w:rsidRPr="005B7184">
        <w:rPr>
          <w:rFonts w:ascii="Arial" w:hAnsi="Arial" w:cs="Arial"/>
          <w:sz w:val="22"/>
        </w:rPr>
        <w:t>).</w:t>
      </w:r>
    </w:p>
    <w:p w14:paraId="425D6155" w14:textId="77777777" w:rsidR="00676FEB" w:rsidRPr="00242974" w:rsidRDefault="00676FEB" w:rsidP="00676FEB">
      <w:pPr>
        <w:spacing w:after="0" w:line="240" w:lineRule="auto"/>
        <w:jc w:val="both"/>
        <w:rPr>
          <w:sz w:val="21"/>
          <w:szCs w:val="21"/>
        </w:rPr>
      </w:pPr>
    </w:p>
    <w:p w14:paraId="4010C35E" w14:textId="5CD3F7BC" w:rsidR="00EC7EBE" w:rsidRPr="002976D4" w:rsidRDefault="00676FEB" w:rsidP="00676FEB">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w:t>
      </w:r>
      <w:r w:rsidR="00E7145C">
        <w:rPr>
          <w:color w:val="4472C4" w:themeColor="accent1"/>
          <w:sz w:val="28"/>
          <w:szCs w:val="28"/>
        </w:rPr>
        <w:t>Mental health support worker</w:t>
      </w:r>
      <w:r w:rsidR="007138EF" w:rsidRPr="002976D4">
        <w:rPr>
          <w:color w:val="4472C4" w:themeColor="accent1"/>
          <w:sz w:val="28"/>
          <w:szCs w:val="28"/>
        </w:rPr>
        <w:t xml:space="preserve"> in </w:t>
      </w:r>
      <w:r w:rsidR="007044A6" w:rsidRPr="002976D4">
        <w:rPr>
          <w:color w:val="4472C4" w:themeColor="accent1"/>
          <w:sz w:val="28"/>
          <w:szCs w:val="28"/>
        </w:rPr>
        <w:t>healthcare</w:t>
      </w:r>
    </w:p>
    <w:p w14:paraId="7338813D" w14:textId="77777777" w:rsidR="00C85A7C" w:rsidRDefault="00C85A7C" w:rsidP="00C85A7C">
      <w:pPr>
        <w:spacing w:after="0" w:line="240" w:lineRule="auto"/>
        <w:jc w:val="both"/>
        <w:rPr>
          <w:sz w:val="21"/>
          <w:szCs w:val="21"/>
        </w:rPr>
      </w:pPr>
    </w:p>
    <w:p w14:paraId="5B4BBC49" w14:textId="610EBA31" w:rsidR="00E7145C" w:rsidRPr="005B7184" w:rsidRDefault="00E7145C" w:rsidP="005B7184">
      <w:pPr>
        <w:spacing w:after="0" w:line="360" w:lineRule="auto"/>
        <w:jc w:val="both"/>
        <w:rPr>
          <w:rFonts w:ascii="Arial" w:hAnsi="Arial" w:cs="Arial"/>
          <w:sz w:val="22"/>
        </w:rPr>
      </w:pPr>
      <w:r w:rsidRPr="005B7184">
        <w:rPr>
          <w:rFonts w:ascii="Arial" w:hAnsi="Arial" w:cs="Arial"/>
          <w:sz w:val="22"/>
        </w:rPr>
        <w:t xml:space="preserve">The position of a Mental Health support worker demands </w:t>
      </w:r>
      <w:r w:rsidR="00153346" w:rsidRPr="005B7184">
        <w:rPr>
          <w:rFonts w:ascii="Arial" w:hAnsi="Arial" w:cs="Arial"/>
          <w:sz w:val="22"/>
        </w:rPr>
        <w:t xml:space="preserve">a range of skills to deliver effective care and ensure client safety. </w:t>
      </w:r>
    </w:p>
    <w:p w14:paraId="4DF615F8" w14:textId="21B41AED" w:rsidR="00153346" w:rsidRPr="005B7184" w:rsidRDefault="00153346" w:rsidP="005B7184">
      <w:pPr>
        <w:spacing w:after="0" w:line="360" w:lineRule="auto"/>
        <w:jc w:val="both"/>
        <w:rPr>
          <w:rFonts w:ascii="Arial" w:hAnsi="Arial" w:cs="Arial"/>
          <w:sz w:val="22"/>
        </w:rPr>
      </w:pPr>
      <w:r w:rsidRPr="005B7184">
        <w:rPr>
          <w:rFonts w:ascii="Arial" w:hAnsi="Arial" w:cs="Arial"/>
          <w:sz w:val="22"/>
        </w:rPr>
        <w:lastRenderedPageBreak/>
        <w:t>Among the most critical are communication skills, empathy and compassion, and problem- solving capabilities</w:t>
      </w:r>
      <w:r w:rsidR="007C26E4" w:rsidRPr="005B7184">
        <w:rPr>
          <w:rFonts w:ascii="Arial" w:hAnsi="Arial" w:cs="Arial"/>
          <w:sz w:val="22"/>
        </w:rPr>
        <w:t xml:space="preserve"> (Moudatsou et al., 2020</w:t>
      </w:r>
      <w:r w:rsidR="007044A6" w:rsidRPr="005B7184">
        <w:rPr>
          <w:rFonts w:ascii="Arial" w:hAnsi="Arial" w:cs="Arial"/>
          <w:sz w:val="22"/>
        </w:rPr>
        <w:t>).</w:t>
      </w:r>
    </w:p>
    <w:p w14:paraId="47D056C9" w14:textId="6BC1132F" w:rsidR="00153346" w:rsidRPr="005B7184" w:rsidRDefault="00153346" w:rsidP="005B7184">
      <w:pPr>
        <w:spacing w:after="0" w:line="360" w:lineRule="auto"/>
        <w:jc w:val="both"/>
        <w:rPr>
          <w:rFonts w:ascii="Arial" w:hAnsi="Arial" w:cs="Arial"/>
          <w:sz w:val="22"/>
        </w:rPr>
      </w:pPr>
    </w:p>
    <w:p w14:paraId="3D97BFDA" w14:textId="3C50B012" w:rsidR="00153346" w:rsidRPr="005B7184" w:rsidRDefault="00153346" w:rsidP="005B7184">
      <w:pPr>
        <w:spacing w:after="0" w:line="360" w:lineRule="auto"/>
        <w:jc w:val="both"/>
        <w:rPr>
          <w:rFonts w:ascii="Arial" w:hAnsi="Arial" w:cs="Arial"/>
          <w:sz w:val="22"/>
        </w:rPr>
      </w:pPr>
      <w:r w:rsidRPr="005B7184">
        <w:rPr>
          <w:rFonts w:ascii="Arial" w:hAnsi="Arial" w:cs="Arial"/>
          <w:sz w:val="22"/>
        </w:rPr>
        <w:t>Communication skills are essential for establishing trust and providing clear guidance to clients, many of whom may struggle to articulate their needs. Active listening and encouraging open dialogue are vital, as is the ability to coordinate with other healthcare professionals to ensure a cohesive care plan. For instance, accurately conveying a clients mental health status to nurses or doctors can directly impact treatment decisions</w:t>
      </w:r>
      <w:r w:rsidR="007C26E4" w:rsidRPr="005B7184">
        <w:rPr>
          <w:rFonts w:ascii="Arial" w:hAnsi="Arial" w:cs="Arial"/>
          <w:sz w:val="22"/>
        </w:rPr>
        <w:t xml:space="preserve"> (Sharkiya, 2023</w:t>
      </w:r>
      <w:r w:rsidR="007044A6" w:rsidRPr="005B7184">
        <w:rPr>
          <w:rFonts w:ascii="Arial" w:hAnsi="Arial" w:cs="Arial"/>
          <w:sz w:val="22"/>
        </w:rPr>
        <w:t>).</w:t>
      </w:r>
    </w:p>
    <w:p w14:paraId="74B4F32B" w14:textId="77777777" w:rsidR="00153346" w:rsidRPr="005B7184" w:rsidRDefault="00153346" w:rsidP="005B7184">
      <w:pPr>
        <w:spacing w:after="0" w:line="360" w:lineRule="auto"/>
        <w:jc w:val="both"/>
        <w:rPr>
          <w:rFonts w:ascii="Arial" w:hAnsi="Arial" w:cs="Arial"/>
          <w:sz w:val="22"/>
        </w:rPr>
      </w:pPr>
    </w:p>
    <w:p w14:paraId="589F1DDE" w14:textId="3F90A71B" w:rsidR="00153346" w:rsidRPr="005B7184" w:rsidRDefault="00153346" w:rsidP="005B7184">
      <w:pPr>
        <w:spacing w:after="0" w:line="360" w:lineRule="auto"/>
        <w:jc w:val="both"/>
        <w:rPr>
          <w:rFonts w:ascii="Arial" w:hAnsi="Arial" w:cs="Arial"/>
          <w:sz w:val="22"/>
        </w:rPr>
      </w:pPr>
      <w:r w:rsidRPr="005B7184">
        <w:rPr>
          <w:rFonts w:ascii="Arial" w:hAnsi="Arial" w:cs="Arial"/>
          <w:sz w:val="22"/>
        </w:rPr>
        <w:t>Empathy and compassion enable support workers to understand and connect with emotional experiences of individuals facing mental health challenges. Since many clients feel misunderstood or stigmatized, demonstrating compassion helps alleviate feelings of isolation and enhance their overall experience. For example, empathetic support can greatly improve the engagement of clients with severe depression in their treatment and recovery process</w:t>
      </w:r>
      <w:r w:rsidR="002708E2" w:rsidRPr="005B7184">
        <w:rPr>
          <w:rFonts w:ascii="Arial" w:hAnsi="Arial" w:cs="Arial"/>
          <w:sz w:val="22"/>
        </w:rPr>
        <w:t>es</w:t>
      </w:r>
      <w:r w:rsidR="00687A94" w:rsidRPr="005B7184">
        <w:rPr>
          <w:rFonts w:ascii="Arial" w:hAnsi="Arial" w:cs="Arial"/>
          <w:sz w:val="22"/>
        </w:rPr>
        <w:t xml:space="preserve"> (Vusio, Odentz and Plunkett, 2025)</w:t>
      </w:r>
      <w:r w:rsidR="002708E2" w:rsidRPr="005B7184">
        <w:rPr>
          <w:rFonts w:ascii="Arial" w:hAnsi="Arial" w:cs="Arial"/>
          <w:sz w:val="22"/>
        </w:rPr>
        <w:t xml:space="preserve">. </w:t>
      </w:r>
    </w:p>
    <w:p w14:paraId="1290FBAB" w14:textId="77777777" w:rsidR="002708E2" w:rsidRPr="005B7184" w:rsidRDefault="002708E2" w:rsidP="005B7184">
      <w:pPr>
        <w:spacing w:after="0" w:line="360" w:lineRule="auto"/>
        <w:jc w:val="both"/>
        <w:rPr>
          <w:rFonts w:ascii="Arial" w:hAnsi="Arial" w:cs="Arial"/>
          <w:sz w:val="22"/>
        </w:rPr>
      </w:pPr>
    </w:p>
    <w:p w14:paraId="0D8576BA" w14:textId="1B96FCD7" w:rsidR="002708E2" w:rsidRPr="005B7184" w:rsidRDefault="002708E2" w:rsidP="005B7184">
      <w:pPr>
        <w:spacing w:after="0" w:line="360" w:lineRule="auto"/>
        <w:jc w:val="both"/>
        <w:rPr>
          <w:rFonts w:ascii="Arial" w:hAnsi="Arial" w:cs="Arial"/>
          <w:sz w:val="22"/>
        </w:rPr>
      </w:pPr>
      <w:r w:rsidRPr="005B7184">
        <w:rPr>
          <w:rFonts w:ascii="Arial" w:hAnsi="Arial" w:cs="Arial"/>
          <w:sz w:val="22"/>
        </w:rPr>
        <w:t xml:space="preserve">Problem- solving skills are crucial when navigating difficult situations, such as managing mental health crises, de-escalating potentially dangerous scenarios, or supporting clients in adhering to treatment plans. Without these skills, maintaining a safe environment and meeting </w:t>
      </w:r>
      <w:r w:rsidR="00687A94" w:rsidRPr="005B7184">
        <w:rPr>
          <w:rFonts w:ascii="Arial" w:hAnsi="Arial" w:cs="Arial"/>
          <w:sz w:val="22"/>
        </w:rPr>
        <w:t>clients’</w:t>
      </w:r>
      <w:r w:rsidRPr="005B7184">
        <w:rPr>
          <w:rFonts w:ascii="Arial" w:hAnsi="Arial" w:cs="Arial"/>
          <w:sz w:val="22"/>
        </w:rPr>
        <w:t xml:space="preserve"> needs becomes challenging</w:t>
      </w:r>
      <w:r w:rsidR="00687A94" w:rsidRPr="005B7184">
        <w:rPr>
          <w:rFonts w:ascii="Arial" w:hAnsi="Arial" w:cs="Arial"/>
          <w:sz w:val="22"/>
        </w:rPr>
        <w:t xml:space="preserve"> (Lavelle et al., 2024)</w:t>
      </w:r>
      <w:r w:rsidRPr="005B7184">
        <w:rPr>
          <w:rFonts w:ascii="Arial" w:hAnsi="Arial" w:cs="Arial"/>
          <w:sz w:val="22"/>
        </w:rPr>
        <w:t>. An example includes assisting a client who resists medication by providing reminders or collaborating with healthcare teams to explore alternative treatments.</w:t>
      </w:r>
    </w:p>
    <w:p w14:paraId="61264BFC" w14:textId="77777777" w:rsidR="002708E2" w:rsidRPr="005B7184" w:rsidRDefault="002708E2" w:rsidP="005B7184">
      <w:pPr>
        <w:spacing w:after="0" w:line="360" w:lineRule="auto"/>
        <w:jc w:val="both"/>
        <w:rPr>
          <w:rFonts w:ascii="Arial" w:hAnsi="Arial" w:cs="Arial"/>
          <w:sz w:val="22"/>
        </w:rPr>
      </w:pPr>
    </w:p>
    <w:p w14:paraId="04BD6B4A" w14:textId="572019BB" w:rsidR="002708E2" w:rsidRPr="005B7184" w:rsidRDefault="002708E2" w:rsidP="005B7184">
      <w:pPr>
        <w:spacing w:after="0" w:line="360" w:lineRule="auto"/>
        <w:jc w:val="both"/>
        <w:rPr>
          <w:rFonts w:ascii="Arial" w:hAnsi="Arial" w:cs="Arial"/>
          <w:sz w:val="22"/>
        </w:rPr>
      </w:pPr>
      <w:r w:rsidRPr="005B7184">
        <w:rPr>
          <w:rFonts w:ascii="Arial" w:hAnsi="Arial" w:cs="Arial"/>
          <w:sz w:val="22"/>
        </w:rPr>
        <w:t>A deficiency in any of these skills may lead to miscommunication, insufficient care, or escalation of mental health crises, ultimately jeopardizing client safety, impeding recovery, and undermining trust in healthcare providers</w:t>
      </w:r>
      <w:r w:rsidR="00095CB4" w:rsidRPr="005B7184">
        <w:rPr>
          <w:rFonts w:ascii="Arial" w:hAnsi="Arial" w:cs="Arial"/>
          <w:sz w:val="22"/>
        </w:rPr>
        <w:t xml:space="preserve"> (Tiwary et al., 2021)</w:t>
      </w:r>
      <w:r w:rsidRPr="005B7184">
        <w:rPr>
          <w:rFonts w:ascii="Arial" w:hAnsi="Arial" w:cs="Arial"/>
          <w:sz w:val="22"/>
        </w:rPr>
        <w:t>.</w:t>
      </w:r>
    </w:p>
    <w:p w14:paraId="43669CF8" w14:textId="77777777" w:rsidR="00E0365D" w:rsidRPr="005B7184" w:rsidRDefault="00E0365D" w:rsidP="005B7184">
      <w:pPr>
        <w:spacing w:after="0" w:line="360" w:lineRule="auto"/>
        <w:jc w:val="both"/>
        <w:rPr>
          <w:rFonts w:ascii="Arial" w:hAnsi="Arial" w:cs="Arial"/>
          <w:sz w:val="22"/>
        </w:rPr>
      </w:pPr>
    </w:p>
    <w:p w14:paraId="01C49510" w14:textId="36E8A6D9" w:rsidR="002370CE" w:rsidRPr="002976D4" w:rsidRDefault="00AA77C8" w:rsidP="00774092">
      <w:pPr>
        <w:pStyle w:val="Heading2"/>
        <w:rPr>
          <w:color w:val="4472C4" w:themeColor="accent1"/>
          <w:szCs w:val="24"/>
        </w:rPr>
      </w:pPr>
      <w:bookmarkStart w:id="3" w:name="_Toc214574139"/>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w:t>
      </w:r>
      <w:r w:rsidR="00E0365D">
        <w:rPr>
          <w:color w:val="4472C4" w:themeColor="accent1"/>
          <w:szCs w:val="24"/>
        </w:rPr>
        <w:t>Mental Health support worker</w:t>
      </w:r>
      <w:bookmarkEnd w:id="3"/>
    </w:p>
    <w:p w14:paraId="4CF2D851" w14:textId="076F81D3" w:rsidR="00F1720B" w:rsidRPr="005B7184" w:rsidRDefault="00B910D1" w:rsidP="005B7184">
      <w:pPr>
        <w:spacing w:after="0" w:line="360" w:lineRule="auto"/>
        <w:rPr>
          <w:rFonts w:ascii="Arial" w:hAnsi="Arial" w:cs="Arial"/>
          <w:sz w:val="22"/>
        </w:rPr>
      </w:pPr>
      <w:r w:rsidRPr="005B7184">
        <w:rPr>
          <w:rFonts w:ascii="Arial" w:hAnsi="Arial" w:cs="Arial"/>
          <w:sz w:val="22"/>
        </w:rPr>
        <w:t xml:space="preserve">Enhancing the competencies of </w:t>
      </w:r>
      <w:r w:rsidR="005B7184" w:rsidRPr="005B7184">
        <w:rPr>
          <w:rFonts w:ascii="Arial" w:hAnsi="Arial" w:cs="Arial"/>
          <w:sz w:val="22"/>
        </w:rPr>
        <w:t>M</w:t>
      </w:r>
      <w:r w:rsidRPr="005B7184">
        <w:rPr>
          <w:rFonts w:ascii="Arial" w:hAnsi="Arial" w:cs="Arial"/>
          <w:sz w:val="22"/>
        </w:rPr>
        <w:t>ental health support workers is essential for delivering safe and high- quality care. Three effective approaches to developing key skills such as communication, empathy, and resilience Include:</w:t>
      </w:r>
    </w:p>
    <w:p w14:paraId="61B572D0" w14:textId="77777777" w:rsidR="00B910D1" w:rsidRPr="005B7184" w:rsidRDefault="00B910D1" w:rsidP="005B7184">
      <w:pPr>
        <w:spacing w:after="0" w:line="360" w:lineRule="auto"/>
        <w:rPr>
          <w:rFonts w:ascii="Arial" w:hAnsi="Arial" w:cs="Arial"/>
          <w:sz w:val="22"/>
        </w:rPr>
      </w:pPr>
    </w:p>
    <w:p w14:paraId="0C505F20" w14:textId="0E0487BF" w:rsidR="00B910D1" w:rsidRPr="005B7184" w:rsidRDefault="00B910D1" w:rsidP="005B7184">
      <w:pPr>
        <w:pStyle w:val="ListParagraph"/>
        <w:numPr>
          <w:ilvl w:val="0"/>
          <w:numId w:val="23"/>
        </w:numPr>
        <w:spacing w:after="0" w:line="360" w:lineRule="auto"/>
        <w:rPr>
          <w:rFonts w:ascii="Arial" w:hAnsi="Arial" w:cs="Arial"/>
          <w:sz w:val="22"/>
        </w:rPr>
      </w:pPr>
      <w:r w:rsidRPr="005B7184">
        <w:rPr>
          <w:rFonts w:ascii="Arial" w:hAnsi="Arial" w:cs="Arial"/>
          <w:sz w:val="22"/>
        </w:rPr>
        <w:t xml:space="preserve">Training in Active listening and communication techniques: Active listening involves not only hearing the </w:t>
      </w:r>
      <w:r w:rsidR="00AB46AE" w:rsidRPr="005B7184">
        <w:rPr>
          <w:rFonts w:ascii="Arial" w:hAnsi="Arial" w:cs="Arial"/>
          <w:sz w:val="22"/>
        </w:rPr>
        <w:t>patients’</w:t>
      </w:r>
      <w:r w:rsidRPr="005B7184">
        <w:rPr>
          <w:rFonts w:ascii="Arial" w:hAnsi="Arial" w:cs="Arial"/>
          <w:sz w:val="22"/>
        </w:rPr>
        <w:t xml:space="preserve"> words but also comprehending their underlying emotions and concerns. Regular training sessions focusing on active listening skills, non-verbal cues, and effective questioning can substantially improve communication </w:t>
      </w:r>
      <w:r w:rsidRPr="005B7184">
        <w:rPr>
          <w:rFonts w:ascii="Arial" w:hAnsi="Arial" w:cs="Arial"/>
          <w:sz w:val="22"/>
        </w:rPr>
        <w:lastRenderedPageBreak/>
        <w:t>skills</w:t>
      </w:r>
      <w:r w:rsidR="002F7118" w:rsidRPr="005B7184">
        <w:rPr>
          <w:rFonts w:ascii="Arial" w:hAnsi="Arial" w:cs="Arial"/>
          <w:sz w:val="22"/>
        </w:rPr>
        <w:t xml:space="preserve"> (Tennant, Butler and Long, 2023</w:t>
      </w:r>
      <w:r w:rsidR="007044A6" w:rsidRPr="005B7184">
        <w:rPr>
          <w:rFonts w:ascii="Arial" w:hAnsi="Arial" w:cs="Arial"/>
          <w:sz w:val="22"/>
        </w:rPr>
        <w:t>).</w:t>
      </w:r>
      <w:r w:rsidRPr="005B7184">
        <w:rPr>
          <w:rFonts w:ascii="Arial" w:hAnsi="Arial" w:cs="Arial"/>
          <w:sz w:val="22"/>
        </w:rPr>
        <w:t xml:space="preserve"> For instance, workshops or role-playing activities allow workers to practice paraphrasing and summarising, which aid in responding accurately to patient needs. This approach fosters report, builds trust, and facilitates clear, two-way communication, ultimately enhancing. </w:t>
      </w:r>
    </w:p>
    <w:p w14:paraId="41442861" w14:textId="6E09E2D8" w:rsidR="00B910D1" w:rsidRPr="005B7184" w:rsidRDefault="00B910D1" w:rsidP="005B7184">
      <w:pPr>
        <w:spacing w:after="0" w:line="360" w:lineRule="auto"/>
        <w:ind w:left="360"/>
        <w:rPr>
          <w:rFonts w:ascii="Arial" w:hAnsi="Arial" w:cs="Arial"/>
          <w:sz w:val="22"/>
        </w:rPr>
      </w:pPr>
      <w:r w:rsidRPr="005B7184">
        <w:rPr>
          <w:rFonts w:ascii="Arial" w:hAnsi="Arial" w:cs="Arial"/>
          <w:sz w:val="22"/>
        </w:rPr>
        <w:t>patient outcomes.</w:t>
      </w:r>
    </w:p>
    <w:p w14:paraId="72D39FDD" w14:textId="77777777" w:rsidR="00B910D1" w:rsidRPr="005B7184" w:rsidRDefault="00B910D1" w:rsidP="005B7184">
      <w:pPr>
        <w:spacing w:after="0" w:line="360" w:lineRule="auto"/>
        <w:ind w:left="360"/>
        <w:rPr>
          <w:rFonts w:ascii="Arial" w:hAnsi="Arial" w:cs="Arial"/>
          <w:sz w:val="22"/>
        </w:rPr>
      </w:pPr>
    </w:p>
    <w:p w14:paraId="636B8223" w14:textId="26FDF8B4" w:rsidR="00B910D1" w:rsidRPr="005B7184" w:rsidRDefault="00B910D1" w:rsidP="005B7184">
      <w:pPr>
        <w:pStyle w:val="ListParagraph"/>
        <w:numPr>
          <w:ilvl w:val="0"/>
          <w:numId w:val="23"/>
        </w:numPr>
        <w:spacing w:after="0" w:line="360" w:lineRule="auto"/>
        <w:rPr>
          <w:rFonts w:ascii="Arial" w:hAnsi="Arial" w:cs="Arial"/>
          <w:sz w:val="22"/>
        </w:rPr>
      </w:pPr>
      <w:r w:rsidRPr="005B7184">
        <w:rPr>
          <w:rFonts w:ascii="Arial" w:hAnsi="Arial" w:cs="Arial"/>
          <w:sz w:val="22"/>
        </w:rPr>
        <w:t xml:space="preserve">Role-playing and Empathy building exercises: To cultivate empathy, support workers can participate in role-playing scenarios that stimulate the experiences of individuals with mental health conditions. These exercises enable workers to practice </w:t>
      </w:r>
      <w:r w:rsidR="00AB46AE" w:rsidRPr="005B7184">
        <w:rPr>
          <w:rFonts w:ascii="Arial" w:hAnsi="Arial" w:cs="Arial"/>
          <w:sz w:val="22"/>
        </w:rPr>
        <w:t>responding compassionately to patients fears, frustrations, or distress. Such activities deepen understanding of patient’s emotional states, thereby improving the ability to provide meaningful emotional support and strengthen patient-worker connections</w:t>
      </w:r>
      <w:r w:rsidR="00B70715" w:rsidRPr="005B7184">
        <w:rPr>
          <w:rFonts w:ascii="Arial" w:hAnsi="Arial" w:cs="Arial"/>
          <w:sz w:val="22"/>
        </w:rPr>
        <w:t xml:space="preserve"> (Winter et al., 2022</w:t>
      </w:r>
      <w:r w:rsidR="007044A6" w:rsidRPr="005B7184">
        <w:rPr>
          <w:rFonts w:ascii="Arial" w:hAnsi="Arial" w:cs="Arial"/>
          <w:sz w:val="22"/>
        </w:rPr>
        <w:t>).</w:t>
      </w:r>
    </w:p>
    <w:p w14:paraId="3840EFB3" w14:textId="77777777" w:rsidR="00AB46AE" w:rsidRPr="005B7184" w:rsidRDefault="00AB46AE" w:rsidP="005B7184">
      <w:pPr>
        <w:spacing w:after="0" w:line="360" w:lineRule="auto"/>
        <w:rPr>
          <w:rFonts w:ascii="Arial" w:hAnsi="Arial" w:cs="Arial"/>
          <w:sz w:val="22"/>
        </w:rPr>
      </w:pPr>
    </w:p>
    <w:p w14:paraId="440DAEF8" w14:textId="7B7349C9" w:rsidR="00AB46AE" w:rsidRPr="005B7184" w:rsidRDefault="00AB46AE" w:rsidP="005B7184">
      <w:pPr>
        <w:pStyle w:val="ListParagraph"/>
        <w:numPr>
          <w:ilvl w:val="0"/>
          <w:numId w:val="23"/>
        </w:numPr>
        <w:spacing w:after="0" w:line="360" w:lineRule="auto"/>
        <w:rPr>
          <w:rFonts w:ascii="Arial" w:hAnsi="Arial" w:cs="Arial"/>
          <w:sz w:val="22"/>
        </w:rPr>
      </w:pPr>
      <w:r w:rsidRPr="005B7184">
        <w:rPr>
          <w:rFonts w:ascii="Arial" w:hAnsi="Arial" w:cs="Arial"/>
          <w:sz w:val="22"/>
        </w:rPr>
        <w:t>Stress management and Resilience- Building Workshops:  Given the emotional demands of the role, it is vital for support workers to engage in stress management and resilience training. These programs typically teach coping mechanisms like mindfulness, relaxation techniques, and time management. By recognizing early signs of burn out or emotional fatigue, workers can pro-actively manage stress to maintain their well-being. Techniques such as deep breathing or guided meditation help workers remain calm during challenging situations ensuring sustained, effective care delivery</w:t>
      </w:r>
      <w:r w:rsidR="001E566D" w:rsidRPr="005B7184">
        <w:rPr>
          <w:rFonts w:ascii="Arial" w:hAnsi="Arial" w:cs="Arial"/>
          <w:sz w:val="22"/>
        </w:rPr>
        <w:t xml:space="preserve"> (Dossett et al., 2020</w:t>
      </w:r>
      <w:r w:rsidR="007044A6" w:rsidRPr="005B7184">
        <w:rPr>
          <w:rFonts w:ascii="Arial" w:hAnsi="Arial" w:cs="Arial"/>
          <w:sz w:val="22"/>
        </w:rPr>
        <w:t>).</w:t>
      </w:r>
    </w:p>
    <w:p w14:paraId="6CB024FA" w14:textId="77777777" w:rsidR="00AB46AE" w:rsidRPr="005B7184" w:rsidRDefault="00AB46AE" w:rsidP="005B7184">
      <w:pPr>
        <w:pStyle w:val="ListParagraph"/>
        <w:spacing w:line="360" w:lineRule="auto"/>
        <w:rPr>
          <w:rFonts w:ascii="Arial" w:hAnsi="Arial" w:cs="Arial"/>
          <w:sz w:val="22"/>
        </w:rPr>
      </w:pPr>
    </w:p>
    <w:p w14:paraId="56BEB199" w14:textId="555447F4" w:rsidR="00AB46AE" w:rsidRPr="005B7184" w:rsidRDefault="00AB46AE" w:rsidP="005B7184">
      <w:pPr>
        <w:pStyle w:val="ListParagraph"/>
        <w:spacing w:after="0" w:line="360" w:lineRule="auto"/>
        <w:rPr>
          <w:rFonts w:ascii="Arial" w:hAnsi="Arial" w:cs="Arial"/>
          <w:sz w:val="22"/>
        </w:rPr>
      </w:pPr>
      <w:r w:rsidRPr="005B7184">
        <w:rPr>
          <w:rFonts w:ascii="Arial" w:hAnsi="Arial" w:cs="Arial"/>
          <w:sz w:val="22"/>
        </w:rPr>
        <w:t>Implementing these strategies is fundamental to advancing the essential skills required for mental health support workers to perform their roles competently and compassionately.</w:t>
      </w:r>
    </w:p>
    <w:p w14:paraId="2703A512" w14:textId="77777777" w:rsidR="00500295" w:rsidRPr="00242974" w:rsidRDefault="00500295" w:rsidP="00500295">
      <w:pPr>
        <w:spacing w:after="0"/>
        <w:rPr>
          <w:sz w:val="21"/>
          <w:szCs w:val="21"/>
        </w:rPr>
      </w:pPr>
    </w:p>
    <w:p w14:paraId="1497148C" w14:textId="6FE2C4CD" w:rsidR="00A946CB" w:rsidRPr="002976D4" w:rsidRDefault="00AA77C8" w:rsidP="00A946CB">
      <w:pPr>
        <w:pStyle w:val="Heading2"/>
        <w:rPr>
          <w:color w:val="4472C4" w:themeColor="accent1"/>
          <w:szCs w:val="24"/>
        </w:rPr>
      </w:pPr>
      <w:bookmarkStart w:id="4" w:name="_Toc214574140"/>
      <w:r w:rsidRPr="002976D4">
        <w:rPr>
          <w:color w:val="4472C4" w:themeColor="accent1"/>
          <w:szCs w:val="24"/>
        </w:rPr>
        <w:t>1</w:t>
      </w:r>
      <w:r w:rsidR="00A946CB" w:rsidRPr="002976D4">
        <w:rPr>
          <w:color w:val="4472C4" w:themeColor="accent1"/>
          <w:szCs w:val="24"/>
        </w:rPr>
        <w:t>.4 Conclusion</w:t>
      </w:r>
      <w:bookmarkEnd w:id="4"/>
    </w:p>
    <w:p w14:paraId="76565AE3" w14:textId="6120995C" w:rsidR="003458DB" w:rsidRPr="005B7184" w:rsidRDefault="004058A3" w:rsidP="005B7184">
      <w:pPr>
        <w:spacing w:after="0" w:line="360" w:lineRule="auto"/>
        <w:rPr>
          <w:rFonts w:ascii="Arial" w:hAnsi="Arial" w:cs="Arial"/>
          <w:sz w:val="22"/>
        </w:rPr>
      </w:pPr>
      <w:r w:rsidRPr="005B7184">
        <w:rPr>
          <w:rFonts w:ascii="Arial" w:hAnsi="Arial" w:cs="Arial"/>
          <w:sz w:val="22"/>
        </w:rPr>
        <w:t>The position of a mental health support worker is essential in delivering compassionate and effective care to individuals experiencing mental health difficulties. Key competencies such as effective communication, empathy, and resilience are fundamental to ensuring patient safety, well-being, and fostering positive therapeutic outcomes. Through the implementation of focused approaches, including active listening training, empathy development activities, and resilience enhancement workshops, these workers can refine their abilities and elevate their professional effectiveness. Ultimately, prioritizing the advancement of these skills is critical to providing high-quality care and aiding patients throughout their recovery process.</w:t>
      </w:r>
    </w:p>
    <w:p w14:paraId="41B7200E" w14:textId="77777777" w:rsidR="00AB46AE" w:rsidRDefault="00AB46AE" w:rsidP="00AB46AE">
      <w:pPr>
        <w:pStyle w:val="ListParagraph"/>
        <w:spacing w:after="0" w:line="240" w:lineRule="auto"/>
        <w:rPr>
          <w:sz w:val="21"/>
          <w:szCs w:val="21"/>
        </w:rPr>
      </w:pPr>
    </w:p>
    <w:p w14:paraId="6274D4A8" w14:textId="77777777" w:rsidR="004058A3" w:rsidRDefault="004058A3" w:rsidP="00AB46AE">
      <w:pPr>
        <w:pStyle w:val="ListParagraph"/>
        <w:spacing w:after="0" w:line="240" w:lineRule="auto"/>
        <w:rPr>
          <w:sz w:val="21"/>
          <w:szCs w:val="21"/>
        </w:rPr>
      </w:pPr>
    </w:p>
    <w:p w14:paraId="5A261BE5" w14:textId="77777777" w:rsidR="004058A3" w:rsidRDefault="004058A3" w:rsidP="00AB46AE">
      <w:pPr>
        <w:pStyle w:val="ListParagraph"/>
        <w:spacing w:after="0" w:line="240" w:lineRule="auto"/>
        <w:rPr>
          <w:sz w:val="21"/>
          <w:szCs w:val="21"/>
        </w:rPr>
      </w:pPr>
    </w:p>
    <w:p w14:paraId="773B4DDB" w14:textId="77777777" w:rsidR="004058A3" w:rsidRDefault="004058A3" w:rsidP="00AB46AE">
      <w:pPr>
        <w:pStyle w:val="ListParagraph"/>
        <w:spacing w:after="0" w:line="240" w:lineRule="auto"/>
        <w:rPr>
          <w:sz w:val="21"/>
          <w:szCs w:val="21"/>
        </w:rPr>
      </w:pPr>
    </w:p>
    <w:p w14:paraId="78EE5ACE" w14:textId="77777777" w:rsidR="004058A3" w:rsidRDefault="004058A3" w:rsidP="00AB46AE">
      <w:pPr>
        <w:pStyle w:val="ListParagraph"/>
        <w:spacing w:after="0" w:line="240" w:lineRule="auto"/>
        <w:rPr>
          <w:sz w:val="21"/>
          <w:szCs w:val="21"/>
        </w:rPr>
      </w:pPr>
    </w:p>
    <w:p w14:paraId="21B350E1" w14:textId="77777777" w:rsidR="004058A3" w:rsidRDefault="004058A3" w:rsidP="00AB46AE">
      <w:pPr>
        <w:pStyle w:val="ListParagraph"/>
        <w:spacing w:after="0" w:line="240" w:lineRule="auto"/>
        <w:rPr>
          <w:sz w:val="21"/>
          <w:szCs w:val="21"/>
        </w:rPr>
      </w:pPr>
    </w:p>
    <w:p w14:paraId="331A7247" w14:textId="77777777" w:rsidR="004058A3" w:rsidRDefault="004058A3" w:rsidP="00AB46AE">
      <w:pPr>
        <w:pStyle w:val="ListParagraph"/>
        <w:spacing w:after="0" w:line="240" w:lineRule="auto"/>
        <w:rPr>
          <w:sz w:val="21"/>
          <w:szCs w:val="21"/>
        </w:rPr>
      </w:pPr>
    </w:p>
    <w:p w14:paraId="017D6B2B" w14:textId="77777777" w:rsidR="004058A3" w:rsidRDefault="004058A3" w:rsidP="00AB46AE">
      <w:pPr>
        <w:pStyle w:val="ListParagraph"/>
        <w:spacing w:after="0" w:line="240" w:lineRule="auto"/>
        <w:rPr>
          <w:sz w:val="21"/>
          <w:szCs w:val="21"/>
        </w:rPr>
      </w:pPr>
    </w:p>
    <w:p w14:paraId="7DE4A9E1" w14:textId="77777777" w:rsidR="004058A3" w:rsidRDefault="004058A3" w:rsidP="00AB46AE">
      <w:pPr>
        <w:pStyle w:val="ListParagraph"/>
        <w:spacing w:after="0" w:line="240" w:lineRule="auto"/>
        <w:rPr>
          <w:sz w:val="21"/>
          <w:szCs w:val="21"/>
        </w:rPr>
      </w:pPr>
    </w:p>
    <w:p w14:paraId="2A059599" w14:textId="77777777" w:rsidR="004058A3" w:rsidRDefault="004058A3" w:rsidP="00AB46AE">
      <w:pPr>
        <w:pStyle w:val="ListParagraph"/>
        <w:spacing w:after="0" w:line="240" w:lineRule="auto"/>
        <w:rPr>
          <w:sz w:val="21"/>
          <w:szCs w:val="21"/>
        </w:rPr>
      </w:pPr>
    </w:p>
    <w:p w14:paraId="00A2CEEA" w14:textId="77777777" w:rsidR="004058A3" w:rsidRDefault="004058A3" w:rsidP="00AB46AE">
      <w:pPr>
        <w:pStyle w:val="ListParagraph"/>
        <w:spacing w:after="0" w:line="240" w:lineRule="auto"/>
        <w:rPr>
          <w:sz w:val="21"/>
          <w:szCs w:val="21"/>
        </w:rPr>
      </w:pPr>
    </w:p>
    <w:p w14:paraId="3A4A4177" w14:textId="77777777" w:rsidR="004058A3" w:rsidRDefault="004058A3" w:rsidP="00AB46AE">
      <w:pPr>
        <w:pStyle w:val="ListParagraph"/>
        <w:spacing w:after="0" w:line="240" w:lineRule="auto"/>
        <w:rPr>
          <w:sz w:val="21"/>
          <w:szCs w:val="21"/>
        </w:rPr>
      </w:pPr>
    </w:p>
    <w:p w14:paraId="024D760C" w14:textId="77777777" w:rsidR="004058A3" w:rsidRDefault="004058A3" w:rsidP="00AB46AE">
      <w:pPr>
        <w:pStyle w:val="ListParagraph"/>
        <w:spacing w:after="0" w:line="240" w:lineRule="auto"/>
        <w:rPr>
          <w:sz w:val="21"/>
          <w:szCs w:val="21"/>
        </w:rPr>
      </w:pPr>
    </w:p>
    <w:p w14:paraId="31215697" w14:textId="77777777" w:rsidR="004058A3" w:rsidRDefault="004058A3" w:rsidP="00AB46AE">
      <w:pPr>
        <w:pStyle w:val="ListParagraph"/>
        <w:spacing w:after="0" w:line="240" w:lineRule="auto"/>
        <w:rPr>
          <w:sz w:val="21"/>
          <w:szCs w:val="21"/>
        </w:rPr>
      </w:pPr>
    </w:p>
    <w:p w14:paraId="4686737B" w14:textId="77777777" w:rsidR="004058A3" w:rsidRDefault="004058A3" w:rsidP="00AB46AE">
      <w:pPr>
        <w:pStyle w:val="ListParagraph"/>
        <w:spacing w:after="0" w:line="240" w:lineRule="auto"/>
        <w:rPr>
          <w:sz w:val="21"/>
          <w:szCs w:val="21"/>
        </w:rPr>
      </w:pPr>
    </w:p>
    <w:p w14:paraId="4AC17EA8" w14:textId="77777777" w:rsidR="004058A3" w:rsidRDefault="004058A3" w:rsidP="00AB46AE">
      <w:pPr>
        <w:pStyle w:val="ListParagraph"/>
        <w:spacing w:after="0" w:line="240" w:lineRule="auto"/>
        <w:rPr>
          <w:sz w:val="21"/>
          <w:szCs w:val="21"/>
        </w:rPr>
      </w:pPr>
    </w:p>
    <w:p w14:paraId="111EC35C" w14:textId="77777777" w:rsidR="004058A3" w:rsidRDefault="004058A3" w:rsidP="00AB46AE">
      <w:pPr>
        <w:pStyle w:val="ListParagraph"/>
        <w:spacing w:after="0" w:line="240" w:lineRule="auto"/>
        <w:rPr>
          <w:sz w:val="21"/>
          <w:szCs w:val="21"/>
        </w:rPr>
      </w:pPr>
    </w:p>
    <w:p w14:paraId="14476C68" w14:textId="77777777" w:rsidR="004058A3" w:rsidRDefault="004058A3" w:rsidP="00AB46AE">
      <w:pPr>
        <w:pStyle w:val="ListParagraph"/>
        <w:spacing w:after="0" w:line="240" w:lineRule="auto"/>
        <w:rPr>
          <w:sz w:val="21"/>
          <w:szCs w:val="21"/>
        </w:rPr>
      </w:pPr>
    </w:p>
    <w:p w14:paraId="631B429E" w14:textId="77777777" w:rsidR="004058A3" w:rsidRDefault="004058A3" w:rsidP="00AB46AE">
      <w:pPr>
        <w:pStyle w:val="ListParagraph"/>
        <w:spacing w:after="0" w:line="240" w:lineRule="auto"/>
        <w:rPr>
          <w:sz w:val="21"/>
          <w:szCs w:val="21"/>
        </w:rPr>
      </w:pPr>
    </w:p>
    <w:p w14:paraId="25F2620B" w14:textId="77777777" w:rsidR="004058A3" w:rsidRDefault="004058A3" w:rsidP="00AB46AE">
      <w:pPr>
        <w:pStyle w:val="ListParagraph"/>
        <w:spacing w:after="0" w:line="240" w:lineRule="auto"/>
        <w:rPr>
          <w:sz w:val="21"/>
          <w:szCs w:val="21"/>
        </w:rPr>
      </w:pPr>
    </w:p>
    <w:p w14:paraId="3FB96048" w14:textId="77777777" w:rsidR="004058A3" w:rsidRDefault="004058A3" w:rsidP="00AB46AE">
      <w:pPr>
        <w:pStyle w:val="ListParagraph"/>
        <w:spacing w:after="0" w:line="240" w:lineRule="auto"/>
        <w:rPr>
          <w:sz w:val="21"/>
          <w:szCs w:val="21"/>
        </w:rPr>
      </w:pPr>
    </w:p>
    <w:p w14:paraId="5353A231" w14:textId="77777777" w:rsidR="004058A3" w:rsidRDefault="004058A3" w:rsidP="00AB46AE">
      <w:pPr>
        <w:pStyle w:val="ListParagraph"/>
        <w:spacing w:after="0" w:line="240" w:lineRule="auto"/>
        <w:rPr>
          <w:sz w:val="21"/>
          <w:szCs w:val="21"/>
        </w:rPr>
      </w:pPr>
    </w:p>
    <w:p w14:paraId="3A6E1E1D" w14:textId="77777777" w:rsidR="004058A3" w:rsidRDefault="004058A3" w:rsidP="00AB46AE">
      <w:pPr>
        <w:pStyle w:val="ListParagraph"/>
        <w:spacing w:after="0" w:line="240" w:lineRule="auto"/>
        <w:rPr>
          <w:sz w:val="21"/>
          <w:szCs w:val="21"/>
        </w:rPr>
      </w:pPr>
    </w:p>
    <w:p w14:paraId="60FB0E66" w14:textId="77777777" w:rsidR="004058A3" w:rsidRDefault="004058A3" w:rsidP="00AB46AE">
      <w:pPr>
        <w:pStyle w:val="ListParagraph"/>
        <w:spacing w:after="0" w:line="240" w:lineRule="auto"/>
        <w:rPr>
          <w:sz w:val="21"/>
          <w:szCs w:val="21"/>
        </w:rPr>
      </w:pPr>
    </w:p>
    <w:p w14:paraId="6B5AB0CB" w14:textId="77777777" w:rsidR="004058A3" w:rsidRDefault="004058A3" w:rsidP="00AB46AE">
      <w:pPr>
        <w:pStyle w:val="ListParagraph"/>
        <w:spacing w:after="0" w:line="240" w:lineRule="auto"/>
        <w:rPr>
          <w:sz w:val="21"/>
          <w:szCs w:val="21"/>
        </w:rPr>
      </w:pPr>
    </w:p>
    <w:p w14:paraId="57131C9A" w14:textId="77777777" w:rsidR="004058A3" w:rsidRDefault="004058A3" w:rsidP="00AB46AE">
      <w:pPr>
        <w:pStyle w:val="ListParagraph"/>
        <w:spacing w:after="0" w:line="240" w:lineRule="auto"/>
        <w:rPr>
          <w:sz w:val="21"/>
          <w:szCs w:val="21"/>
        </w:rPr>
      </w:pPr>
    </w:p>
    <w:p w14:paraId="6C9652BA" w14:textId="77777777" w:rsidR="004058A3" w:rsidRDefault="004058A3" w:rsidP="00AB46AE">
      <w:pPr>
        <w:pStyle w:val="ListParagraph"/>
        <w:spacing w:after="0" w:line="240" w:lineRule="auto"/>
        <w:rPr>
          <w:sz w:val="21"/>
          <w:szCs w:val="21"/>
        </w:rPr>
      </w:pPr>
    </w:p>
    <w:p w14:paraId="15CAF571" w14:textId="77777777" w:rsidR="004058A3" w:rsidRDefault="004058A3" w:rsidP="00AB46AE">
      <w:pPr>
        <w:pStyle w:val="ListParagraph"/>
        <w:spacing w:after="0" w:line="240" w:lineRule="auto"/>
        <w:rPr>
          <w:sz w:val="21"/>
          <w:szCs w:val="21"/>
        </w:rPr>
      </w:pPr>
    </w:p>
    <w:p w14:paraId="037A09B9" w14:textId="77777777" w:rsidR="004058A3" w:rsidRDefault="004058A3" w:rsidP="00AB46AE">
      <w:pPr>
        <w:pStyle w:val="ListParagraph"/>
        <w:spacing w:after="0" w:line="240" w:lineRule="auto"/>
        <w:rPr>
          <w:sz w:val="21"/>
          <w:szCs w:val="21"/>
        </w:rPr>
      </w:pPr>
    </w:p>
    <w:p w14:paraId="741870A5" w14:textId="77777777" w:rsidR="004058A3" w:rsidRDefault="004058A3" w:rsidP="00AB46AE">
      <w:pPr>
        <w:pStyle w:val="ListParagraph"/>
        <w:spacing w:after="0" w:line="240" w:lineRule="auto"/>
        <w:rPr>
          <w:sz w:val="21"/>
          <w:szCs w:val="21"/>
        </w:rPr>
      </w:pPr>
    </w:p>
    <w:p w14:paraId="785269EE" w14:textId="77777777" w:rsidR="004058A3" w:rsidRDefault="004058A3" w:rsidP="00AB46AE">
      <w:pPr>
        <w:pStyle w:val="ListParagraph"/>
        <w:spacing w:after="0" w:line="240" w:lineRule="auto"/>
        <w:rPr>
          <w:sz w:val="21"/>
          <w:szCs w:val="21"/>
        </w:rPr>
      </w:pPr>
    </w:p>
    <w:p w14:paraId="05638639" w14:textId="77777777" w:rsidR="004058A3" w:rsidRDefault="004058A3" w:rsidP="00AB46AE">
      <w:pPr>
        <w:pStyle w:val="ListParagraph"/>
        <w:spacing w:after="0" w:line="240" w:lineRule="auto"/>
        <w:rPr>
          <w:sz w:val="21"/>
          <w:szCs w:val="21"/>
        </w:rPr>
      </w:pPr>
    </w:p>
    <w:p w14:paraId="394B46A5" w14:textId="77777777" w:rsidR="004058A3" w:rsidRDefault="004058A3" w:rsidP="00AB46AE">
      <w:pPr>
        <w:pStyle w:val="ListParagraph"/>
        <w:spacing w:after="0" w:line="240" w:lineRule="auto"/>
        <w:rPr>
          <w:sz w:val="21"/>
          <w:szCs w:val="21"/>
        </w:rPr>
      </w:pPr>
    </w:p>
    <w:p w14:paraId="1645E1FD" w14:textId="77777777" w:rsidR="004058A3" w:rsidRDefault="004058A3" w:rsidP="00AB46AE">
      <w:pPr>
        <w:pStyle w:val="ListParagraph"/>
        <w:spacing w:after="0" w:line="240" w:lineRule="auto"/>
        <w:rPr>
          <w:sz w:val="21"/>
          <w:szCs w:val="21"/>
        </w:rPr>
      </w:pPr>
    </w:p>
    <w:p w14:paraId="6792182B" w14:textId="77777777" w:rsidR="004058A3" w:rsidRDefault="004058A3" w:rsidP="00AB46AE">
      <w:pPr>
        <w:pStyle w:val="ListParagraph"/>
        <w:spacing w:after="0" w:line="240" w:lineRule="auto"/>
        <w:rPr>
          <w:sz w:val="21"/>
          <w:szCs w:val="21"/>
        </w:rPr>
      </w:pPr>
    </w:p>
    <w:p w14:paraId="17316457" w14:textId="77777777" w:rsidR="004058A3" w:rsidRDefault="004058A3" w:rsidP="00AB46AE">
      <w:pPr>
        <w:pStyle w:val="ListParagraph"/>
        <w:spacing w:after="0" w:line="240" w:lineRule="auto"/>
        <w:rPr>
          <w:sz w:val="21"/>
          <w:szCs w:val="21"/>
        </w:rPr>
      </w:pPr>
    </w:p>
    <w:p w14:paraId="396DE8EF" w14:textId="77777777" w:rsidR="004058A3" w:rsidRDefault="004058A3" w:rsidP="00AB46AE">
      <w:pPr>
        <w:pStyle w:val="ListParagraph"/>
        <w:spacing w:after="0" w:line="240" w:lineRule="auto"/>
        <w:rPr>
          <w:sz w:val="21"/>
          <w:szCs w:val="21"/>
        </w:rPr>
      </w:pPr>
    </w:p>
    <w:p w14:paraId="20CC4BA1" w14:textId="77777777" w:rsidR="004058A3" w:rsidRPr="00242974" w:rsidRDefault="004058A3" w:rsidP="00AB46AE">
      <w:pPr>
        <w:pStyle w:val="ListParagraph"/>
        <w:spacing w:after="0" w:line="240" w:lineRule="auto"/>
        <w:rPr>
          <w:sz w:val="21"/>
          <w:szCs w:val="21"/>
        </w:rPr>
      </w:pPr>
    </w:p>
    <w:p w14:paraId="6C4B494D" w14:textId="763B24A0" w:rsidR="00226D31" w:rsidRPr="002976D4" w:rsidRDefault="00AA77C8" w:rsidP="00226D31">
      <w:pPr>
        <w:pStyle w:val="Heading2"/>
        <w:rPr>
          <w:color w:val="4472C4" w:themeColor="accent1"/>
          <w:szCs w:val="24"/>
        </w:rPr>
      </w:pPr>
      <w:bookmarkStart w:id="5" w:name="_Toc214574141"/>
      <w:r w:rsidRPr="002976D4">
        <w:rPr>
          <w:color w:val="4472C4" w:themeColor="accent1"/>
          <w:szCs w:val="24"/>
        </w:rPr>
        <w:t>1</w:t>
      </w:r>
      <w:r w:rsidR="00226D31" w:rsidRPr="002976D4">
        <w:rPr>
          <w:color w:val="4472C4" w:themeColor="accent1"/>
          <w:szCs w:val="24"/>
        </w:rPr>
        <w:t>.5 Reference List</w:t>
      </w:r>
      <w:bookmarkEnd w:id="5"/>
    </w:p>
    <w:p w14:paraId="0C7319A3" w14:textId="7B646114" w:rsidR="00FC14B4" w:rsidRPr="00FC14B4" w:rsidRDefault="00FC14B4" w:rsidP="00FC14B4">
      <w:pPr>
        <w:spacing w:after="240" w:line="360" w:lineRule="auto"/>
        <w:outlineLvl w:val="0"/>
        <w:rPr>
          <w:rFonts w:ascii="Arial" w:eastAsia="Times New Roman" w:hAnsi="Arial" w:cs="Arial"/>
          <w:b/>
          <w:bCs/>
          <w:kern w:val="36"/>
          <w:sz w:val="33"/>
          <w:szCs w:val="33"/>
          <w:lang w:val="fr-FR" w:eastAsia="en-GB"/>
          <w14:ligatures w14:val="none"/>
        </w:rPr>
      </w:pPr>
    </w:p>
    <w:p w14:paraId="36AB3445" w14:textId="06730855" w:rsidR="00FC14B4" w:rsidRPr="00FC14B4" w:rsidRDefault="00FC14B4" w:rsidP="00FC14B4">
      <w:pPr>
        <w:spacing w:after="240" w:line="360" w:lineRule="auto"/>
        <w:rPr>
          <w:rFonts w:ascii="Arial" w:eastAsia="Times New Roman" w:hAnsi="Arial" w:cs="Arial"/>
          <w:kern w:val="0"/>
          <w:sz w:val="22"/>
          <w:lang w:val="fr-FR" w:eastAsia="en-GB"/>
          <w14:ligatures w14:val="none"/>
        </w:rPr>
      </w:pPr>
      <w:r w:rsidRPr="00FC14B4">
        <w:rPr>
          <w:rFonts w:ascii="Arial" w:eastAsia="Times New Roman" w:hAnsi="Arial" w:cs="Arial"/>
          <w:kern w:val="0"/>
          <w:sz w:val="22"/>
          <w:lang w:val="fr-FR" w:eastAsia="en-GB"/>
          <w14:ligatures w14:val="none"/>
        </w:rPr>
        <w:t xml:space="preserve">Dossett, M.L. </w:t>
      </w:r>
      <w:r w:rsidRPr="00FC14B4">
        <w:rPr>
          <w:rFonts w:ascii="Arial" w:eastAsia="Times New Roman" w:hAnsi="Arial" w:cs="Arial"/>
          <w:i/>
          <w:iCs/>
          <w:kern w:val="0"/>
          <w:sz w:val="22"/>
          <w:lang w:val="fr-FR" w:eastAsia="en-GB"/>
          <w14:ligatures w14:val="none"/>
        </w:rPr>
        <w:t>et al.</w:t>
      </w:r>
      <w:r w:rsidRPr="00FC14B4">
        <w:rPr>
          <w:rFonts w:ascii="Arial" w:eastAsia="Times New Roman" w:hAnsi="Arial" w:cs="Arial"/>
          <w:kern w:val="0"/>
          <w:sz w:val="22"/>
          <w:lang w:val="fr-FR" w:eastAsia="en-GB"/>
          <w14:ligatures w14:val="none"/>
        </w:rPr>
        <w:t xml:space="preserve"> </w:t>
      </w:r>
      <w:r w:rsidRPr="00FC14B4">
        <w:rPr>
          <w:rFonts w:ascii="Arial" w:eastAsia="Times New Roman" w:hAnsi="Arial" w:cs="Arial"/>
          <w:kern w:val="0"/>
          <w:sz w:val="22"/>
          <w:lang w:eastAsia="en-GB"/>
          <w14:ligatures w14:val="none"/>
        </w:rPr>
        <w:t xml:space="preserve">(2020) ‘Stress Management and Resiliency Training for Healthcare Professionals’, </w:t>
      </w:r>
      <w:r w:rsidRPr="00FC14B4">
        <w:rPr>
          <w:rFonts w:ascii="Arial" w:eastAsia="Times New Roman" w:hAnsi="Arial" w:cs="Arial"/>
          <w:i/>
          <w:iCs/>
          <w:kern w:val="0"/>
          <w:sz w:val="22"/>
          <w:lang w:eastAsia="en-GB"/>
          <w14:ligatures w14:val="none"/>
        </w:rPr>
        <w:t>Journal of Occupational &amp; Environmental Medicine</w:t>
      </w:r>
      <w:r w:rsidRPr="00FC14B4">
        <w:rPr>
          <w:rFonts w:ascii="Arial" w:eastAsia="Times New Roman" w:hAnsi="Arial" w:cs="Arial"/>
          <w:kern w:val="0"/>
          <w:sz w:val="22"/>
          <w:lang w:eastAsia="en-GB"/>
          <w14:ligatures w14:val="none"/>
        </w:rPr>
        <w:t xml:space="preserve">, 63(1). </w:t>
      </w:r>
      <w:r w:rsidRPr="00FC14B4">
        <w:rPr>
          <w:rFonts w:ascii="Arial" w:eastAsia="Times New Roman" w:hAnsi="Arial" w:cs="Arial"/>
          <w:kern w:val="0"/>
          <w:sz w:val="22"/>
          <w:lang w:val="fr-FR" w:eastAsia="en-GB"/>
          <w14:ligatures w14:val="none"/>
        </w:rPr>
        <w:t xml:space="preserve">Available </w:t>
      </w:r>
      <w:r w:rsidR="007044A6" w:rsidRPr="00FC14B4">
        <w:rPr>
          <w:rFonts w:ascii="Arial" w:eastAsia="Times New Roman" w:hAnsi="Arial" w:cs="Arial"/>
          <w:kern w:val="0"/>
          <w:sz w:val="22"/>
          <w:lang w:val="fr-FR" w:eastAsia="en-GB"/>
          <w14:ligatures w14:val="none"/>
        </w:rPr>
        <w:t>at :</w:t>
      </w:r>
      <w:r w:rsidRPr="00FC14B4">
        <w:rPr>
          <w:rFonts w:ascii="Arial" w:eastAsia="Times New Roman" w:hAnsi="Arial" w:cs="Arial"/>
          <w:kern w:val="0"/>
          <w:sz w:val="22"/>
          <w:lang w:val="fr-FR" w:eastAsia="en-GB"/>
          <w14:ligatures w14:val="none"/>
        </w:rPr>
        <w:t xml:space="preserve"> </w:t>
      </w:r>
      <w:hyperlink r:id="rId9" w:history="1">
        <w:r w:rsidRPr="00FC14B4">
          <w:rPr>
            <w:rStyle w:val="Hyperlink"/>
            <w:rFonts w:ascii="Arial" w:eastAsia="Times New Roman" w:hAnsi="Arial" w:cs="Arial"/>
            <w:kern w:val="0"/>
            <w:sz w:val="22"/>
            <w:lang w:val="fr-FR" w:eastAsia="en-GB"/>
            <w14:ligatures w14:val="none"/>
          </w:rPr>
          <w:t>https://doi.org/10.1097/jom.0000000000002071</w:t>
        </w:r>
      </w:hyperlink>
      <w:r w:rsidRPr="00FC14B4">
        <w:rPr>
          <w:rFonts w:ascii="Arial" w:eastAsia="Times New Roman" w:hAnsi="Arial" w:cs="Arial"/>
          <w:kern w:val="0"/>
          <w:sz w:val="22"/>
          <w:lang w:val="fr-FR" w:eastAsia="en-GB"/>
          <w14:ligatures w14:val="none"/>
        </w:rPr>
        <w:t>.</w:t>
      </w:r>
      <w:r>
        <w:rPr>
          <w:rFonts w:ascii="Arial" w:eastAsia="Times New Roman" w:hAnsi="Arial" w:cs="Arial"/>
          <w:kern w:val="0"/>
          <w:sz w:val="22"/>
          <w:lang w:val="fr-FR" w:eastAsia="en-GB"/>
          <w14:ligatures w14:val="none"/>
        </w:rPr>
        <w:t xml:space="preserve"> </w:t>
      </w:r>
      <w:r w:rsidR="007044A6">
        <w:rPr>
          <w:rFonts w:ascii="Arial" w:eastAsia="Times New Roman" w:hAnsi="Arial" w:cs="Arial"/>
          <w:kern w:val="0"/>
          <w:sz w:val="22"/>
          <w:lang w:val="fr-FR" w:eastAsia="en-GB"/>
          <w14:ligatures w14:val="none"/>
        </w:rPr>
        <w:t>(Accessed</w:t>
      </w:r>
      <w:r>
        <w:rPr>
          <w:rFonts w:ascii="Arial" w:eastAsia="Times New Roman" w:hAnsi="Arial" w:cs="Arial"/>
          <w:kern w:val="0"/>
          <w:sz w:val="22"/>
          <w:lang w:val="fr-FR" w:eastAsia="en-GB"/>
          <w14:ligatures w14:val="none"/>
        </w:rPr>
        <w:t xml:space="preserve"> 2 November 2025)</w:t>
      </w:r>
    </w:p>
    <w:p w14:paraId="6100FB6E" w14:textId="7B082DFF" w:rsidR="00FC14B4" w:rsidRPr="00FC14B4" w:rsidRDefault="00FC14B4" w:rsidP="00FC14B4">
      <w:pPr>
        <w:spacing w:after="240" w:line="360" w:lineRule="auto"/>
        <w:rPr>
          <w:rFonts w:ascii="Arial" w:eastAsia="Times New Roman" w:hAnsi="Arial" w:cs="Arial"/>
          <w:kern w:val="0"/>
          <w:sz w:val="22"/>
          <w:lang w:val="fr-FR" w:eastAsia="en-GB"/>
          <w14:ligatures w14:val="none"/>
        </w:rPr>
      </w:pPr>
      <w:r w:rsidRPr="00FC14B4">
        <w:rPr>
          <w:rFonts w:ascii="Arial" w:eastAsia="Times New Roman" w:hAnsi="Arial" w:cs="Arial"/>
          <w:kern w:val="0"/>
          <w:sz w:val="22"/>
          <w:lang w:val="fr-FR" w:eastAsia="en-GB"/>
          <w14:ligatures w14:val="none"/>
        </w:rPr>
        <w:lastRenderedPageBreak/>
        <w:t xml:space="preserve">Lavelle, M. </w:t>
      </w:r>
      <w:r w:rsidRPr="00FC14B4">
        <w:rPr>
          <w:rFonts w:ascii="Arial" w:eastAsia="Times New Roman" w:hAnsi="Arial" w:cs="Arial"/>
          <w:i/>
          <w:iCs/>
          <w:kern w:val="0"/>
          <w:sz w:val="22"/>
          <w:lang w:val="fr-FR" w:eastAsia="en-GB"/>
          <w14:ligatures w14:val="none"/>
        </w:rPr>
        <w:t>et al.</w:t>
      </w:r>
      <w:r w:rsidRPr="00FC14B4">
        <w:rPr>
          <w:rFonts w:ascii="Arial" w:eastAsia="Times New Roman" w:hAnsi="Arial" w:cs="Arial"/>
          <w:kern w:val="0"/>
          <w:sz w:val="22"/>
          <w:lang w:val="fr-FR" w:eastAsia="en-GB"/>
          <w14:ligatures w14:val="none"/>
        </w:rPr>
        <w:t xml:space="preserve"> </w:t>
      </w:r>
      <w:r w:rsidRPr="00FC14B4">
        <w:rPr>
          <w:rFonts w:ascii="Arial" w:eastAsia="Times New Roman" w:hAnsi="Arial" w:cs="Arial"/>
          <w:kern w:val="0"/>
          <w:sz w:val="22"/>
          <w:lang w:eastAsia="en-GB"/>
          <w14:ligatures w14:val="none"/>
        </w:rPr>
        <w:t xml:space="preserve">(2024) ‘De-Escalation in Mental Health Care Settings’, </w:t>
      </w:r>
      <w:r w:rsidRPr="00FC14B4">
        <w:rPr>
          <w:rFonts w:ascii="Arial" w:eastAsia="Times New Roman" w:hAnsi="Arial" w:cs="Arial"/>
          <w:i/>
          <w:iCs/>
          <w:kern w:val="0"/>
          <w:sz w:val="22"/>
          <w:lang w:eastAsia="en-GB"/>
          <w14:ligatures w14:val="none"/>
        </w:rPr>
        <w:t>Coercion and Violence in Mental Health Settings</w:t>
      </w:r>
      <w:r w:rsidRPr="00FC14B4">
        <w:rPr>
          <w:rFonts w:ascii="Arial" w:eastAsia="Times New Roman" w:hAnsi="Arial" w:cs="Arial"/>
          <w:kern w:val="0"/>
          <w:sz w:val="22"/>
          <w:lang w:eastAsia="en-GB"/>
          <w14:ligatures w14:val="none"/>
        </w:rPr>
        <w:t xml:space="preserve">, pp. 331–356. </w:t>
      </w:r>
      <w:r w:rsidRPr="00FC14B4">
        <w:rPr>
          <w:rFonts w:ascii="Arial" w:eastAsia="Times New Roman" w:hAnsi="Arial" w:cs="Arial"/>
          <w:kern w:val="0"/>
          <w:sz w:val="22"/>
          <w:lang w:val="fr-FR" w:eastAsia="en-GB"/>
          <w14:ligatures w14:val="none"/>
        </w:rPr>
        <w:t xml:space="preserve">Available </w:t>
      </w:r>
      <w:r w:rsidR="007044A6" w:rsidRPr="00FC14B4">
        <w:rPr>
          <w:rFonts w:ascii="Arial" w:eastAsia="Times New Roman" w:hAnsi="Arial" w:cs="Arial"/>
          <w:kern w:val="0"/>
          <w:sz w:val="22"/>
          <w:lang w:val="fr-FR" w:eastAsia="en-GB"/>
          <w14:ligatures w14:val="none"/>
        </w:rPr>
        <w:t>at :</w:t>
      </w:r>
      <w:r w:rsidRPr="00FC14B4">
        <w:rPr>
          <w:rFonts w:ascii="Arial" w:eastAsia="Times New Roman" w:hAnsi="Arial" w:cs="Arial"/>
          <w:kern w:val="0"/>
          <w:sz w:val="22"/>
          <w:lang w:val="fr-FR" w:eastAsia="en-GB"/>
          <w14:ligatures w14:val="none"/>
        </w:rPr>
        <w:t xml:space="preserve"> </w:t>
      </w:r>
      <w:hyperlink r:id="rId10" w:history="1">
        <w:r w:rsidRPr="00FC14B4">
          <w:rPr>
            <w:rStyle w:val="Hyperlink"/>
            <w:rFonts w:ascii="Arial" w:eastAsia="Times New Roman" w:hAnsi="Arial" w:cs="Arial"/>
            <w:kern w:val="0"/>
            <w:sz w:val="22"/>
            <w:lang w:val="fr-FR" w:eastAsia="en-GB"/>
            <w14:ligatures w14:val="none"/>
          </w:rPr>
          <w:t>https://doi.org/10.1007/978-3-031-61224-4_15</w:t>
        </w:r>
      </w:hyperlink>
      <w:r w:rsidRPr="00FC14B4">
        <w:rPr>
          <w:rFonts w:ascii="Arial" w:eastAsia="Times New Roman" w:hAnsi="Arial" w:cs="Arial"/>
          <w:kern w:val="0"/>
          <w:sz w:val="22"/>
          <w:lang w:val="fr-FR" w:eastAsia="en-GB"/>
          <w14:ligatures w14:val="none"/>
        </w:rPr>
        <w:t>. (Acces</w:t>
      </w:r>
      <w:r>
        <w:rPr>
          <w:rFonts w:ascii="Arial" w:eastAsia="Times New Roman" w:hAnsi="Arial" w:cs="Arial"/>
          <w:kern w:val="0"/>
          <w:sz w:val="22"/>
          <w:lang w:val="fr-FR" w:eastAsia="en-GB"/>
          <w14:ligatures w14:val="none"/>
        </w:rPr>
        <w:t>sed 2 November 2025)</w:t>
      </w:r>
    </w:p>
    <w:p w14:paraId="7DBA85EC" w14:textId="31E1BC79" w:rsidR="00FC14B4" w:rsidRPr="00FC14B4" w:rsidRDefault="00FC14B4" w:rsidP="00FC14B4">
      <w:pPr>
        <w:spacing w:after="240" w:line="360" w:lineRule="auto"/>
        <w:rPr>
          <w:rFonts w:ascii="Arial" w:eastAsia="Times New Roman" w:hAnsi="Arial" w:cs="Arial"/>
          <w:kern w:val="0"/>
          <w:sz w:val="22"/>
          <w:lang w:eastAsia="en-GB"/>
          <w14:ligatures w14:val="none"/>
        </w:rPr>
      </w:pPr>
      <w:r w:rsidRPr="00FC14B4">
        <w:rPr>
          <w:rFonts w:ascii="Arial" w:eastAsia="Times New Roman" w:hAnsi="Arial" w:cs="Arial"/>
          <w:kern w:val="0"/>
          <w:sz w:val="22"/>
          <w:lang w:val="fr-FR" w:eastAsia="en-GB"/>
          <w14:ligatures w14:val="none"/>
        </w:rPr>
        <w:t xml:space="preserve">Moudatsou, M. </w:t>
      </w:r>
      <w:r w:rsidRPr="00FC14B4">
        <w:rPr>
          <w:rFonts w:ascii="Arial" w:eastAsia="Times New Roman" w:hAnsi="Arial" w:cs="Arial"/>
          <w:i/>
          <w:iCs/>
          <w:kern w:val="0"/>
          <w:sz w:val="22"/>
          <w:lang w:val="fr-FR" w:eastAsia="en-GB"/>
          <w14:ligatures w14:val="none"/>
        </w:rPr>
        <w:t>et al.</w:t>
      </w:r>
      <w:r w:rsidRPr="00FC14B4">
        <w:rPr>
          <w:rFonts w:ascii="Arial" w:eastAsia="Times New Roman" w:hAnsi="Arial" w:cs="Arial"/>
          <w:kern w:val="0"/>
          <w:sz w:val="22"/>
          <w:lang w:val="fr-FR" w:eastAsia="en-GB"/>
          <w14:ligatures w14:val="none"/>
        </w:rPr>
        <w:t xml:space="preserve"> </w:t>
      </w:r>
      <w:r w:rsidRPr="00FC14B4">
        <w:rPr>
          <w:rFonts w:ascii="Arial" w:eastAsia="Times New Roman" w:hAnsi="Arial" w:cs="Arial"/>
          <w:kern w:val="0"/>
          <w:sz w:val="22"/>
          <w:lang w:eastAsia="en-GB"/>
          <w14:ligatures w14:val="none"/>
        </w:rPr>
        <w:t xml:space="preserve">(2020) ‘The Role of Empathy in Health and Social Care Professionals’, </w:t>
      </w:r>
      <w:r w:rsidRPr="00FC14B4">
        <w:rPr>
          <w:rFonts w:ascii="Arial" w:eastAsia="Times New Roman" w:hAnsi="Arial" w:cs="Arial"/>
          <w:i/>
          <w:iCs/>
          <w:kern w:val="0"/>
          <w:sz w:val="22"/>
          <w:lang w:eastAsia="en-GB"/>
          <w14:ligatures w14:val="none"/>
        </w:rPr>
        <w:t>Healthcare</w:t>
      </w:r>
      <w:r w:rsidRPr="00FC14B4">
        <w:rPr>
          <w:rFonts w:ascii="Arial" w:eastAsia="Times New Roman" w:hAnsi="Arial" w:cs="Arial"/>
          <w:kern w:val="0"/>
          <w:sz w:val="22"/>
          <w:lang w:eastAsia="en-GB"/>
          <w14:ligatures w14:val="none"/>
        </w:rPr>
        <w:t xml:space="preserve">, 8(1), pp. 1–9. Available at: </w:t>
      </w:r>
      <w:hyperlink r:id="rId11" w:history="1">
        <w:r w:rsidRPr="00FC14B4">
          <w:rPr>
            <w:rStyle w:val="Hyperlink"/>
            <w:rFonts w:ascii="Arial" w:eastAsia="Times New Roman" w:hAnsi="Arial" w:cs="Arial"/>
            <w:kern w:val="0"/>
            <w:sz w:val="22"/>
            <w:lang w:eastAsia="en-GB"/>
            <w14:ligatures w14:val="none"/>
          </w:rPr>
          <w:t>https://doi.org/10.3390/healthcare8010026</w:t>
        </w:r>
      </w:hyperlink>
      <w:r w:rsidRPr="00FC14B4">
        <w:rPr>
          <w:rFonts w:ascii="Arial" w:eastAsia="Times New Roman" w:hAnsi="Arial" w:cs="Arial"/>
          <w:kern w:val="0"/>
          <w:sz w:val="22"/>
          <w:lang w:eastAsia="en-GB"/>
          <w14:ligatures w14:val="none"/>
        </w:rPr>
        <w:t>.</w:t>
      </w:r>
      <w:r>
        <w:rPr>
          <w:rFonts w:ascii="Arial" w:eastAsia="Times New Roman" w:hAnsi="Arial" w:cs="Arial"/>
          <w:kern w:val="0"/>
          <w:sz w:val="22"/>
          <w:lang w:eastAsia="en-GB"/>
          <w14:ligatures w14:val="none"/>
        </w:rPr>
        <w:t xml:space="preserve"> (Accessed 4 November 2025)</w:t>
      </w:r>
    </w:p>
    <w:p w14:paraId="77B09C34" w14:textId="5989D014" w:rsidR="00FC14B4" w:rsidRPr="00FC14B4" w:rsidRDefault="00FC14B4" w:rsidP="00FC14B4">
      <w:pPr>
        <w:spacing w:after="240" w:line="360" w:lineRule="auto"/>
        <w:rPr>
          <w:rFonts w:ascii="Arial" w:eastAsia="Times New Roman" w:hAnsi="Arial" w:cs="Arial"/>
          <w:kern w:val="0"/>
          <w:sz w:val="22"/>
          <w:lang w:val="fr-FR" w:eastAsia="en-GB"/>
          <w14:ligatures w14:val="none"/>
        </w:rPr>
      </w:pPr>
      <w:r w:rsidRPr="00FC14B4">
        <w:rPr>
          <w:rFonts w:ascii="Arial" w:eastAsia="Times New Roman" w:hAnsi="Arial" w:cs="Arial"/>
          <w:kern w:val="0"/>
          <w:sz w:val="22"/>
          <w:lang w:eastAsia="en-GB"/>
          <w14:ligatures w14:val="none"/>
        </w:rPr>
        <w:t xml:space="preserve">Njuguna, M., Ngune, I. and Middlewick, Y. (2025) ‘Mental Health Support Workers Perspectives on Barriers to and Facilitators of the Effective Delivery of their Roles: A Systematic Review and Meta-aggregation’, </w:t>
      </w:r>
      <w:r w:rsidRPr="00FC14B4">
        <w:rPr>
          <w:rFonts w:ascii="Arial" w:eastAsia="Times New Roman" w:hAnsi="Arial" w:cs="Arial"/>
          <w:i/>
          <w:iCs/>
          <w:kern w:val="0"/>
          <w:sz w:val="22"/>
          <w:lang w:eastAsia="en-GB"/>
          <w14:ligatures w14:val="none"/>
        </w:rPr>
        <w:t>Community Mental Health Journal</w:t>
      </w:r>
      <w:r w:rsidRPr="00FC14B4">
        <w:rPr>
          <w:rFonts w:ascii="Arial" w:eastAsia="Times New Roman" w:hAnsi="Arial" w:cs="Arial"/>
          <w:kern w:val="0"/>
          <w:sz w:val="22"/>
          <w:lang w:eastAsia="en-GB"/>
          <w14:ligatures w14:val="none"/>
        </w:rPr>
        <w:t xml:space="preserve"> [Preprint]. </w:t>
      </w:r>
      <w:r w:rsidRPr="00FC14B4">
        <w:rPr>
          <w:rFonts w:ascii="Arial" w:eastAsia="Times New Roman" w:hAnsi="Arial" w:cs="Arial"/>
          <w:kern w:val="0"/>
          <w:sz w:val="22"/>
          <w:lang w:val="fr-FR" w:eastAsia="en-GB"/>
          <w14:ligatures w14:val="none"/>
        </w:rPr>
        <w:t xml:space="preserve">Available </w:t>
      </w:r>
      <w:r w:rsidR="007044A6" w:rsidRPr="00FC14B4">
        <w:rPr>
          <w:rFonts w:ascii="Arial" w:eastAsia="Times New Roman" w:hAnsi="Arial" w:cs="Arial"/>
          <w:kern w:val="0"/>
          <w:sz w:val="22"/>
          <w:lang w:val="fr-FR" w:eastAsia="en-GB"/>
          <w14:ligatures w14:val="none"/>
        </w:rPr>
        <w:t>at :</w:t>
      </w:r>
      <w:r w:rsidRPr="00FC14B4">
        <w:rPr>
          <w:rFonts w:ascii="Arial" w:eastAsia="Times New Roman" w:hAnsi="Arial" w:cs="Arial"/>
          <w:kern w:val="0"/>
          <w:sz w:val="22"/>
          <w:lang w:val="fr-FR" w:eastAsia="en-GB"/>
          <w14:ligatures w14:val="none"/>
        </w:rPr>
        <w:t xml:space="preserve"> </w:t>
      </w:r>
      <w:hyperlink r:id="rId12" w:history="1">
        <w:r w:rsidRPr="00FC14B4">
          <w:rPr>
            <w:rStyle w:val="Hyperlink"/>
            <w:rFonts w:ascii="Arial" w:eastAsia="Times New Roman" w:hAnsi="Arial" w:cs="Arial"/>
            <w:kern w:val="0"/>
            <w:sz w:val="22"/>
            <w:lang w:val="fr-FR" w:eastAsia="en-GB"/>
            <w14:ligatures w14:val="none"/>
          </w:rPr>
          <w:t>https://doi.org/10.1007/s10597-025-01490-9</w:t>
        </w:r>
      </w:hyperlink>
      <w:r w:rsidRPr="00FC14B4">
        <w:rPr>
          <w:rFonts w:ascii="Arial" w:eastAsia="Times New Roman" w:hAnsi="Arial" w:cs="Arial"/>
          <w:kern w:val="0"/>
          <w:sz w:val="22"/>
          <w:lang w:val="fr-FR" w:eastAsia="en-GB"/>
          <w14:ligatures w14:val="none"/>
        </w:rPr>
        <w:t>.</w:t>
      </w:r>
      <w:r>
        <w:rPr>
          <w:rFonts w:ascii="Arial" w:eastAsia="Times New Roman" w:hAnsi="Arial" w:cs="Arial"/>
          <w:kern w:val="0"/>
          <w:sz w:val="22"/>
          <w:lang w:val="fr-FR" w:eastAsia="en-GB"/>
          <w14:ligatures w14:val="none"/>
        </w:rPr>
        <w:t xml:space="preserve"> </w:t>
      </w:r>
      <w:r w:rsidR="007044A6">
        <w:rPr>
          <w:rFonts w:ascii="Arial" w:eastAsia="Times New Roman" w:hAnsi="Arial" w:cs="Arial"/>
          <w:kern w:val="0"/>
          <w:sz w:val="22"/>
          <w:lang w:val="fr-FR" w:eastAsia="en-GB"/>
          <w14:ligatures w14:val="none"/>
        </w:rPr>
        <w:t>(Accessed</w:t>
      </w:r>
      <w:r>
        <w:rPr>
          <w:rFonts w:ascii="Arial" w:eastAsia="Times New Roman" w:hAnsi="Arial" w:cs="Arial"/>
          <w:kern w:val="0"/>
          <w:sz w:val="22"/>
          <w:lang w:val="fr-FR" w:eastAsia="en-GB"/>
          <w14:ligatures w14:val="none"/>
        </w:rPr>
        <w:t xml:space="preserve"> 5 November 2025)</w:t>
      </w:r>
    </w:p>
    <w:p w14:paraId="4D655F44" w14:textId="529B2FAB" w:rsidR="00FC14B4" w:rsidRPr="00FC14B4" w:rsidRDefault="00FC14B4" w:rsidP="00FC14B4">
      <w:pPr>
        <w:spacing w:after="240" w:line="360" w:lineRule="auto"/>
        <w:rPr>
          <w:rFonts w:ascii="Arial" w:eastAsia="Times New Roman" w:hAnsi="Arial" w:cs="Arial"/>
          <w:kern w:val="0"/>
          <w:sz w:val="22"/>
          <w:lang w:eastAsia="en-GB"/>
          <w14:ligatures w14:val="none"/>
        </w:rPr>
      </w:pPr>
      <w:r w:rsidRPr="00FC14B4">
        <w:rPr>
          <w:rFonts w:ascii="Arial" w:eastAsia="Times New Roman" w:hAnsi="Arial" w:cs="Arial"/>
          <w:kern w:val="0"/>
          <w:sz w:val="22"/>
          <w:lang w:val="fr-FR" w:eastAsia="en-GB"/>
          <w14:ligatures w14:val="none"/>
        </w:rPr>
        <w:t xml:space="preserve">Noel, L. </w:t>
      </w:r>
      <w:r w:rsidRPr="00FC14B4">
        <w:rPr>
          <w:rFonts w:ascii="Arial" w:eastAsia="Times New Roman" w:hAnsi="Arial" w:cs="Arial"/>
          <w:i/>
          <w:iCs/>
          <w:kern w:val="0"/>
          <w:sz w:val="22"/>
          <w:lang w:val="fr-FR" w:eastAsia="en-GB"/>
          <w14:ligatures w14:val="none"/>
        </w:rPr>
        <w:t>et al.</w:t>
      </w:r>
      <w:r w:rsidRPr="00FC14B4">
        <w:rPr>
          <w:rFonts w:ascii="Arial" w:eastAsia="Times New Roman" w:hAnsi="Arial" w:cs="Arial"/>
          <w:kern w:val="0"/>
          <w:sz w:val="22"/>
          <w:lang w:val="fr-FR" w:eastAsia="en-GB"/>
          <w14:ligatures w14:val="none"/>
        </w:rPr>
        <w:t xml:space="preserve"> </w:t>
      </w:r>
      <w:r w:rsidRPr="00FC14B4">
        <w:rPr>
          <w:rFonts w:ascii="Arial" w:eastAsia="Times New Roman" w:hAnsi="Arial" w:cs="Arial"/>
          <w:kern w:val="0"/>
          <w:sz w:val="22"/>
          <w:lang w:eastAsia="en-GB"/>
          <w14:ligatures w14:val="none"/>
        </w:rPr>
        <w:t xml:space="preserve">(2022) ‘Interprofessional collaboration between social workers and community health workers to address health and mental health in the United States: A systematised review’, </w:t>
      </w:r>
      <w:r w:rsidRPr="00FC14B4">
        <w:rPr>
          <w:rFonts w:ascii="Arial" w:eastAsia="Times New Roman" w:hAnsi="Arial" w:cs="Arial"/>
          <w:i/>
          <w:iCs/>
          <w:kern w:val="0"/>
          <w:sz w:val="22"/>
          <w:lang w:eastAsia="en-GB"/>
          <w14:ligatures w14:val="none"/>
        </w:rPr>
        <w:t>Health &amp; Social Care in the Community</w:t>
      </w:r>
      <w:r w:rsidRPr="00FC14B4">
        <w:rPr>
          <w:rFonts w:ascii="Arial" w:eastAsia="Times New Roman" w:hAnsi="Arial" w:cs="Arial"/>
          <w:kern w:val="0"/>
          <w:sz w:val="22"/>
          <w:lang w:eastAsia="en-GB"/>
          <w14:ligatures w14:val="none"/>
        </w:rPr>
        <w:t xml:space="preserve">, 30(6). Available at: </w:t>
      </w:r>
      <w:hyperlink r:id="rId13" w:history="1">
        <w:r w:rsidRPr="00FC14B4">
          <w:rPr>
            <w:rStyle w:val="Hyperlink"/>
            <w:rFonts w:ascii="Arial" w:eastAsia="Times New Roman" w:hAnsi="Arial" w:cs="Arial"/>
            <w:kern w:val="0"/>
            <w:sz w:val="22"/>
            <w:lang w:eastAsia="en-GB"/>
            <w14:ligatures w14:val="none"/>
          </w:rPr>
          <w:t>https://doi.org/10.1111/hsc.14061</w:t>
        </w:r>
      </w:hyperlink>
      <w:r w:rsidRPr="00FC14B4">
        <w:rPr>
          <w:rFonts w:ascii="Arial" w:eastAsia="Times New Roman" w:hAnsi="Arial" w:cs="Arial"/>
          <w:kern w:val="0"/>
          <w:sz w:val="22"/>
          <w:lang w:eastAsia="en-GB"/>
          <w14:ligatures w14:val="none"/>
        </w:rPr>
        <w:t>.</w:t>
      </w:r>
      <w:r>
        <w:rPr>
          <w:rFonts w:ascii="Arial" w:eastAsia="Times New Roman" w:hAnsi="Arial" w:cs="Arial"/>
          <w:kern w:val="0"/>
          <w:sz w:val="22"/>
          <w:lang w:eastAsia="en-GB"/>
          <w14:ligatures w14:val="none"/>
        </w:rPr>
        <w:t xml:space="preserve"> </w:t>
      </w:r>
      <w:r w:rsidR="007044A6">
        <w:rPr>
          <w:rFonts w:ascii="Arial" w:eastAsia="Times New Roman" w:hAnsi="Arial" w:cs="Arial"/>
          <w:kern w:val="0"/>
          <w:sz w:val="22"/>
          <w:lang w:eastAsia="en-GB"/>
          <w14:ligatures w14:val="none"/>
        </w:rPr>
        <w:t>(Accessed</w:t>
      </w:r>
      <w:r>
        <w:rPr>
          <w:rFonts w:ascii="Arial" w:eastAsia="Times New Roman" w:hAnsi="Arial" w:cs="Arial"/>
          <w:kern w:val="0"/>
          <w:sz w:val="22"/>
          <w:lang w:eastAsia="en-GB"/>
          <w14:ligatures w14:val="none"/>
        </w:rPr>
        <w:t xml:space="preserve"> 6 November 2025)</w:t>
      </w:r>
    </w:p>
    <w:p w14:paraId="45048E97" w14:textId="5DD4975B" w:rsidR="00FC14B4" w:rsidRPr="00FC14B4" w:rsidRDefault="00FC14B4" w:rsidP="00FC14B4">
      <w:pPr>
        <w:spacing w:after="240" w:line="360" w:lineRule="auto"/>
        <w:rPr>
          <w:rFonts w:ascii="Arial" w:eastAsia="Times New Roman" w:hAnsi="Arial" w:cs="Arial"/>
          <w:kern w:val="0"/>
          <w:sz w:val="22"/>
          <w:lang w:eastAsia="en-GB"/>
          <w14:ligatures w14:val="none"/>
        </w:rPr>
      </w:pPr>
      <w:r w:rsidRPr="00FC14B4">
        <w:rPr>
          <w:rFonts w:ascii="Arial" w:eastAsia="Times New Roman" w:hAnsi="Arial" w:cs="Arial"/>
          <w:kern w:val="0"/>
          <w:sz w:val="22"/>
          <w:lang w:eastAsia="en-GB"/>
          <w14:ligatures w14:val="none"/>
        </w:rPr>
        <w:t xml:space="preserve">Sharkiya, S.H. (2023) ‘Quality communication can improve patient-centred health outcomes among older patients: A rapid review’, </w:t>
      </w:r>
      <w:r w:rsidRPr="00FC14B4">
        <w:rPr>
          <w:rFonts w:ascii="Arial" w:eastAsia="Times New Roman" w:hAnsi="Arial" w:cs="Arial"/>
          <w:i/>
          <w:iCs/>
          <w:kern w:val="0"/>
          <w:sz w:val="22"/>
          <w:lang w:eastAsia="en-GB"/>
          <w14:ligatures w14:val="none"/>
        </w:rPr>
        <w:t>BMC Health Services Research</w:t>
      </w:r>
      <w:r w:rsidRPr="00FC14B4">
        <w:rPr>
          <w:rFonts w:ascii="Arial" w:eastAsia="Times New Roman" w:hAnsi="Arial" w:cs="Arial"/>
          <w:kern w:val="0"/>
          <w:sz w:val="22"/>
          <w:lang w:eastAsia="en-GB"/>
          <w14:ligatures w14:val="none"/>
        </w:rPr>
        <w:t xml:space="preserve">, 23(1), pp. 1–14. Available at: </w:t>
      </w:r>
      <w:hyperlink r:id="rId14" w:history="1">
        <w:r w:rsidRPr="00FC14B4">
          <w:rPr>
            <w:rStyle w:val="Hyperlink"/>
            <w:rFonts w:ascii="Arial" w:eastAsia="Times New Roman" w:hAnsi="Arial" w:cs="Arial"/>
            <w:kern w:val="0"/>
            <w:sz w:val="22"/>
            <w:lang w:eastAsia="en-GB"/>
            <w14:ligatures w14:val="none"/>
          </w:rPr>
          <w:t>https://doi.org/10.1186/s12913-023-09869-8</w:t>
        </w:r>
      </w:hyperlink>
      <w:r w:rsidRPr="00FC14B4">
        <w:rPr>
          <w:rFonts w:ascii="Arial" w:eastAsia="Times New Roman" w:hAnsi="Arial" w:cs="Arial"/>
          <w:kern w:val="0"/>
          <w:sz w:val="22"/>
          <w:lang w:eastAsia="en-GB"/>
          <w14:ligatures w14:val="none"/>
        </w:rPr>
        <w:t>.</w:t>
      </w:r>
      <w:r>
        <w:rPr>
          <w:rFonts w:ascii="Arial" w:eastAsia="Times New Roman" w:hAnsi="Arial" w:cs="Arial"/>
          <w:kern w:val="0"/>
          <w:sz w:val="22"/>
          <w:lang w:eastAsia="en-GB"/>
          <w14:ligatures w14:val="none"/>
        </w:rPr>
        <w:t xml:space="preserve"> </w:t>
      </w:r>
      <w:r w:rsidR="007044A6">
        <w:rPr>
          <w:rFonts w:ascii="Arial" w:eastAsia="Times New Roman" w:hAnsi="Arial" w:cs="Arial"/>
          <w:kern w:val="0"/>
          <w:sz w:val="22"/>
          <w:lang w:eastAsia="en-GB"/>
          <w14:ligatures w14:val="none"/>
        </w:rPr>
        <w:t>(Accessed</w:t>
      </w:r>
      <w:r>
        <w:rPr>
          <w:rFonts w:ascii="Arial" w:eastAsia="Times New Roman" w:hAnsi="Arial" w:cs="Arial"/>
          <w:kern w:val="0"/>
          <w:sz w:val="22"/>
          <w:lang w:eastAsia="en-GB"/>
          <w14:ligatures w14:val="none"/>
        </w:rPr>
        <w:t xml:space="preserve"> 10 November 2025)</w:t>
      </w:r>
    </w:p>
    <w:p w14:paraId="5ADF1D5B" w14:textId="5931951C" w:rsidR="00FC14B4" w:rsidRPr="00FC14B4" w:rsidRDefault="00FC14B4" w:rsidP="00FC14B4">
      <w:pPr>
        <w:spacing w:after="240" w:line="360" w:lineRule="auto"/>
        <w:rPr>
          <w:rFonts w:ascii="Arial" w:eastAsia="Times New Roman" w:hAnsi="Arial" w:cs="Arial"/>
          <w:kern w:val="0"/>
          <w:sz w:val="22"/>
          <w:lang w:eastAsia="en-GB"/>
          <w14:ligatures w14:val="none"/>
        </w:rPr>
      </w:pPr>
      <w:r w:rsidRPr="00FC14B4">
        <w:rPr>
          <w:rFonts w:ascii="Arial" w:eastAsia="Times New Roman" w:hAnsi="Arial" w:cs="Arial"/>
          <w:kern w:val="0"/>
          <w:sz w:val="22"/>
          <w:lang w:eastAsia="en-GB"/>
          <w14:ligatures w14:val="none"/>
        </w:rPr>
        <w:t xml:space="preserve">Tennant, K., Butler, T.J.T. and Long, A. (2023) </w:t>
      </w:r>
      <w:r w:rsidRPr="00FC14B4">
        <w:rPr>
          <w:rFonts w:ascii="Arial" w:eastAsia="Times New Roman" w:hAnsi="Arial" w:cs="Arial"/>
          <w:i/>
          <w:iCs/>
          <w:kern w:val="0"/>
          <w:sz w:val="22"/>
          <w:lang w:eastAsia="en-GB"/>
          <w14:ligatures w14:val="none"/>
        </w:rPr>
        <w:t>Active listening</w:t>
      </w:r>
      <w:r w:rsidRPr="00FC14B4">
        <w:rPr>
          <w:rFonts w:ascii="Arial" w:eastAsia="Times New Roman" w:hAnsi="Arial" w:cs="Arial"/>
          <w:kern w:val="0"/>
          <w:sz w:val="22"/>
          <w:lang w:eastAsia="en-GB"/>
          <w14:ligatures w14:val="none"/>
        </w:rPr>
        <w:t xml:space="preserve">, </w:t>
      </w:r>
      <w:r w:rsidRPr="00FC14B4">
        <w:rPr>
          <w:rFonts w:ascii="Arial" w:eastAsia="Times New Roman" w:hAnsi="Arial" w:cs="Arial"/>
          <w:i/>
          <w:iCs/>
          <w:kern w:val="0"/>
          <w:sz w:val="22"/>
          <w:lang w:eastAsia="en-GB"/>
          <w14:ligatures w14:val="none"/>
        </w:rPr>
        <w:t>National Library of Medicine</w:t>
      </w:r>
      <w:r w:rsidRPr="00FC14B4">
        <w:rPr>
          <w:rFonts w:ascii="Arial" w:eastAsia="Times New Roman" w:hAnsi="Arial" w:cs="Arial"/>
          <w:kern w:val="0"/>
          <w:sz w:val="22"/>
          <w:lang w:eastAsia="en-GB"/>
          <w14:ligatures w14:val="none"/>
        </w:rPr>
        <w:t xml:space="preserve">. StatPearls Publishing. Available at: </w:t>
      </w:r>
      <w:hyperlink r:id="rId15" w:history="1">
        <w:r w:rsidRPr="00FC14B4">
          <w:rPr>
            <w:rStyle w:val="Hyperlink"/>
            <w:rFonts w:ascii="Arial" w:eastAsia="Times New Roman" w:hAnsi="Arial" w:cs="Arial"/>
            <w:kern w:val="0"/>
            <w:sz w:val="22"/>
            <w:lang w:eastAsia="en-GB"/>
            <w14:ligatures w14:val="none"/>
          </w:rPr>
          <w:t>https://www.ncbi.nlm.nih.gov/books/NBK442015/</w:t>
        </w:r>
      </w:hyperlink>
      <w:r w:rsidRPr="00FC14B4">
        <w:rPr>
          <w:rFonts w:ascii="Arial" w:eastAsia="Times New Roman" w:hAnsi="Arial" w:cs="Arial"/>
          <w:kern w:val="0"/>
          <w:sz w:val="22"/>
          <w:lang w:eastAsia="en-GB"/>
          <w14:ligatures w14:val="none"/>
        </w:rPr>
        <w:t>.</w:t>
      </w:r>
      <w:r>
        <w:rPr>
          <w:rFonts w:ascii="Arial" w:eastAsia="Times New Roman" w:hAnsi="Arial" w:cs="Arial"/>
          <w:kern w:val="0"/>
          <w:sz w:val="22"/>
          <w:lang w:eastAsia="en-GB"/>
          <w14:ligatures w14:val="none"/>
        </w:rPr>
        <w:t xml:space="preserve"> (Accessed 11 November 2025)</w:t>
      </w:r>
    </w:p>
    <w:p w14:paraId="3C76187B" w14:textId="73C3F110" w:rsidR="00FC14B4" w:rsidRPr="00FC14B4" w:rsidRDefault="00FC14B4" w:rsidP="00FC14B4">
      <w:pPr>
        <w:spacing w:after="240" w:line="360" w:lineRule="auto"/>
        <w:rPr>
          <w:rFonts w:ascii="Arial" w:eastAsia="Times New Roman" w:hAnsi="Arial" w:cs="Arial"/>
          <w:kern w:val="0"/>
          <w:sz w:val="22"/>
          <w:lang w:eastAsia="en-GB"/>
          <w14:ligatures w14:val="none"/>
        </w:rPr>
      </w:pPr>
      <w:r w:rsidRPr="00FC14B4">
        <w:rPr>
          <w:rFonts w:ascii="Arial" w:eastAsia="Times New Roman" w:hAnsi="Arial" w:cs="Arial"/>
          <w:kern w:val="0"/>
          <w:sz w:val="22"/>
          <w:lang w:eastAsia="en-GB"/>
          <w14:ligatures w14:val="none"/>
        </w:rPr>
        <w:t xml:space="preserve">Tiwary, A. </w:t>
      </w:r>
      <w:r w:rsidRPr="00FC14B4">
        <w:rPr>
          <w:rFonts w:ascii="Arial" w:eastAsia="Times New Roman" w:hAnsi="Arial" w:cs="Arial"/>
          <w:i/>
          <w:iCs/>
          <w:kern w:val="0"/>
          <w:sz w:val="22"/>
          <w:lang w:eastAsia="en-GB"/>
          <w14:ligatures w14:val="none"/>
        </w:rPr>
        <w:t>et al.</w:t>
      </w:r>
      <w:r w:rsidRPr="00FC14B4">
        <w:rPr>
          <w:rFonts w:ascii="Arial" w:eastAsia="Times New Roman" w:hAnsi="Arial" w:cs="Arial"/>
          <w:kern w:val="0"/>
          <w:sz w:val="22"/>
          <w:lang w:eastAsia="en-GB"/>
          <w14:ligatures w14:val="none"/>
        </w:rPr>
        <w:t xml:space="preserve"> (2021) ‘Poor Communication by Health Care Professionals May Lead to life-threatening complications: Examples from Two Case Reports’, </w:t>
      </w:r>
      <w:r w:rsidRPr="00FC14B4">
        <w:rPr>
          <w:rFonts w:ascii="Arial" w:eastAsia="Times New Roman" w:hAnsi="Arial" w:cs="Arial"/>
          <w:i/>
          <w:iCs/>
          <w:kern w:val="0"/>
          <w:sz w:val="22"/>
          <w:lang w:eastAsia="en-GB"/>
          <w14:ligatures w14:val="none"/>
        </w:rPr>
        <w:t>Wellcome Open Research</w:t>
      </w:r>
      <w:r w:rsidRPr="00FC14B4">
        <w:rPr>
          <w:rFonts w:ascii="Arial" w:eastAsia="Times New Roman" w:hAnsi="Arial" w:cs="Arial"/>
          <w:kern w:val="0"/>
          <w:sz w:val="22"/>
          <w:lang w:eastAsia="en-GB"/>
          <w14:ligatures w14:val="none"/>
        </w:rPr>
        <w:t xml:space="preserve">, 4(1), pp. 1–8. Available at: </w:t>
      </w:r>
      <w:hyperlink r:id="rId16" w:history="1">
        <w:r w:rsidRPr="00FC14B4">
          <w:rPr>
            <w:rStyle w:val="Hyperlink"/>
            <w:rFonts w:ascii="Arial" w:eastAsia="Times New Roman" w:hAnsi="Arial" w:cs="Arial"/>
            <w:kern w:val="0"/>
            <w:sz w:val="22"/>
            <w:lang w:eastAsia="en-GB"/>
            <w14:ligatures w14:val="none"/>
          </w:rPr>
          <w:t>https://doi.org/10.12688/wellcomeopenres.15042.1</w:t>
        </w:r>
      </w:hyperlink>
      <w:r w:rsidRPr="00FC14B4">
        <w:rPr>
          <w:rFonts w:ascii="Arial" w:eastAsia="Times New Roman" w:hAnsi="Arial" w:cs="Arial"/>
          <w:kern w:val="0"/>
          <w:sz w:val="22"/>
          <w:lang w:eastAsia="en-GB"/>
          <w14:ligatures w14:val="none"/>
        </w:rPr>
        <w:t>.</w:t>
      </w:r>
      <w:r>
        <w:rPr>
          <w:rFonts w:ascii="Arial" w:eastAsia="Times New Roman" w:hAnsi="Arial" w:cs="Arial"/>
          <w:kern w:val="0"/>
          <w:sz w:val="22"/>
          <w:lang w:eastAsia="en-GB"/>
          <w14:ligatures w14:val="none"/>
        </w:rPr>
        <w:t xml:space="preserve"> (Accessed 12 November 2025)</w:t>
      </w:r>
    </w:p>
    <w:p w14:paraId="1995FA28" w14:textId="2CC6AB45" w:rsidR="00FC14B4" w:rsidRPr="00FC14B4" w:rsidRDefault="00FC14B4" w:rsidP="00FC14B4">
      <w:pPr>
        <w:spacing w:after="240" w:line="360" w:lineRule="auto"/>
        <w:rPr>
          <w:rFonts w:ascii="Arial" w:eastAsia="Times New Roman" w:hAnsi="Arial" w:cs="Arial"/>
          <w:kern w:val="0"/>
          <w:sz w:val="22"/>
          <w:lang w:eastAsia="en-GB"/>
          <w14:ligatures w14:val="none"/>
        </w:rPr>
      </w:pPr>
      <w:r w:rsidRPr="00FC14B4">
        <w:rPr>
          <w:rFonts w:ascii="Arial" w:eastAsia="Times New Roman" w:hAnsi="Arial" w:cs="Arial"/>
          <w:kern w:val="0"/>
          <w:sz w:val="22"/>
          <w:lang w:eastAsia="en-GB"/>
          <w14:ligatures w14:val="none"/>
        </w:rPr>
        <w:t xml:space="preserve">Vusio, F., Odentz, K. and Plunkett, C. (2025) ‘Experience of compassionate care in mental health and community-based services for children and young people: facilitators of, and barriers to compassionate care– a systematic review’, </w:t>
      </w:r>
      <w:r w:rsidRPr="00FC14B4">
        <w:rPr>
          <w:rFonts w:ascii="Arial" w:eastAsia="Times New Roman" w:hAnsi="Arial" w:cs="Arial"/>
          <w:i/>
          <w:iCs/>
          <w:kern w:val="0"/>
          <w:sz w:val="22"/>
          <w:lang w:eastAsia="en-GB"/>
          <w14:ligatures w14:val="none"/>
        </w:rPr>
        <w:t>European Child &amp; Adolescent Psychiatry</w:t>
      </w:r>
      <w:r w:rsidRPr="00FC14B4">
        <w:rPr>
          <w:rFonts w:ascii="Arial" w:eastAsia="Times New Roman" w:hAnsi="Arial" w:cs="Arial"/>
          <w:kern w:val="0"/>
          <w:sz w:val="22"/>
          <w:lang w:eastAsia="en-GB"/>
          <w14:ligatures w14:val="none"/>
        </w:rPr>
        <w:t xml:space="preserve"> [Preprint]. Available at: </w:t>
      </w:r>
      <w:hyperlink r:id="rId17" w:history="1">
        <w:r w:rsidRPr="00FC14B4">
          <w:rPr>
            <w:rStyle w:val="Hyperlink"/>
            <w:rFonts w:ascii="Arial" w:eastAsia="Times New Roman" w:hAnsi="Arial" w:cs="Arial"/>
            <w:kern w:val="0"/>
            <w:sz w:val="22"/>
            <w:lang w:eastAsia="en-GB"/>
            <w14:ligatures w14:val="none"/>
          </w:rPr>
          <w:t>https://doi.org/10.1007/s00787-025-02711-y</w:t>
        </w:r>
      </w:hyperlink>
      <w:r w:rsidRPr="00FC14B4">
        <w:rPr>
          <w:rFonts w:ascii="Arial" w:eastAsia="Times New Roman" w:hAnsi="Arial" w:cs="Arial"/>
          <w:kern w:val="0"/>
          <w:sz w:val="22"/>
          <w:lang w:eastAsia="en-GB"/>
          <w14:ligatures w14:val="none"/>
        </w:rPr>
        <w:t xml:space="preserve">. </w:t>
      </w:r>
      <w:r w:rsidR="007044A6" w:rsidRPr="00FC14B4">
        <w:rPr>
          <w:rFonts w:ascii="Arial" w:eastAsia="Times New Roman" w:hAnsi="Arial" w:cs="Arial"/>
          <w:kern w:val="0"/>
          <w:sz w:val="22"/>
          <w:lang w:eastAsia="en-GB"/>
          <w14:ligatures w14:val="none"/>
        </w:rPr>
        <w:t>(Accessed</w:t>
      </w:r>
      <w:r>
        <w:rPr>
          <w:rFonts w:ascii="Arial" w:eastAsia="Times New Roman" w:hAnsi="Arial" w:cs="Arial"/>
          <w:kern w:val="0"/>
          <w:sz w:val="22"/>
          <w:lang w:eastAsia="en-GB"/>
          <w14:ligatures w14:val="none"/>
        </w:rPr>
        <w:t xml:space="preserve"> 15 November 2025)</w:t>
      </w:r>
    </w:p>
    <w:p w14:paraId="29AA9159" w14:textId="5DEF8943" w:rsidR="00FC14B4" w:rsidRPr="00FC14B4" w:rsidRDefault="00FC14B4" w:rsidP="00FC14B4">
      <w:pPr>
        <w:spacing w:after="240" w:line="360" w:lineRule="auto"/>
        <w:rPr>
          <w:rFonts w:ascii="Arial" w:eastAsia="Times New Roman" w:hAnsi="Arial" w:cs="Arial"/>
          <w:kern w:val="0"/>
          <w:sz w:val="22"/>
          <w:lang w:eastAsia="en-GB"/>
          <w14:ligatures w14:val="none"/>
        </w:rPr>
      </w:pPr>
      <w:r w:rsidRPr="00FC14B4">
        <w:rPr>
          <w:rFonts w:ascii="Arial" w:eastAsia="Times New Roman" w:hAnsi="Arial" w:cs="Arial"/>
          <w:kern w:val="0"/>
          <w:sz w:val="22"/>
          <w:lang w:eastAsia="en-GB"/>
          <w14:ligatures w14:val="none"/>
        </w:rPr>
        <w:t xml:space="preserve">Winter, R. </w:t>
      </w:r>
      <w:r w:rsidRPr="00FC14B4">
        <w:rPr>
          <w:rFonts w:ascii="Arial" w:eastAsia="Times New Roman" w:hAnsi="Arial" w:cs="Arial"/>
          <w:i/>
          <w:iCs/>
          <w:kern w:val="0"/>
          <w:sz w:val="22"/>
          <w:lang w:eastAsia="en-GB"/>
          <w14:ligatures w14:val="none"/>
        </w:rPr>
        <w:t>et al.</w:t>
      </w:r>
      <w:r w:rsidRPr="00FC14B4">
        <w:rPr>
          <w:rFonts w:ascii="Arial" w:eastAsia="Times New Roman" w:hAnsi="Arial" w:cs="Arial"/>
          <w:kern w:val="0"/>
          <w:sz w:val="22"/>
          <w:lang w:eastAsia="en-GB"/>
          <w14:ligatures w14:val="none"/>
        </w:rPr>
        <w:t xml:space="preserve"> (2022) ‘Experiences of empathy training in healthcare: A systematic review of qualitative studies’, </w:t>
      </w:r>
      <w:r w:rsidRPr="00FC14B4">
        <w:rPr>
          <w:rFonts w:ascii="Arial" w:eastAsia="Times New Roman" w:hAnsi="Arial" w:cs="Arial"/>
          <w:i/>
          <w:iCs/>
          <w:kern w:val="0"/>
          <w:sz w:val="22"/>
          <w:lang w:eastAsia="en-GB"/>
          <w14:ligatures w14:val="none"/>
        </w:rPr>
        <w:t>Patient Education and Counseling</w:t>
      </w:r>
      <w:r w:rsidRPr="00FC14B4">
        <w:rPr>
          <w:rFonts w:ascii="Arial" w:eastAsia="Times New Roman" w:hAnsi="Arial" w:cs="Arial"/>
          <w:kern w:val="0"/>
          <w:sz w:val="22"/>
          <w:lang w:eastAsia="en-GB"/>
          <w14:ligatures w14:val="none"/>
        </w:rPr>
        <w:t xml:space="preserve">, 105(10), pp. 3017–3037. Available at: </w:t>
      </w:r>
      <w:hyperlink r:id="rId18" w:history="1">
        <w:r w:rsidRPr="00FC14B4">
          <w:rPr>
            <w:rStyle w:val="Hyperlink"/>
            <w:rFonts w:ascii="Arial" w:eastAsia="Times New Roman" w:hAnsi="Arial" w:cs="Arial"/>
            <w:kern w:val="0"/>
            <w:sz w:val="22"/>
            <w:lang w:eastAsia="en-GB"/>
            <w14:ligatures w14:val="none"/>
          </w:rPr>
          <w:t>https://doi.org/10.1016/j.pec.2022.06.015</w:t>
        </w:r>
      </w:hyperlink>
      <w:r w:rsidRPr="00FC14B4">
        <w:rPr>
          <w:rFonts w:ascii="Arial" w:eastAsia="Times New Roman" w:hAnsi="Arial" w:cs="Arial"/>
          <w:kern w:val="0"/>
          <w:sz w:val="22"/>
          <w:lang w:eastAsia="en-GB"/>
          <w14:ligatures w14:val="none"/>
        </w:rPr>
        <w:t>.</w:t>
      </w:r>
      <w:r>
        <w:rPr>
          <w:rFonts w:ascii="Arial" w:eastAsia="Times New Roman" w:hAnsi="Arial" w:cs="Arial"/>
          <w:kern w:val="0"/>
          <w:sz w:val="22"/>
          <w:lang w:eastAsia="en-GB"/>
          <w14:ligatures w14:val="none"/>
        </w:rPr>
        <w:t xml:space="preserve"> (Accessed 16 October 2025)</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079F0" w14:textId="77777777" w:rsidR="00C829AB" w:rsidRDefault="00C829AB" w:rsidP="003C7C97">
      <w:pPr>
        <w:spacing w:after="0" w:line="240" w:lineRule="auto"/>
      </w:pPr>
      <w:r>
        <w:separator/>
      </w:r>
    </w:p>
  </w:endnote>
  <w:endnote w:type="continuationSeparator" w:id="0">
    <w:p w14:paraId="48489883" w14:textId="77777777" w:rsidR="00C829AB" w:rsidRDefault="00C829A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1563A" w14:textId="77777777" w:rsidR="00C829AB" w:rsidRDefault="00C829AB" w:rsidP="003C7C97">
      <w:pPr>
        <w:spacing w:after="0" w:line="240" w:lineRule="auto"/>
      </w:pPr>
      <w:r>
        <w:separator/>
      </w:r>
    </w:p>
  </w:footnote>
  <w:footnote w:type="continuationSeparator" w:id="0">
    <w:p w14:paraId="07FC9F76" w14:textId="77777777" w:rsidR="00C829AB" w:rsidRDefault="00C829A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386147"/>
    <w:multiLevelType w:val="hybridMultilevel"/>
    <w:tmpl w:val="5D003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0754003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95CB4"/>
    <w:rsid w:val="000D41DC"/>
    <w:rsid w:val="000E0732"/>
    <w:rsid w:val="00125D37"/>
    <w:rsid w:val="00127C1A"/>
    <w:rsid w:val="00130E68"/>
    <w:rsid w:val="00150D81"/>
    <w:rsid w:val="00153346"/>
    <w:rsid w:val="00166CEB"/>
    <w:rsid w:val="00183CB9"/>
    <w:rsid w:val="00184A9A"/>
    <w:rsid w:val="001947DF"/>
    <w:rsid w:val="001B22BB"/>
    <w:rsid w:val="001B619C"/>
    <w:rsid w:val="001D1D3C"/>
    <w:rsid w:val="001E566D"/>
    <w:rsid w:val="001E6653"/>
    <w:rsid w:val="001F388C"/>
    <w:rsid w:val="002205D4"/>
    <w:rsid w:val="00222C3A"/>
    <w:rsid w:val="00226D31"/>
    <w:rsid w:val="00236401"/>
    <w:rsid w:val="002370CE"/>
    <w:rsid w:val="00242974"/>
    <w:rsid w:val="002708E2"/>
    <w:rsid w:val="002976D4"/>
    <w:rsid w:val="002A5577"/>
    <w:rsid w:val="002B4AA4"/>
    <w:rsid w:val="002E71BA"/>
    <w:rsid w:val="002F5066"/>
    <w:rsid w:val="002F7118"/>
    <w:rsid w:val="003003FD"/>
    <w:rsid w:val="00310245"/>
    <w:rsid w:val="00316C95"/>
    <w:rsid w:val="003458DB"/>
    <w:rsid w:val="003523D3"/>
    <w:rsid w:val="00364C35"/>
    <w:rsid w:val="00396F60"/>
    <w:rsid w:val="003A51D6"/>
    <w:rsid w:val="003B125E"/>
    <w:rsid w:val="003B2A5E"/>
    <w:rsid w:val="003C7C97"/>
    <w:rsid w:val="004058A3"/>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B7184"/>
    <w:rsid w:val="005D1AF9"/>
    <w:rsid w:val="005D5457"/>
    <w:rsid w:val="005E2699"/>
    <w:rsid w:val="005E44B5"/>
    <w:rsid w:val="00612DEA"/>
    <w:rsid w:val="00614572"/>
    <w:rsid w:val="006232DF"/>
    <w:rsid w:val="00631F2E"/>
    <w:rsid w:val="006457C0"/>
    <w:rsid w:val="00652BB7"/>
    <w:rsid w:val="00661758"/>
    <w:rsid w:val="0067612C"/>
    <w:rsid w:val="00676FEB"/>
    <w:rsid w:val="00687A94"/>
    <w:rsid w:val="006912C4"/>
    <w:rsid w:val="006A5CFC"/>
    <w:rsid w:val="006C5138"/>
    <w:rsid w:val="006C689B"/>
    <w:rsid w:val="006E005C"/>
    <w:rsid w:val="006E6EE5"/>
    <w:rsid w:val="006F0029"/>
    <w:rsid w:val="007044A6"/>
    <w:rsid w:val="007138EF"/>
    <w:rsid w:val="007632A9"/>
    <w:rsid w:val="00774092"/>
    <w:rsid w:val="00782830"/>
    <w:rsid w:val="0078664A"/>
    <w:rsid w:val="0079697B"/>
    <w:rsid w:val="007B0F6D"/>
    <w:rsid w:val="007C26E4"/>
    <w:rsid w:val="007C62C3"/>
    <w:rsid w:val="007D25AA"/>
    <w:rsid w:val="007E6C46"/>
    <w:rsid w:val="007F0873"/>
    <w:rsid w:val="00805726"/>
    <w:rsid w:val="00815117"/>
    <w:rsid w:val="008520F8"/>
    <w:rsid w:val="008558A6"/>
    <w:rsid w:val="00855F34"/>
    <w:rsid w:val="008826B6"/>
    <w:rsid w:val="008B0B22"/>
    <w:rsid w:val="008C58B0"/>
    <w:rsid w:val="008C591B"/>
    <w:rsid w:val="008C6182"/>
    <w:rsid w:val="00921468"/>
    <w:rsid w:val="00926458"/>
    <w:rsid w:val="00933720"/>
    <w:rsid w:val="009B4D18"/>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B46AE"/>
    <w:rsid w:val="00AC7BE2"/>
    <w:rsid w:val="00AE35BF"/>
    <w:rsid w:val="00B1067E"/>
    <w:rsid w:val="00B70715"/>
    <w:rsid w:val="00B81790"/>
    <w:rsid w:val="00B81BBC"/>
    <w:rsid w:val="00B910D1"/>
    <w:rsid w:val="00BD03D5"/>
    <w:rsid w:val="00C20184"/>
    <w:rsid w:val="00C3215E"/>
    <w:rsid w:val="00C45272"/>
    <w:rsid w:val="00C47770"/>
    <w:rsid w:val="00C75856"/>
    <w:rsid w:val="00C76AE1"/>
    <w:rsid w:val="00C829AB"/>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365D"/>
    <w:rsid w:val="00E067A8"/>
    <w:rsid w:val="00E13924"/>
    <w:rsid w:val="00E15FD5"/>
    <w:rsid w:val="00E1725A"/>
    <w:rsid w:val="00E33758"/>
    <w:rsid w:val="00E53E5E"/>
    <w:rsid w:val="00E64325"/>
    <w:rsid w:val="00E673C5"/>
    <w:rsid w:val="00E67967"/>
    <w:rsid w:val="00E7145C"/>
    <w:rsid w:val="00E82723"/>
    <w:rsid w:val="00E96DA5"/>
    <w:rsid w:val="00EA29A5"/>
    <w:rsid w:val="00EC107C"/>
    <w:rsid w:val="00EC7EBE"/>
    <w:rsid w:val="00EC7FD2"/>
    <w:rsid w:val="00ED5964"/>
    <w:rsid w:val="00F031EA"/>
    <w:rsid w:val="00F1720B"/>
    <w:rsid w:val="00F36ADC"/>
    <w:rsid w:val="00F605C6"/>
    <w:rsid w:val="00F6785B"/>
    <w:rsid w:val="00F915D6"/>
    <w:rsid w:val="00FC14B4"/>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FC14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hsc.14061" TargetMode="External"/><Relationship Id="rId18" Type="http://schemas.openxmlformats.org/officeDocument/2006/relationships/hyperlink" Target="https://doi.org/10.1016/j.pec.2022.06.01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0597-025-01490-9" TargetMode="External"/><Relationship Id="rId17" Type="http://schemas.openxmlformats.org/officeDocument/2006/relationships/hyperlink" Target="https://doi.org/10.1007/s00787-025-02711-y" TargetMode="External"/><Relationship Id="rId2" Type="http://schemas.openxmlformats.org/officeDocument/2006/relationships/numbering" Target="numbering.xml"/><Relationship Id="rId16" Type="http://schemas.openxmlformats.org/officeDocument/2006/relationships/hyperlink" Target="https://doi.org/10.12688/wellcomeopenres.15042.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healthcare8010026" TargetMode="External"/><Relationship Id="rId5" Type="http://schemas.openxmlformats.org/officeDocument/2006/relationships/webSettings" Target="webSettings.xml"/><Relationship Id="rId15" Type="http://schemas.openxmlformats.org/officeDocument/2006/relationships/hyperlink" Target="https://www.ncbi.nlm.nih.gov/books/NBK442015/" TargetMode="External"/><Relationship Id="rId10" Type="http://schemas.openxmlformats.org/officeDocument/2006/relationships/hyperlink" Target="https://doi.org/10.1007/978-3-031-61224-4_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97/jom.0000000000002071" TargetMode="External"/><Relationship Id="rId14" Type="http://schemas.openxmlformats.org/officeDocument/2006/relationships/hyperlink" Target="https://doi.org/10.1186/s12913-023-0986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Saleem Hussain (2506895)</cp:lastModifiedBy>
  <cp:revision>7</cp:revision>
  <dcterms:created xsi:type="dcterms:W3CDTF">2025-11-20T23:17:00Z</dcterms:created>
  <dcterms:modified xsi:type="dcterms:W3CDTF">2025-11-20T23:35:00Z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