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B03A6" w14:textId="34EFCE9B" w:rsidR="00CB2AC8" w:rsidRDefault="00CB2AC8" w:rsidP="00CB2AC8">
      <w:pPr>
        <w:spacing w:line="276" w:lineRule="auto"/>
        <w:jc w:val="center"/>
        <w:rPr>
          <w:rFonts w:ascii="Arial" w:hAnsi="Arial" w:cs="Arial"/>
          <w:sz w:val="22"/>
          <w:szCs w:val="22"/>
        </w:rPr>
      </w:pPr>
    </w:p>
    <w:p w14:paraId="58F5E524" w14:textId="77777777" w:rsidR="00CB2AC8" w:rsidRDefault="00CB2AC8" w:rsidP="00CB2AC8">
      <w:pPr>
        <w:spacing w:line="480" w:lineRule="auto"/>
        <w:jc w:val="center"/>
        <w:rPr>
          <w:rFonts w:ascii="Arial" w:hAnsi="Arial" w:cs="Arial"/>
          <w:b/>
          <w:bCs/>
          <w:sz w:val="28"/>
          <w:szCs w:val="28"/>
        </w:rPr>
      </w:pPr>
    </w:p>
    <w:p w14:paraId="645459F9" w14:textId="77777777" w:rsidR="00CB2AC8" w:rsidRDefault="00CB2AC8" w:rsidP="00CB2AC8">
      <w:pPr>
        <w:spacing w:line="480" w:lineRule="auto"/>
        <w:jc w:val="center"/>
        <w:rPr>
          <w:rFonts w:ascii="Arial" w:hAnsi="Arial" w:cs="Arial"/>
          <w:b/>
          <w:bCs/>
          <w:sz w:val="28"/>
          <w:szCs w:val="28"/>
        </w:rPr>
      </w:pPr>
    </w:p>
    <w:p w14:paraId="630EC62C" w14:textId="4FC3D0F7" w:rsidR="00CB2AC8" w:rsidRDefault="00CB2AC8" w:rsidP="00CB2AC8">
      <w:pPr>
        <w:spacing w:line="480" w:lineRule="auto"/>
        <w:jc w:val="center"/>
        <w:rPr>
          <w:rFonts w:ascii="Arial" w:hAnsi="Arial" w:cs="Arial"/>
          <w:b/>
          <w:bCs/>
          <w:sz w:val="28"/>
          <w:szCs w:val="28"/>
        </w:rPr>
      </w:pPr>
      <w:bookmarkStart w:id="0" w:name="_sbjrp6512bdt" w:colFirst="0" w:colLast="0"/>
      <w:bookmarkEnd w:id="0"/>
      <w:r w:rsidRPr="00CB2AC8">
        <w:rPr>
          <w:rFonts w:ascii="Arial" w:hAnsi="Arial" w:cs="Arial"/>
          <w:noProof/>
          <w:sz w:val="22"/>
          <w:szCs w:val="22"/>
        </w:rPr>
        <w:drawing>
          <wp:inline distT="0" distB="0" distL="0" distR="0" wp14:anchorId="2634687A" wp14:editId="4398D481">
            <wp:extent cx="2772162" cy="1238423"/>
            <wp:effectExtent l="0" t="0" r="9525" b="0"/>
            <wp:docPr id="2004754257"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754257" name="Picture 1" descr="A logo with black text&#10;&#10;AI-generated content may be incorrect."/>
                    <pic:cNvPicPr/>
                  </pic:nvPicPr>
                  <pic:blipFill>
                    <a:blip r:embed="rId8"/>
                    <a:stretch>
                      <a:fillRect/>
                    </a:stretch>
                  </pic:blipFill>
                  <pic:spPr>
                    <a:xfrm>
                      <a:off x="0" y="0"/>
                      <a:ext cx="2772162" cy="1238423"/>
                    </a:xfrm>
                    <a:prstGeom prst="rect">
                      <a:avLst/>
                    </a:prstGeom>
                  </pic:spPr>
                </pic:pic>
              </a:graphicData>
            </a:graphic>
          </wp:inline>
        </w:drawing>
      </w:r>
    </w:p>
    <w:p w14:paraId="6D0C21D7" w14:textId="130C89CA" w:rsidR="00CB2AC8" w:rsidRPr="00CB2AC8" w:rsidRDefault="00CB2AC8" w:rsidP="00CB2AC8">
      <w:pPr>
        <w:spacing w:line="480" w:lineRule="auto"/>
        <w:jc w:val="center"/>
        <w:rPr>
          <w:rFonts w:ascii="Arial" w:hAnsi="Arial" w:cs="Arial"/>
          <w:b/>
          <w:bCs/>
          <w:sz w:val="28"/>
          <w:szCs w:val="28"/>
        </w:rPr>
      </w:pPr>
      <w:proofErr w:type="spellStart"/>
      <w:r w:rsidRPr="00CB2AC8">
        <w:rPr>
          <w:rFonts w:ascii="Arial" w:hAnsi="Arial" w:cs="Arial"/>
          <w:b/>
          <w:bCs/>
          <w:sz w:val="28"/>
          <w:szCs w:val="28"/>
        </w:rPr>
        <w:t>Programme</w:t>
      </w:r>
      <w:proofErr w:type="spellEnd"/>
      <w:r w:rsidRPr="00CB2AC8">
        <w:rPr>
          <w:rFonts w:ascii="Arial" w:hAnsi="Arial" w:cs="Arial"/>
          <w:b/>
          <w:bCs/>
          <w:sz w:val="28"/>
          <w:szCs w:val="28"/>
        </w:rPr>
        <w:t xml:space="preserve">: MSc Public Health and Social Care in Practice </w:t>
      </w:r>
    </w:p>
    <w:p w14:paraId="60630458" w14:textId="77777777" w:rsidR="00CB2AC8" w:rsidRPr="00CB2AC8" w:rsidRDefault="00CB2AC8" w:rsidP="00CB2AC8">
      <w:pPr>
        <w:spacing w:line="480" w:lineRule="auto"/>
        <w:jc w:val="center"/>
        <w:rPr>
          <w:rFonts w:ascii="Arial" w:hAnsi="Arial" w:cs="Arial"/>
          <w:b/>
          <w:bCs/>
          <w:sz w:val="28"/>
          <w:szCs w:val="28"/>
        </w:rPr>
      </w:pPr>
      <w:r w:rsidRPr="00CB2AC8">
        <w:rPr>
          <w:rFonts w:ascii="Arial" w:hAnsi="Arial" w:cs="Arial"/>
          <w:b/>
          <w:bCs/>
          <w:sz w:val="28"/>
          <w:szCs w:val="28"/>
        </w:rPr>
        <w:t>Module: Social Epidemiology and Public Health Development</w:t>
      </w:r>
    </w:p>
    <w:p w14:paraId="5143EEB9" w14:textId="77777777" w:rsidR="00CB2AC8" w:rsidRPr="00CB2AC8" w:rsidRDefault="00CB2AC8" w:rsidP="00CB2AC8">
      <w:pPr>
        <w:spacing w:line="480" w:lineRule="auto"/>
        <w:jc w:val="center"/>
        <w:rPr>
          <w:rFonts w:ascii="Arial" w:hAnsi="Arial" w:cs="Arial"/>
          <w:b/>
          <w:bCs/>
          <w:sz w:val="28"/>
          <w:szCs w:val="28"/>
        </w:rPr>
      </w:pPr>
      <w:r w:rsidRPr="00CB2AC8">
        <w:rPr>
          <w:rFonts w:ascii="Arial" w:hAnsi="Arial" w:cs="Arial"/>
          <w:b/>
          <w:bCs/>
          <w:sz w:val="28"/>
          <w:szCs w:val="28"/>
        </w:rPr>
        <w:t>Module code: LCHS7000</w:t>
      </w:r>
    </w:p>
    <w:p w14:paraId="24C85CC5" w14:textId="77777777" w:rsidR="00CB2AC8" w:rsidRDefault="00CB2AC8" w:rsidP="00CB2AC8">
      <w:pPr>
        <w:spacing w:line="480" w:lineRule="auto"/>
        <w:jc w:val="center"/>
        <w:rPr>
          <w:rFonts w:ascii="Arial" w:hAnsi="Arial" w:cs="Arial"/>
          <w:b/>
          <w:bCs/>
          <w:sz w:val="28"/>
          <w:szCs w:val="28"/>
        </w:rPr>
      </w:pPr>
      <w:r w:rsidRPr="00CB2AC8">
        <w:rPr>
          <w:rFonts w:ascii="Arial" w:hAnsi="Arial" w:cs="Arial"/>
          <w:b/>
          <w:bCs/>
          <w:sz w:val="28"/>
          <w:szCs w:val="28"/>
        </w:rPr>
        <w:t>Assignment Title: Component 2 Analytical Report</w:t>
      </w:r>
    </w:p>
    <w:p w14:paraId="36CB9BD5" w14:textId="352F9011" w:rsidR="00257F71" w:rsidRPr="00CB2AC8" w:rsidRDefault="00257F71" w:rsidP="00CB2AC8">
      <w:pPr>
        <w:spacing w:line="480" w:lineRule="auto"/>
        <w:jc w:val="center"/>
        <w:rPr>
          <w:rFonts w:ascii="Arial" w:hAnsi="Arial" w:cs="Arial"/>
          <w:b/>
          <w:bCs/>
          <w:sz w:val="28"/>
          <w:szCs w:val="28"/>
        </w:rPr>
      </w:pPr>
      <w:r>
        <w:rPr>
          <w:rFonts w:ascii="Arial" w:hAnsi="Arial" w:cs="Arial"/>
          <w:b/>
          <w:bCs/>
          <w:sz w:val="28"/>
          <w:szCs w:val="28"/>
        </w:rPr>
        <w:t>Lecturer: Hamdi Hussain</w:t>
      </w:r>
    </w:p>
    <w:p w14:paraId="5506008C" w14:textId="24F13652" w:rsidR="00CB2AC8" w:rsidRPr="00CB2AC8" w:rsidRDefault="00CB2AC8" w:rsidP="00CB2AC8">
      <w:pPr>
        <w:spacing w:line="480" w:lineRule="auto"/>
        <w:jc w:val="center"/>
        <w:rPr>
          <w:rFonts w:ascii="Arial" w:hAnsi="Arial" w:cs="Arial"/>
          <w:b/>
          <w:bCs/>
          <w:sz w:val="28"/>
          <w:szCs w:val="28"/>
        </w:rPr>
      </w:pPr>
      <w:r w:rsidRPr="00CB2AC8">
        <w:rPr>
          <w:rFonts w:ascii="Arial" w:hAnsi="Arial" w:cs="Arial"/>
          <w:b/>
          <w:bCs/>
          <w:sz w:val="28"/>
          <w:szCs w:val="28"/>
        </w:rPr>
        <w:t>Student Name</w:t>
      </w:r>
      <w:r w:rsidR="00257F71">
        <w:rPr>
          <w:rFonts w:ascii="Arial" w:hAnsi="Arial" w:cs="Arial"/>
          <w:b/>
          <w:bCs/>
          <w:sz w:val="28"/>
          <w:szCs w:val="28"/>
        </w:rPr>
        <w:t>: Isha Patel</w:t>
      </w:r>
    </w:p>
    <w:p w14:paraId="51DE21AA" w14:textId="08B8E683" w:rsidR="00CB2AC8" w:rsidRDefault="00CB2AC8" w:rsidP="00CB2AC8">
      <w:pPr>
        <w:spacing w:line="480" w:lineRule="auto"/>
        <w:jc w:val="center"/>
        <w:rPr>
          <w:rFonts w:ascii="Arial" w:hAnsi="Arial" w:cs="Arial"/>
          <w:b/>
          <w:bCs/>
          <w:sz w:val="28"/>
          <w:szCs w:val="28"/>
        </w:rPr>
      </w:pPr>
      <w:r w:rsidRPr="00CB2AC8">
        <w:rPr>
          <w:rFonts w:ascii="Arial" w:hAnsi="Arial" w:cs="Arial"/>
          <w:b/>
          <w:bCs/>
          <w:sz w:val="28"/>
          <w:szCs w:val="28"/>
        </w:rPr>
        <w:t>Student Number</w:t>
      </w:r>
      <w:r w:rsidR="00257F71">
        <w:rPr>
          <w:rFonts w:ascii="Arial" w:hAnsi="Arial" w:cs="Arial"/>
          <w:b/>
          <w:bCs/>
          <w:sz w:val="28"/>
          <w:szCs w:val="28"/>
        </w:rPr>
        <w:t>: 2503804</w:t>
      </w:r>
    </w:p>
    <w:p w14:paraId="0C6ED789" w14:textId="77777777" w:rsidR="00CB2AC8" w:rsidRDefault="00CB2AC8">
      <w:pPr>
        <w:spacing w:line="276" w:lineRule="auto"/>
        <w:jc w:val="left"/>
        <w:rPr>
          <w:rFonts w:ascii="Arial" w:hAnsi="Arial" w:cs="Arial"/>
          <w:b/>
          <w:bCs/>
          <w:sz w:val="28"/>
          <w:szCs w:val="28"/>
        </w:rPr>
      </w:pPr>
      <w:r>
        <w:rPr>
          <w:rFonts w:ascii="Arial" w:hAnsi="Arial" w:cs="Arial"/>
          <w:b/>
          <w:bCs/>
          <w:sz w:val="28"/>
          <w:szCs w:val="28"/>
        </w:rPr>
        <w:br w:type="page"/>
      </w:r>
    </w:p>
    <w:sdt>
      <w:sdtPr>
        <w:rPr>
          <w:rFonts w:ascii="Times New Roman" w:eastAsia="Arial" w:hAnsi="Times New Roman" w:cs="Times New Roman"/>
          <w:color w:val="auto"/>
          <w:sz w:val="24"/>
          <w:szCs w:val="24"/>
          <w:lang w:val="en" w:eastAsia="en-IN"/>
        </w:rPr>
        <w:id w:val="-918558055"/>
        <w:docPartObj>
          <w:docPartGallery w:val="Table of Contents"/>
          <w:docPartUnique/>
        </w:docPartObj>
      </w:sdtPr>
      <w:sdtEndPr>
        <w:rPr>
          <w:b/>
          <w:bCs/>
          <w:noProof/>
        </w:rPr>
      </w:sdtEndPr>
      <w:sdtContent>
        <w:p w14:paraId="1045D3CA" w14:textId="2607423B" w:rsidR="00CB2AC8" w:rsidRPr="00CB2AC8" w:rsidRDefault="00CB2AC8" w:rsidP="00CB2AC8">
          <w:pPr>
            <w:pStyle w:val="TOCHeading"/>
            <w:spacing w:line="360" w:lineRule="auto"/>
            <w:jc w:val="center"/>
            <w:rPr>
              <w:rFonts w:ascii="Arial" w:hAnsi="Arial" w:cs="Arial"/>
              <w:b/>
              <w:bCs/>
              <w:color w:val="auto"/>
              <w:sz w:val="22"/>
              <w:szCs w:val="22"/>
            </w:rPr>
          </w:pPr>
          <w:r w:rsidRPr="00CB2AC8">
            <w:rPr>
              <w:rFonts w:ascii="Arial" w:hAnsi="Arial" w:cs="Arial"/>
              <w:b/>
              <w:bCs/>
              <w:color w:val="auto"/>
              <w:sz w:val="22"/>
              <w:szCs w:val="22"/>
            </w:rPr>
            <w:t>Table of Contents</w:t>
          </w:r>
        </w:p>
        <w:p w14:paraId="7CAF4EBE" w14:textId="4A8CCC3D" w:rsidR="00CB2AC8" w:rsidRPr="00CB2AC8" w:rsidRDefault="00CB2AC8">
          <w:pPr>
            <w:pStyle w:val="TOC1"/>
            <w:tabs>
              <w:tab w:val="right" w:leader="dot" w:pos="9350"/>
            </w:tabs>
            <w:rPr>
              <w:rFonts w:ascii="Arial" w:eastAsiaTheme="minorEastAsia" w:hAnsi="Arial" w:cs="Arial"/>
              <w:noProof/>
              <w:kern w:val="2"/>
              <w:sz w:val="22"/>
              <w:szCs w:val="22"/>
              <w:lang w:val="en-IN"/>
              <w14:ligatures w14:val="standardContextual"/>
            </w:rPr>
          </w:pPr>
          <w:r w:rsidRPr="00CB2AC8">
            <w:rPr>
              <w:rFonts w:ascii="Arial" w:hAnsi="Arial" w:cs="Arial"/>
              <w:sz w:val="22"/>
              <w:szCs w:val="22"/>
            </w:rPr>
            <w:fldChar w:fldCharType="begin"/>
          </w:r>
          <w:r w:rsidRPr="00CB2AC8">
            <w:rPr>
              <w:rFonts w:ascii="Arial" w:hAnsi="Arial" w:cs="Arial"/>
              <w:sz w:val="22"/>
              <w:szCs w:val="22"/>
            </w:rPr>
            <w:instrText xml:space="preserve"> TOC \o "1-3" \h \z \u </w:instrText>
          </w:r>
          <w:r w:rsidRPr="00CB2AC8">
            <w:rPr>
              <w:rFonts w:ascii="Arial" w:hAnsi="Arial" w:cs="Arial"/>
              <w:sz w:val="22"/>
              <w:szCs w:val="22"/>
            </w:rPr>
            <w:fldChar w:fldCharType="separate"/>
          </w:r>
          <w:hyperlink w:anchor="_Toc212939526" w:history="1">
            <w:r w:rsidRPr="00CB2AC8">
              <w:rPr>
                <w:rStyle w:val="Hyperlink"/>
                <w:rFonts w:ascii="Arial" w:hAnsi="Arial" w:cs="Arial"/>
                <w:noProof/>
                <w:sz w:val="22"/>
                <w:szCs w:val="22"/>
              </w:rPr>
              <w:t>Task 1: Social Epidemiological Analysis</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_Toc212939526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3</w:t>
            </w:r>
            <w:r w:rsidRPr="00CB2AC8">
              <w:rPr>
                <w:rFonts w:ascii="Arial" w:hAnsi="Arial" w:cs="Arial"/>
                <w:noProof/>
                <w:webHidden/>
                <w:sz w:val="22"/>
                <w:szCs w:val="22"/>
              </w:rPr>
              <w:fldChar w:fldCharType="end"/>
            </w:r>
          </w:hyperlink>
        </w:p>
        <w:p w14:paraId="6C6CD332" w14:textId="6328B7B7"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27" w:history="1">
            <w:r w:rsidRPr="00CB2AC8">
              <w:rPr>
                <w:rStyle w:val="Hyperlink"/>
                <w:rFonts w:ascii="Arial" w:hAnsi="Arial" w:cs="Arial"/>
                <w:noProof/>
                <w:sz w:val="22"/>
                <w:szCs w:val="22"/>
              </w:rPr>
              <w:t>Introduction</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_Toc212939527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3</w:t>
            </w:r>
            <w:r w:rsidRPr="00CB2AC8">
              <w:rPr>
                <w:rFonts w:ascii="Arial" w:hAnsi="Arial" w:cs="Arial"/>
                <w:noProof/>
                <w:webHidden/>
                <w:sz w:val="22"/>
                <w:szCs w:val="22"/>
              </w:rPr>
              <w:fldChar w:fldCharType="end"/>
            </w:r>
          </w:hyperlink>
        </w:p>
        <w:p w14:paraId="25EF0EE4" w14:textId="69DD2E2B"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28" w:history="1">
            <w:r w:rsidRPr="00CB2AC8">
              <w:rPr>
                <w:rStyle w:val="Hyperlink"/>
                <w:rFonts w:ascii="Arial" w:hAnsi="Arial" w:cs="Arial"/>
                <w:noProof/>
                <w:sz w:val="22"/>
                <w:szCs w:val="22"/>
              </w:rPr>
              <w:t>Contextual Background and Underlying Factors</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_Toc212939528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3</w:t>
            </w:r>
            <w:r w:rsidRPr="00CB2AC8">
              <w:rPr>
                <w:rFonts w:ascii="Arial" w:hAnsi="Arial" w:cs="Arial"/>
                <w:noProof/>
                <w:webHidden/>
                <w:sz w:val="22"/>
                <w:szCs w:val="22"/>
              </w:rPr>
              <w:fldChar w:fldCharType="end"/>
            </w:r>
          </w:hyperlink>
        </w:p>
        <w:p w14:paraId="5F1AFFB1" w14:textId="0ED58482"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29" w:history="1">
            <w:r w:rsidRPr="00CB2AC8">
              <w:rPr>
                <w:rStyle w:val="Hyperlink"/>
                <w:rFonts w:ascii="Arial" w:hAnsi="Arial" w:cs="Arial"/>
                <w:noProof/>
                <w:sz w:val="22"/>
                <w:szCs w:val="22"/>
              </w:rPr>
              <w:t>Major Health Inequality Issues Faced by the Elderly Population</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_Toc212939529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3</w:t>
            </w:r>
            <w:r w:rsidRPr="00CB2AC8">
              <w:rPr>
                <w:rFonts w:ascii="Arial" w:hAnsi="Arial" w:cs="Arial"/>
                <w:noProof/>
                <w:webHidden/>
                <w:sz w:val="22"/>
                <w:szCs w:val="22"/>
              </w:rPr>
              <w:fldChar w:fldCharType="end"/>
            </w:r>
          </w:hyperlink>
        </w:p>
        <w:p w14:paraId="29D0125A" w14:textId="044E9C54"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0" w:history="1">
            <w:r w:rsidRPr="00CB2AC8">
              <w:rPr>
                <w:rStyle w:val="Hyperlink"/>
                <w:rFonts w:ascii="Arial" w:hAnsi="Arial" w:cs="Arial"/>
                <w:noProof/>
                <w:sz w:val="22"/>
                <w:szCs w:val="22"/>
              </w:rPr>
              <w:t>National Response to Reduce Health Inequalities</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_Toc212939530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5</w:t>
            </w:r>
            <w:r w:rsidRPr="00CB2AC8">
              <w:rPr>
                <w:rFonts w:ascii="Arial" w:hAnsi="Arial" w:cs="Arial"/>
                <w:noProof/>
                <w:webHidden/>
                <w:sz w:val="22"/>
                <w:szCs w:val="22"/>
              </w:rPr>
              <w:fldChar w:fldCharType="end"/>
            </w:r>
          </w:hyperlink>
        </w:p>
        <w:p w14:paraId="2E5CD380" w14:textId="03FA38FE"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1" w:history="1">
            <w:r w:rsidRPr="00CB2AC8">
              <w:rPr>
                <w:rStyle w:val="Hyperlink"/>
                <w:rFonts w:ascii="Arial" w:hAnsi="Arial" w:cs="Arial"/>
                <w:noProof/>
                <w:sz w:val="22"/>
                <w:szCs w:val="22"/>
              </w:rPr>
              <w:t>Organisations Supporting the Elderly Population</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_Toc212939531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5</w:t>
            </w:r>
            <w:r w:rsidRPr="00CB2AC8">
              <w:rPr>
                <w:rFonts w:ascii="Arial" w:hAnsi="Arial" w:cs="Arial"/>
                <w:noProof/>
                <w:webHidden/>
                <w:sz w:val="22"/>
                <w:szCs w:val="22"/>
              </w:rPr>
              <w:fldChar w:fldCharType="end"/>
            </w:r>
          </w:hyperlink>
        </w:p>
        <w:p w14:paraId="3A2A8FF2" w14:textId="26B9992D"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2" w:history="1">
            <w:r w:rsidRPr="00CB2AC8">
              <w:rPr>
                <w:rStyle w:val="Hyperlink"/>
                <w:rFonts w:ascii="Arial" w:hAnsi="Arial" w:cs="Arial"/>
                <w:noProof/>
                <w:sz w:val="22"/>
                <w:szCs w:val="22"/>
              </w:rPr>
              <w:t>Conclusion</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_Toc212939532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5</w:t>
            </w:r>
            <w:r w:rsidRPr="00CB2AC8">
              <w:rPr>
                <w:rFonts w:ascii="Arial" w:hAnsi="Arial" w:cs="Arial"/>
                <w:noProof/>
                <w:webHidden/>
                <w:sz w:val="22"/>
                <w:szCs w:val="22"/>
              </w:rPr>
              <w:fldChar w:fldCharType="end"/>
            </w:r>
          </w:hyperlink>
        </w:p>
        <w:p w14:paraId="0DE10478" w14:textId="6BEF58F2" w:rsidR="00CB2AC8" w:rsidRPr="00CB2AC8" w:rsidRDefault="00CB2AC8">
          <w:pPr>
            <w:pStyle w:val="TOC1"/>
            <w:tabs>
              <w:tab w:val="right" w:leader="dot" w:pos="9350"/>
            </w:tabs>
            <w:rPr>
              <w:rFonts w:ascii="Arial" w:eastAsiaTheme="minorEastAsia" w:hAnsi="Arial" w:cs="Arial"/>
              <w:noProof/>
              <w:kern w:val="2"/>
              <w:sz w:val="22"/>
              <w:szCs w:val="22"/>
              <w:lang w:val="en-IN"/>
              <w14:ligatures w14:val="standardContextual"/>
            </w:rPr>
          </w:pPr>
          <w:hyperlink w:anchor="_Toc212939533" w:history="1">
            <w:r w:rsidRPr="00CB2AC8">
              <w:rPr>
                <w:rStyle w:val="Hyperlink"/>
                <w:rFonts w:ascii="Arial" w:hAnsi="Arial" w:cs="Arial"/>
                <w:noProof/>
                <w:sz w:val="22"/>
                <w:szCs w:val="22"/>
              </w:rPr>
              <w:t>Task 2: Epidemiological Analysis</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_Toc212939533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6</w:t>
            </w:r>
            <w:r w:rsidRPr="00CB2AC8">
              <w:rPr>
                <w:rFonts w:ascii="Arial" w:hAnsi="Arial" w:cs="Arial"/>
                <w:noProof/>
                <w:webHidden/>
                <w:sz w:val="22"/>
                <w:szCs w:val="22"/>
              </w:rPr>
              <w:fldChar w:fldCharType="end"/>
            </w:r>
          </w:hyperlink>
        </w:p>
        <w:p w14:paraId="0C7522FF" w14:textId="669FC078"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4" w:history="1">
            <w:r w:rsidRPr="00CB2AC8">
              <w:rPr>
                <w:rStyle w:val="Hyperlink"/>
                <w:rFonts w:ascii="Arial" w:hAnsi="Arial" w:cs="Arial"/>
                <w:noProof/>
                <w:sz w:val="22"/>
                <w:szCs w:val="22"/>
              </w:rPr>
              <w:t>Introduction</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_Toc212939534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6</w:t>
            </w:r>
            <w:r w:rsidRPr="00CB2AC8">
              <w:rPr>
                <w:rFonts w:ascii="Arial" w:hAnsi="Arial" w:cs="Arial"/>
                <w:noProof/>
                <w:webHidden/>
                <w:sz w:val="22"/>
                <w:szCs w:val="22"/>
              </w:rPr>
              <w:fldChar w:fldCharType="end"/>
            </w:r>
          </w:hyperlink>
        </w:p>
        <w:p w14:paraId="04CC5B58" w14:textId="4FCB9616"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5" w:history="1">
            <w:r w:rsidRPr="00CB2AC8">
              <w:rPr>
                <w:rStyle w:val="Hyperlink"/>
                <w:rFonts w:ascii="Arial" w:hAnsi="Arial" w:cs="Arial"/>
                <w:noProof/>
                <w:sz w:val="22"/>
                <w:szCs w:val="22"/>
              </w:rPr>
              <w:t>Identification and Assessment of the Health Problem</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_Toc212939535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6</w:t>
            </w:r>
            <w:r w:rsidRPr="00CB2AC8">
              <w:rPr>
                <w:rFonts w:ascii="Arial" w:hAnsi="Arial" w:cs="Arial"/>
                <w:noProof/>
                <w:webHidden/>
                <w:sz w:val="22"/>
                <w:szCs w:val="22"/>
              </w:rPr>
              <w:fldChar w:fldCharType="end"/>
            </w:r>
          </w:hyperlink>
        </w:p>
        <w:p w14:paraId="2ED8F61E" w14:textId="35EDBF3B"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6" w:history="1">
            <w:r w:rsidRPr="00CB2AC8">
              <w:rPr>
                <w:rStyle w:val="Hyperlink"/>
                <w:rFonts w:ascii="Arial" w:hAnsi="Arial" w:cs="Arial"/>
                <w:noProof/>
                <w:sz w:val="22"/>
                <w:szCs w:val="22"/>
              </w:rPr>
              <w:t>Epidemiological Methods and Study Evidence</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_Toc212939536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7</w:t>
            </w:r>
            <w:r w:rsidRPr="00CB2AC8">
              <w:rPr>
                <w:rFonts w:ascii="Arial" w:hAnsi="Arial" w:cs="Arial"/>
                <w:noProof/>
                <w:webHidden/>
                <w:sz w:val="22"/>
                <w:szCs w:val="22"/>
              </w:rPr>
              <w:fldChar w:fldCharType="end"/>
            </w:r>
          </w:hyperlink>
        </w:p>
        <w:p w14:paraId="5466AABF" w14:textId="07294769"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7" w:history="1">
            <w:r w:rsidRPr="00CB2AC8">
              <w:rPr>
                <w:rStyle w:val="Hyperlink"/>
                <w:rFonts w:ascii="Arial" w:hAnsi="Arial" w:cs="Arial"/>
                <w:noProof/>
                <w:sz w:val="22"/>
                <w:szCs w:val="22"/>
              </w:rPr>
              <w:t>The 3 Ps and Public Health Measures</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_Toc212939537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8</w:t>
            </w:r>
            <w:r w:rsidRPr="00CB2AC8">
              <w:rPr>
                <w:rFonts w:ascii="Arial" w:hAnsi="Arial" w:cs="Arial"/>
                <w:noProof/>
                <w:webHidden/>
                <w:sz w:val="22"/>
                <w:szCs w:val="22"/>
              </w:rPr>
              <w:fldChar w:fldCharType="end"/>
            </w:r>
          </w:hyperlink>
        </w:p>
        <w:p w14:paraId="01B15707" w14:textId="3DF20101"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8" w:history="1">
            <w:r w:rsidRPr="00CB2AC8">
              <w:rPr>
                <w:rStyle w:val="Hyperlink"/>
                <w:rFonts w:ascii="Arial" w:hAnsi="Arial" w:cs="Arial"/>
                <w:noProof/>
                <w:sz w:val="22"/>
                <w:szCs w:val="22"/>
              </w:rPr>
              <w:t>Determinants and Affected Population</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_Toc212939538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8</w:t>
            </w:r>
            <w:r w:rsidRPr="00CB2AC8">
              <w:rPr>
                <w:rFonts w:ascii="Arial" w:hAnsi="Arial" w:cs="Arial"/>
                <w:noProof/>
                <w:webHidden/>
                <w:sz w:val="22"/>
                <w:szCs w:val="22"/>
              </w:rPr>
              <w:fldChar w:fldCharType="end"/>
            </w:r>
          </w:hyperlink>
        </w:p>
        <w:p w14:paraId="0B6461C4" w14:textId="693169B3"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9" w:history="1">
            <w:r w:rsidRPr="00CB2AC8">
              <w:rPr>
                <w:rStyle w:val="Hyperlink"/>
                <w:rFonts w:ascii="Arial" w:hAnsi="Arial" w:cs="Arial"/>
                <w:noProof/>
                <w:sz w:val="22"/>
                <w:szCs w:val="22"/>
              </w:rPr>
              <w:t>Epidemiological Planning and Population Health Impact</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_Toc212939539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9</w:t>
            </w:r>
            <w:r w:rsidRPr="00CB2AC8">
              <w:rPr>
                <w:rFonts w:ascii="Arial" w:hAnsi="Arial" w:cs="Arial"/>
                <w:noProof/>
                <w:webHidden/>
                <w:sz w:val="22"/>
                <w:szCs w:val="22"/>
              </w:rPr>
              <w:fldChar w:fldCharType="end"/>
            </w:r>
          </w:hyperlink>
        </w:p>
        <w:p w14:paraId="250754DA" w14:textId="47E2A721"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40" w:history="1">
            <w:r w:rsidRPr="00CB2AC8">
              <w:rPr>
                <w:rStyle w:val="Hyperlink"/>
                <w:rFonts w:ascii="Arial" w:hAnsi="Arial" w:cs="Arial"/>
                <w:noProof/>
                <w:sz w:val="22"/>
                <w:szCs w:val="22"/>
              </w:rPr>
              <w:t>Design of Intervention Programs in Health</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_Toc212939540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9</w:t>
            </w:r>
            <w:r w:rsidRPr="00CB2AC8">
              <w:rPr>
                <w:rFonts w:ascii="Arial" w:hAnsi="Arial" w:cs="Arial"/>
                <w:noProof/>
                <w:webHidden/>
                <w:sz w:val="22"/>
                <w:szCs w:val="22"/>
              </w:rPr>
              <w:fldChar w:fldCharType="end"/>
            </w:r>
          </w:hyperlink>
        </w:p>
        <w:p w14:paraId="254F05F4" w14:textId="718D1123"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41" w:history="1">
            <w:r w:rsidRPr="00CB2AC8">
              <w:rPr>
                <w:rStyle w:val="Hyperlink"/>
                <w:rFonts w:ascii="Arial" w:hAnsi="Arial" w:cs="Arial"/>
                <w:noProof/>
                <w:sz w:val="22"/>
                <w:szCs w:val="22"/>
              </w:rPr>
              <w:t>Strengths and Weaknesses</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_Toc212939541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10</w:t>
            </w:r>
            <w:r w:rsidRPr="00CB2AC8">
              <w:rPr>
                <w:rFonts w:ascii="Arial" w:hAnsi="Arial" w:cs="Arial"/>
                <w:noProof/>
                <w:webHidden/>
                <w:sz w:val="22"/>
                <w:szCs w:val="22"/>
              </w:rPr>
              <w:fldChar w:fldCharType="end"/>
            </w:r>
          </w:hyperlink>
        </w:p>
        <w:p w14:paraId="63A43944" w14:textId="20264136"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42" w:history="1">
            <w:r w:rsidRPr="00CB2AC8">
              <w:rPr>
                <w:rStyle w:val="Hyperlink"/>
                <w:rFonts w:ascii="Arial" w:hAnsi="Arial" w:cs="Arial"/>
                <w:noProof/>
                <w:sz w:val="22"/>
                <w:szCs w:val="22"/>
              </w:rPr>
              <w:t>Conclusion</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_Toc212939542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10</w:t>
            </w:r>
            <w:r w:rsidRPr="00CB2AC8">
              <w:rPr>
                <w:rFonts w:ascii="Arial" w:hAnsi="Arial" w:cs="Arial"/>
                <w:noProof/>
                <w:webHidden/>
                <w:sz w:val="22"/>
                <w:szCs w:val="22"/>
              </w:rPr>
              <w:fldChar w:fldCharType="end"/>
            </w:r>
          </w:hyperlink>
        </w:p>
        <w:p w14:paraId="61DAA09B" w14:textId="2E35E32C" w:rsidR="00CB2AC8" w:rsidRDefault="00CB2AC8">
          <w:r w:rsidRPr="00CB2AC8">
            <w:rPr>
              <w:rFonts w:ascii="Arial" w:hAnsi="Arial" w:cs="Arial"/>
              <w:b/>
              <w:bCs/>
              <w:noProof/>
              <w:sz w:val="22"/>
              <w:szCs w:val="22"/>
            </w:rPr>
            <w:fldChar w:fldCharType="end"/>
          </w:r>
        </w:p>
      </w:sdtContent>
    </w:sdt>
    <w:p w14:paraId="793C7163" w14:textId="51BE4BCD" w:rsidR="00CB2AC8" w:rsidRDefault="00CB2AC8" w:rsidP="00CB2AC8">
      <w:pPr>
        <w:spacing w:line="480" w:lineRule="auto"/>
        <w:rPr>
          <w:rFonts w:ascii="Arial" w:hAnsi="Arial" w:cs="Arial"/>
          <w:b/>
          <w:bCs/>
          <w:sz w:val="22"/>
          <w:szCs w:val="22"/>
        </w:rPr>
      </w:pPr>
      <w:r>
        <w:rPr>
          <w:rFonts w:ascii="Arial" w:hAnsi="Arial" w:cs="Arial"/>
          <w:sz w:val="22"/>
          <w:szCs w:val="22"/>
        </w:rPr>
        <w:br w:type="page"/>
      </w:r>
    </w:p>
    <w:p w14:paraId="00000001" w14:textId="466058D3" w:rsidR="00400E53" w:rsidRPr="00CB2AC8" w:rsidRDefault="00000000" w:rsidP="00D01D6B">
      <w:pPr>
        <w:pStyle w:val="Heading1"/>
        <w:rPr>
          <w:rFonts w:ascii="Arial" w:hAnsi="Arial" w:cs="Arial"/>
          <w:sz w:val="22"/>
          <w:szCs w:val="22"/>
        </w:rPr>
      </w:pPr>
      <w:bookmarkStart w:id="1" w:name="_Toc212939526"/>
      <w:r w:rsidRPr="00CB2AC8">
        <w:rPr>
          <w:rFonts w:ascii="Arial" w:hAnsi="Arial" w:cs="Arial"/>
          <w:sz w:val="22"/>
          <w:szCs w:val="22"/>
        </w:rPr>
        <w:lastRenderedPageBreak/>
        <w:t>Task 1: Social Epidemiological Analysis</w:t>
      </w:r>
      <w:bookmarkEnd w:id="1"/>
    </w:p>
    <w:p w14:paraId="00000003" w14:textId="1B4325E1" w:rsidR="00400E53" w:rsidRPr="00CB2AC8" w:rsidRDefault="00000000" w:rsidP="00B95930">
      <w:pPr>
        <w:jc w:val="center"/>
        <w:rPr>
          <w:rFonts w:ascii="Arial" w:hAnsi="Arial" w:cs="Arial"/>
          <w:b/>
          <w:bCs/>
          <w:sz w:val="22"/>
          <w:szCs w:val="22"/>
        </w:rPr>
      </w:pPr>
      <w:r w:rsidRPr="00CB2AC8">
        <w:rPr>
          <w:rFonts w:ascii="Arial" w:hAnsi="Arial" w:cs="Arial"/>
          <w:b/>
          <w:bCs/>
          <w:sz w:val="22"/>
          <w:szCs w:val="22"/>
        </w:rPr>
        <w:t>Age and Health Inequalities Among the Elderly Population in the United Kingdom</w:t>
      </w:r>
    </w:p>
    <w:p w14:paraId="00000004" w14:textId="77777777" w:rsidR="00400E53" w:rsidRPr="00CB2AC8" w:rsidRDefault="00000000" w:rsidP="00CB2AC8">
      <w:pPr>
        <w:pStyle w:val="Heading2"/>
      </w:pPr>
      <w:bookmarkStart w:id="2" w:name="_ppnk0gmwyywv" w:colFirst="0" w:colLast="0"/>
      <w:bookmarkStart w:id="3" w:name="_Toc212939527"/>
      <w:bookmarkEnd w:id="2"/>
      <w:r w:rsidRPr="00CB2AC8">
        <w:t>Introduction</w:t>
      </w:r>
      <w:bookmarkEnd w:id="3"/>
    </w:p>
    <w:p w14:paraId="3CE4FD2F" w14:textId="11E1EB91" w:rsidR="00B95930" w:rsidRPr="00CB2AC8" w:rsidRDefault="00B55F2A" w:rsidP="00B95930">
      <w:pPr>
        <w:rPr>
          <w:rFonts w:ascii="Arial" w:hAnsi="Arial" w:cs="Arial"/>
          <w:sz w:val="22"/>
          <w:szCs w:val="22"/>
        </w:rPr>
      </w:pPr>
      <w:r w:rsidRPr="00B55F2A">
        <w:rPr>
          <w:rFonts w:ascii="Arial" w:hAnsi="Arial" w:cs="Arial"/>
          <w:sz w:val="22"/>
          <w:szCs w:val="22"/>
        </w:rPr>
        <w:t xml:space="preserve">One of the </w:t>
      </w:r>
      <w:r>
        <w:rPr>
          <w:rFonts w:ascii="Arial" w:hAnsi="Arial" w:cs="Arial"/>
          <w:sz w:val="22"/>
          <w:szCs w:val="22"/>
        </w:rPr>
        <w:t>r</w:t>
      </w:r>
      <w:r w:rsidRPr="00B55F2A">
        <w:rPr>
          <w:rFonts w:ascii="Arial" w:hAnsi="Arial" w:cs="Arial"/>
          <w:sz w:val="22"/>
          <w:szCs w:val="22"/>
        </w:rPr>
        <w:t>apidly growing segments in the United Kingdom is the aged population, composed of people of age 65 years and above. Ageing physiological deterioration, multimorbidity and decreased mobility are also special health issues that are experienced by the age group. These biological states are combined with the social isolation and lack of activity in the life of the community that often lead to worse health outcomes. It will be discussed that this paper will endeavor to identify the major epidemiological trends, social issues, and national responses, which have been undertaken to address the health gaps and bring equitable wellbeing to the elderly in the UK.</w:t>
      </w:r>
      <w:bookmarkStart w:id="4" w:name="_160nmd1zt18i" w:colFirst="0" w:colLast="0"/>
      <w:bookmarkEnd w:id="4"/>
    </w:p>
    <w:p w14:paraId="00000005" w14:textId="37D1BE41" w:rsidR="00400E53" w:rsidRPr="00CB2AC8" w:rsidRDefault="00000000" w:rsidP="00CB2AC8">
      <w:pPr>
        <w:pStyle w:val="Heading2"/>
      </w:pPr>
      <w:bookmarkStart w:id="5" w:name="_Toc212939528"/>
      <w:r w:rsidRPr="00CB2AC8">
        <w:t>Contextual Background and Underlying Factors</w:t>
      </w:r>
      <w:bookmarkEnd w:id="5"/>
    </w:p>
    <w:p w14:paraId="277B5808" w14:textId="6FD780C1" w:rsidR="00B95930" w:rsidRPr="00CB2AC8" w:rsidRDefault="00B95930" w:rsidP="00B95930">
      <w:pPr>
        <w:rPr>
          <w:rFonts w:ascii="Arial" w:hAnsi="Arial" w:cs="Arial"/>
          <w:b/>
          <w:bCs/>
          <w:i/>
          <w:iCs/>
          <w:sz w:val="22"/>
          <w:szCs w:val="22"/>
        </w:rPr>
      </w:pPr>
      <w:r w:rsidRPr="00CB2AC8">
        <w:rPr>
          <w:rFonts w:ascii="Arial" w:hAnsi="Arial" w:cs="Arial"/>
          <w:b/>
          <w:bCs/>
          <w:i/>
          <w:iCs/>
          <w:sz w:val="22"/>
          <w:szCs w:val="22"/>
        </w:rPr>
        <w:t>Structural and Socioeconomic Inequalities</w:t>
      </w:r>
    </w:p>
    <w:p w14:paraId="22832397" w14:textId="2E8C6473" w:rsidR="00B95930" w:rsidRPr="00001380" w:rsidRDefault="00B55F2A" w:rsidP="00B95930">
      <w:pPr>
        <w:rPr>
          <w:rFonts w:ascii="Arial" w:hAnsi="Arial" w:cs="Arial"/>
          <w:sz w:val="22"/>
          <w:szCs w:val="22"/>
          <w:lang w:val="en-IN"/>
        </w:rPr>
      </w:pPr>
      <w:r w:rsidRPr="00B55F2A">
        <w:rPr>
          <w:rFonts w:ascii="Arial" w:hAnsi="Arial" w:cs="Arial"/>
          <w:sz w:val="22"/>
          <w:szCs w:val="22"/>
        </w:rPr>
        <w:t xml:space="preserve">The availability of the health disparities among the aging population in the UK is ascribed to the differences in socioeconomic status and the imbalance in the regional plane that go deep. The ONS (2022) also reasons that individuals aged 65 years and above who inhabit the poorest neighborhoods also die before they can enjoy healthy lifestyles compared to other occupants in affluent neighborhoods. </w:t>
      </w:r>
    </w:p>
    <w:p w14:paraId="3FCC642B" w14:textId="4FA865BE" w:rsidR="00B95930" w:rsidRPr="00CB2AC8" w:rsidRDefault="00B95930" w:rsidP="00B95930">
      <w:pPr>
        <w:rPr>
          <w:rFonts w:ascii="Arial" w:hAnsi="Arial" w:cs="Arial"/>
          <w:i/>
          <w:iCs/>
          <w:sz w:val="22"/>
          <w:szCs w:val="22"/>
        </w:rPr>
      </w:pPr>
      <w:r w:rsidRPr="00CB2AC8">
        <w:rPr>
          <w:rFonts w:ascii="Arial" w:hAnsi="Arial" w:cs="Arial"/>
          <w:b/>
          <w:bCs/>
          <w:i/>
          <w:iCs/>
          <w:sz w:val="22"/>
          <w:szCs w:val="22"/>
        </w:rPr>
        <w:t>Housing and Public Service</w:t>
      </w:r>
      <w:r w:rsidRPr="00CB2AC8">
        <w:rPr>
          <w:rFonts w:ascii="Arial" w:hAnsi="Arial" w:cs="Arial"/>
          <w:i/>
          <w:iCs/>
          <w:sz w:val="22"/>
          <w:szCs w:val="22"/>
        </w:rPr>
        <w:t xml:space="preserve"> </w:t>
      </w:r>
    </w:p>
    <w:p w14:paraId="5409F85A" w14:textId="593A2C3C" w:rsidR="00B95930" w:rsidRPr="00001380" w:rsidRDefault="00B55F2A" w:rsidP="00B95930">
      <w:pPr>
        <w:rPr>
          <w:rFonts w:ascii="Arial" w:hAnsi="Arial" w:cs="Arial"/>
          <w:sz w:val="22"/>
          <w:szCs w:val="22"/>
          <w:lang w:val="en-IN"/>
        </w:rPr>
      </w:pPr>
      <w:r w:rsidRPr="00B55F2A">
        <w:rPr>
          <w:rFonts w:ascii="Arial" w:hAnsi="Arial" w:cs="Arial"/>
          <w:sz w:val="22"/>
          <w:szCs w:val="22"/>
        </w:rPr>
        <w:t>Besides income and geography, other factors that determine the health outcome of the elderly include lifestyle and the environment. Some of the issues that cause preventable conditions such as cardiovascular disease and respiratory infections include the lack of good housing, lack of mobility, and availability of healthy food. Older adults also cannot use online health services because of the digital divide, which leads to further social isolation (Mubarak and Suomi, 2022). Underperforming public services and poorly integrated health and social care systems further contribute to the health inequity gap and therefore, there is a need to improve the policy measures provided to the communities and ageing in the UK.</w:t>
      </w:r>
    </w:p>
    <w:p w14:paraId="00000006" w14:textId="77777777" w:rsidR="00400E53" w:rsidRPr="00CB2AC8" w:rsidRDefault="00000000" w:rsidP="00CB2AC8">
      <w:pPr>
        <w:pStyle w:val="Heading2"/>
      </w:pPr>
      <w:bookmarkStart w:id="6" w:name="_mriof7cwzk5y" w:colFirst="0" w:colLast="0"/>
      <w:bookmarkStart w:id="7" w:name="_Toc212939529"/>
      <w:bookmarkEnd w:id="6"/>
      <w:r w:rsidRPr="00CB2AC8">
        <w:t>Major Health Inequality Issues Faced by the Elderly Population</w:t>
      </w:r>
      <w:bookmarkEnd w:id="7"/>
    </w:p>
    <w:p w14:paraId="2935A4E1" w14:textId="310B46E3" w:rsidR="00B95930" w:rsidRPr="00CB2AC8" w:rsidRDefault="00B95930" w:rsidP="00B95930">
      <w:pPr>
        <w:rPr>
          <w:rFonts w:ascii="Arial" w:hAnsi="Arial" w:cs="Arial"/>
          <w:b/>
          <w:bCs/>
          <w:sz w:val="22"/>
          <w:szCs w:val="22"/>
        </w:rPr>
      </w:pPr>
      <w:r w:rsidRPr="00CB2AC8">
        <w:rPr>
          <w:rFonts w:ascii="Arial" w:hAnsi="Arial" w:cs="Arial"/>
          <w:b/>
          <w:bCs/>
          <w:sz w:val="22"/>
          <w:szCs w:val="22"/>
        </w:rPr>
        <w:t>Increased Incidences of Mental Diseases</w:t>
      </w:r>
    </w:p>
    <w:p w14:paraId="004A6790" w14:textId="4B74C4DF" w:rsidR="00B95930" w:rsidRPr="00001380" w:rsidRDefault="00B95930" w:rsidP="00B95930">
      <w:pPr>
        <w:rPr>
          <w:rFonts w:ascii="Arial" w:hAnsi="Arial" w:cs="Arial"/>
          <w:sz w:val="22"/>
          <w:szCs w:val="22"/>
          <w:lang w:val="en-IN"/>
        </w:rPr>
      </w:pPr>
      <w:r w:rsidRPr="00CB2AC8">
        <w:rPr>
          <w:rFonts w:ascii="Arial" w:hAnsi="Arial" w:cs="Arial"/>
          <w:sz w:val="22"/>
          <w:szCs w:val="22"/>
        </w:rPr>
        <w:lastRenderedPageBreak/>
        <w:t>Mental health inequality is one of the most acute problems among the aged population in the United Kingdom. The psychological distress is often caused by the emotional impact of the loss of the spouse or close friends, as well as the lack of involvement in the community</w:t>
      </w:r>
      <w:r w:rsidR="00001380">
        <w:rPr>
          <w:rFonts w:ascii="Arial" w:hAnsi="Arial" w:cs="Arial"/>
          <w:sz w:val="22"/>
          <w:szCs w:val="22"/>
        </w:rPr>
        <w:t xml:space="preserve"> </w:t>
      </w:r>
      <w:r w:rsidR="00001380" w:rsidRPr="00001380">
        <w:rPr>
          <w:rFonts w:ascii="Arial" w:hAnsi="Arial" w:cs="Arial"/>
          <w:sz w:val="22"/>
          <w:szCs w:val="22"/>
          <w:lang w:val="en-IN"/>
        </w:rPr>
        <w:t>(</w:t>
      </w:r>
      <w:proofErr w:type="spellStart"/>
      <w:r w:rsidR="00001380" w:rsidRPr="00001380">
        <w:rPr>
          <w:rFonts w:ascii="Arial" w:hAnsi="Arial" w:cs="Arial"/>
          <w:sz w:val="22"/>
          <w:szCs w:val="22"/>
          <w:lang w:val="en-IN"/>
        </w:rPr>
        <w:t>Godinić</w:t>
      </w:r>
      <w:proofErr w:type="spellEnd"/>
      <w:r w:rsidR="00001380" w:rsidRPr="00001380">
        <w:rPr>
          <w:rFonts w:ascii="Arial" w:hAnsi="Arial" w:cs="Arial"/>
          <w:sz w:val="22"/>
          <w:szCs w:val="22"/>
          <w:lang w:val="en-IN"/>
        </w:rPr>
        <w:t xml:space="preserve"> &amp; Obrenovic, 2020)</w:t>
      </w:r>
      <w:r w:rsidRPr="00CB2AC8">
        <w:rPr>
          <w:rFonts w:ascii="Arial" w:hAnsi="Arial" w:cs="Arial"/>
          <w:sz w:val="22"/>
          <w:szCs w:val="22"/>
        </w:rPr>
        <w:t>.</w:t>
      </w:r>
      <w:r w:rsidR="00001380">
        <w:rPr>
          <w:rFonts w:ascii="Arial" w:hAnsi="Arial" w:cs="Arial"/>
          <w:sz w:val="22"/>
          <w:szCs w:val="22"/>
        </w:rPr>
        <w:t xml:space="preserve"> </w:t>
      </w:r>
      <w:r w:rsidRPr="00CB2AC8">
        <w:rPr>
          <w:rFonts w:ascii="Arial" w:hAnsi="Arial" w:cs="Arial"/>
          <w:sz w:val="22"/>
          <w:szCs w:val="22"/>
        </w:rPr>
        <w:t xml:space="preserve"> </w:t>
      </w:r>
    </w:p>
    <w:p w14:paraId="4745DFB3" w14:textId="77777777" w:rsidR="00B95930" w:rsidRPr="00CB2AC8" w:rsidRDefault="00B95930" w:rsidP="00B95930">
      <w:pPr>
        <w:rPr>
          <w:rFonts w:ascii="Arial" w:hAnsi="Arial" w:cs="Arial"/>
          <w:b/>
          <w:bCs/>
          <w:sz w:val="22"/>
          <w:szCs w:val="22"/>
        </w:rPr>
      </w:pPr>
      <w:r w:rsidRPr="00CB2AC8">
        <w:rPr>
          <w:rFonts w:ascii="Arial" w:hAnsi="Arial" w:cs="Arial"/>
          <w:b/>
          <w:bCs/>
          <w:sz w:val="22"/>
          <w:szCs w:val="22"/>
        </w:rPr>
        <w:t>Minimal Healthcare Access Rates</w:t>
      </w:r>
    </w:p>
    <w:p w14:paraId="4B4DAA69" w14:textId="4A3AD351" w:rsidR="00B95930" w:rsidRPr="00001380" w:rsidRDefault="00B95930" w:rsidP="00B95930">
      <w:pPr>
        <w:rPr>
          <w:rFonts w:ascii="Arial" w:hAnsi="Arial" w:cs="Arial"/>
          <w:sz w:val="22"/>
          <w:szCs w:val="22"/>
          <w:lang w:val="en-IN"/>
        </w:rPr>
      </w:pPr>
      <w:r w:rsidRPr="00CB2AC8">
        <w:rPr>
          <w:rFonts w:ascii="Arial" w:hAnsi="Arial" w:cs="Arial"/>
          <w:sz w:val="22"/>
          <w:szCs w:val="22"/>
        </w:rPr>
        <w:t>The elderly have significant obstacles to healthcare accessibility, especially in the rural and economically disadvantaged areas. Research indicates that the elderly in these regions are 40 per cent less prone to preventive health tests or early diagnosis. The main reasons are the transportation problems, decreased mobility, digital divide, and a lack of GP. These limitations lead to late diagnosis of diseases like cancer, diabetes or cardiovascular diseases that raise the hospitalization rates and health expenditure. The NHS Digital Inclusion Strategy will focus on such inequalities through the encouragement of telehealth, digital literacy training, and the rollout of mobile clinics to underserved communities</w:t>
      </w:r>
      <w:r w:rsidR="00001380">
        <w:rPr>
          <w:rFonts w:ascii="Arial" w:hAnsi="Arial" w:cs="Arial"/>
          <w:sz w:val="22"/>
          <w:szCs w:val="22"/>
        </w:rPr>
        <w:t xml:space="preserve"> </w:t>
      </w:r>
      <w:r w:rsidR="00001380" w:rsidRPr="00001380">
        <w:rPr>
          <w:rFonts w:ascii="Arial" w:hAnsi="Arial" w:cs="Arial"/>
          <w:sz w:val="22"/>
          <w:szCs w:val="22"/>
          <w:lang w:val="en-IN"/>
        </w:rPr>
        <w:t>(NHS England, 2023)</w:t>
      </w:r>
      <w:r w:rsidRPr="00CB2AC8">
        <w:rPr>
          <w:rFonts w:ascii="Arial" w:hAnsi="Arial" w:cs="Arial"/>
          <w:sz w:val="22"/>
          <w:szCs w:val="22"/>
        </w:rPr>
        <w:t xml:space="preserve">. </w:t>
      </w:r>
    </w:p>
    <w:p w14:paraId="00FDFB67" w14:textId="2E6C240A" w:rsidR="00B95930" w:rsidRPr="00CB2AC8" w:rsidRDefault="00B95930" w:rsidP="00B95930">
      <w:pPr>
        <w:rPr>
          <w:rFonts w:ascii="Arial" w:hAnsi="Arial" w:cs="Arial"/>
          <w:b/>
          <w:bCs/>
          <w:sz w:val="22"/>
          <w:szCs w:val="22"/>
        </w:rPr>
      </w:pPr>
      <w:r w:rsidRPr="00CB2AC8">
        <w:rPr>
          <w:rFonts w:ascii="Arial" w:hAnsi="Arial" w:cs="Arial"/>
          <w:b/>
          <w:bCs/>
          <w:sz w:val="22"/>
          <w:szCs w:val="22"/>
        </w:rPr>
        <w:t>Death rates in the elderly</w:t>
      </w:r>
    </w:p>
    <w:p w14:paraId="364B1997" w14:textId="22E26C8C" w:rsidR="00B95930" w:rsidRPr="00001380" w:rsidRDefault="00B95930" w:rsidP="00B95930">
      <w:pPr>
        <w:rPr>
          <w:rFonts w:ascii="Arial" w:hAnsi="Arial" w:cs="Arial"/>
          <w:sz w:val="22"/>
          <w:szCs w:val="22"/>
          <w:lang w:val="en-IN"/>
        </w:rPr>
      </w:pPr>
      <w:r w:rsidRPr="00CB2AC8">
        <w:rPr>
          <w:rFonts w:ascii="Arial" w:hAnsi="Arial" w:cs="Arial"/>
          <w:sz w:val="22"/>
          <w:szCs w:val="22"/>
        </w:rPr>
        <w:t>Among the older populations, mortality disparity is still influenced by socioeconomic factors. The disparity captures healthcare access disparities, lifestyle, and living conditions differences. Loneliness and Social Isolation</w:t>
      </w:r>
      <w:r w:rsidR="00CB2AC8">
        <w:rPr>
          <w:rFonts w:ascii="Arial" w:hAnsi="Arial" w:cs="Arial"/>
          <w:sz w:val="22"/>
          <w:szCs w:val="22"/>
        </w:rPr>
        <w:t xml:space="preserve"> are a</w:t>
      </w:r>
      <w:r w:rsidRPr="00CB2AC8">
        <w:rPr>
          <w:rFonts w:ascii="Arial" w:hAnsi="Arial" w:cs="Arial"/>
          <w:sz w:val="22"/>
          <w:szCs w:val="22"/>
        </w:rPr>
        <w:t xml:space="preserve">nother factor that significantly determines the poor health outcomes among elderly people is the phenomenon of social isolation, where older adults in the UK have reported to be chronically lonely </w:t>
      </w:r>
      <w:r w:rsidR="00001380" w:rsidRPr="00001380">
        <w:rPr>
          <w:rFonts w:ascii="Arial" w:hAnsi="Arial" w:cs="Arial"/>
          <w:sz w:val="22"/>
          <w:szCs w:val="22"/>
          <w:lang w:val="en-IN"/>
        </w:rPr>
        <w:t>(Age UK, 2023)</w:t>
      </w:r>
      <w:r w:rsidRPr="00CB2AC8">
        <w:rPr>
          <w:rFonts w:ascii="Arial" w:hAnsi="Arial" w:cs="Arial"/>
          <w:sz w:val="22"/>
          <w:szCs w:val="22"/>
        </w:rPr>
        <w:t xml:space="preserve">. </w:t>
      </w:r>
    </w:p>
    <w:p w14:paraId="745D43C3" w14:textId="72F34316" w:rsidR="00B95930" w:rsidRPr="00CB2AC8" w:rsidRDefault="00B95930" w:rsidP="00B95930">
      <w:pPr>
        <w:rPr>
          <w:rFonts w:ascii="Arial" w:hAnsi="Arial" w:cs="Arial"/>
          <w:b/>
          <w:bCs/>
          <w:sz w:val="22"/>
          <w:szCs w:val="22"/>
        </w:rPr>
      </w:pPr>
      <w:r w:rsidRPr="00CB2AC8">
        <w:rPr>
          <w:rFonts w:ascii="Arial" w:hAnsi="Arial" w:cs="Arial"/>
          <w:b/>
          <w:bCs/>
          <w:sz w:val="22"/>
          <w:szCs w:val="22"/>
        </w:rPr>
        <w:t>Poverty and Housing Inequalities</w:t>
      </w:r>
    </w:p>
    <w:p w14:paraId="6F6BFE2B" w14:textId="1198C64F" w:rsidR="00B95930" w:rsidRPr="00E57841" w:rsidRDefault="00B95930" w:rsidP="00B95930">
      <w:pPr>
        <w:rPr>
          <w:rFonts w:ascii="Arial" w:hAnsi="Arial" w:cs="Arial"/>
          <w:sz w:val="22"/>
          <w:szCs w:val="22"/>
          <w:lang w:val="en-IN"/>
        </w:rPr>
      </w:pPr>
      <w:r w:rsidRPr="00CB2AC8">
        <w:rPr>
          <w:rFonts w:ascii="Arial" w:hAnsi="Arial" w:cs="Arial"/>
          <w:sz w:val="22"/>
          <w:szCs w:val="22"/>
        </w:rPr>
        <w:t xml:space="preserve">Health inequalities among the older adults are also enhanced by economic insecurity. </w:t>
      </w:r>
      <w:r w:rsidR="00E57841">
        <w:rPr>
          <w:rFonts w:ascii="Arial" w:hAnsi="Arial" w:cs="Arial"/>
          <w:sz w:val="22"/>
          <w:szCs w:val="22"/>
        </w:rPr>
        <w:t>A</w:t>
      </w:r>
      <w:r w:rsidRPr="00CB2AC8">
        <w:rPr>
          <w:rFonts w:ascii="Arial" w:hAnsi="Arial" w:cs="Arial"/>
          <w:sz w:val="22"/>
          <w:szCs w:val="22"/>
        </w:rPr>
        <w:t>lmost 2 out of ten pensioners are living below the poverty line, and they cannot afford a balanced diet and sufficient heating</w:t>
      </w:r>
      <w:r w:rsidR="00E57841">
        <w:rPr>
          <w:rFonts w:ascii="Arial" w:hAnsi="Arial" w:cs="Arial"/>
          <w:sz w:val="22"/>
          <w:szCs w:val="22"/>
        </w:rPr>
        <w:t xml:space="preserve"> </w:t>
      </w:r>
      <w:r w:rsidR="00E57841" w:rsidRPr="00E57841">
        <w:rPr>
          <w:rFonts w:ascii="Arial" w:hAnsi="Arial" w:cs="Arial"/>
          <w:sz w:val="22"/>
          <w:szCs w:val="22"/>
          <w:lang w:val="en-IN"/>
        </w:rPr>
        <w:t>(Parliament.uk, 2024)</w:t>
      </w:r>
      <w:r w:rsidRPr="00CB2AC8">
        <w:rPr>
          <w:rFonts w:ascii="Arial" w:hAnsi="Arial" w:cs="Arial"/>
          <w:sz w:val="22"/>
          <w:szCs w:val="22"/>
        </w:rPr>
        <w:t xml:space="preserve">. This is made worse by poor housing conditions 18% of elderly homes do not meet safety or energy-saving standards (UK Housing Survey, 2023), which predisposes them to respiratory diseases and falls. </w:t>
      </w:r>
    </w:p>
    <w:p w14:paraId="082E3B33" w14:textId="094DE3AF" w:rsidR="00B95930" w:rsidRPr="00CB2AC8" w:rsidRDefault="00B95930" w:rsidP="00B95930">
      <w:pPr>
        <w:rPr>
          <w:rFonts w:ascii="Arial" w:hAnsi="Arial" w:cs="Arial"/>
          <w:b/>
          <w:bCs/>
          <w:sz w:val="22"/>
          <w:szCs w:val="22"/>
        </w:rPr>
      </w:pPr>
      <w:r w:rsidRPr="00CB2AC8">
        <w:rPr>
          <w:rFonts w:ascii="Arial" w:hAnsi="Arial" w:cs="Arial"/>
          <w:b/>
          <w:bCs/>
          <w:sz w:val="22"/>
          <w:szCs w:val="22"/>
        </w:rPr>
        <w:t>Cases of Housing and Living</w:t>
      </w:r>
    </w:p>
    <w:p w14:paraId="48ED7961" w14:textId="7982E54B" w:rsidR="00B95930" w:rsidRPr="00CB2AC8" w:rsidRDefault="00B95930" w:rsidP="00B95930">
      <w:pPr>
        <w:rPr>
          <w:rFonts w:ascii="Arial" w:hAnsi="Arial" w:cs="Arial"/>
          <w:sz w:val="22"/>
          <w:szCs w:val="22"/>
        </w:rPr>
      </w:pPr>
      <w:r w:rsidRPr="00CB2AC8">
        <w:rPr>
          <w:rFonts w:ascii="Arial" w:hAnsi="Arial" w:cs="Arial"/>
          <w:sz w:val="22"/>
          <w:szCs w:val="22"/>
        </w:rPr>
        <w:t>The quality of housing and living conditions are the major factors that define inequality in elderly health in the United Kingdom. The UK Housing Survey (2023) indicates that almost 18% of the dwellings inhabited by older adults lack safety or energy efficiency</w:t>
      </w:r>
      <w:r w:rsidR="00E57841">
        <w:rPr>
          <w:rFonts w:ascii="Arial" w:hAnsi="Arial" w:cs="Arial"/>
          <w:sz w:val="22"/>
          <w:szCs w:val="22"/>
        </w:rPr>
        <w:t xml:space="preserve">. It </w:t>
      </w:r>
      <w:r w:rsidRPr="00CB2AC8">
        <w:rPr>
          <w:rFonts w:ascii="Arial" w:hAnsi="Arial" w:cs="Arial"/>
          <w:sz w:val="22"/>
          <w:szCs w:val="22"/>
        </w:rPr>
        <w:t>places the residents at risk of cold, damp conditions and increased chances of getting respiratory diseases, falls, and mobility problems.</w:t>
      </w:r>
    </w:p>
    <w:p w14:paraId="00000007" w14:textId="77777777" w:rsidR="00400E53" w:rsidRPr="00CB2AC8" w:rsidRDefault="00000000" w:rsidP="00CB2AC8">
      <w:pPr>
        <w:pStyle w:val="Heading2"/>
      </w:pPr>
      <w:bookmarkStart w:id="8" w:name="_wxpmdxjtfjtr" w:colFirst="0" w:colLast="0"/>
      <w:bookmarkStart w:id="9" w:name="_Toc212939530"/>
      <w:bookmarkEnd w:id="8"/>
      <w:r w:rsidRPr="00CB2AC8">
        <w:lastRenderedPageBreak/>
        <w:t>National Response to Reduce Health Inequalities</w:t>
      </w:r>
      <w:bookmarkEnd w:id="9"/>
    </w:p>
    <w:p w14:paraId="5D30EB1B" w14:textId="66B65FAB" w:rsidR="00B95930" w:rsidRPr="00E57841" w:rsidRDefault="00B95930" w:rsidP="00B95930">
      <w:pPr>
        <w:rPr>
          <w:rFonts w:ascii="Arial" w:hAnsi="Arial" w:cs="Arial"/>
          <w:sz w:val="22"/>
          <w:szCs w:val="22"/>
          <w:lang w:val="en-IN"/>
        </w:rPr>
      </w:pPr>
      <w:r w:rsidRPr="00CB2AC8">
        <w:rPr>
          <w:rFonts w:ascii="Arial" w:hAnsi="Arial" w:cs="Arial"/>
          <w:sz w:val="22"/>
          <w:szCs w:val="22"/>
        </w:rPr>
        <w:t>The NHS Long Term Plan</w:t>
      </w:r>
      <w:r w:rsidR="00E57841">
        <w:rPr>
          <w:rFonts w:ascii="Arial" w:hAnsi="Arial" w:cs="Arial"/>
          <w:sz w:val="22"/>
          <w:szCs w:val="22"/>
        </w:rPr>
        <w:t xml:space="preserve"> </w:t>
      </w:r>
      <w:r w:rsidR="00E57841" w:rsidRPr="00CB2AC8">
        <w:rPr>
          <w:rFonts w:ascii="Arial" w:hAnsi="Arial" w:cs="Arial"/>
          <w:sz w:val="22"/>
          <w:szCs w:val="22"/>
        </w:rPr>
        <w:t>(2019–2029)</w:t>
      </w:r>
      <w:r w:rsidRPr="00CB2AC8">
        <w:rPr>
          <w:rFonts w:ascii="Arial" w:hAnsi="Arial" w:cs="Arial"/>
          <w:sz w:val="22"/>
          <w:szCs w:val="22"/>
        </w:rPr>
        <w:t xml:space="preserve"> is one of the corner stone policies that target health disparity among the aged in England</w:t>
      </w:r>
      <w:r w:rsidR="00E57841">
        <w:rPr>
          <w:rFonts w:ascii="Arial" w:hAnsi="Arial" w:cs="Arial"/>
          <w:sz w:val="22"/>
          <w:szCs w:val="22"/>
        </w:rPr>
        <w:t xml:space="preserve"> </w:t>
      </w:r>
      <w:r w:rsidR="00E57841" w:rsidRPr="00E57841">
        <w:rPr>
          <w:rFonts w:ascii="Arial" w:hAnsi="Arial" w:cs="Arial"/>
          <w:sz w:val="22"/>
          <w:szCs w:val="22"/>
          <w:lang w:val="en-IN"/>
        </w:rPr>
        <w:t>(NHS England, 2019)</w:t>
      </w:r>
      <w:r w:rsidRPr="00CB2AC8">
        <w:rPr>
          <w:rFonts w:ascii="Arial" w:hAnsi="Arial" w:cs="Arial"/>
          <w:sz w:val="22"/>
          <w:szCs w:val="22"/>
        </w:rPr>
        <w:t xml:space="preserve">. The main component of this strategy is the development of Integrated Care Systems (ICS), which are supposed to coordinate the process of health and social care so that the needs of older adults would be addressed in a holistic and continuous manner. The plan facilitates proactive and </w:t>
      </w:r>
      <w:proofErr w:type="spellStart"/>
      <w:r w:rsidRPr="00CB2AC8">
        <w:rPr>
          <w:rFonts w:ascii="Arial" w:hAnsi="Arial" w:cs="Arial"/>
          <w:sz w:val="22"/>
          <w:szCs w:val="22"/>
        </w:rPr>
        <w:t>individualised</w:t>
      </w:r>
      <w:proofErr w:type="spellEnd"/>
      <w:r w:rsidRPr="00CB2AC8">
        <w:rPr>
          <w:rFonts w:ascii="Arial" w:hAnsi="Arial" w:cs="Arial"/>
          <w:sz w:val="22"/>
          <w:szCs w:val="22"/>
        </w:rPr>
        <w:t xml:space="preserve"> interventions among frail or chronically affected patients through its framework of Ageing Well. In addition, the strategy enhances psychological assistance and promotes self-care of chronic conditions among the elderly. The Healthy Ageing Campaign of Public Health England was a national campaign aimed at enabling older adults to embrace healthier lifestyles and to be socially active</w:t>
      </w:r>
      <w:r w:rsidR="00E57841">
        <w:rPr>
          <w:rFonts w:ascii="Arial" w:hAnsi="Arial" w:cs="Arial"/>
          <w:sz w:val="22"/>
          <w:szCs w:val="22"/>
        </w:rPr>
        <w:t xml:space="preserve"> </w:t>
      </w:r>
      <w:r w:rsidR="00E57841" w:rsidRPr="00E57841">
        <w:rPr>
          <w:rFonts w:ascii="Arial" w:hAnsi="Arial" w:cs="Arial"/>
          <w:sz w:val="22"/>
          <w:szCs w:val="22"/>
          <w:lang w:val="en-IN"/>
        </w:rPr>
        <w:t>(GOV.UK, 2022)</w:t>
      </w:r>
      <w:r w:rsidRPr="00CB2AC8">
        <w:rPr>
          <w:rFonts w:ascii="Arial" w:hAnsi="Arial" w:cs="Arial"/>
          <w:sz w:val="22"/>
          <w:szCs w:val="22"/>
        </w:rPr>
        <w:t xml:space="preserve">. Programs like the “Every Mind Matters” were used to foster mental health and the Falls Prevention programs minimized the number of physical injuries and encouraged movement. The Care Act (2014) and Levelling Up White Paper (2022) have reinforced a fair approach to access to social care funding. </w:t>
      </w:r>
    </w:p>
    <w:p w14:paraId="00000008" w14:textId="04EAF1BD" w:rsidR="00400E53" w:rsidRPr="00CB2AC8" w:rsidRDefault="00257F71" w:rsidP="00CB2AC8">
      <w:pPr>
        <w:pStyle w:val="Heading2"/>
      </w:pPr>
      <w:bookmarkStart w:id="10" w:name="_96v2cge9e2kr" w:colFirst="0" w:colLast="0"/>
      <w:bookmarkStart w:id="11" w:name="_Toc212939531"/>
      <w:bookmarkEnd w:id="10"/>
      <w:r w:rsidRPr="00CB2AC8">
        <w:t>Organizations Supporting the Elderly Population</w:t>
      </w:r>
      <w:bookmarkEnd w:id="11"/>
    </w:p>
    <w:p w14:paraId="4949F2D3" w14:textId="6D775615" w:rsidR="00B95930" w:rsidRPr="00CB2AC8" w:rsidRDefault="00257F71" w:rsidP="00B95930">
      <w:pPr>
        <w:rPr>
          <w:rFonts w:ascii="Arial" w:hAnsi="Arial" w:cs="Arial"/>
          <w:sz w:val="22"/>
          <w:szCs w:val="22"/>
        </w:rPr>
      </w:pPr>
      <w:r w:rsidRPr="00CB2AC8">
        <w:rPr>
          <w:rFonts w:ascii="Arial" w:hAnsi="Arial" w:cs="Arial"/>
          <w:sz w:val="22"/>
          <w:szCs w:val="22"/>
        </w:rPr>
        <w:t>Organizations</w:t>
      </w:r>
      <w:r w:rsidR="00B95930" w:rsidRPr="00CB2AC8">
        <w:rPr>
          <w:rFonts w:ascii="Arial" w:hAnsi="Arial" w:cs="Arial"/>
          <w:sz w:val="22"/>
          <w:szCs w:val="22"/>
        </w:rPr>
        <w:t xml:space="preserve"> that help the aged population. The charitable </w:t>
      </w:r>
      <w:r w:rsidRPr="00CB2AC8">
        <w:rPr>
          <w:rFonts w:ascii="Arial" w:hAnsi="Arial" w:cs="Arial"/>
          <w:sz w:val="22"/>
          <w:szCs w:val="22"/>
        </w:rPr>
        <w:t>organizations</w:t>
      </w:r>
      <w:r w:rsidR="00B95930" w:rsidRPr="00CB2AC8">
        <w:rPr>
          <w:rFonts w:ascii="Arial" w:hAnsi="Arial" w:cs="Arial"/>
          <w:sz w:val="22"/>
          <w:szCs w:val="22"/>
        </w:rPr>
        <w:t xml:space="preserve"> can be instrumental in mitigating the social and health disparities experienced by the ageing population in the UK. </w:t>
      </w:r>
    </w:p>
    <w:p w14:paraId="6E273579" w14:textId="3B41313E" w:rsidR="00B95930" w:rsidRPr="00E57841" w:rsidRDefault="00B95930" w:rsidP="00B95930">
      <w:pPr>
        <w:rPr>
          <w:rFonts w:ascii="Arial" w:hAnsi="Arial" w:cs="Arial"/>
          <w:sz w:val="22"/>
          <w:szCs w:val="22"/>
          <w:lang w:val="en-IN"/>
        </w:rPr>
      </w:pPr>
      <w:r w:rsidRPr="00CB2AC8">
        <w:rPr>
          <w:rFonts w:ascii="Arial" w:hAnsi="Arial" w:cs="Arial"/>
          <w:b/>
          <w:bCs/>
          <w:i/>
          <w:iCs/>
          <w:sz w:val="22"/>
          <w:szCs w:val="22"/>
        </w:rPr>
        <w:t>Age UK</w:t>
      </w:r>
      <w:r w:rsidRPr="00CB2AC8">
        <w:rPr>
          <w:rFonts w:ascii="Arial" w:hAnsi="Arial" w:cs="Arial"/>
          <w:sz w:val="22"/>
          <w:szCs w:val="22"/>
        </w:rPr>
        <w:t>, the popular national charity working with older people, has played a major role in ensuring equality, independence, and dignity during old age</w:t>
      </w:r>
      <w:r w:rsidR="00E57841">
        <w:rPr>
          <w:rFonts w:ascii="Arial" w:hAnsi="Arial" w:cs="Arial"/>
          <w:sz w:val="22"/>
          <w:szCs w:val="22"/>
        </w:rPr>
        <w:t xml:space="preserve"> </w:t>
      </w:r>
      <w:r w:rsidR="00E57841" w:rsidRPr="00E57841">
        <w:rPr>
          <w:rFonts w:ascii="Arial" w:hAnsi="Arial" w:cs="Arial"/>
          <w:sz w:val="22"/>
          <w:szCs w:val="22"/>
          <w:lang w:val="en-IN"/>
        </w:rPr>
        <w:t>(AGE UK, 2025)</w:t>
      </w:r>
      <w:r w:rsidRPr="00CB2AC8">
        <w:rPr>
          <w:rFonts w:ascii="Arial" w:hAnsi="Arial" w:cs="Arial"/>
          <w:sz w:val="22"/>
          <w:szCs w:val="22"/>
        </w:rPr>
        <w:t xml:space="preserve">. In collaboration with NHS and local authorities, Age UK can become a part of integrated </w:t>
      </w:r>
      <w:proofErr w:type="spellStart"/>
      <w:r w:rsidRPr="00CB2AC8">
        <w:rPr>
          <w:rFonts w:ascii="Arial" w:hAnsi="Arial" w:cs="Arial"/>
          <w:sz w:val="22"/>
          <w:szCs w:val="22"/>
        </w:rPr>
        <w:t>programmes</w:t>
      </w:r>
      <w:proofErr w:type="spellEnd"/>
      <w:r w:rsidRPr="00CB2AC8">
        <w:rPr>
          <w:rFonts w:ascii="Arial" w:hAnsi="Arial" w:cs="Arial"/>
          <w:sz w:val="22"/>
          <w:szCs w:val="22"/>
        </w:rPr>
        <w:t xml:space="preserve"> of community care and digital inclusion that can assist older adults navigate the healthcare systems. </w:t>
      </w:r>
      <w:r w:rsidR="00B55F2A" w:rsidRPr="00CB2AC8">
        <w:rPr>
          <w:rFonts w:ascii="Arial" w:hAnsi="Arial" w:cs="Arial"/>
          <w:sz w:val="22"/>
          <w:szCs w:val="22"/>
        </w:rPr>
        <w:t xml:space="preserve">The </w:t>
      </w:r>
      <w:r w:rsidR="00257F71" w:rsidRPr="00CB2AC8">
        <w:rPr>
          <w:rFonts w:ascii="Arial" w:hAnsi="Arial" w:cs="Arial"/>
          <w:sz w:val="22"/>
          <w:szCs w:val="22"/>
        </w:rPr>
        <w:t>organization</w:t>
      </w:r>
      <w:r w:rsidR="00B55F2A" w:rsidRPr="00CB2AC8">
        <w:rPr>
          <w:rFonts w:ascii="Arial" w:hAnsi="Arial" w:cs="Arial"/>
          <w:sz w:val="22"/>
          <w:szCs w:val="22"/>
        </w:rPr>
        <w:t xml:space="preserve"> offers a broad variety of services assistance, such as free advice lines, befriending networks, and social actions like the No One Should Have No One campaign used to fight social isolation and loneliness</w:t>
      </w:r>
      <w:r w:rsidR="00B55F2A">
        <w:rPr>
          <w:rFonts w:ascii="Arial" w:hAnsi="Arial" w:cs="Arial"/>
          <w:sz w:val="22"/>
          <w:szCs w:val="22"/>
        </w:rPr>
        <w:t xml:space="preserve"> </w:t>
      </w:r>
      <w:r w:rsidR="00B55F2A" w:rsidRPr="00E57841">
        <w:rPr>
          <w:rFonts w:ascii="Arial" w:hAnsi="Arial" w:cs="Arial"/>
          <w:sz w:val="22"/>
          <w:szCs w:val="22"/>
          <w:lang w:val="en-IN"/>
        </w:rPr>
        <w:t>(AGE UK, 2025b)</w:t>
      </w:r>
      <w:r w:rsidR="00B55F2A" w:rsidRPr="00CB2AC8">
        <w:rPr>
          <w:rFonts w:ascii="Arial" w:hAnsi="Arial" w:cs="Arial"/>
          <w:sz w:val="22"/>
          <w:szCs w:val="22"/>
        </w:rPr>
        <w:t>.</w:t>
      </w:r>
      <w:r w:rsidR="00B55F2A">
        <w:rPr>
          <w:rFonts w:ascii="Arial" w:hAnsi="Arial" w:cs="Arial"/>
          <w:sz w:val="22"/>
          <w:szCs w:val="22"/>
        </w:rPr>
        <w:t xml:space="preserve"> </w:t>
      </w:r>
      <w:r w:rsidRPr="00CB2AC8">
        <w:rPr>
          <w:rFonts w:ascii="Arial" w:hAnsi="Arial" w:cs="Arial"/>
          <w:sz w:val="22"/>
          <w:szCs w:val="22"/>
        </w:rPr>
        <w:t xml:space="preserve">The </w:t>
      </w:r>
      <w:r w:rsidRPr="00CB2AC8">
        <w:rPr>
          <w:rFonts w:ascii="Arial" w:hAnsi="Arial" w:cs="Arial"/>
          <w:b/>
          <w:bCs/>
          <w:i/>
          <w:iCs/>
          <w:sz w:val="22"/>
          <w:szCs w:val="22"/>
        </w:rPr>
        <w:t>Alzheimer Society</w:t>
      </w:r>
      <w:r w:rsidRPr="00CB2AC8">
        <w:rPr>
          <w:rFonts w:ascii="Arial" w:hAnsi="Arial" w:cs="Arial"/>
          <w:sz w:val="22"/>
          <w:szCs w:val="22"/>
        </w:rPr>
        <w:t xml:space="preserve"> is also critical in addressing health disparities associated with dementia and cognitive impairment. Its campaigns such as the Dementia Friends and Memory Cafes create awareness and participation. The </w:t>
      </w:r>
      <w:r w:rsidR="00257F71" w:rsidRPr="00CB2AC8">
        <w:rPr>
          <w:rFonts w:ascii="Arial" w:hAnsi="Arial" w:cs="Arial"/>
          <w:sz w:val="22"/>
          <w:szCs w:val="22"/>
        </w:rPr>
        <w:t>organization</w:t>
      </w:r>
      <w:r w:rsidRPr="00CB2AC8">
        <w:rPr>
          <w:rFonts w:ascii="Arial" w:hAnsi="Arial" w:cs="Arial"/>
          <w:sz w:val="22"/>
          <w:szCs w:val="22"/>
        </w:rPr>
        <w:t xml:space="preserve"> helps families by training, providing care guidance and national advocacy to ensure that dementia diagnosis and treatment are available equally.</w:t>
      </w:r>
    </w:p>
    <w:p w14:paraId="00000009" w14:textId="77777777" w:rsidR="00400E53" w:rsidRPr="00CB2AC8" w:rsidRDefault="00000000" w:rsidP="00CB2AC8">
      <w:pPr>
        <w:pStyle w:val="Heading2"/>
      </w:pPr>
      <w:bookmarkStart w:id="12" w:name="_9j47vl4ep6hr" w:colFirst="0" w:colLast="0"/>
      <w:bookmarkStart w:id="13" w:name="_Toc212939532"/>
      <w:bookmarkEnd w:id="12"/>
      <w:r w:rsidRPr="00CB2AC8">
        <w:t>Conclusion</w:t>
      </w:r>
      <w:bookmarkEnd w:id="13"/>
    </w:p>
    <w:p w14:paraId="01F5A9B1" w14:textId="018252E8" w:rsidR="00B95930" w:rsidRPr="00CB2AC8" w:rsidRDefault="00B95930" w:rsidP="00B95930">
      <w:pPr>
        <w:rPr>
          <w:rFonts w:ascii="Arial" w:hAnsi="Arial" w:cs="Arial"/>
          <w:sz w:val="22"/>
          <w:szCs w:val="22"/>
        </w:rPr>
      </w:pPr>
      <w:r w:rsidRPr="00CB2AC8">
        <w:rPr>
          <w:rFonts w:ascii="Arial" w:hAnsi="Arial" w:cs="Arial"/>
          <w:sz w:val="22"/>
          <w:szCs w:val="22"/>
        </w:rPr>
        <w:t xml:space="preserve">The combination of medical determinants, social determinants, and economic determinants of health in the United Kingdom leads to health inequalities among the elderly population. </w:t>
      </w:r>
      <w:r w:rsidRPr="00CB2AC8">
        <w:rPr>
          <w:rFonts w:ascii="Arial" w:hAnsi="Arial" w:cs="Arial"/>
          <w:sz w:val="22"/>
          <w:szCs w:val="22"/>
        </w:rPr>
        <w:lastRenderedPageBreak/>
        <w:t>Disproportionate rates of mental illness decreased access to healthcare, poverty, and social isolation are prevalent in older adults and blamelessly deteriorate the overall health. Although the NHS Long Term Plan, campaigns of charities like Age UK and the Alzheimer’s Society, and other national initiatives have contributed to equitable ageing, there are still considerable differences.</w:t>
      </w:r>
    </w:p>
    <w:p w14:paraId="67BC6E05" w14:textId="77777777" w:rsidR="00D01D6B" w:rsidRPr="00CB2AC8" w:rsidRDefault="00D01D6B" w:rsidP="00B95930">
      <w:pPr>
        <w:rPr>
          <w:rFonts w:ascii="Arial" w:hAnsi="Arial" w:cs="Arial"/>
          <w:sz w:val="22"/>
          <w:szCs w:val="22"/>
        </w:rPr>
      </w:pPr>
    </w:p>
    <w:p w14:paraId="19C085FE" w14:textId="48F175F7" w:rsidR="00D01D6B" w:rsidRPr="00CB2AC8" w:rsidRDefault="00D01D6B" w:rsidP="00D01D6B">
      <w:pPr>
        <w:pStyle w:val="Heading1"/>
        <w:rPr>
          <w:rFonts w:ascii="Arial" w:hAnsi="Arial" w:cs="Arial"/>
          <w:sz w:val="22"/>
          <w:szCs w:val="22"/>
        </w:rPr>
      </w:pPr>
      <w:bookmarkStart w:id="14" w:name="_Toc212939533"/>
      <w:r w:rsidRPr="00CB2AC8">
        <w:rPr>
          <w:rFonts w:ascii="Arial" w:hAnsi="Arial" w:cs="Arial"/>
          <w:sz w:val="22"/>
          <w:szCs w:val="22"/>
        </w:rPr>
        <w:t>Task 2: Epidemiological Analysis</w:t>
      </w:r>
      <w:bookmarkEnd w:id="14"/>
    </w:p>
    <w:p w14:paraId="6DC65254" w14:textId="77777777" w:rsidR="003B34BA" w:rsidRPr="00CB2AC8" w:rsidRDefault="003B34BA" w:rsidP="00CB2AC8">
      <w:pPr>
        <w:pStyle w:val="Heading2"/>
      </w:pPr>
      <w:bookmarkStart w:id="15" w:name="_Toc212939534"/>
      <w:r w:rsidRPr="00CB2AC8">
        <w:t>Introduction</w:t>
      </w:r>
      <w:bookmarkEnd w:id="15"/>
      <w:r w:rsidRPr="00CB2AC8">
        <w:t xml:space="preserve"> </w:t>
      </w:r>
    </w:p>
    <w:p w14:paraId="6C3FCE51" w14:textId="17B7C7FA" w:rsidR="00B95930" w:rsidRPr="00E57841" w:rsidRDefault="003B34BA" w:rsidP="00B95930">
      <w:pPr>
        <w:rPr>
          <w:rFonts w:ascii="Arial" w:hAnsi="Arial" w:cs="Arial"/>
          <w:sz w:val="22"/>
          <w:szCs w:val="22"/>
          <w:lang w:val="en-IN"/>
        </w:rPr>
      </w:pPr>
      <w:r w:rsidRPr="00CB2AC8">
        <w:rPr>
          <w:rFonts w:ascii="Arial" w:hAnsi="Arial" w:cs="Arial"/>
          <w:sz w:val="22"/>
          <w:szCs w:val="22"/>
        </w:rPr>
        <w:t xml:space="preserve">Diabetes Mellitus type 2 (T2DM) is a metabolic disorder that is both chronic, non-communicable, develops because of insulin resistance and dysfunctional glucose regulation, and is associated with constantly high levels of blood sugar. It is a worldwide epidemic, and one of the most rapidly increasing health issues, as it has been diagnosed by the World Health Organization (2024) as a result of lifestyle changes, urbanization, and ageing. The health problem has a high morbidity and mortality rate in the world with complications of cardiovascular disease, neuropathy, nephropathy, and retinopathy. In the UK, as noted by </w:t>
      </w:r>
      <w:r w:rsidR="00E57841" w:rsidRPr="00E57841">
        <w:rPr>
          <w:rFonts w:ascii="Arial" w:hAnsi="Arial" w:cs="Arial"/>
          <w:sz w:val="22"/>
          <w:szCs w:val="22"/>
          <w:lang w:val="en-IN"/>
        </w:rPr>
        <w:t>Diabetes UK</w:t>
      </w:r>
      <w:r w:rsidR="00E57841" w:rsidRPr="00CB2AC8">
        <w:rPr>
          <w:rFonts w:ascii="Arial" w:hAnsi="Arial" w:cs="Arial"/>
          <w:sz w:val="22"/>
          <w:szCs w:val="22"/>
        </w:rPr>
        <w:t xml:space="preserve"> </w:t>
      </w:r>
      <w:r w:rsidRPr="00CB2AC8">
        <w:rPr>
          <w:rFonts w:ascii="Arial" w:hAnsi="Arial" w:cs="Arial"/>
          <w:sz w:val="22"/>
          <w:szCs w:val="22"/>
        </w:rPr>
        <w:t>(2023), T2DM is a significant issue in the health of the general population with over 4.</w:t>
      </w:r>
      <w:r w:rsidR="00E57841">
        <w:rPr>
          <w:rFonts w:ascii="Arial" w:hAnsi="Arial" w:cs="Arial"/>
          <w:sz w:val="22"/>
          <w:szCs w:val="22"/>
        </w:rPr>
        <w:t>6</w:t>
      </w:r>
      <w:r w:rsidRPr="00CB2AC8">
        <w:rPr>
          <w:rFonts w:ascii="Arial" w:hAnsi="Arial" w:cs="Arial"/>
          <w:sz w:val="22"/>
          <w:szCs w:val="22"/>
        </w:rPr>
        <w:t xml:space="preserve"> million people being diagnosed and an estimated </w:t>
      </w:r>
      <w:r w:rsidR="00E57841">
        <w:rPr>
          <w:rFonts w:ascii="Arial" w:hAnsi="Arial" w:cs="Arial"/>
          <w:sz w:val="22"/>
          <w:szCs w:val="22"/>
        </w:rPr>
        <w:t>1.3 million could be living with Type 2 Diabetes</w:t>
      </w:r>
      <w:r w:rsidRPr="00CB2AC8">
        <w:rPr>
          <w:rFonts w:ascii="Arial" w:hAnsi="Arial" w:cs="Arial"/>
          <w:sz w:val="22"/>
          <w:szCs w:val="22"/>
        </w:rPr>
        <w:t>. It has a violent social and economic impact in terms of decreasing workforce productivity and costs NHS close to 10 per cent of the expenditure. Tower Hamlets is a multiracial and poor London Borough which has one of the highest prevalence rates of approximately 9.6 against national average of 7.1</w:t>
      </w:r>
      <w:r w:rsidR="00FB2F78">
        <w:rPr>
          <w:rFonts w:ascii="Arial" w:hAnsi="Arial" w:cs="Arial"/>
          <w:sz w:val="22"/>
          <w:szCs w:val="22"/>
        </w:rPr>
        <w:t xml:space="preserve"> </w:t>
      </w:r>
      <w:r w:rsidR="00FB2F78" w:rsidRPr="00FB2F78">
        <w:rPr>
          <w:rFonts w:ascii="Arial" w:hAnsi="Arial" w:cs="Arial"/>
          <w:sz w:val="22"/>
          <w:szCs w:val="22"/>
          <w:lang w:val="en-IN"/>
        </w:rPr>
        <w:t>(Tower Hamlets Council, 2024)</w:t>
      </w:r>
      <w:r w:rsidRPr="00CB2AC8">
        <w:rPr>
          <w:rFonts w:ascii="Arial" w:hAnsi="Arial" w:cs="Arial"/>
          <w:sz w:val="22"/>
          <w:szCs w:val="22"/>
        </w:rPr>
        <w:t>. High obesity rates, poor sedentary lifestyles and dietary patterns among South Asian populations make Tower Hamlets one of the focus areas of targeted interventions of diabetes prevention and management, which indicate local and national health inequalities.</w:t>
      </w:r>
    </w:p>
    <w:p w14:paraId="6692736C" w14:textId="1454A0BF" w:rsidR="003B34BA" w:rsidRPr="00CB2AC8" w:rsidRDefault="003B34BA" w:rsidP="00CB2AC8">
      <w:pPr>
        <w:pStyle w:val="Heading2"/>
      </w:pPr>
      <w:bookmarkStart w:id="16" w:name="_Toc212939535"/>
      <w:r w:rsidRPr="00CB2AC8">
        <w:t>Identification and Assessment of the Health Problem</w:t>
      </w:r>
      <w:bookmarkEnd w:id="16"/>
    </w:p>
    <w:p w14:paraId="049B58BF" w14:textId="06DAAC91" w:rsidR="003B34BA" w:rsidRPr="005B2EC7" w:rsidRDefault="003B34BA" w:rsidP="00B95930">
      <w:pPr>
        <w:rPr>
          <w:rFonts w:ascii="Arial" w:hAnsi="Arial" w:cs="Arial"/>
          <w:sz w:val="22"/>
          <w:szCs w:val="22"/>
          <w:lang w:val="en-IN"/>
        </w:rPr>
      </w:pPr>
      <w:r w:rsidRPr="00CB2AC8">
        <w:rPr>
          <w:rFonts w:ascii="Arial" w:hAnsi="Arial" w:cs="Arial"/>
          <w:b/>
          <w:bCs/>
          <w:i/>
          <w:iCs/>
          <w:sz w:val="22"/>
          <w:szCs w:val="22"/>
        </w:rPr>
        <w:t>Epidemiological Process Overview</w:t>
      </w:r>
      <w:r w:rsidRPr="00CB2AC8">
        <w:rPr>
          <w:rFonts w:ascii="Arial" w:hAnsi="Arial" w:cs="Arial"/>
          <w:sz w:val="22"/>
          <w:szCs w:val="22"/>
        </w:rPr>
        <w:t xml:space="preserve">: The epidemiological evaluation of Type 2 Diabetes Mellitus (T2DM) in Tower Hamlets is a systematic procedure that starts with identification of the problem, data collection and data analysis, which results in evidence-based interventions. The steps include the quantification of disease prevalence and the identification of trends using descriptive epidemiology and analytical methods used to determine the associations between determinants and disease outcomes. </w:t>
      </w:r>
      <w:r w:rsidRPr="005B2EC7">
        <w:rPr>
          <w:rFonts w:ascii="Arial" w:hAnsi="Arial" w:cs="Arial"/>
          <w:sz w:val="22"/>
          <w:szCs w:val="22"/>
        </w:rPr>
        <w:t xml:space="preserve">The target population at risk is adults aged between 30 and 70 years old, </w:t>
      </w:r>
      <w:r w:rsidRPr="005B2EC7">
        <w:rPr>
          <w:rFonts w:ascii="Arial" w:hAnsi="Arial" w:cs="Arial"/>
          <w:sz w:val="22"/>
          <w:szCs w:val="22"/>
        </w:rPr>
        <w:lastRenderedPageBreak/>
        <w:t>especially the South Asians who have disproportionately high prevalence of T2DM because of genetic and lifestyle predispositions</w:t>
      </w:r>
      <w:r w:rsidR="00FB2F78" w:rsidRPr="005B2EC7">
        <w:rPr>
          <w:rFonts w:ascii="Arial" w:hAnsi="Arial" w:cs="Arial"/>
          <w:sz w:val="22"/>
          <w:szCs w:val="22"/>
        </w:rPr>
        <w:t xml:space="preserve"> </w:t>
      </w:r>
      <w:r w:rsidR="00FB2F78" w:rsidRPr="005B2EC7">
        <w:rPr>
          <w:rFonts w:ascii="Arial" w:hAnsi="Arial" w:cs="Arial"/>
          <w:sz w:val="22"/>
          <w:szCs w:val="22"/>
          <w:lang w:val="en-IN"/>
        </w:rPr>
        <w:t>(Narayan &amp; Kanaya, 2020)</w:t>
      </w:r>
      <w:r w:rsidRPr="005B2EC7">
        <w:rPr>
          <w:rFonts w:ascii="Arial" w:hAnsi="Arial" w:cs="Arial"/>
          <w:sz w:val="22"/>
          <w:szCs w:val="22"/>
        </w:rPr>
        <w:t xml:space="preserve">. </w:t>
      </w:r>
    </w:p>
    <w:p w14:paraId="0F78470A" w14:textId="7C494873" w:rsidR="003B34BA" w:rsidRPr="005B2EC7" w:rsidRDefault="003B34BA" w:rsidP="00B95930">
      <w:pPr>
        <w:rPr>
          <w:rFonts w:ascii="Arial" w:hAnsi="Arial" w:cs="Arial"/>
          <w:sz w:val="22"/>
          <w:szCs w:val="22"/>
          <w:lang w:val="en-IN"/>
        </w:rPr>
      </w:pPr>
      <w:r w:rsidRPr="005B2EC7">
        <w:rPr>
          <w:rFonts w:ascii="Arial" w:hAnsi="Arial" w:cs="Arial"/>
          <w:b/>
          <w:bCs/>
          <w:i/>
          <w:iCs/>
          <w:sz w:val="22"/>
          <w:szCs w:val="22"/>
        </w:rPr>
        <w:t>Health Needs Assessment (HNA):</w:t>
      </w:r>
      <w:r w:rsidRPr="005B2EC7">
        <w:rPr>
          <w:rFonts w:ascii="Arial" w:hAnsi="Arial" w:cs="Arial"/>
          <w:sz w:val="22"/>
          <w:szCs w:val="22"/>
        </w:rPr>
        <w:t xml:space="preserve"> The use of the Epidemiological HNA model would be to assess the size, distribution and severity of diabetes using population level data</w:t>
      </w:r>
      <w:r w:rsidRPr="00CB2AC8">
        <w:rPr>
          <w:rFonts w:ascii="Arial" w:hAnsi="Arial" w:cs="Arial"/>
          <w:sz w:val="22"/>
          <w:szCs w:val="22"/>
        </w:rPr>
        <w:t>. NHS Digital, Fingertips tool provided by Public Health England, and the Office of Health Improvement and Disparities (OHID) are among the most important sources of local data that can be used to provide evidence on the incidence, screening uptake, and mortality rates</w:t>
      </w:r>
      <w:r w:rsidR="00FB2F78">
        <w:rPr>
          <w:rFonts w:ascii="Arial" w:hAnsi="Arial" w:cs="Arial"/>
          <w:sz w:val="22"/>
          <w:szCs w:val="22"/>
        </w:rPr>
        <w:t xml:space="preserve"> </w:t>
      </w:r>
      <w:r w:rsidR="00FB2F78" w:rsidRPr="00FB2F78">
        <w:rPr>
          <w:rFonts w:ascii="Arial" w:hAnsi="Arial" w:cs="Arial"/>
          <w:sz w:val="22"/>
          <w:szCs w:val="22"/>
          <w:lang w:val="en-IN"/>
        </w:rPr>
        <w:t>(Office for Health Improvement and Disparities, 2025)</w:t>
      </w:r>
      <w:r w:rsidRPr="00CB2AC8">
        <w:rPr>
          <w:rFonts w:ascii="Arial" w:hAnsi="Arial" w:cs="Arial"/>
          <w:sz w:val="22"/>
          <w:szCs w:val="22"/>
        </w:rPr>
        <w:t xml:space="preserve">. It </w:t>
      </w:r>
      <w:r w:rsidRPr="005B2EC7">
        <w:rPr>
          <w:rFonts w:ascii="Arial" w:hAnsi="Arial" w:cs="Arial"/>
          <w:sz w:val="22"/>
          <w:szCs w:val="22"/>
        </w:rPr>
        <w:t xml:space="preserve">has been established that the prevalence of T2DM within deprived communities in Tower Hamlets is very high compared to the rest of the country, with the South Asian communities exhibiting a very high risk of developing T2DM (3-5 times higher than the White British groups). </w:t>
      </w:r>
    </w:p>
    <w:p w14:paraId="6FAE6EC2" w14:textId="6FA9C7AC" w:rsidR="003B34BA" w:rsidRPr="00FB2F78" w:rsidRDefault="003B34BA" w:rsidP="00B95930">
      <w:pPr>
        <w:rPr>
          <w:rFonts w:ascii="Arial" w:hAnsi="Arial" w:cs="Arial"/>
          <w:sz w:val="22"/>
          <w:szCs w:val="22"/>
          <w:lang w:val="en-IN"/>
        </w:rPr>
      </w:pPr>
      <w:r w:rsidRPr="005B2EC7">
        <w:rPr>
          <w:rFonts w:ascii="Arial" w:hAnsi="Arial" w:cs="Arial"/>
          <w:b/>
          <w:bCs/>
          <w:i/>
          <w:iCs/>
          <w:sz w:val="22"/>
          <w:szCs w:val="22"/>
        </w:rPr>
        <w:t>Key Determinants and Risk Factors:</w:t>
      </w:r>
      <w:r w:rsidRPr="005B2EC7">
        <w:rPr>
          <w:rFonts w:ascii="Arial" w:hAnsi="Arial" w:cs="Arial"/>
          <w:sz w:val="22"/>
          <w:szCs w:val="22"/>
        </w:rPr>
        <w:t xml:space="preserve"> </w:t>
      </w:r>
      <w:r w:rsidR="00257F71" w:rsidRPr="005B2EC7">
        <w:rPr>
          <w:rFonts w:ascii="Arial" w:hAnsi="Arial" w:cs="Arial"/>
          <w:sz w:val="22"/>
          <w:szCs w:val="22"/>
        </w:rPr>
        <w:t>Behavioral</w:t>
      </w:r>
      <w:r w:rsidRPr="005B2EC7">
        <w:rPr>
          <w:rFonts w:ascii="Arial" w:hAnsi="Arial" w:cs="Arial"/>
          <w:sz w:val="22"/>
          <w:szCs w:val="22"/>
        </w:rPr>
        <w:t xml:space="preserve"> determinants involve poor dieting, sedentary behavior and increasing levels of obesity. Socioeconomic vulnerabilities include low income</w:t>
      </w:r>
      <w:r w:rsidRPr="00CB2AC8">
        <w:rPr>
          <w:rFonts w:ascii="Arial" w:hAnsi="Arial" w:cs="Arial"/>
          <w:sz w:val="22"/>
          <w:szCs w:val="22"/>
        </w:rPr>
        <w:t xml:space="preserve"> and unemployment</w:t>
      </w:r>
      <w:r w:rsidR="00FB2F78">
        <w:rPr>
          <w:rFonts w:ascii="Arial" w:hAnsi="Arial" w:cs="Arial"/>
          <w:sz w:val="22"/>
          <w:szCs w:val="22"/>
        </w:rPr>
        <w:t xml:space="preserve"> </w:t>
      </w:r>
      <w:r w:rsidR="00FB2F78" w:rsidRPr="00FB2F78">
        <w:rPr>
          <w:rFonts w:ascii="Arial" w:hAnsi="Arial" w:cs="Arial"/>
          <w:sz w:val="22"/>
          <w:szCs w:val="22"/>
          <w:lang w:val="en-IN"/>
        </w:rPr>
        <w:t>(Santana et al., 2021)</w:t>
      </w:r>
      <w:r w:rsidRPr="00CB2AC8">
        <w:rPr>
          <w:rFonts w:ascii="Arial" w:hAnsi="Arial" w:cs="Arial"/>
          <w:sz w:val="22"/>
          <w:szCs w:val="22"/>
        </w:rPr>
        <w:t>. The combination of cultural variables such as high-carbohydrate traditional food intake with environmental determinants such as the green spaces and the density of fast-food restaurants are the reasons.</w:t>
      </w:r>
    </w:p>
    <w:p w14:paraId="33BB005F" w14:textId="0A36323C" w:rsidR="003B34BA" w:rsidRPr="00CB2AC8" w:rsidRDefault="003B34BA" w:rsidP="00CB2AC8">
      <w:pPr>
        <w:pStyle w:val="Heading2"/>
      </w:pPr>
      <w:bookmarkStart w:id="17" w:name="_Toc212939536"/>
      <w:r w:rsidRPr="00CB2AC8">
        <w:t>Epidemiological Methods and Study Evidence</w:t>
      </w:r>
      <w:bookmarkEnd w:id="17"/>
    </w:p>
    <w:p w14:paraId="07A4397E" w14:textId="1DFEBDEF" w:rsidR="003B34BA" w:rsidRPr="00FB2F78" w:rsidRDefault="003B34BA" w:rsidP="003B34BA">
      <w:pPr>
        <w:rPr>
          <w:rFonts w:ascii="Arial" w:hAnsi="Arial" w:cs="Arial"/>
          <w:sz w:val="22"/>
          <w:szCs w:val="22"/>
          <w:lang w:val="en-IN"/>
        </w:rPr>
      </w:pPr>
      <w:r w:rsidRPr="00CB2AC8">
        <w:rPr>
          <w:rFonts w:ascii="Arial" w:hAnsi="Arial" w:cs="Arial"/>
          <w:b/>
          <w:bCs/>
          <w:sz w:val="22"/>
          <w:szCs w:val="22"/>
        </w:rPr>
        <w:t>Descriptive Epidemiology:</w:t>
      </w:r>
      <w:r w:rsidRPr="00CB2AC8">
        <w:rPr>
          <w:rFonts w:ascii="Arial" w:hAnsi="Arial" w:cs="Arial"/>
          <w:sz w:val="22"/>
          <w:szCs w:val="22"/>
        </w:rPr>
        <w:t xml:space="preserve"> The type 2 diabetes Mellitus (T2DM) descriptive epidemiological picture in Tower Hamlets shows an imbalanced distribution of the disease among certain groups due to their demographic characteristics. Older adults, South Asian ethnic, and low-income residents are marked as the most affected by the framework of person, place, and time</w:t>
      </w:r>
      <w:r w:rsidR="00FB2F78">
        <w:rPr>
          <w:rFonts w:ascii="Arial" w:hAnsi="Arial" w:cs="Arial"/>
          <w:sz w:val="22"/>
          <w:szCs w:val="22"/>
        </w:rPr>
        <w:t xml:space="preserve"> </w:t>
      </w:r>
      <w:r w:rsidR="00FB2F78" w:rsidRPr="00FB2F78">
        <w:rPr>
          <w:rFonts w:ascii="Arial" w:hAnsi="Arial" w:cs="Arial"/>
          <w:sz w:val="22"/>
          <w:szCs w:val="22"/>
          <w:lang w:val="en-IN"/>
        </w:rPr>
        <w:t>(Jahangir et al., 2025)</w:t>
      </w:r>
      <w:r w:rsidRPr="00CB2AC8">
        <w:rPr>
          <w:rFonts w:ascii="Arial" w:hAnsi="Arial" w:cs="Arial"/>
          <w:sz w:val="22"/>
          <w:szCs w:val="22"/>
        </w:rPr>
        <w:t xml:space="preserve">. Geographically, Tower Hamlets has high prevalence rates associated with city deprivation, lack of proper diets, and insufficient time to exercise. </w:t>
      </w:r>
    </w:p>
    <w:p w14:paraId="00093A5B" w14:textId="33EB8FE5" w:rsidR="003B34BA" w:rsidRPr="00CB2AC8" w:rsidRDefault="003B34BA" w:rsidP="003B34BA">
      <w:pPr>
        <w:rPr>
          <w:rFonts w:ascii="Arial" w:hAnsi="Arial" w:cs="Arial"/>
          <w:sz w:val="22"/>
          <w:szCs w:val="22"/>
        </w:rPr>
      </w:pPr>
      <w:r w:rsidRPr="00CB2AC8">
        <w:rPr>
          <w:rFonts w:ascii="Arial" w:hAnsi="Arial" w:cs="Arial"/>
          <w:b/>
          <w:bCs/>
          <w:sz w:val="22"/>
          <w:szCs w:val="22"/>
        </w:rPr>
        <w:t>Analytical Epidemiology:</w:t>
      </w:r>
      <w:r w:rsidRPr="00CB2AC8">
        <w:rPr>
          <w:rFonts w:ascii="Arial" w:hAnsi="Arial" w:cs="Arial"/>
          <w:sz w:val="22"/>
          <w:szCs w:val="22"/>
        </w:rPr>
        <w:t xml:space="preserve"> Analytical methods have offered compelling causal facts that support obesity, diet, and inactivity are the causes of T2DM. The cohort study of the UK Biobank revealed that people with a body mass index greater than 30 were at a great risk of developing T2DM within a decade.</w:t>
      </w:r>
    </w:p>
    <w:p w14:paraId="779AA940" w14:textId="3F744C23" w:rsidR="003B34BA" w:rsidRPr="00FB2F78" w:rsidRDefault="003B34BA" w:rsidP="003B34BA">
      <w:pPr>
        <w:rPr>
          <w:rFonts w:ascii="Arial" w:hAnsi="Arial" w:cs="Arial"/>
          <w:sz w:val="22"/>
          <w:szCs w:val="22"/>
          <w:lang w:val="en-IN"/>
        </w:rPr>
      </w:pPr>
      <w:r w:rsidRPr="00CB2AC8">
        <w:rPr>
          <w:rFonts w:ascii="Arial" w:hAnsi="Arial" w:cs="Arial"/>
          <w:b/>
          <w:bCs/>
          <w:sz w:val="22"/>
          <w:szCs w:val="22"/>
        </w:rPr>
        <w:t>Surveillance and Monitoring Systems:</w:t>
      </w:r>
      <w:r w:rsidRPr="00CB2AC8">
        <w:rPr>
          <w:rFonts w:ascii="Arial" w:hAnsi="Arial" w:cs="Arial"/>
          <w:sz w:val="22"/>
          <w:szCs w:val="22"/>
        </w:rPr>
        <w:t xml:space="preserve"> The Quality and Outcomes Framework (QOF) encourage the general practices to monitor patients and their results by tracking the rate at which they have been diagnosed, the quality of management, and complications, and the National Diabetes Audit (NDA) does the same</w:t>
      </w:r>
      <w:r w:rsidR="00FB2F78">
        <w:rPr>
          <w:rFonts w:ascii="Arial" w:hAnsi="Arial" w:cs="Arial"/>
          <w:sz w:val="22"/>
          <w:szCs w:val="22"/>
        </w:rPr>
        <w:t xml:space="preserve"> </w:t>
      </w:r>
      <w:r w:rsidR="00FB2F78" w:rsidRPr="00FB2F78">
        <w:rPr>
          <w:rFonts w:ascii="Arial" w:hAnsi="Arial" w:cs="Arial"/>
          <w:sz w:val="22"/>
          <w:szCs w:val="22"/>
          <w:lang w:val="en-IN"/>
        </w:rPr>
        <w:t>(Gilbert et al., 2019)</w:t>
      </w:r>
      <w:r w:rsidRPr="00CB2AC8">
        <w:rPr>
          <w:rFonts w:ascii="Arial" w:hAnsi="Arial" w:cs="Arial"/>
          <w:sz w:val="22"/>
          <w:szCs w:val="22"/>
        </w:rPr>
        <w:t>. The data on Public Health Observatory provides local prevalence mapping based on deprivation.</w:t>
      </w:r>
    </w:p>
    <w:p w14:paraId="41CF6729" w14:textId="2D9781C9" w:rsidR="003B34BA" w:rsidRPr="00CB2AC8" w:rsidRDefault="003B34BA" w:rsidP="003B34BA">
      <w:pPr>
        <w:rPr>
          <w:rFonts w:ascii="Arial" w:hAnsi="Arial" w:cs="Arial"/>
          <w:sz w:val="22"/>
          <w:szCs w:val="22"/>
        </w:rPr>
      </w:pPr>
      <w:r w:rsidRPr="00CB2AC8">
        <w:rPr>
          <w:rFonts w:ascii="Arial" w:hAnsi="Arial" w:cs="Arial"/>
          <w:b/>
          <w:bCs/>
          <w:sz w:val="22"/>
          <w:szCs w:val="22"/>
        </w:rPr>
        <w:lastRenderedPageBreak/>
        <w:t>Limitations:</w:t>
      </w:r>
      <w:r w:rsidRPr="00CB2AC8">
        <w:rPr>
          <w:rFonts w:ascii="Arial" w:hAnsi="Arial" w:cs="Arial"/>
          <w:sz w:val="22"/>
          <w:szCs w:val="22"/>
        </w:rPr>
        <w:t xml:space="preserve"> Underdiagnosis caused by insufficient screening, discrepancy between GP and hospital records, and biases associated with self-reporting on diet and physical activity are some of the limitations.</w:t>
      </w:r>
    </w:p>
    <w:p w14:paraId="66D700C5" w14:textId="5CDAA60A" w:rsidR="003B34BA" w:rsidRPr="00CB2AC8" w:rsidRDefault="003B34BA" w:rsidP="00CB2AC8">
      <w:pPr>
        <w:pStyle w:val="Heading2"/>
      </w:pPr>
      <w:bookmarkStart w:id="18" w:name="_Toc212939537"/>
      <w:r w:rsidRPr="00CB2AC8">
        <w:t>The 3 Ps and Public Health Measures</w:t>
      </w:r>
      <w:bookmarkEnd w:id="18"/>
    </w:p>
    <w:p w14:paraId="1C602965" w14:textId="015D963A" w:rsidR="003B34BA" w:rsidRPr="00CB2AC8" w:rsidRDefault="003B34BA" w:rsidP="003B34BA">
      <w:pPr>
        <w:rPr>
          <w:rFonts w:ascii="Arial" w:hAnsi="Arial" w:cs="Arial"/>
          <w:sz w:val="22"/>
          <w:szCs w:val="22"/>
        </w:rPr>
      </w:pPr>
      <w:r w:rsidRPr="00CB2AC8">
        <w:rPr>
          <w:rFonts w:ascii="Arial" w:hAnsi="Arial" w:cs="Arial"/>
          <w:b/>
          <w:bCs/>
          <w:sz w:val="22"/>
          <w:szCs w:val="22"/>
        </w:rPr>
        <w:t>Prevention (Primary Level):</w:t>
      </w:r>
      <w:r w:rsidRPr="00CB2AC8">
        <w:rPr>
          <w:rFonts w:ascii="Arial" w:hAnsi="Arial" w:cs="Arial"/>
          <w:sz w:val="22"/>
          <w:szCs w:val="22"/>
        </w:rPr>
        <w:t xml:space="preserve"> On the one hand, in Tower Hamlets, the primary prevention targeted the elimination of Type 2 Diabetes Mellitus (T2DM) at the earliest stage by means of </w:t>
      </w:r>
      <w:r w:rsidR="00257F71" w:rsidRPr="00CB2AC8">
        <w:rPr>
          <w:rFonts w:ascii="Arial" w:hAnsi="Arial" w:cs="Arial"/>
          <w:sz w:val="22"/>
          <w:szCs w:val="22"/>
        </w:rPr>
        <w:t>behavioral</w:t>
      </w:r>
      <w:r w:rsidRPr="00CB2AC8">
        <w:rPr>
          <w:rFonts w:ascii="Arial" w:hAnsi="Arial" w:cs="Arial"/>
          <w:sz w:val="22"/>
          <w:szCs w:val="22"/>
        </w:rPr>
        <w:t xml:space="preserve"> and community-based interventions. The Tower Hamlets Healthy Borough </w:t>
      </w:r>
      <w:r w:rsidR="005B2EC7" w:rsidRPr="00CB2AC8">
        <w:rPr>
          <w:rFonts w:ascii="Arial" w:hAnsi="Arial" w:cs="Arial"/>
          <w:sz w:val="22"/>
          <w:szCs w:val="22"/>
        </w:rPr>
        <w:t>Programmed</w:t>
      </w:r>
      <w:r w:rsidRPr="00CB2AC8">
        <w:rPr>
          <w:rFonts w:ascii="Arial" w:hAnsi="Arial" w:cs="Arial"/>
          <w:sz w:val="22"/>
          <w:szCs w:val="22"/>
        </w:rPr>
        <w:t xml:space="preserve"> aims at promoting better dietary habits by facilitating the availability of affordable fresh foods and limiting fast-food restaurants in the areas around the schools. The NHS Diabetes Prevention </w:t>
      </w:r>
      <w:r w:rsidR="005B2EC7" w:rsidRPr="00CB2AC8">
        <w:rPr>
          <w:rFonts w:ascii="Arial" w:hAnsi="Arial" w:cs="Arial"/>
          <w:sz w:val="22"/>
          <w:szCs w:val="22"/>
        </w:rPr>
        <w:t>Progra</w:t>
      </w:r>
      <w:r w:rsidR="005B2EC7">
        <w:rPr>
          <w:rFonts w:ascii="Arial" w:hAnsi="Arial" w:cs="Arial"/>
          <w:sz w:val="22"/>
          <w:szCs w:val="22"/>
        </w:rPr>
        <w:t>m</w:t>
      </w:r>
      <w:r w:rsidR="005B2EC7" w:rsidRPr="00CB2AC8">
        <w:rPr>
          <w:rFonts w:ascii="Arial" w:hAnsi="Arial" w:cs="Arial"/>
          <w:sz w:val="22"/>
          <w:szCs w:val="22"/>
        </w:rPr>
        <w:t>med</w:t>
      </w:r>
      <w:r w:rsidRPr="00CB2AC8">
        <w:rPr>
          <w:rFonts w:ascii="Arial" w:hAnsi="Arial" w:cs="Arial"/>
          <w:sz w:val="22"/>
          <w:szCs w:val="22"/>
        </w:rPr>
        <w:t xml:space="preserve"> (NDPP) can provide structured lifestyle change interventions for people determined to be pre-diabetic, in the form of dietary counselling and physical activity. </w:t>
      </w:r>
    </w:p>
    <w:p w14:paraId="6CFAD96C" w14:textId="543F8474" w:rsidR="003B34BA" w:rsidRPr="00FB2F78" w:rsidRDefault="003B34BA" w:rsidP="003B34BA">
      <w:pPr>
        <w:rPr>
          <w:rFonts w:ascii="Arial" w:hAnsi="Arial" w:cs="Arial"/>
          <w:sz w:val="22"/>
          <w:szCs w:val="22"/>
          <w:lang w:val="en-IN"/>
        </w:rPr>
      </w:pPr>
      <w:r w:rsidRPr="00CB2AC8">
        <w:rPr>
          <w:rFonts w:ascii="Arial" w:hAnsi="Arial" w:cs="Arial"/>
          <w:b/>
          <w:bCs/>
          <w:sz w:val="22"/>
          <w:szCs w:val="22"/>
        </w:rPr>
        <w:t>Protection (Secondary Level):</w:t>
      </w:r>
      <w:r w:rsidRPr="00CB2AC8">
        <w:rPr>
          <w:rFonts w:ascii="Arial" w:hAnsi="Arial" w:cs="Arial"/>
          <w:sz w:val="22"/>
          <w:szCs w:val="22"/>
        </w:rPr>
        <w:t xml:space="preserve"> Secondary prevention focuses on the initial detection and control in preventing disease progression. The HbA1c screening and risk assessment of adults aged above 40 and individuals with a body mass index of more than 25 is performed by General Practitioners. </w:t>
      </w:r>
    </w:p>
    <w:p w14:paraId="4E2D010F" w14:textId="7F65AA36" w:rsidR="003B34BA" w:rsidRPr="00FB2F78" w:rsidRDefault="003B34BA" w:rsidP="003B34BA">
      <w:pPr>
        <w:rPr>
          <w:rFonts w:ascii="Arial" w:hAnsi="Arial" w:cs="Arial"/>
          <w:sz w:val="22"/>
          <w:szCs w:val="22"/>
          <w:lang w:val="en-IN"/>
        </w:rPr>
      </w:pPr>
      <w:r w:rsidRPr="00CB2AC8">
        <w:rPr>
          <w:rFonts w:ascii="Arial" w:hAnsi="Arial" w:cs="Arial"/>
          <w:b/>
          <w:bCs/>
          <w:sz w:val="22"/>
          <w:szCs w:val="22"/>
        </w:rPr>
        <w:t>Promotion (Tertiary Level):</w:t>
      </w:r>
      <w:r w:rsidRPr="00CB2AC8">
        <w:rPr>
          <w:rFonts w:ascii="Arial" w:hAnsi="Arial" w:cs="Arial"/>
          <w:sz w:val="22"/>
          <w:szCs w:val="22"/>
        </w:rPr>
        <w:t xml:space="preserve"> Tertiary prevention offers care to people who have been diagnosed with diabetes to help them handle complications</w:t>
      </w:r>
      <w:r w:rsidR="00FB2F78">
        <w:rPr>
          <w:rFonts w:ascii="Arial" w:hAnsi="Arial" w:cs="Arial"/>
          <w:sz w:val="22"/>
          <w:szCs w:val="22"/>
        </w:rPr>
        <w:t xml:space="preserve"> </w:t>
      </w:r>
      <w:r w:rsidR="00FB2F78" w:rsidRPr="00FB2F78">
        <w:rPr>
          <w:rFonts w:ascii="Arial" w:hAnsi="Arial" w:cs="Arial"/>
          <w:sz w:val="22"/>
          <w:szCs w:val="22"/>
          <w:lang w:val="en-IN"/>
        </w:rPr>
        <w:t>(Crasto et al., 2021)</w:t>
      </w:r>
      <w:r w:rsidRPr="00CB2AC8">
        <w:rPr>
          <w:rFonts w:ascii="Arial" w:hAnsi="Arial" w:cs="Arial"/>
          <w:sz w:val="22"/>
          <w:szCs w:val="22"/>
        </w:rPr>
        <w:t xml:space="preserve">. There are </w:t>
      </w:r>
      <w:proofErr w:type="spellStart"/>
      <w:r w:rsidRPr="00CB2AC8">
        <w:rPr>
          <w:rFonts w:ascii="Arial" w:hAnsi="Arial" w:cs="Arial"/>
          <w:sz w:val="22"/>
          <w:szCs w:val="22"/>
        </w:rPr>
        <w:t>programmes</w:t>
      </w:r>
      <w:proofErr w:type="spellEnd"/>
      <w:r w:rsidRPr="00CB2AC8">
        <w:rPr>
          <w:rFonts w:ascii="Arial" w:hAnsi="Arial" w:cs="Arial"/>
          <w:sz w:val="22"/>
          <w:szCs w:val="22"/>
        </w:rPr>
        <w:t xml:space="preserve">, like DESMOND (Diabetes Education and Self-Management for Ongoing and Newly Diagnosed), which empower patients by means of education. Such projects as Live Well Tower Hamlets offer personalized physical activity prescriptions. </w:t>
      </w:r>
    </w:p>
    <w:p w14:paraId="433DAB28" w14:textId="2F64EEE1" w:rsidR="003B34BA" w:rsidRPr="00CB2AC8" w:rsidRDefault="003B34BA" w:rsidP="003B34BA">
      <w:pPr>
        <w:rPr>
          <w:rFonts w:ascii="Arial" w:hAnsi="Arial" w:cs="Arial"/>
          <w:sz w:val="22"/>
          <w:szCs w:val="22"/>
        </w:rPr>
      </w:pPr>
      <w:r w:rsidRPr="00CB2AC8">
        <w:rPr>
          <w:rFonts w:ascii="Arial" w:hAnsi="Arial" w:cs="Arial"/>
          <w:b/>
          <w:bCs/>
          <w:sz w:val="22"/>
          <w:szCs w:val="22"/>
        </w:rPr>
        <w:t>Policy Measures and Stakeholders:</w:t>
      </w:r>
      <w:r w:rsidRPr="00CB2AC8">
        <w:rPr>
          <w:rFonts w:ascii="Arial" w:hAnsi="Arial" w:cs="Arial"/>
          <w:sz w:val="22"/>
          <w:szCs w:val="22"/>
        </w:rPr>
        <w:t xml:space="preserve"> Obesity and health inequalities are addressed through policy measures and stakeholders by jointly delivering these initiatives through the NHS Long Term Plan (2019) by the NHS Integrated Care Board, local councils, and </w:t>
      </w:r>
      <w:proofErr w:type="spellStart"/>
      <w:r w:rsidRPr="00CB2AC8">
        <w:rPr>
          <w:rFonts w:ascii="Arial" w:hAnsi="Arial" w:cs="Arial"/>
          <w:sz w:val="22"/>
          <w:szCs w:val="22"/>
        </w:rPr>
        <w:t>organisations</w:t>
      </w:r>
      <w:proofErr w:type="spellEnd"/>
      <w:r w:rsidRPr="00CB2AC8">
        <w:rPr>
          <w:rFonts w:ascii="Arial" w:hAnsi="Arial" w:cs="Arial"/>
          <w:sz w:val="22"/>
          <w:szCs w:val="22"/>
        </w:rPr>
        <w:t>, such as Diabetes UK.</w:t>
      </w:r>
    </w:p>
    <w:p w14:paraId="673B25FA" w14:textId="77777777" w:rsidR="003B34BA" w:rsidRPr="00CB2AC8" w:rsidRDefault="003B34BA" w:rsidP="003B34BA">
      <w:pPr>
        <w:rPr>
          <w:rFonts w:ascii="Arial" w:hAnsi="Arial" w:cs="Arial"/>
          <w:sz w:val="22"/>
          <w:szCs w:val="22"/>
        </w:rPr>
      </w:pPr>
    </w:p>
    <w:p w14:paraId="4CCDFFDA" w14:textId="14BEDD59" w:rsidR="003B34BA" w:rsidRPr="00CB2AC8" w:rsidRDefault="003B34BA" w:rsidP="00CB2AC8">
      <w:pPr>
        <w:pStyle w:val="Heading2"/>
      </w:pPr>
      <w:bookmarkStart w:id="19" w:name="_Toc212939538"/>
      <w:r w:rsidRPr="00CB2AC8">
        <w:t>Determinants and Affected Population</w:t>
      </w:r>
      <w:bookmarkEnd w:id="19"/>
    </w:p>
    <w:p w14:paraId="69C83033" w14:textId="1F26BEAA" w:rsidR="003B34BA" w:rsidRPr="00CB2AC8" w:rsidRDefault="003B34BA" w:rsidP="003B34BA">
      <w:pPr>
        <w:rPr>
          <w:rFonts w:ascii="Arial" w:hAnsi="Arial" w:cs="Arial"/>
          <w:b/>
          <w:bCs/>
          <w:i/>
          <w:iCs/>
          <w:sz w:val="22"/>
          <w:szCs w:val="22"/>
        </w:rPr>
      </w:pPr>
      <w:r w:rsidRPr="00CB2AC8">
        <w:rPr>
          <w:rFonts w:ascii="Arial" w:hAnsi="Arial" w:cs="Arial"/>
          <w:b/>
          <w:bCs/>
          <w:i/>
          <w:iCs/>
          <w:sz w:val="22"/>
          <w:szCs w:val="22"/>
        </w:rPr>
        <w:t xml:space="preserve">Epidemiological Determinants: </w:t>
      </w:r>
      <w:r w:rsidRPr="00CB2AC8">
        <w:rPr>
          <w:rFonts w:ascii="Arial" w:hAnsi="Arial" w:cs="Arial"/>
          <w:sz w:val="22"/>
          <w:szCs w:val="22"/>
        </w:rPr>
        <w:t xml:space="preserve">Type 2 Diabetes Mellitus (T2DM) factors are complex and interdependent in Tower Hamlets as socioeconomic deprivation and cultural eating practices constitute a nexus. Low-income families are also forced to use cheap and high-calorie food that contributes to obesity, which is one of the primary causes of T2DM. Based on the idea that Marmot (2010) refers to as the social gradient in health, people living in impoverished environments are </w:t>
      </w:r>
      <w:r w:rsidRPr="00CB2AC8">
        <w:rPr>
          <w:rFonts w:ascii="Arial" w:hAnsi="Arial" w:cs="Arial"/>
          <w:sz w:val="22"/>
          <w:szCs w:val="22"/>
        </w:rPr>
        <w:lastRenderedPageBreak/>
        <w:t xml:space="preserve">more susceptible to disease because of their limited access to healthy foods and education and health care. </w:t>
      </w:r>
    </w:p>
    <w:p w14:paraId="318656DB" w14:textId="70DDB983" w:rsidR="003B34BA" w:rsidRPr="007F776B" w:rsidRDefault="003B34BA" w:rsidP="003B34BA">
      <w:pPr>
        <w:rPr>
          <w:rFonts w:ascii="Arial" w:hAnsi="Arial" w:cs="Arial"/>
          <w:sz w:val="22"/>
          <w:szCs w:val="22"/>
          <w:lang w:val="en-IN"/>
        </w:rPr>
      </w:pPr>
      <w:r w:rsidRPr="00CB2AC8">
        <w:rPr>
          <w:rFonts w:ascii="Arial" w:hAnsi="Arial" w:cs="Arial"/>
          <w:b/>
          <w:bCs/>
          <w:i/>
          <w:iCs/>
          <w:sz w:val="22"/>
          <w:szCs w:val="22"/>
        </w:rPr>
        <w:t>Vulnerable Groups</w:t>
      </w:r>
      <w:r w:rsidRPr="00CB2AC8">
        <w:rPr>
          <w:rFonts w:ascii="Arial" w:hAnsi="Arial" w:cs="Arial"/>
          <w:sz w:val="22"/>
          <w:szCs w:val="22"/>
        </w:rPr>
        <w:t>: Epidemiological evidence indicates that the South Asian and Black African-Caribbean populations are more likely to develop T2DM or earlier than the White British residents. The cohorts at risk include elderly people (50 and older) and obese people (BMI higher than 30). There is increased prevalence of residents in socioeconomically deprived wards, especially Whitechapel and Bethnal Green because of high poverty levels, overcrowding in houses and access to green areas</w:t>
      </w:r>
      <w:r w:rsidR="007F776B">
        <w:rPr>
          <w:rFonts w:ascii="Arial" w:hAnsi="Arial" w:cs="Arial"/>
          <w:sz w:val="22"/>
          <w:szCs w:val="22"/>
        </w:rPr>
        <w:t xml:space="preserve"> </w:t>
      </w:r>
      <w:r w:rsidR="007F776B" w:rsidRPr="007F776B">
        <w:rPr>
          <w:rFonts w:ascii="Arial" w:hAnsi="Arial" w:cs="Arial"/>
          <w:sz w:val="22"/>
          <w:szCs w:val="22"/>
          <w:lang w:val="en-IN"/>
        </w:rPr>
        <w:t>(Kamiya et al., 2021)</w:t>
      </w:r>
      <w:r w:rsidRPr="00CB2AC8">
        <w:rPr>
          <w:rFonts w:ascii="Arial" w:hAnsi="Arial" w:cs="Arial"/>
          <w:sz w:val="22"/>
          <w:szCs w:val="22"/>
        </w:rPr>
        <w:t xml:space="preserve">. Dahlgren and Whitehead Model demonstrate the effect of the individual lifestyle factors on the overall state of the social and environmental conditions. </w:t>
      </w:r>
    </w:p>
    <w:p w14:paraId="78F3636B" w14:textId="7447AE3A" w:rsidR="003B34BA" w:rsidRPr="00CB2AC8" w:rsidRDefault="003B34BA" w:rsidP="00CB2AC8">
      <w:pPr>
        <w:pStyle w:val="Heading2"/>
      </w:pPr>
      <w:bookmarkStart w:id="20" w:name="_Toc212939539"/>
      <w:r w:rsidRPr="00CB2AC8">
        <w:t>Epidemiological Planning and Population Health Impact</w:t>
      </w:r>
      <w:bookmarkEnd w:id="20"/>
    </w:p>
    <w:p w14:paraId="067A3817" w14:textId="1F246076" w:rsidR="003B34BA" w:rsidRPr="007F776B" w:rsidRDefault="003B34BA" w:rsidP="003B34BA">
      <w:pPr>
        <w:rPr>
          <w:rFonts w:ascii="Arial" w:hAnsi="Arial" w:cs="Arial"/>
          <w:sz w:val="22"/>
          <w:szCs w:val="22"/>
          <w:lang w:val="en-IN"/>
        </w:rPr>
      </w:pPr>
      <w:r w:rsidRPr="00CB2AC8">
        <w:rPr>
          <w:rFonts w:ascii="Arial" w:hAnsi="Arial" w:cs="Arial"/>
          <w:sz w:val="22"/>
          <w:szCs w:val="22"/>
        </w:rPr>
        <w:t>The assessment of the burden of Type 2 Diabetes Mellitus (T2DM) in Tower Hamlets utilizes both direct and indirect health outcomes</w:t>
      </w:r>
      <w:r w:rsidR="007F776B">
        <w:rPr>
          <w:rFonts w:ascii="Arial" w:hAnsi="Arial" w:cs="Arial"/>
          <w:sz w:val="22"/>
          <w:szCs w:val="22"/>
        </w:rPr>
        <w:t xml:space="preserve">. This includes </w:t>
      </w:r>
      <w:r w:rsidRPr="00CB2AC8">
        <w:rPr>
          <w:rFonts w:ascii="Arial" w:hAnsi="Arial" w:cs="Arial"/>
          <w:sz w:val="22"/>
          <w:szCs w:val="22"/>
        </w:rPr>
        <w:t>Disability-Adjusted Life Years (DALYs), which is a quantitative measure of the years lost because of a premature death and the years lived with a disability</w:t>
      </w:r>
      <w:r w:rsidR="007F776B">
        <w:rPr>
          <w:rFonts w:ascii="Arial" w:hAnsi="Arial" w:cs="Arial"/>
          <w:sz w:val="22"/>
          <w:szCs w:val="22"/>
        </w:rPr>
        <w:t xml:space="preserve"> </w:t>
      </w:r>
      <w:r w:rsidR="007F776B" w:rsidRPr="007F776B">
        <w:rPr>
          <w:rFonts w:ascii="Arial" w:hAnsi="Arial" w:cs="Arial"/>
          <w:sz w:val="22"/>
          <w:szCs w:val="22"/>
          <w:lang w:val="en-IN"/>
        </w:rPr>
        <w:t>(Gebeyehu et al., 2023)</w:t>
      </w:r>
      <w:r w:rsidRPr="00CB2AC8">
        <w:rPr>
          <w:rFonts w:ascii="Arial" w:hAnsi="Arial" w:cs="Arial"/>
          <w:sz w:val="22"/>
          <w:szCs w:val="22"/>
        </w:rPr>
        <w:t>. The burden of the disease caused by diabetes and comorbidities</w:t>
      </w:r>
      <w:r w:rsidR="007F776B">
        <w:rPr>
          <w:rFonts w:ascii="Arial" w:hAnsi="Arial" w:cs="Arial"/>
          <w:sz w:val="22"/>
          <w:szCs w:val="22"/>
        </w:rPr>
        <w:t>,</w:t>
      </w:r>
      <w:r w:rsidRPr="00CB2AC8">
        <w:rPr>
          <w:rFonts w:ascii="Arial" w:hAnsi="Arial" w:cs="Arial"/>
          <w:sz w:val="22"/>
          <w:szCs w:val="22"/>
        </w:rPr>
        <w:t xml:space="preserve"> which highlights the importance of diabetes in the overall disease burden. Complications which arise due to high rates of morbidity include diabetic foot ulcers, neuropathy, and retinopathy resulting in amputation and vision loss which are preventable. The rate of mortality is much higher in individuals with concurrent cardiovascular or renal disease, especially in the most deprived population groups. </w:t>
      </w:r>
    </w:p>
    <w:p w14:paraId="6ED3462D" w14:textId="60CB7ECB" w:rsidR="003B34BA" w:rsidRPr="00CB2AC8" w:rsidRDefault="00CB2AC8" w:rsidP="00CB2AC8">
      <w:pPr>
        <w:pStyle w:val="Heading2"/>
      </w:pPr>
      <w:bookmarkStart w:id="21" w:name="_Toc212939540"/>
      <w:r w:rsidRPr="00CB2AC8">
        <w:t>Design of Intervention Programs in Health</w:t>
      </w:r>
      <w:bookmarkEnd w:id="21"/>
    </w:p>
    <w:p w14:paraId="55628CF8" w14:textId="2A22A3C5" w:rsidR="00CB2AC8" w:rsidRPr="00CB2AC8" w:rsidRDefault="00CB2AC8" w:rsidP="003B34BA">
      <w:pPr>
        <w:rPr>
          <w:rFonts w:ascii="Arial" w:hAnsi="Arial" w:cs="Arial"/>
          <w:sz w:val="22"/>
          <w:szCs w:val="22"/>
        </w:rPr>
      </w:pPr>
      <w:r w:rsidRPr="00CB2AC8">
        <w:rPr>
          <w:rFonts w:ascii="Arial" w:hAnsi="Arial" w:cs="Arial"/>
          <w:b/>
          <w:bCs/>
          <w:sz w:val="22"/>
          <w:szCs w:val="22"/>
        </w:rPr>
        <w:t>Aim and Objectives:</w:t>
      </w:r>
      <w:r w:rsidRPr="00CB2AC8">
        <w:rPr>
          <w:rFonts w:ascii="Arial" w:hAnsi="Arial" w:cs="Arial"/>
          <w:sz w:val="22"/>
          <w:szCs w:val="22"/>
        </w:rPr>
        <w:t xml:space="preserve"> It is proposed that the prevalence of Type 2 Diabetes Mellitus (T2DM) and </w:t>
      </w:r>
      <w:r w:rsidR="00257F71" w:rsidRPr="00CB2AC8">
        <w:rPr>
          <w:rFonts w:ascii="Arial" w:hAnsi="Arial" w:cs="Arial"/>
          <w:sz w:val="22"/>
          <w:szCs w:val="22"/>
        </w:rPr>
        <w:t>glycemic</w:t>
      </w:r>
      <w:r w:rsidRPr="00CB2AC8">
        <w:rPr>
          <w:rFonts w:ascii="Arial" w:hAnsi="Arial" w:cs="Arial"/>
          <w:sz w:val="22"/>
          <w:szCs w:val="22"/>
        </w:rPr>
        <w:t xml:space="preserve"> control among adults in Tower Hamlets will be reduced by 2030. The main goals are to achieve an increment of 20% in diabetes screening usage, decrease obesity rates by 10 percent in five years, and enhance HbA1c management to less than 7.0 percent in people with diabetes diagnosis. These are the goals that are aligned with national priorities as described in the NHS Long Term Plan and local Integrated Care Strategy. </w:t>
      </w:r>
    </w:p>
    <w:p w14:paraId="28198A8B" w14:textId="77777777" w:rsidR="00CB2AC8" w:rsidRPr="00CB2AC8" w:rsidRDefault="00CB2AC8" w:rsidP="003B34BA">
      <w:pPr>
        <w:rPr>
          <w:rFonts w:ascii="Arial" w:hAnsi="Arial" w:cs="Arial"/>
          <w:sz w:val="22"/>
          <w:szCs w:val="22"/>
        </w:rPr>
      </w:pPr>
      <w:proofErr w:type="spellStart"/>
      <w:r w:rsidRPr="00CB2AC8">
        <w:rPr>
          <w:rFonts w:ascii="Arial" w:hAnsi="Arial" w:cs="Arial"/>
          <w:b/>
          <w:bCs/>
          <w:sz w:val="22"/>
          <w:szCs w:val="22"/>
        </w:rPr>
        <w:t>Programme</w:t>
      </w:r>
      <w:proofErr w:type="spellEnd"/>
      <w:r w:rsidRPr="00CB2AC8">
        <w:rPr>
          <w:rFonts w:ascii="Arial" w:hAnsi="Arial" w:cs="Arial"/>
          <w:b/>
          <w:bCs/>
          <w:sz w:val="22"/>
          <w:szCs w:val="22"/>
        </w:rPr>
        <w:t xml:space="preserve"> Framework:</w:t>
      </w:r>
      <w:r w:rsidRPr="00CB2AC8">
        <w:rPr>
          <w:rFonts w:ascii="Arial" w:hAnsi="Arial" w:cs="Arial"/>
          <w:sz w:val="22"/>
          <w:szCs w:val="22"/>
        </w:rPr>
        <w:t xml:space="preserve"> The implementation of the </w:t>
      </w:r>
      <w:proofErr w:type="spellStart"/>
      <w:r w:rsidRPr="00CB2AC8">
        <w:rPr>
          <w:rFonts w:ascii="Arial" w:hAnsi="Arial" w:cs="Arial"/>
          <w:sz w:val="22"/>
          <w:szCs w:val="22"/>
        </w:rPr>
        <w:t>programme</w:t>
      </w:r>
      <w:proofErr w:type="spellEnd"/>
      <w:r w:rsidRPr="00CB2AC8">
        <w:rPr>
          <w:rFonts w:ascii="Arial" w:hAnsi="Arial" w:cs="Arial"/>
          <w:sz w:val="22"/>
          <w:szCs w:val="22"/>
        </w:rPr>
        <w:t xml:space="preserve"> will be based on a four-stage implementation model. </w:t>
      </w:r>
    </w:p>
    <w:p w14:paraId="178C175F" w14:textId="77777777" w:rsidR="00CB2AC8" w:rsidRPr="00CB2AC8" w:rsidRDefault="00CB2AC8" w:rsidP="00CB2AC8">
      <w:pPr>
        <w:pStyle w:val="ListParagraph"/>
        <w:numPr>
          <w:ilvl w:val="0"/>
          <w:numId w:val="1"/>
        </w:numPr>
        <w:rPr>
          <w:rFonts w:ascii="Arial" w:hAnsi="Arial" w:cs="Arial"/>
          <w:sz w:val="22"/>
          <w:szCs w:val="22"/>
        </w:rPr>
      </w:pPr>
      <w:r w:rsidRPr="00CB2AC8">
        <w:rPr>
          <w:rFonts w:ascii="Arial" w:hAnsi="Arial" w:cs="Arial"/>
          <w:sz w:val="22"/>
          <w:szCs w:val="22"/>
        </w:rPr>
        <w:lastRenderedPageBreak/>
        <w:t xml:space="preserve">Stage 1 will initiate culturally sensitive community sensitization programs that will be conducted via local leaders and religious institutions to correct the false beliefs about diabetes and embrace healthy behaviors. </w:t>
      </w:r>
    </w:p>
    <w:p w14:paraId="110D3831" w14:textId="5B323F46" w:rsidR="00CB2AC8" w:rsidRPr="00CB2AC8" w:rsidRDefault="00CB2AC8" w:rsidP="00CB2AC8">
      <w:pPr>
        <w:pStyle w:val="ListParagraph"/>
        <w:numPr>
          <w:ilvl w:val="0"/>
          <w:numId w:val="1"/>
        </w:numPr>
        <w:rPr>
          <w:rFonts w:ascii="Arial" w:hAnsi="Arial" w:cs="Arial"/>
          <w:sz w:val="22"/>
          <w:szCs w:val="22"/>
        </w:rPr>
      </w:pPr>
      <w:r w:rsidRPr="00CB2AC8">
        <w:rPr>
          <w:rFonts w:ascii="Arial" w:hAnsi="Arial" w:cs="Arial"/>
          <w:sz w:val="22"/>
          <w:szCs w:val="22"/>
        </w:rPr>
        <w:t xml:space="preserve">Stage 2 will involve the implementation of mobile screening units in </w:t>
      </w:r>
      <w:r w:rsidR="00257F71" w:rsidRPr="00CB2AC8">
        <w:rPr>
          <w:rFonts w:ascii="Arial" w:hAnsi="Arial" w:cs="Arial"/>
          <w:sz w:val="22"/>
          <w:szCs w:val="22"/>
        </w:rPr>
        <w:t>high-risk</w:t>
      </w:r>
      <w:r w:rsidRPr="00CB2AC8">
        <w:rPr>
          <w:rFonts w:ascii="Arial" w:hAnsi="Arial" w:cs="Arial"/>
          <w:sz w:val="22"/>
          <w:szCs w:val="22"/>
        </w:rPr>
        <w:t xml:space="preserve"> wards to enhance accessibility by underserved groups. </w:t>
      </w:r>
    </w:p>
    <w:p w14:paraId="59FC5DFB" w14:textId="054126B2" w:rsidR="00CB2AC8" w:rsidRPr="00CB2AC8" w:rsidRDefault="00CB2AC8" w:rsidP="00CB2AC8">
      <w:pPr>
        <w:pStyle w:val="ListParagraph"/>
        <w:numPr>
          <w:ilvl w:val="0"/>
          <w:numId w:val="1"/>
        </w:numPr>
        <w:rPr>
          <w:rFonts w:ascii="Arial" w:hAnsi="Arial" w:cs="Arial"/>
          <w:sz w:val="22"/>
          <w:szCs w:val="22"/>
        </w:rPr>
      </w:pPr>
      <w:r w:rsidRPr="00CB2AC8">
        <w:rPr>
          <w:rFonts w:ascii="Arial" w:hAnsi="Arial" w:cs="Arial"/>
          <w:sz w:val="22"/>
          <w:szCs w:val="22"/>
        </w:rPr>
        <w:t xml:space="preserve">Stage 3 will be devoted to </w:t>
      </w:r>
      <w:r w:rsidR="00257F71" w:rsidRPr="00CB2AC8">
        <w:rPr>
          <w:rFonts w:ascii="Arial" w:hAnsi="Arial" w:cs="Arial"/>
          <w:sz w:val="22"/>
          <w:szCs w:val="22"/>
        </w:rPr>
        <w:t>behavioral</w:t>
      </w:r>
      <w:r w:rsidRPr="00CB2AC8">
        <w:rPr>
          <w:rFonts w:ascii="Arial" w:hAnsi="Arial" w:cs="Arial"/>
          <w:sz w:val="22"/>
          <w:szCs w:val="22"/>
        </w:rPr>
        <w:t xml:space="preserve"> change with designed diet and exercise workshops with nutritionists and fitness trainers. </w:t>
      </w:r>
    </w:p>
    <w:p w14:paraId="549BBAB2" w14:textId="77777777" w:rsidR="00CB2AC8" w:rsidRPr="00CB2AC8" w:rsidRDefault="00CB2AC8" w:rsidP="00CB2AC8">
      <w:pPr>
        <w:pStyle w:val="ListParagraph"/>
        <w:numPr>
          <w:ilvl w:val="0"/>
          <w:numId w:val="1"/>
        </w:numPr>
        <w:rPr>
          <w:rFonts w:ascii="Arial" w:hAnsi="Arial" w:cs="Arial"/>
          <w:sz w:val="22"/>
          <w:szCs w:val="22"/>
        </w:rPr>
      </w:pPr>
      <w:r w:rsidRPr="00CB2AC8">
        <w:rPr>
          <w:rFonts w:ascii="Arial" w:hAnsi="Arial" w:cs="Arial"/>
          <w:sz w:val="22"/>
          <w:szCs w:val="22"/>
        </w:rPr>
        <w:t xml:space="preserve">Stage 4 will involve the implementation of digital health tools, including mobile glucose monitoring applications and teleconsultations to support the patient continuously. </w:t>
      </w:r>
    </w:p>
    <w:p w14:paraId="4A359D45" w14:textId="6A5D8AC1" w:rsidR="00CB2AC8" w:rsidRPr="00CB2AC8" w:rsidRDefault="00CB2AC8" w:rsidP="003B34BA">
      <w:pPr>
        <w:rPr>
          <w:rFonts w:ascii="Arial" w:hAnsi="Arial" w:cs="Arial"/>
          <w:sz w:val="22"/>
          <w:szCs w:val="22"/>
        </w:rPr>
      </w:pPr>
      <w:r w:rsidRPr="00CB2AC8">
        <w:rPr>
          <w:rFonts w:ascii="Arial" w:hAnsi="Arial" w:cs="Arial"/>
          <w:b/>
          <w:bCs/>
          <w:sz w:val="22"/>
          <w:szCs w:val="22"/>
        </w:rPr>
        <w:t>Evaluation Plan:</w:t>
      </w:r>
      <w:r w:rsidRPr="00CB2AC8">
        <w:rPr>
          <w:rFonts w:ascii="Arial" w:hAnsi="Arial" w:cs="Arial"/>
          <w:sz w:val="22"/>
          <w:szCs w:val="22"/>
        </w:rPr>
        <w:t xml:space="preserve"> The RE-AIM model will be used to evaluate the Reach, Effectiveness, Adoption, Implementation, and Maintenance of the </w:t>
      </w:r>
      <w:r w:rsidR="007F776B" w:rsidRPr="00CB2AC8">
        <w:rPr>
          <w:rFonts w:ascii="Arial" w:hAnsi="Arial" w:cs="Arial"/>
          <w:sz w:val="22"/>
          <w:szCs w:val="22"/>
        </w:rPr>
        <w:t>program</w:t>
      </w:r>
      <w:r w:rsidRPr="00CB2AC8">
        <w:rPr>
          <w:rFonts w:ascii="Arial" w:hAnsi="Arial" w:cs="Arial"/>
          <w:sz w:val="22"/>
          <w:szCs w:val="22"/>
        </w:rPr>
        <w:t>. Assessment will be done to examine baseline and post-intervention data on the frequency of screening, weight loss, and HbA1c level on both short-run and long-term sustainability.</w:t>
      </w:r>
    </w:p>
    <w:p w14:paraId="05FFBC93" w14:textId="65A87B4A" w:rsidR="00CB2AC8" w:rsidRPr="00CB2AC8" w:rsidRDefault="00CB2AC8" w:rsidP="00CB2AC8">
      <w:pPr>
        <w:pStyle w:val="Heading2"/>
      </w:pPr>
      <w:bookmarkStart w:id="22" w:name="_Toc212939541"/>
      <w:r w:rsidRPr="00CB2AC8">
        <w:t>Strengths and Weaknesses</w:t>
      </w:r>
      <w:bookmarkEnd w:id="22"/>
    </w:p>
    <w:p w14:paraId="0C3BB956" w14:textId="6181E785" w:rsidR="00CB2AC8" w:rsidRPr="007F776B" w:rsidRDefault="00CB2AC8" w:rsidP="003B34BA">
      <w:pPr>
        <w:rPr>
          <w:rFonts w:ascii="Arial" w:hAnsi="Arial" w:cs="Arial"/>
          <w:sz w:val="22"/>
          <w:szCs w:val="22"/>
          <w:lang w:val="en-IN"/>
        </w:rPr>
      </w:pPr>
      <w:r w:rsidRPr="00CB2AC8">
        <w:rPr>
          <w:rFonts w:ascii="Arial" w:hAnsi="Arial" w:cs="Arial"/>
          <w:sz w:val="22"/>
          <w:szCs w:val="22"/>
        </w:rPr>
        <w:t>The epidemiological approach to Type 2 Diabetes Mellitus (T2DM) understanding and management in Tower Hamlets gives an organized and evidence-based approach to the identification of health priorities and designing intervention aimed at the population</w:t>
      </w:r>
      <w:r w:rsidR="007F776B">
        <w:rPr>
          <w:rFonts w:ascii="Arial" w:hAnsi="Arial" w:cs="Arial"/>
          <w:sz w:val="22"/>
          <w:szCs w:val="22"/>
        </w:rPr>
        <w:t xml:space="preserve"> </w:t>
      </w:r>
      <w:r w:rsidR="007F776B" w:rsidRPr="007F776B">
        <w:rPr>
          <w:rFonts w:ascii="Arial" w:hAnsi="Arial" w:cs="Arial"/>
          <w:sz w:val="22"/>
          <w:szCs w:val="22"/>
          <w:lang w:val="en-IN"/>
        </w:rPr>
        <w:t>(Patel, 2024)</w:t>
      </w:r>
      <w:r w:rsidRPr="00CB2AC8">
        <w:rPr>
          <w:rFonts w:ascii="Arial" w:hAnsi="Arial" w:cs="Arial"/>
          <w:sz w:val="22"/>
          <w:szCs w:val="22"/>
        </w:rPr>
        <w:t xml:space="preserve">. Its greatest strength is the ability to connect disease patterns to demographic, </w:t>
      </w:r>
      <w:r w:rsidR="00257F71" w:rsidRPr="00CB2AC8">
        <w:rPr>
          <w:rFonts w:ascii="Arial" w:hAnsi="Arial" w:cs="Arial"/>
          <w:sz w:val="22"/>
          <w:szCs w:val="22"/>
        </w:rPr>
        <w:t>behavioral</w:t>
      </w:r>
      <w:r w:rsidRPr="00CB2AC8">
        <w:rPr>
          <w:rFonts w:ascii="Arial" w:hAnsi="Arial" w:cs="Arial"/>
          <w:sz w:val="22"/>
          <w:szCs w:val="22"/>
        </w:rPr>
        <w:t xml:space="preserve"> and environmental determinants, and enables specific resources allocation and community-specific responses. Longitudinal datasets and population health modelling also improve predictive accuracy and allow the policymakers to assess the longevity of prevention. In addition, the triangulation of clinical audit data, digital surveillance information, and patient feedback makes the data more valid and necessary to constantly advance health </w:t>
      </w:r>
      <w:proofErr w:type="spellStart"/>
      <w:r w:rsidRPr="00CB2AC8">
        <w:rPr>
          <w:rFonts w:ascii="Arial" w:hAnsi="Arial" w:cs="Arial"/>
          <w:sz w:val="22"/>
          <w:szCs w:val="22"/>
        </w:rPr>
        <w:t>programmes</w:t>
      </w:r>
      <w:proofErr w:type="spellEnd"/>
      <w:r w:rsidRPr="00CB2AC8">
        <w:rPr>
          <w:rFonts w:ascii="Arial" w:hAnsi="Arial" w:cs="Arial"/>
          <w:sz w:val="22"/>
          <w:szCs w:val="22"/>
        </w:rPr>
        <w:t xml:space="preserve">. Nevertheless, we still have weaknesses because of the disconnected data systems, inconsistent reporting between primary and secondary care, and underrepresentation of transient or undocumented populations. </w:t>
      </w:r>
    </w:p>
    <w:p w14:paraId="5B9105DC" w14:textId="77777777" w:rsidR="00CB2AC8" w:rsidRPr="00CB2AC8" w:rsidRDefault="00CB2AC8" w:rsidP="00CB2AC8">
      <w:pPr>
        <w:pStyle w:val="Heading2"/>
      </w:pPr>
      <w:bookmarkStart w:id="23" w:name="_Toc212939542"/>
      <w:r w:rsidRPr="00CB2AC8">
        <w:t>Conclusion</w:t>
      </w:r>
      <w:bookmarkEnd w:id="23"/>
      <w:r w:rsidRPr="00CB2AC8">
        <w:t xml:space="preserve"> </w:t>
      </w:r>
    </w:p>
    <w:p w14:paraId="77317A88" w14:textId="247F6855" w:rsidR="00CB2AC8" w:rsidRDefault="00CB2AC8" w:rsidP="003B34BA">
      <w:pPr>
        <w:rPr>
          <w:rFonts w:ascii="Arial" w:hAnsi="Arial" w:cs="Arial"/>
          <w:sz w:val="22"/>
          <w:szCs w:val="22"/>
        </w:rPr>
      </w:pPr>
      <w:r w:rsidRPr="00CB2AC8">
        <w:rPr>
          <w:rFonts w:ascii="Arial" w:hAnsi="Arial" w:cs="Arial"/>
          <w:sz w:val="22"/>
          <w:szCs w:val="22"/>
        </w:rPr>
        <w:t xml:space="preserve">To conclude, the discussion suggests that the issue of Type 2 Diabetes Mellitus (T2DM) in Tower Hamlets is not just a clinical issue but a socio-structural problem that is rooted in environmental and lifestyle changes. The disease is </w:t>
      </w:r>
      <w:r w:rsidR="007F776B" w:rsidRPr="00CB2AC8">
        <w:rPr>
          <w:rFonts w:ascii="Arial" w:hAnsi="Arial" w:cs="Arial"/>
          <w:sz w:val="22"/>
          <w:szCs w:val="22"/>
        </w:rPr>
        <w:t>persisting</w:t>
      </w:r>
      <w:r w:rsidRPr="00CB2AC8">
        <w:rPr>
          <w:rFonts w:ascii="Arial" w:hAnsi="Arial" w:cs="Arial"/>
          <w:sz w:val="22"/>
          <w:szCs w:val="22"/>
        </w:rPr>
        <w:t xml:space="preserve"> due to rapid </w:t>
      </w:r>
      <w:r w:rsidR="00257F71" w:rsidRPr="00CB2AC8">
        <w:rPr>
          <w:rFonts w:ascii="Arial" w:hAnsi="Arial" w:cs="Arial"/>
          <w:sz w:val="22"/>
          <w:szCs w:val="22"/>
        </w:rPr>
        <w:t>urbanization</w:t>
      </w:r>
      <w:r w:rsidRPr="00CB2AC8">
        <w:rPr>
          <w:rFonts w:ascii="Arial" w:hAnsi="Arial" w:cs="Arial"/>
          <w:sz w:val="22"/>
          <w:szCs w:val="22"/>
        </w:rPr>
        <w:t xml:space="preserve">, increased food insecurity, and a lack of health literacy. To solve this, it is necessary to make a change towards community co-designed interventions incorporating digital health innovations, culturally </w:t>
      </w:r>
      <w:r w:rsidRPr="00CB2AC8">
        <w:rPr>
          <w:rFonts w:ascii="Arial" w:hAnsi="Arial" w:cs="Arial"/>
          <w:sz w:val="22"/>
          <w:szCs w:val="22"/>
        </w:rPr>
        <w:lastRenderedPageBreak/>
        <w:t>competent care, and inclusive policy reform. The resilience of metabolic health in early education can be enhanced in schools and workplaces.</w:t>
      </w:r>
    </w:p>
    <w:p w14:paraId="44840A32" w14:textId="77777777" w:rsidR="007F776B" w:rsidRDefault="007F776B" w:rsidP="003B34BA">
      <w:pPr>
        <w:rPr>
          <w:rFonts w:ascii="Arial" w:hAnsi="Arial" w:cs="Arial"/>
          <w:sz w:val="22"/>
          <w:szCs w:val="22"/>
        </w:rPr>
      </w:pPr>
    </w:p>
    <w:p w14:paraId="5879CB2A" w14:textId="77777777" w:rsidR="007F776B" w:rsidRDefault="007F776B">
      <w:pPr>
        <w:spacing w:line="276" w:lineRule="auto"/>
        <w:jc w:val="left"/>
        <w:rPr>
          <w:rFonts w:ascii="Arial" w:hAnsi="Arial" w:cs="Arial"/>
          <w:b/>
          <w:bCs/>
          <w:sz w:val="22"/>
          <w:szCs w:val="22"/>
        </w:rPr>
      </w:pPr>
      <w:r>
        <w:rPr>
          <w:rFonts w:ascii="Arial" w:hAnsi="Arial" w:cs="Arial"/>
          <w:sz w:val="22"/>
          <w:szCs w:val="22"/>
        </w:rPr>
        <w:br w:type="page"/>
      </w:r>
    </w:p>
    <w:p w14:paraId="1089AB08" w14:textId="6BE20229" w:rsidR="007F776B" w:rsidRDefault="007F776B" w:rsidP="007F776B">
      <w:pPr>
        <w:pStyle w:val="Heading1"/>
        <w:rPr>
          <w:rFonts w:ascii="Arial" w:hAnsi="Arial" w:cs="Arial"/>
          <w:sz w:val="22"/>
          <w:szCs w:val="22"/>
        </w:rPr>
      </w:pPr>
      <w:r w:rsidRPr="007F776B">
        <w:rPr>
          <w:rFonts w:ascii="Arial" w:hAnsi="Arial" w:cs="Arial"/>
          <w:sz w:val="22"/>
          <w:szCs w:val="22"/>
        </w:rPr>
        <w:lastRenderedPageBreak/>
        <w:t xml:space="preserve">References </w:t>
      </w:r>
    </w:p>
    <w:p w14:paraId="6864D706"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Age UK (2023). </w:t>
      </w:r>
      <w:r w:rsidRPr="007F776B">
        <w:rPr>
          <w:rFonts w:ascii="Arial" w:hAnsi="Arial" w:cs="Arial"/>
          <w:i/>
          <w:iCs/>
          <w:sz w:val="22"/>
          <w:szCs w:val="22"/>
          <w:lang w:val="en-IN"/>
        </w:rPr>
        <w:t>Loneliness research and impact</w:t>
      </w:r>
      <w:r w:rsidRPr="007F776B">
        <w:rPr>
          <w:rFonts w:ascii="Arial" w:hAnsi="Arial" w:cs="Arial"/>
          <w:sz w:val="22"/>
          <w:szCs w:val="22"/>
          <w:lang w:val="en-IN"/>
        </w:rPr>
        <w:t xml:space="preserve">. [online] Age UK. Available at: </w:t>
      </w:r>
      <w:hyperlink r:id="rId9" w:history="1">
        <w:r w:rsidRPr="007F776B">
          <w:rPr>
            <w:rStyle w:val="Hyperlink"/>
            <w:rFonts w:ascii="Arial" w:hAnsi="Arial" w:cs="Arial"/>
            <w:sz w:val="22"/>
            <w:szCs w:val="22"/>
            <w:lang w:val="en-IN"/>
          </w:rPr>
          <w:t>https://www.ageuk.org.uk/our-impact/policy-research/loneliness-research-and-resources/</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7F99F491" w14:textId="0D6F02B4"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AGE UK (2025a). </w:t>
      </w:r>
      <w:r w:rsidRPr="007F776B">
        <w:rPr>
          <w:rFonts w:ascii="Arial" w:hAnsi="Arial" w:cs="Arial"/>
          <w:i/>
          <w:iCs/>
          <w:sz w:val="22"/>
          <w:szCs w:val="22"/>
          <w:lang w:val="en-IN"/>
        </w:rPr>
        <w:t xml:space="preserve">Age </w:t>
      </w:r>
      <w:r w:rsidR="00257F71" w:rsidRPr="007F776B">
        <w:rPr>
          <w:rFonts w:ascii="Arial" w:hAnsi="Arial" w:cs="Arial"/>
          <w:i/>
          <w:iCs/>
          <w:sz w:val="22"/>
          <w:szCs w:val="22"/>
          <w:lang w:val="en-IN"/>
        </w:rPr>
        <w:t>UK.</w:t>
      </w:r>
      <w:r w:rsidRPr="007F776B">
        <w:rPr>
          <w:rFonts w:ascii="Arial" w:hAnsi="Arial" w:cs="Arial"/>
          <w:sz w:val="22"/>
          <w:szCs w:val="22"/>
          <w:lang w:val="en-IN"/>
        </w:rPr>
        <w:t xml:space="preserve"> [online] Ageuk.org.uk. Available at: </w:t>
      </w:r>
      <w:hyperlink r:id="rId10" w:history="1">
        <w:r w:rsidRPr="007F776B">
          <w:rPr>
            <w:rStyle w:val="Hyperlink"/>
            <w:rFonts w:ascii="Arial" w:hAnsi="Arial" w:cs="Arial"/>
            <w:sz w:val="22"/>
            <w:szCs w:val="22"/>
            <w:lang w:val="en-IN"/>
          </w:rPr>
          <w:t>https://www.ageuk.org.uk/</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50485463"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AGE UK (2025b). </w:t>
      </w:r>
      <w:r w:rsidRPr="007F776B">
        <w:rPr>
          <w:rFonts w:ascii="Arial" w:hAnsi="Arial" w:cs="Arial"/>
          <w:i/>
          <w:iCs/>
          <w:sz w:val="22"/>
          <w:szCs w:val="22"/>
          <w:lang w:val="en-IN"/>
        </w:rPr>
        <w:t>No one should have no one Working to end loneliness amongst older people</w:t>
      </w:r>
      <w:r w:rsidRPr="007F776B">
        <w:rPr>
          <w:rFonts w:ascii="Arial" w:hAnsi="Arial" w:cs="Arial"/>
          <w:sz w:val="22"/>
          <w:szCs w:val="22"/>
          <w:lang w:val="en-IN"/>
        </w:rPr>
        <w:t xml:space="preserve">. [online] Available at: </w:t>
      </w:r>
      <w:hyperlink r:id="rId11" w:history="1">
        <w:r w:rsidRPr="007F776B">
          <w:rPr>
            <w:rStyle w:val="Hyperlink"/>
            <w:rFonts w:ascii="Arial" w:hAnsi="Arial" w:cs="Arial"/>
            <w:sz w:val="22"/>
            <w:szCs w:val="22"/>
            <w:lang w:val="en-IN"/>
          </w:rPr>
          <w:t>https://www.ageuk.org.uk/siteassets/documents/reports-and-publications/reports-and-briefings/healthwellbeing/rb_dec16_no_one_should_have_no_one.pdf</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01DA4198"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Crasto, W., Patel, V., Davies, M.J. and Khunti, K. (2021). Prevention of Microvascular Complications of Diabetes. </w:t>
      </w:r>
      <w:r w:rsidRPr="007F776B">
        <w:rPr>
          <w:rFonts w:ascii="Arial" w:hAnsi="Arial" w:cs="Arial"/>
          <w:i/>
          <w:iCs/>
          <w:sz w:val="22"/>
          <w:szCs w:val="22"/>
          <w:lang w:val="en-IN"/>
        </w:rPr>
        <w:t>Endocrinology and Metabolism Clinics of North America</w:t>
      </w:r>
      <w:r w:rsidRPr="007F776B">
        <w:rPr>
          <w:rFonts w:ascii="Arial" w:hAnsi="Arial" w:cs="Arial"/>
          <w:sz w:val="22"/>
          <w:szCs w:val="22"/>
          <w:lang w:val="en-IN"/>
        </w:rPr>
        <w:t xml:space="preserve">, 50(3), pp.431–455.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12" w:history="1">
        <w:r w:rsidRPr="007F776B">
          <w:rPr>
            <w:rStyle w:val="Hyperlink"/>
            <w:rFonts w:ascii="Arial" w:hAnsi="Arial" w:cs="Arial"/>
            <w:sz w:val="22"/>
            <w:szCs w:val="22"/>
            <w:lang w:val="en-IN"/>
          </w:rPr>
          <w:t>https://doi.org/10.1016/j.ecl.2021.05.005</w:t>
        </w:r>
      </w:hyperlink>
      <w:r w:rsidRPr="007F776B">
        <w:rPr>
          <w:rFonts w:ascii="Arial" w:hAnsi="Arial" w:cs="Arial"/>
          <w:sz w:val="22"/>
          <w:szCs w:val="22"/>
          <w:lang w:val="en-IN"/>
        </w:rPr>
        <w:t>.</w:t>
      </w:r>
      <w:r>
        <w:rPr>
          <w:rFonts w:ascii="Arial" w:hAnsi="Arial" w:cs="Arial"/>
          <w:sz w:val="22"/>
          <w:szCs w:val="22"/>
          <w:lang w:val="en-IN"/>
        </w:rPr>
        <w:t xml:space="preserve"> </w:t>
      </w:r>
    </w:p>
    <w:p w14:paraId="2D131FB7"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Diabetes UK (2023). </w:t>
      </w:r>
      <w:r w:rsidRPr="007F776B">
        <w:rPr>
          <w:rFonts w:ascii="Arial" w:hAnsi="Arial" w:cs="Arial"/>
          <w:i/>
          <w:iCs/>
          <w:sz w:val="22"/>
          <w:szCs w:val="22"/>
          <w:lang w:val="en-IN"/>
        </w:rPr>
        <w:t>How Many People in the UK Have diabetes?</w:t>
      </w:r>
      <w:r w:rsidRPr="007F776B">
        <w:rPr>
          <w:rFonts w:ascii="Arial" w:hAnsi="Arial" w:cs="Arial"/>
          <w:sz w:val="22"/>
          <w:szCs w:val="22"/>
          <w:lang w:val="en-IN"/>
        </w:rPr>
        <w:t xml:space="preserve"> [online] Diabetes UK. Available at: https://www.diabetes.org.uk/about-us/about-the-charity/our-strategy/statistics.</w:t>
      </w:r>
    </w:p>
    <w:p w14:paraId="51B46B80"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Gebeyehu, D.T., East, L., Wark, S. and Islam, M.S. (2023). Disability-adjusted life years (DALYs) based COVID-19 health impact assessment: a systematic review. </w:t>
      </w:r>
      <w:r w:rsidRPr="007F776B">
        <w:rPr>
          <w:rFonts w:ascii="Arial" w:hAnsi="Arial" w:cs="Arial"/>
          <w:i/>
          <w:iCs/>
          <w:sz w:val="22"/>
          <w:szCs w:val="22"/>
          <w:lang w:val="en-IN"/>
        </w:rPr>
        <w:t>BMC Public Health</w:t>
      </w:r>
      <w:r w:rsidRPr="007F776B">
        <w:rPr>
          <w:rFonts w:ascii="Arial" w:hAnsi="Arial" w:cs="Arial"/>
          <w:sz w:val="22"/>
          <w:szCs w:val="22"/>
          <w:lang w:val="en-IN"/>
        </w:rPr>
        <w:t xml:space="preserve">, 23(1).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13" w:history="1">
        <w:r w:rsidRPr="007F776B">
          <w:rPr>
            <w:rStyle w:val="Hyperlink"/>
            <w:rFonts w:ascii="Arial" w:hAnsi="Arial" w:cs="Arial"/>
            <w:sz w:val="22"/>
            <w:szCs w:val="22"/>
            <w:lang w:val="en-IN"/>
          </w:rPr>
          <w:t>https://doi.org/10.1186/s12889-023-15239-0</w:t>
        </w:r>
      </w:hyperlink>
      <w:r w:rsidRPr="007F776B">
        <w:rPr>
          <w:rFonts w:ascii="Arial" w:hAnsi="Arial" w:cs="Arial"/>
          <w:sz w:val="22"/>
          <w:szCs w:val="22"/>
          <w:lang w:val="en-IN"/>
        </w:rPr>
        <w:t>.</w:t>
      </w:r>
      <w:r>
        <w:rPr>
          <w:rFonts w:ascii="Arial" w:hAnsi="Arial" w:cs="Arial"/>
          <w:sz w:val="22"/>
          <w:szCs w:val="22"/>
          <w:lang w:val="en-IN"/>
        </w:rPr>
        <w:t xml:space="preserve"> </w:t>
      </w:r>
    </w:p>
    <w:p w14:paraId="118CEAF0"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Gilbert, C., Allgar, V. and Doran, T. (2019). Workload impact of the Quality and Outcomes Framework for patients with diabetes: an interrupted time series in general practice. </w:t>
      </w:r>
      <w:r w:rsidRPr="007F776B">
        <w:rPr>
          <w:rFonts w:ascii="Arial" w:hAnsi="Arial" w:cs="Arial"/>
          <w:i/>
          <w:iCs/>
          <w:sz w:val="22"/>
          <w:szCs w:val="22"/>
          <w:lang w:val="en-IN"/>
        </w:rPr>
        <w:t>British Journal of General Practice</w:t>
      </w:r>
      <w:r w:rsidRPr="007F776B">
        <w:rPr>
          <w:rFonts w:ascii="Arial" w:hAnsi="Arial" w:cs="Arial"/>
          <w:sz w:val="22"/>
          <w:szCs w:val="22"/>
          <w:lang w:val="en-IN"/>
        </w:rPr>
        <w:t xml:space="preserve">, 69(685), </w:t>
      </w:r>
      <w:proofErr w:type="gramStart"/>
      <w:r w:rsidRPr="007F776B">
        <w:rPr>
          <w:rFonts w:ascii="Arial" w:hAnsi="Arial" w:cs="Arial"/>
          <w:sz w:val="22"/>
          <w:szCs w:val="22"/>
          <w:lang w:val="en-IN"/>
        </w:rPr>
        <w:t>pp.e</w:t>
      </w:r>
      <w:proofErr w:type="gramEnd"/>
      <w:r w:rsidRPr="007F776B">
        <w:rPr>
          <w:rFonts w:ascii="Arial" w:hAnsi="Arial" w:cs="Arial"/>
          <w:sz w:val="22"/>
          <w:szCs w:val="22"/>
          <w:lang w:val="en-IN"/>
        </w:rPr>
        <w:t xml:space="preserve">570–e577.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14" w:history="1">
        <w:r w:rsidRPr="007F776B">
          <w:rPr>
            <w:rStyle w:val="Hyperlink"/>
            <w:rFonts w:ascii="Arial" w:hAnsi="Arial" w:cs="Arial"/>
            <w:sz w:val="22"/>
            <w:szCs w:val="22"/>
            <w:lang w:val="en-IN"/>
          </w:rPr>
          <w:t>https://doi.org/10.3399/bjgp19x704645</w:t>
        </w:r>
      </w:hyperlink>
      <w:r w:rsidRPr="007F776B">
        <w:rPr>
          <w:rFonts w:ascii="Arial" w:hAnsi="Arial" w:cs="Arial"/>
          <w:sz w:val="22"/>
          <w:szCs w:val="22"/>
          <w:lang w:val="en-IN"/>
        </w:rPr>
        <w:t>.</w:t>
      </w:r>
      <w:r>
        <w:rPr>
          <w:rFonts w:ascii="Arial" w:hAnsi="Arial" w:cs="Arial"/>
          <w:sz w:val="22"/>
          <w:szCs w:val="22"/>
          <w:lang w:val="en-IN"/>
        </w:rPr>
        <w:t xml:space="preserve"> </w:t>
      </w:r>
    </w:p>
    <w:p w14:paraId="661DC011" w14:textId="77777777" w:rsidR="007F776B" w:rsidRPr="007F776B" w:rsidRDefault="007F776B" w:rsidP="007F776B">
      <w:pPr>
        <w:rPr>
          <w:rFonts w:ascii="Arial" w:hAnsi="Arial" w:cs="Arial"/>
          <w:sz w:val="22"/>
          <w:szCs w:val="22"/>
          <w:lang w:val="en-IN"/>
        </w:rPr>
      </w:pPr>
      <w:proofErr w:type="spellStart"/>
      <w:r w:rsidRPr="007F776B">
        <w:rPr>
          <w:rFonts w:ascii="Arial" w:hAnsi="Arial" w:cs="Arial"/>
          <w:sz w:val="22"/>
          <w:szCs w:val="22"/>
          <w:lang w:val="en-IN"/>
        </w:rPr>
        <w:t>Godinić</w:t>
      </w:r>
      <w:proofErr w:type="spellEnd"/>
      <w:r w:rsidRPr="007F776B">
        <w:rPr>
          <w:rFonts w:ascii="Arial" w:hAnsi="Arial" w:cs="Arial"/>
          <w:sz w:val="22"/>
          <w:szCs w:val="22"/>
          <w:lang w:val="en-IN"/>
        </w:rPr>
        <w:t xml:space="preserve">, D. and </w:t>
      </w:r>
      <w:proofErr w:type="spellStart"/>
      <w:r w:rsidRPr="007F776B">
        <w:rPr>
          <w:rFonts w:ascii="Arial" w:hAnsi="Arial" w:cs="Arial"/>
          <w:sz w:val="22"/>
          <w:szCs w:val="22"/>
          <w:lang w:val="en-IN"/>
        </w:rPr>
        <w:t>Obrenovic</w:t>
      </w:r>
      <w:proofErr w:type="spellEnd"/>
      <w:r w:rsidRPr="007F776B">
        <w:rPr>
          <w:rFonts w:ascii="Arial" w:hAnsi="Arial" w:cs="Arial"/>
          <w:sz w:val="22"/>
          <w:szCs w:val="22"/>
          <w:lang w:val="en-IN"/>
        </w:rPr>
        <w:t xml:space="preserve">, B. (2020). Effects of Economic Uncertainty on Mental Health in the COVID-19 Pandemic Context: Social Identity Disturbance, Job Uncertainty and Psychological Well-Being Model. </w:t>
      </w:r>
      <w:r w:rsidRPr="007F776B">
        <w:rPr>
          <w:rFonts w:ascii="Arial" w:hAnsi="Arial" w:cs="Arial"/>
          <w:i/>
          <w:iCs/>
          <w:sz w:val="22"/>
          <w:szCs w:val="22"/>
          <w:lang w:val="en-IN"/>
        </w:rPr>
        <w:t>International Journal of Innovation and Economic Development</w:t>
      </w:r>
      <w:r w:rsidRPr="007F776B">
        <w:rPr>
          <w:rFonts w:ascii="Arial" w:hAnsi="Arial" w:cs="Arial"/>
          <w:sz w:val="22"/>
          <w:szCs w:val="22"/>
          <w:lang w:val="en-IN"/>
        </w:rPr>
        <w:t xml:space="preserve">, [online] 6(1), pp.61–74. Available at: </w:t>
      </w:r>
      <w:hyperlink r:id="rId15" w:history="1">
        <w:r w:rsidRPr="007F776B">
          <w:rPr>
            <w:rStyle w:val="Hyperlink"/>
            <w:rFonts w:ascii="Arial" w:hAnsi="Arial" w:cs="Arial"/>
            <w:sz w:val="22"/>
            <w:szCs w:val="22"/>
            <w:lang w:val="en-IN"/>
          </w:rPr>
          <w:t>https://philpapers.org/rec/GODEOE</w:t>
        </w:r>
      </w:hyperlink>
      <w:r w:rsidRPr="007F776B">
        <w:rPr>
          <w:rFonts w:ascii="Arial" w:hAnsi="Arial" w:cs="Arial"/>
          <w:sz w:val="22"/>
          <w:szCs w:val="22"/>
          <w:lang w:val="en-IN"/>
        </w:rPr>
        <w:t>.</w:t>
      </w:r>
      <w:r>
        <w:rPr>
          <w:rFonts w:ascii="Arial" w:hAnsi="Arial" w:cs="Arial"/>
          <w:sz w:val="22"/>
          <w:szCs w:val="22"/>
          <w:lang w:val="en-IN"/>
        </w:rPr>
        <w:t xml:space="preserve"> </w:t>
      </w:r>
    </w:p>
    <w:p w14:paraId="1E5E45F0"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GOV.UK (2022). </w:t>
      </w:r>
      <w:r w:rsidRPr="007F776B">
        <w:rPr>
          <w:rFonts w:ascii="Arial" w:hAnsi="Arial" w:cs="Arial"/>
          <w:i/>
          <w:iCs/>
          <w:sz w:val="22"/>
          <w:szCs w:val="22"/>
          <w:lang w:val="en-IN"/>
        </w:rPr>
        <w:t>Healthy ageing: applying all our health</w:t>
      </w:r>
      <w:r w:rsidRPr="007F776B">
        <w:rPr>
          <w:rFonts w:ascii="Arial" w:hAnsi="Arial" w:cs="Arial"/>
          <w:sz w:val="22"/>
          <w:szCs w:val="22"/>
          <w:lang w:val="en-IN"/>
        </w:rPr>
        <w:t xml:space="preserve">. [online] GOV.UK. Available at: </w:t>
      </w:r>
      <w:hyperlink r:id="rId16" w:history="1">
        <w:r w:rsidRPr="007F776B">
          <w:rPr>
            <w:rStyle w:val="Hyperlink"/>
            <w:rFonts w:ascii="Arial" w:hAnsi="Arial" w:cs="Arial"/>
            <w:sz w:val="22"/>
            <w:szCs w:val="22"/>
            <w:lang w:val="en-IN"/>
          </w:rPr>
          <w:t>https://www.gov.uk/government/publications/healthy-ageing/healthy-ageing-applying-all-our-health</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21ADC209"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Jahangir, S., Patil, D.S., Gangopadhyay, J. and Vogt, T.C. (2025). Understanding intergenerational dynamics and social support’s impact on health and well-being of older adults in South Asia: a scoping review. </w:t>
      </w:r>
      <w:r w:rsidRPr="007F776B">
        <w:rPr>
          <w:rFonts w:ascii="Arial" w:hAnsi="Arial" w:cs="Arial"/>
          <w:i/>
          <w:iCs/>
          <w:sz w:val="22"/>
          <w:szCs w:val="22"/>
          <w:lang w:val="en-IN"/>
        </w:rPr>
        <w:t>Systematic Reviews</w:t>
      </w:r>
      <w:r w:rsidRPr="007F776B">
        <w:rPr>
          <w:rFonts w:ascii="Arial" w:hAnsi="Arial" w:cs="Arial"/>
          <w:sz w:val="22"/>
          <w:szCs w:val="22"/>
          <w:lang w:val="en-IN"/>
        </w:rPr>
        <w:t xml:space="preserve">, 14(1).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17" w:history="1">
        <w:r w:rsidRPr="007F776B">
          <w:rPr>
            <w:rStyle w:val="Hyperlink"/>
            <w:rFonts w:ascii="Arial" w:hAnsi="Arial" w:cs="Arial"/>
            <w:sz w:val="22"/>
            <w:szCs w:val="22"/>
            <w:lang w:val="en-IN"/>
          </w:rPr>
          <w:t>https://doi.org/10.1186/s13643-025-02833-z</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21F98F70"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lastRenderedPageBreak/>
        <w:t xml:space="preserve">Kamiya, M., Andoni, I., </w:t>
      </w:r>
      <w:proofErr w:type="spellStart"/>
      <w:r w:rsidRPr="007F776B">
        <w:rPr>
          <w:rFonts w:ascii="Arial" w:hAnsi="Arial" w:cs="Arial"/>
          <w:sz w:val="22"/>
          <w:szCs w:val="22"/>
          <w:lang w:val="en-IN"/>
        </w:rPr>
        <w:t>Nduru</w:t>
      </w:r>
      <w:proofErr w:type="spellEnd"/>
      <w:r w:rsidRPr="007F776B">
        <w:rPr>
          <w:rFonts w:ascii="Arial" w:hAnsi="Arial" w:cs="Arial"/>
          <w:sz w:val="22"/>
          <w:szCs w:val="22"/>
          <w:lang w:val="en-IN"/>
        </w:rPr>
        <w:t xml:space="preserve">, J., Huffman, S. and Beck, K. (2021). Foregrounding Care in Whitechapel: a Social, Systematic and Spatial Approach. </w:t>
      </w:r>
      <w:r w:rsidRPr="007F776B">
        <w:rPr>
          <w:rFonts w:ascii="Arial" w:hAnsi="Arial" w:cs="Arial"/>
          <w:i/>
          <w:iCs/>
          <w:sz w:val="22"/>
          <w:szCs w:val="22"/>
          <w:lang w:val="en-IN"/>
        </w:rPr>
        <w:t>csar.lse.ac.uk</w:t>
      </w:r>
      <w:r w:rsidRPr="007F776B">
        <w:rPr>
          <w:rFonts w:ascii="Arial" w:hAnsi="Arial" w:cs="Arial"/>
          <w:sz w:val="22"/>
          <w:szCs w:val="22"/>
          <w:lang w:val="en-IN"/>
        </w:rPr>
        <w:t xml:space="preserve">, [online] 1(1). Available at: </w:t>
      </w:r>
      <w:hyperlink r:id="rId18" w:history="1">
        <w:r w:rsidRPr="007F776B">
          <w:rPr>
            <w:rStyle w:val="Hyperlink"/>
            <w:rFonts w:ascii="Arial" w:hAnsi="Arial" w:cs="Arial"/>
            <w:sz w:val="22"/>
            <w:szCs w:val="22"/>
            <w:lang w:val="en-IN"/>
          </w:rPr>
          <w:t>https://csar.lse.ac.uk/articles/28</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7E00900E"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Mubarak, F. and Suomi, R. (2022). Elderly forgotten? Digital exclusion in the information age and the rising grey digital divide. </w:t>
      </w:r>
      <w:r w:rsidRPr="007F776B">
        <w:rPr>
          <w:rFonts w:ascii="Arial" w:hAnsi="Arial" w:cs="Arial"/>
          <w:i/>
          <w:iCs/>
          <w:sz w:val="22"/>
          <w:szCs w:val="22"/>
          <w:lang w:val="en-IN"/>
        </w:rPr>
        <w:t>The Journal of Health Care Organization, Provision, and Financing</w:t>
      </w:r>
      <w:r w:rsidRPr="007F776B">
        <w:rPr>
          <w:rFonts w:ascii="Arial" w:hAnsi="Arial" w:cs="Arial"/>
          <w:sz w:val="22"/>
          <w:szCs w:val="22"/>
          <w:lang w:val="en-IN"/>
        </w:rPr>
        <w:t xml:space="preserve">, [online] 59(1).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19" w:history="1">
        <w:r w:rsidRPr="007F776B">
          <w:rPr>
            <w:rStyle w:val="Hyperlink"/>
            <w:rFonts w:ascii="Arial" w:hAnsi="Arial" w:cs="Arial"/>
            <w:sz w:val="22"/>
            <w:szCs w:val="22"/>
            <w:lang w:val="en-IN"/>
          </w:rPr>
          <w:t>https://doi.org/10.1177/00469580221096272</w:t>
        </w:r>
      </w:hyperlink>
      <w:r w:rsidRPr="007F776B">
        <w:rPr>
          <w:rFonts w:ascii="Arial" w:hAnsi="Arial" w:cs="Arial"/>
          <w:sz w:val="22"/>
          <w:szCs w:val="22"/>
          <w:lang w:val="en-IN"/>
        </w:rPr>
        <w:t>.</w:t>
      </w:r>
      <w:r>
        <w:rPr>
          <w:rFonts w:ascii="Arial" w:hAnsi="Arial" w:cs="Arial"/>
          <w:sz w:val="22"/>
          <w:szCs w:val="22"/>
          <w:lang w:val="en-IN"/>
        </w:rPr>
        <w:t xml:space="preserve"> </w:t>
      </w:r>
    </w:p>
    <w:p w14:paraId="76A35727"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Narayan, K.M.V. and Kanaya, A.M. (2020). Why are South Asians prone to type 2 diabetes? A hypothesis based on underexplored pathways. </w:t>
      </w:r>
      <w:proofErr w:type="spellStart"/>
      <w:r w:rsidRPr="007F776B">
        <w:rPr>
          <w:rFonts w:ascii="Arial" w:hAnsi="Arial" w:cs="Arial"/>
          <w:i/>
          <w:iCs/>
          <w:sz w:val="22"/>
          <w:szCs w:val="22"/>
          <w:lang w:val="en-IN"/>
        </w:rPr>
        <w:t>Diabetologia</w:t>
      </w:r>
      <w:proofErr w:type="spellEnd"/>
      <w:r w:rsidRPr="007F776B">
        <w:rPr>
          <w:rFonts w:ascii="Arial" w:hAnsi="Arial" w:cs="Arial"/>
          <w:sz w:val="22"/>
          <w:szCs w:val="22"/>
          <w:lang w:val="en-IN"/>
        </w:rPr>
        <w:t xml:space="preserve">, [online] 63(6), pp.1103–1109.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20" w:history="1">
        <w:r w:rsidRPr="007F776B">
          <w:rPr>
            <w:rStyle w:val="Hyperlink"/>
            <w:rFonts w:ascii="Arial" w:hAnsi="Arial" w:cs="Arial"/>
            <w:sz w:val="22"/>
            <w:szCs w:val="22"/>
            <w:lang w:val="en-IN"/>
          </w:rPr>
          <w:t>https://doi.org/10.1007/s00125-020-05132-5</w:t>
        </w:r>
      </w:hyperlink>
      <w:r w:rsidRPr="007F776B">
        <w:rPr>
          <w:rFonts w:ascii="Arial" w:hAnsi="Arial" w:cs="Arial"/>
          <w:sz w:val="22"/>
          <w:szCs w:val="22"/>
          <w:lang w:val="en-IN"/>
        </w:rPr>
        <w:t>.</w:t>
      </w:r>
      <w:r>
        <w:rPr>
          <w:rFonts w:ascii="Arial" w:hAnsi="Arial" w:cs="Arial"/>
          <w:sz w:val="22"/>
          <w:szCs w:val="22"/>
          <w:lang w:val="en-IN"/>
        </w:rPr>
        <w:t xml:space="preserve"> </w:t>
      </w:r>
    </w:p>
    <w:p w14:paraId="73536CEC"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NHS England (2019). </w:t>
      </w:r>
      <w:r w:rsidRPr="007F776B">
        <w:rPr>
          <w:rFonts w:ascii="Arial" w:hAnsi="Arial" w:cs="Arial"/>
          <w:i/>
          <w:iCs/>
          <w:sz w:val="22"/>
          <w:szCs w:val="22"/>
          <w:lang w:val="en-IN"/>
        </w:rPr>
        <w:t>NHS Long Term Plan</w:t>
      </w:r>
      <w:r w:rsidRPr="007F776B">
        <w:rPr>
          <w:rFonts w:ascii="Arial" w:hAnsi="Arial" w:cs="Arial"/>
          <w:sz w:val="22"/>
          <w:szCs w:val="22"/>
          <w:lang w:val="en-IN"/>
        </w:rPr>
        <w:t xml:space="preserve">. [online] NHS England. Available at: </w:t>
      </w:r>
      <w:hyperlink r:id="rId21" w:history="1">
        <w:r w:rsidRPr="007F776B">
          <w:rPr>
            <w:rStyle w:val="Hyperlink"/>
            <w:rFonts w:ascii="Arial" w:hAnsi="Arial" w:cs="Arial"/>
            <w:sz w:val="22"/>
            <w:szCs w:val="22"/>
            <w:lang w:val="en-IN"/>
          </w:rPr>
          <w:t>https://www.longtermplan.nhs.uk/</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6286A061"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NHS England (2023). </w:t>
      </w:r>
      <w:r w:rsidRPr="007F776B">
        <w:rPr>
          <w:rFonts w:ascii="Arial" w:hAnsi="Arial" w:cs="Arial"/>
          <w:i/>
          <w:iCs/>
          <w:sz w:val="22"/>
          <w:szCs w:val="22"/>
          <w:lang w:val="en-IN"/>
        </w:rPr>
        <w:t>Inclusive digital healthcare: a framework for NHS action on digital inclusion</w:t>
      </w:r>
      <w:r w:rsidRPr="007F776B">
        <w:rPr>
          <w:rFonts w:ascii="Arial" w:hAnsi="Arial" w:cs="Arial"/>
          <w:sz w:val="22"/>
          <w:szCs w:val="22"/>
          <w:lang w:val="en-IN"/>
        </w:rPr>
        <w:t xml:space="preserve">. [online] NHS England. Available at: </w:t>
      </w:r>
      <w:hyperlink r:id="rId22" w:history="1">
        <w:r w:rsidRPr="007F776B">
          <w:rPr>
            <w:rStyle w:val="Hyperlink"/>
            <w:rFonts w:ascii="Arial" w:hAnsi="Arial" w:cs="Arial"/>
            <w:sz w:val="22"/>
            <w:szCs w:val="22"/>
            <w:lang w:val="en-IN"/>
          </w:rPr>
          <w:t>https://www.england.nhs.uk/long-read/inclusive-digital-healthcare-a-framework-for-nhs-action-on-digital-inclusion/</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61C392CF"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Office for Health Improvement and Disparities (2025). </w:t>
      </w:r>
      <w:r w:rsidRPr="007F776B">
        <w:rPr>
          <w:rFonts w:ascii="Arial" w:hAnsi="Arial" w:cs="Arial"/>
          <w:i/>
          <w:iCs/>
          <w:sz w:val="22"/>
          <w:szCs w:val="22"/>
          <w:lang w:val="en-IN"/>
        </w:rPr>
        <w:t>Public Health Profiles</w:t>
      </w:r>
      <w:r w:rsidRPr="007F776B">
        <w:rPr>
          <w:rFonts w:ascii="Arial" w:hAnsi="Arial" w:cs="Arial"/>
          <w:sz w:val="22"/>
          <w:szCs w:val="22"/>
          <w:lang w:val="en-IN"/>
        </w:rPr>
        <w:t xml:space="preserve">. [online] Phe.org.uk. Available at: </w:t>
      </w:r>
      <w:hyperlink r:id="rId23" w:history="1">
        <w:r w:rsidRPr="007F776B">
          <w:rPr>
            <w:rStyle w:val="Hyperlink"/>
            <w:rFonts w:ascii="Arial" w:hAnsi="Arial" w:cs="Arial"/>
            <w:sz w:val="22"/>
            <w:szCs w:val="22"/>
            <w:lang w:val="en-IN"/>
          </w:rPr>
          <w:t>https://fingertips.phe.org.uk/</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26E40CC8"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ONS (2022). </w:t>
      </w:r>
      <w:r w:rsidRPr="007F776B">
        <w:rPr>
          <w:rFonts w:ascii="Arial" w:hAnsi="Arial" w:cs="Arial"/>
          <w:i/>
          <w:iCs/>
          <w:sz w:val="22"/>
          <w:szCs w:val="22"/>
          <w:lang w:val="en-IN"/>
        </w:rPr>
        <w:t>Voices of our ageing population - Office for National Statistics</w:t>
      </w:r>
      <w:r w:rsidRPr="007F776B">
        <w:rPr>
          <w:rFonts w:ascii="Arial" w:hAnsi="Arial" w:cs="Arial"/>
          <w:sz w:val="22"/>
          <w:szCs w:val="22"/>
          <w:lang w:val="en-IN"/>
        </w:rPr>
        <w:t xml:space="preserve">. [online] www.ons.gov.uk. Available at: </w:t>
      </w:r>
      <w:hyperlink r:id="rId24" w:history="1">
        <w:r w:rsidRPr="007F776B">
          <w:rPr>
            <w:rStyle w:val="Hyperlink"/>
            <w:rFonts w:ascii="Arial" w:hAnsi="Arial" w:cs="Arial"/>
            <w:sz w:val="22"/>
            <w:szCs w:val="22"/>
            <w:lang w:val="en-IN"/>
          </w:rPr>
          <w:t>https://www.ons.gov.uk/peoplepopulationandcommunity/birthsdeathsandmarriages/ageing/articles/voicesofourageingpopulation/livinglongerlives</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15CB189E"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Parliament.uk (2024). </w:t>
      </w:r>
      <w:r w:rsidRPr="007F776B">
        <w:rPr>
          <w:rFonts w:ascii="Arial" w:hAnsi="Arial" w:cs="Arial"/>
          <w:i/>
          <w:iCs/>
          <w:sz w:val="22"/>
          <w:szCs w:val="22"/>
          <w:lang w:val="en-IN"/>
        </w:rPr>
        <w:t>Pensioner Poverty: challenges and mitigations</w:t>
      </w:r>
      <w:r w:rsidRPr="007F776B">
        <w:rPr>
          <w:rFonts w:ascii="Arial" w:hAnsi="Arial" w:cs="Arial"/>
          <w:sz w:val="22"/>
          <w:szCs w:val="22"/>
          <w:lang w:val="en-IN"/>
        </w:rPr>
        <w:t>. [online] Parliament.uk. Available at: https://publications.parliament.uk/pa/cm5901/cmselect/cmworpen/465/report.html.</w:t>
      </w:r>
    </w:p>
    <w:p w14:paraId="2B7C3593"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Patel, A.Y. (2024). Managing type 2 diabetes in the South Asian population in the United Kingdom. </w:t>
      </w:r>
      <w:r w:rsidRPr="007F776B">
        <w:rPr>
          <w:rFonts w:ascii="Arial" w:hAnsi="Arial" w:cs="Arial"/>
          <w:i/>
          <w:iCs/>
          <w:sz w:val="22"/>
          <w:szCs w:val="22"/>
          <w:lang w:val="en-IN"/>
        </w:rPr>
        <w:t>Ed.ac.uk</w:t>
      </w:r>
      <w:r w:rsidRPr="007F776B">
        <w:rPr>
          <w:rFonts w:ascii="Arial" w:hAnsi="Arial" w:cs="Arial"/>
          <w:sz w:val="22"/>
          <w:szCs w:val="22"/>
          <w:lang w:val="en-IN"/>
        </w:rPr>
        <w:t xml:space="preserve">. [online]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25" w:history="1">
        <w:r w:rsidRPr="007F776B">
          <w:rPr>
            <w:rStyle w:val="Hyperlink"/>
            <w:rFonts w:ascii="Arial" w:hAnsi="Arial" w:cs="Arial"/>
            <w:sz w:val="22"/>
            <w:szCs w:val="22"/>
            <w:lang w:val="en-IN"/>
          </w:rPr>
          <w:t>https://hdl.handle.net/1842/42268</w:t>
        </w:r>
      </w:hyperlink>
      <w:r w:rsidRPr="007F776B">
        <w:rPr>
          <w:rFonts w:ascii="Arial" w:hAnsi="Arial" w:cs="Arial"/>
          <w:sz w:val="22"/>
          <w:szCs w:val="22"/>
          <w:lang w:val="en-IN"/>
        </w:rPr>
        <w:t>.</w:t>
      </w:r>
      <w:r>
        <w:rPr>
          <w:rFonts w:ascii="Arial" w:hAnsi="Arial" w:cs="Arial"/>
          <w:sz w:val="22"/>
          <w:szCs w:val="22"/>
          <w:lang w:val="en-IN"/>
        </w:rPr>
        <w:t xml:space="preserve"> </w:t>
      </w:r>
    </w:p>
    <w:p w14:paraId="57200984"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Santana, C.L.A., Manfrinato, C.V., Souza, P.R.P., Marino, A., Condé, V.F., Stedefeldt, E., Tomita, L.Y. and do Carmo Franco, M. (2021). Psychological distress, low-income, and socio-economic vulnerability in the COVID-19 pandemic. </w:t>
      </w:r>
      <w:r w:rsidRPr="007F776B">
        <w:rPr>
          <w:rFonts w:ascii="Arial" w:hAnsi="Arial" w:cs="Arial"/>
          <w:i/>
          <w:iCs/>
          <w:sz w:val="22"/>
          <w:szCs w:val="22"/>
          <w:lang w:val="en-IN"/>
        </w:rPr>
        <w:t>Public Health</w:t>
      </w:r>
      <w:r w:rsidRPr="007F776B">
        <w:rPr>
          <w:rFonts w:ascii="Arial" w:hAnsi="Arial" w:cs="Arial"/>
          <w:sz w:val="22"/>
          <w:szCs w:val="22"/>
          <w:lang w:val="en-IN"/>
        </w:rPr>
        <w:t xml:space="preserve">, 199, pp.42–45.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26" w:history="1">
        <w:r w:rsidRPr="007F776B">
          <w:rPr>
            <w:rStyle w:val="Hyperlink"/>
            <w:rFonts w:ascii="Arial" w:hAnsi="Arial" w:cs="Arial"/>
            <w:sz w:val="22"/>
            <w:szCs w:val="22"/>
            <w:lang w:val="en-IN"/>
          </w:rPr>
          <w:t>https://doi.org/10.1016/j.puhe.2021.08.016</w:t>
        </w:r>
      </w:hyperlink>
      <w:r w:rsidRPr="007F776B">
        <w:rPr>
          <w:rFonts w:ascii="Arial" w:hAnsi="Arial" w:cs="Arial"/>
          <w:sz w:val="22"/>
          <w:szCs w:val="22"/>
          <w:lang w:val="en-IN"/>
        </w:rPr>
        <w:t>.</w:t>
      </w:r>
      <w:r>
        <w:rPr>
          <w:rFonts w:ascii="Arial" w:hAnsi="Arial" w:cs="Arial"/>
          <w:sz w:val="22"/>
          <w:szCs w:val="22"/>
          <w:lang w:val="en-IN"/>
        </w:rPr>
        <w:t xml:space="preserve"> </w:t>
      </w:r>
    </w:p>
    <w:p w14:paraId="0319E0E0"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Sherwani, S.I., Khan, H.A., </w:t>
      </w:r>
      <w:proofErr w:type="spellStart"/>
      <w:r w:rsidRPr="007F776B">
        <w:rPr>
          <w:rFonts w:ascii="Arial" w:hAnsi="Arial" w:cs="Arial"/>
          <w:sz w:val="22"/>
          <w:szCs w:val="22"/>
          <w:lang w:val="en-IN"/>
        </w:rPr>
        <w:t>Ekhzaimy</w:t>
      </w:r>
      <w:proofErr w:type="spellEnd"/>
      <w:r w:rsidRPr="007F776B">
        <w:rPr>
          <w:rFonts w:ascii="Arial" w:hAnsi="Arial" w:cs="Arial"/>
          <w:sz w:val="22"/>
          <w:szCs w:val="22"/>
          <w:lang w:val="en-IN"/>
        </w:rPr>
        <w:t xml:space="preserve">, A., Masood, A. and </w:t>
      </w:r>
      <w:proofErr w:type="spellStart"/>
      <w:r w:rsidRPr="007F776B">
        <w:rPr>
          <w:rFonts w:ascii="Arial" w:hAnsi="Arial" w:cs="Arial"/>
          <w:sz w:val="22"/>
          <w:szCs w:val="22"/>
          <w:lang w:val="en-IN"/>
        </w:rPr>
        <w:t>Sakharkar</w:t>
      </w:r>
      <w:proofErr w:type="spellEnd"/>
      <w:r w:rsidRPr="007F776B">
        <w:rPr>
          <w:rFonts w:ascii="Arial" w:hAnsi="Arial" w:cs="Arial"/>
          <w:sz w:val="22"/>
          <w:szCs w:val="22"/>
          <w:lang w:val="en-IN"/>
        </w:rPr>
        <w:t xml:space="preserve">, M.K. (2016). Significance of Hba1c Test in Diagnosis and Prognosis of Diabetic Patients. </w:t>
      </w:r>
      <w:r w:rsidRPr="007F776B">
        <w:rPr>
          <w:rFonts w:ascii="Arial" w:hAnsi="Arial" w:cs="Arial"/>
          <w:i/>
          <w:iCs/>
          <w:sz w:val="22"/>
          <w:szCs w:val="22"/>
          <w:lang w:val="en-IN"/>
        </w:rPr>
        <w:t>Biomarker Insights</w:t>
      </w:r>
      <w:r w:rsidRPr="007F776B">
        <w:rPr>
          <w:rFonts w:ascii="Arial" w:hAnsi="Arial" w:cs="Arial"/>
          <w:sz w:val="22"/>
          <w:szCs w:val="22"/>
          <w:lang w:val="en-IN"/>
        </w:rPr>
        <w:t xml:space="preserve">, [online] 11(11), p.BMI.S38440.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27" w:history="1">
        <w:r w:rsidRPr="007F776B">
          <w:rPr>
            <w:rStyle w:val="Hyperlink"/>
            <w:rFonts w:ascii="Arial" w:hAnsi="Arial" w:cs="Arial"/>
            <w:sz w:val="22"/>
            <w:szCs w:val="22"/>
            <w:lang w:val="en-IN"/>
          </w:rPr>
          <w:t>https://doi.org/10.4137/bmi.s38440</w:t>
        </w:r>
      </w:hyperlink>
      <w:r w:rsidRPr="007F776B">
        <w:rPr>
          <w:rFonts w:ascii="Arial" w:hAnsi="Arial" w:cs="Arial"/>
          <w:sz w:val="22"/>
          <w:szCs w:val="22"/>
          <w:lang w:val="en-IN"/>
        </w:rPr>
        <w:t>.</w:t>
      </w:r>
      <w:r>
        <w:rPr>
          <w:rFonts w:ascii="Arial" w:hAnsi="Arial" w:cs="Arial"/>
          <w:sz w:val="22"/>
          <w:szCs w:val="22"/>
          <w:lang w:val="en-IN"/>
        </w:rPr>
        <w:t xml:space="preserve"> </w:t>
      </w:r>
    </w:p>
    <w:p w14:paraId="12D4B5A3"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Tower Hamlets Council (2024). </w:t>
      </w:r>
      <w:r w:rsidRPr="007F776B">
        <w:rPr>
          <w:rFonts w:ascii="Arial" w:hAnsi="Arial" w:cs="Arial"/>
          <w:i/>
          <w:iCs/>
          <w:sz w:val="22"/>
          <w:szCs w:val="22"/>
          <w:lang w:val="en-IN"/>
        </w:rPr>
        <w:t>Tower Hamlets Borough Profile Corporate Strategy and Improvement Team</w:t>
      </w:r>
      <w:r w:rsidRPr="007F776B">
        <w:rPr>
          <w:rFonts w:ascii="Arial" w:hAnsi="Arial" w:cs="Arial"/>
          <w:sz w:val="22"/>
          <w:szCs w:val="22"/>
          <w:lang w:val="en-IN"/>
        </w:rPr>
        <w:t xml:space="preserve">. [online] Available at: </w:t>
      </w:r>
      <w:hyperlink r:id="rId28" w:history="1">
        <w:r w:rsidRPr="007F776B">
          <w:rPr>
            <w:rStyle w:val="Hyperlink"/>
            <w:rFonts w:ascii="Arial" w:hAnsi="Arial" w:cs="Arial"/>
            <w:sz w:val="22"/>
            <w:szCs w:val="22"/>
            <w:lang w:val="en-IN"/>
          </w:rPr>
          <w:t>https://www.towerhamlets.gov.uk/Documents/Borough_statistics/Tower-Hamlets-Borough-Profile-2024.pdf</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5AAAEFBF" w14:textId="77777777" w:rsidR="007F776B" w:rsidRPr="007F776B" w:rsidRDefault="007F776B" w:rsidP="007F776B"/>
    <w:p w14:paraId="789373A6" w14:textId="77777777" w:rsidR="00B95930" w:rsidRPr="00CB2AC8" w:rsidRDefault="00B95930" w:rsidP="00B95930">
      <w:pPr>
        <w:rPr>
          <w:rFonts w:ascii="Arial" w:hAnsi="Arial" w:cs="Arial"/>
          <w:sz w:val="22"/>
          <w:szCs w:val="22"/>
        </w:rPr>
      </w:pPr>
    </w:p>
    <w:sectPr w:rsidR="00B95930" w:rsidRPr="00CB2AC8">
      <w:footerReference w:type="defaul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C16B4" w14:textId="77777777" w:rsidR="002174C9" w:rsidRDefault="002174C9" w:rsidP="007F776B">
      <w:pPr>
        <w:spacing w:line="240" w:lineRule="auto"/>
      </w:pPr>
      <w:r>
        <w:separator/>
      </w:r>
    </w:p>
  </w:endnote>
  <w:endnote w:type="continuationSeparator" w:id="0">
    <w:p w14:paraId="69189409" w14:textId="77777777" w:rsidR="002174C9" w:rsidRDefault="002174C9" w:rsidP="007F77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DDB2068-D6D6-4351-BE62-C343A1C40220}"/>
  </w:font>
  <w:font w:name="Cambria">
    <w:panose1 w:val="02040503050406030204"/>
    <w:charset w:val="00"/>
    <w:family w:val="roman"/>
    <w:pitch w:val="variable"/>
    <w:sig w:usb0="E00006FF" w:usb1="420024FF" w:usb2="02000000" w:usb3="00000000" w:csb0="0000019F" w:csb1="00000000"/>
    <w:embedRegular r:id="rId2" w:fontKey="{484CA17C-A7AB-4CE0-AD91-90585C24EE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0128135"/>
      <w:docPartObj>
        <w:docPartGallery w:val="Page Numbers (Bottom of Page)"/>
        <w:docPartUnique/>
      </w:docPartObj>
    </w:sdtPr>
    <w:sdtEndPr>
      <w:rPr>
        <w:noProof/>
      </w:rPr>
    </w:sdtEndPr>
    <w:sdtContent>
      <w:p w14:paraId="55C8744D" w14:textId="29495346" w:rsidR="007F776B" w:rsidRDefault="007F776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06B173" w14:textId="77777777" w:rsidR="007F776B" w:rsidRDefault="007F7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E6691" w14:textId="77777777" w:rsidR="002174C9" w:rsidRDefault="002174C9" w:rsidP="007F776B">
      <w:pPr>
        <w:spacing w:line="240" w:lineRule="auto"/>
      </w:pPr>
      <w:r>
        <w:separator/>
      </w:r>
    </w:p>
  </w:footnote>
  <w:footnote w:type="continuationSeparator" w:id="0">
    <w:p w14:paraId="13A7132F" w14:textId="77777777" w:rsidR="002174C9" w:rsidRDefault="002174C9" w:rsidP="007F77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F7F9D"/>
    <w:multiLevelType w:val="hybridMultilevel"/>
    <w:tmpl w:val="0BDE88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42834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E53"/>
    <w:rsid w:val="00001380"/>
    <w:rsid w:val="0003400F"/>
    <w:rsid w:val="00070AC2"/>
    <w:rsid w:val="00104479"/>
    <w:rsid w:val="001818AB"/>
    <w:rsid w:val="002174C9"/>
    <w:rsid w:val="00257F71"/>
    <w:rsid w:val="003B34BA"/>
    <w:rsid w:val="00400E53"/>
    <w:rsid w:val="005B2EC7"/>
    <w:rsid w:val="00710C12"/>
    <w:rsid w:val="00757C83"/>
    <w:rsid w:val="007B4C12"/>
    <w:rsid w:val="007F776B"/>
    <w:rsid w:val="00B55F2A"/>
    <w:rsid w:val="00B95930"/>
    <w:rsid w:val="00BB3A2B"/>
    <w:rsid w:val="00C07F4C"/>
    <w:rsid w:val="00CB2AC8"/>
    <w:rsid w:val="00D01D6B"/>
    <w:rsid w:val="00E57841"/>
    <w:rsid w:val="00ED4D8A"/>
    <w:rsid w:val="00FB2F78"/>
    <w:rsid w:val="00FE4E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58636"/>
  <w15:docId w15:val="{2E69B5E4-D819-4323-8809-E4EF561C8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930"/>
    <w:pPr>
      <w:spacing w:line="360" w:lineRule="auto"/>
      <w:jc w:val="both"/>
    </w:pPr>
    <w:rPr>
      <w:rFonts w:ascii="Times New Roman" w:hAnsi="Times New Roman" w:cs="Times New Roman"/>
      <w:sz w:val="24"/>
      <w:szCs w:val="24"/>
    </w:rPr>
  </w:style>
  <w:style w:type="paragraph" w:styleId="Heading1">
    <w:name w:val="heading 1"/>
    <w:basedOn w:val="Normal"/>
    <w:next w:val="Normal"/>
    <w:uiPriority w:val="9"/>
    <w:qFormat/>
    <w:rsid w:val="00D01D6B"/>
    <w:pPr>
      <w:keepNext/>
      <w:keepLines/>
      <w:spacing w:before="400" w:after="120"/>
      <w:jc w:val="center"/>
      <w:outlineLvl w:val="0"/>
    </w:pPr>
    <w:rPr>
      <w:b/>
      <w:bCs/>
    </w:rPr>
  </w:style>
  <w:style w:type="paragraph" w:styleId="Heading2">
    <w:name w:val="heading 2"/>
    <w:basedOn w:val="Normal"/>
    <w:next w:val="Normal"/>
    <w:uiPriority w:val="9"/>
    <w:unhideWhenUsed/>
    <w:qFormat/>
    <w:rsid w:val="00CB2AC8"/>
    <w:pPr>
      <w:keepNext/>
      <w:keepLines/>
      <w:spacing w:before="360" w:after="120"/>
      <w:outlineLvl w:val="1"/>
    </w:pPr>
    <w:rPr>
      <w:rFonts w:ascii="Arial" w:hAnsi="Arial" w:cs="Arial"/>
      <w:b/>
      <w:bCs/>
      <w:sz w:val="22"/>
      <w:szCs w:val="2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s="Arial"/>
      <w:color w:val="666666"/>
      <w:sz w:val="30"/>
      <w:szCs w:val="30"/>
    </w:rPr>
  </w:style>
  <w:style w:type="paragraph" w:styleId="ListParagraph">
    <w:name w:val="List Paragraph"/>
    <w:basedOn w:val="Normal"/>
    <w:uiPriority w:val="34"/>
    <w:qFormat/>
    <w:rsid w:val="00CB2AC8"/>
    <w:pPr>
      <w:ind w:left="720"/>
      <w:contextualSpacing/>
    </w:pPr>
  </w:style>
  <w:style w:type="paragraph" w:styleId="TOCHeading">
    <w:name w:val="TOC Heading"/>
    <w:basedOn w:val="Heading1"/>
    <w:next w:val="Normal"/>
    <w:uiPriority w:val="39"/>
    <w:unhideWhenUsed/>
    <w:qFormat/>
    <w:rsid w:val="00CB2AC8"/>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B2AC8"/>
    <w:pPr>
      <w:spacing w:after="100"/>
    </w:pPr>
  </w:style>
  <w:style w:type="paragraph" w:styleId="TOC2">
    <w:name w:val="toc 2"/>
    <w:basedOn w:val="Normal"/>
    <w:next w:val="Normal"/>
    <w:autoRedefine/>
    <w:uiPriority w:val="39"/>
    <w:unhideWhenUsed/>
    <w:rsid w:val="00CB2AC8"/>
    <w:pPr>
      <w:spacing w:after="100"/>
      <w:ind w:left="240"/>
    </w:pPr>
  </w:style>
  <w:style w:type="character" w:styleId="Hyperlink">
    <w:name w:val="Hyperlink"/>
    <w:basedOn w:val="DefaultParagraphFont"/>
    <w:uiPriority w:val="99"/>
    <w:unhideWhenUsed/>
    <w:rsid w:val="00CB2AC8"/>
    <w:rPr>
      <w:color w:val="0000FF" w:themeColor="hyperlink"/>
      <w:u w:val="single"/>
    </w:rPr>
  </w:style>
  <w:style w:type="character" w:styleId="UnresolvedMention">
    <w:name w:val="Unresolved Mention"/>
    <w:basedOn w:val="DefaultParagraphFont"/>
    <w:uiPriority w:val="99"/>
    <w:semiHidden/>
    <w:unhideWhenUsed/>
    <w:rsid w:val="007F776B"/>
    <w:rPr>
      <w:color w:val="605E5C"/>
      <w:shd w:val="clear" w:color="auto" w:fill="E1DFDD"/>
    </w:rPr>
  </w:style>
  <w:style w:type="paragraph" w:styleId="Header">
    <w:name w:val="header"/>
    <w:basedOn w:val="Normal"/>
    <w:link w:val="HeaderChar"/>
    <w:uiPriority w:val="99"/>
    <w:unhideWhenUsed/>
    <w:rsid w:val="007F776B"/>
    <w:pPr>
      <w:tabs>
        <w:tab w:val="center" w:pos="4513"/>
        <w:tab w:val="right" w:pos="9026"/>
      </w:tabs>
      <w:spacing w:line="240" w:lineRule="auto"/>
    </w:pPr>
  </w:style>
  <w:style w:type="character" w:customStyle="1" w:styleId="HeaderChar">
    <w:name w:val="Header Char"/>
    <w:basedOn w:val="DefaultParagraphFont"/>
    <w:link w:val="Header"/>
    <w:uiPriority w:val="99"/>
    <w:rsid w:val="007F776B"/>
    <w:rPr>
      <w:rFonts w:ascii="Times New Roman" w:hAnsi="Times New Roman" w:cs="Times New Roman"/>
      <w:sz w:val="24"/>
      <w:szCs w:val="24"/>
    </w:rPr>
  </w:style>
  <w:style w:type="paragraph" w:styleId="Footer">
    <w:name w:val="footer"/>
    <w:basedOn w:val="Normal"/>
    <w:link w:val="FooterChar"/>
    <w:uiPriority w:val="99"/>
    <w:unhideWhenUsed/>
    <w:rsid w:val="007F776B"/>
    <w:pPr>
      <w:tabs>
        <w:tab w:val="center" w:pos="4513"/>
        <w:tab w:val="right" w:pos="9026"/>
      </w:tabs>
      <w:spacing w:line="240" w:lineRule="auto"/>
    </w:pPr>
  </w:style>
  <w:style w:type="character" w:customStyle="1" w:styleId="FooterChar">
    <w:name w:val="Footer Char"/>
    <w:basedOn w:val="DefaultParagraphFont"/>
    <w:link w:val="Footer"/>
    <w:uiPriority w:val="99"/>
    <w:rsid w:val="007F776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12889-023-15239-0" TargetMode="External"/><Relationship Id="rId18" Type="http://schemas.openxmlformats.org/officeDocument/2006/relationships/hyperlink" Target="https://csar.lse.ac.uk/articles/28" TargetMode="External"/><Relationship Id="rId26" Type="http://schemas.openxmlformats.org/officeDocument/2006/relationships/hyperlink" Target="https://doi.org/10.1016/j.puhe.2021.08.016" TargetMode="External"/><Relationship Id="rId3" Type="http://schemas.openxmlformats.org/officeDocument/2006/relationships/styles" Target="styles.xml"/><Relationship Id="rId21" Type="http://schemas.openxmlformats.org/officeDocument/2006/relationships/hyperlink" Target="https://www.longtermplan.nhs.uk/" TargetMode="External"/><Relationship Id="rId7" Type="http://schemas.openxmlformats.org/officeDocument/2006/relationships/endnotes" Target="endnotes.xml"/><Relationship Id="rId12" Type="http://schemas.openxmlformats.org/officeDocument/2006/relationships/hyperlink" Target="https://doi.org/10.1016/j.ecl.2021.05.005" TargetMode="External"/><Relationship Id="rId17" Type="http://schemas.openxmlformats.org/officeDocument/2006/relationships/hyperlink" Target="https://doi.org/10.1186/s13643-025-02833-z" TargetMode="External"/><Relationship Id="rId25" Type="http://schemas.openxmlformats.org/officeDocument/2006/relationships/hyperlink" Target="https://hdl.handle.net/1842/42268" TargetMode="External"/><Relationship Id="rId2" Type="http://schemas.openxmlformats.org/officeDocument/2006/relationships/numbering" Target="numbering.xml"/><Relationship Id="rId16" Type="http://schemas.openxmlformats.org/officeDocument/2006/relationships/hyperlink" Target="https://www.gov.uk/government/publications/healthy-ageing/healthy-ageing-applying-all-our-health" TargetMode="External"/><Relationship Id="rId20" Type="http://schemas.openxmlformats.org/officeDocument/2006/relationships/hyperlink" Target="https://doi.org/10.1007/s00125-020-05132-5"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siteassets/documents/reports-and-publications/reports-and-briefings/healthwellbeing/rb_dec16_no_one_should_have_no_one.pdf" TargetMode="External"/><Relationship Id="rId24" Type="http://schemas.openxmlformats.org/officeDocument/2006/relationships/hyperlink" Target="https://www.ons.gov.uk/peoplepopulationandcommunity/birthsdeathsandmarriages/ageing/articles/voicesofourageingpopulation/livinglongerlives" TargetMode="External"/><Relationship Id="rId5" Type="http://schemas.openxmlformats.org/officeDocument/2006/relationships/webSettings" Target="webSettings.xml"/><Relationship Id="rId15" Type="http://schemas.openxmlformats.org/officeDocument/2006/relationships/hyperlink" Target="https://philpapers.org/rec/GODEOE" TargetMode="External"/><Relationship Id="rId23" Type="http://schemas.openxmlformats.org/officeDocument/2006/relationships/hyperlink" Target="https://fingertips.phe.org.uk/" TargetMode="External"/><Relationship Id="rId28" Type="http://schemas.openxmlformats.org/officeDocument/2006/relationships/hyperlink" Target="https://www.towerhamlets.gov.uk/Documents/Borough_statistics/Tower-Hamlets-Borough-Profile-2024.pdf" TargetMode="External"/><Relationship Id="rId10" Type="http://schemas.openxmlformats.org/officeDocument/2006/relationships/hyperlink" Target="https://www.ageuk.org.uk/" TargetMode="External"/><Relationship Id="rId19" Type="http://schemas.openxmlformats.org/officeDocument/2006/relationships/hyperlink" Target="https://doi.org/10.1177/0046958022109627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geuk.org.uk/our-impact/policy-research/loneliness-research-and-resources/" TargetMode="External"/><Relationship Id="rId14" Type="http://schemas.openxmlformats.org/officeDocument/2006/relationships/hyperlink" Target="https://doi.org/10.3399/bjgp19x704645" TargetMode="External"/><Relationship Id="rId22" Type="http://schemas.openxmlformats.org/officeDocument/2006/relationships/hyperlink" Target="https://www.england.nhs.uk/long-read/inclusive-digital-healthcare-a-framework-for-nhs-action-on-digital-inclusion/" TargetMode="External"/><Relationship Id="rId27" Type="http://schemas.openxmlformats.org/officeDocument/2006/relationships/hyperlink" Target="https://doi.org/10.4137/bmi.s38440"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824DB-3F6A-4D46-A1CD-264923A9A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Pages>
  <Words>4234</Words>
  <Characters>24134</Characters>
  <Application>Microsoft Office Word</Application>
  <DocSecurity>0</DocSecurity>
  <Lines>201</Lines>
  <Paragraphs>56</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Task 1: Social Epidemiological Analysis</vt:lpstr>
      <vt:lpstr>    Introduction</vt:lpstr>
      <vt:lpstr>    Contextual Background and Underlying Factors</vt:lpstr>
      <vt:lpstr>    Major Health Inequality Issues Faced by the Elderly Population</vt:lpstr>
      <vt:lpstr>    National Response to Reduce Health Inequalities</vt:lpstr>
      <vt:lpstr>    Organisations Supporting the Elderly Population</vt:lpstr>
      <vt:lpstr>    Conclusion</vt:lpstr>
      <vt:lpstr>Task 2: Epidemiological Analysis</vt:lpstr>
      <vt:lpstr>    Introduction </vt:lpstr>
      <vt:lpstr>    Identification and Assessment of the Health Problem</vt:lpstr>
      <vt:lpstr>    Epidemiological Methods and Study Evidence</vt:lpstr>
      <vt:lpstr>    The 3 Ps and Public Health Measures</vt:lpstr>
      <vt:lpstr>    Determinants and Affected Population</vt:lpstr>
      <vt:lpstr>    Epidemiological Planning and Population Health Impact</vt:lpstr>
      <vt:lpstr>    Design of Intervention Programs in Health</vt:lpstr>
      <vt:lpstr>    Strengths and Weaknesses</vt:lpstr>
      <vt:lpstr>    Conclusion </vt:lpstr>
    </vt:vector>
  </TitlesOfParts>
  <Company/>
  <LinksUpToDate>false</LinksUpToDate>
  <CharactersWithSpaces>28312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Isha Patel</cp:lastModifiedBy>
  <cp:revision>6</cp:revision>
  <dcterms:created xsi:type="dcterms:W3CDTF">2025-11-01T19:08:00Z</dcterms:created>
  <dcterms:modified xsi:type="dcterms:W3CDTF">2025-11-16T20:59:00Z</dcterms:modified>
</cp:coreProperties>
</file>