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6FCCF824"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875E2A">
              <w:rPr>
                <w:rFonts w:asciiTheme="minorHAnsi" w:hAnsiTheme="minorHAnsi" w:cs="Calibri"/>
                <w:lang w:val="de-DE"/>
              </w:rPr>
              <w:t xml:space="preserve"> JMiao</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60D7ACD4"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0A4B1B">
              <w:rPr>
                <w:rFonts w:asciiTheme="minorHAnsi" w:hAnsiTheme="minorHAnsi" w:cs="Calibri"/>
                <w:b/>
                <w:bCs/>
              </w:rPr>
              <w:t xml:space="preserve"> Sachin</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3616FC75" w:rsidR="00160509" w:rsidRPr="00844DE4" w:rsidRDefault="000A4B1B" w:rsidP="00A30926">
            <w:pPr>
              <w:pStyle w:val="Header"/>
              <w:jc w:val="center"/>
              <w:rPr>
                <w:rFonts w:cs="Calibri"/>
              </w:rPr>
            </w:pPr>
            <w:r>
              <w:rPr>
                <w:rFonts w:cs="Calibri"/>
              </w:rPr>
              <w:t>11</w:t>
            </w:r>
          </w:p>
        </w:tc>
        <w:tc>
          <w:tcPr>
            <w:tcW w:w="6521" w:type="dxa"/>
            <w:vAlign w:val="bottom"/>
          </w:tcPr>
          <w:p w14:paraId="191FB322" w14:textId="77777777" w:rsidR="00594B52" w:rsidRDefault="000A4B1B" w:rsidP="00A30926">
            <w:pPr>
              <w:rPr>
                <w:rFonts w:asciiTheme="minorHAnsi" w:hAnsiTheme="minorHAnsi" w:cs="Calibri"/>
                <w:color w:val="000000"/>
                <w:lang w:eastAsia="zh-CN"/>
              </w:rPr>
            </w:pPr>
            <w:r w:rsidRPr="000A4B1B">
              <w:rPr>
                <w:rFonts w:asciiTheme="minorHAnsi" w:hAnsiTheme="minorHAnsi" w:cs="Calibri"/>
                <w:color w:val="000000"/>
                <w:lang w:eastAsia="zh-CN"/>
              </w:rPr>
              <w:t xml:space="preserve">The dissertation demonstrates strong engagement with literature relating to brand image, customer loyalty, emotional branding, </w:t>
            </w:r>
            <w:proofErr w:type="spellStart"/>
            <w:r w:rsidRPr="000A4B1B">
              <w:rPr>
                <w:rFonts w:asciiTheme="minorHAnsi" w:hAnsiTheme="minorHAnsi" w:cs="Calibri"/>
                <w:color w:val="000000"/>
                <w:lang w:eastAsia="zh-CN"/>
              </w:rPr>
              <w:t>self</w:t>
            </w:r>
            <w:r w:rsidR="00594B52">
              <w:rPr>
                <w:rFonts w:asciiTheme="minorHAnsi" w:hAnsiTheme="minorHAnsi" w:cs="Calibri"/>
                <w:color w:val="000000"/>
                <w:lang w:eastAsia="zh-CN"/>
              </w:rPr>
              <w:t xml:space="preserve"> </w:t>
            </w:r>
            <w:r w:rsidRPr="000A4B1B">
              <w:rPr>
                <w:rFonts w:asciiTheme="minorHAnsi" w:hAnsiTheme="minorHAnsi" w:cs="Calibri"/>
                <w:color w:val="000000"/>
                <w:lang w:eastAsia="zh-CN"/>
              </w:rPr>
              <w:t>congruity</w:t>
            </w:r>
            <w:proofErr w:type="spellEnd"/>
            <w:r w:rsidRPr="000A4B1B">
              <w:rPr>
                <w:rFonts w:asciiTheme="minorHAnsi" w:hAnsiTheme="minorHAnsi" w:cs="Calibri"/>
                <w:color w:val="000000"/>
                <w:lang w:eastAsia="zh-CN"/>
              </w:rPr>
              <w:t xml:space="preserve">, switching costs and cross-cultural consumer behaviour. The review is structured logically and incorporates several </w:t>
            </w:r>
            <w:proofErr w:type="gramStart"/>
            <w:r w:rsidRPr="000A4B1B">
              <w:rPr>
                <w:rFonts w:asciiTheme="minorHAnsi" w:hAnsiTheme="minorHAnsi" w:cs="Calibri"/>
                <w:color w:val="000000"/>
                <w:lang w:eastAsia="zh-CN"/>
              </w:rPr>
              <w:t>well</w:t>
            </w:r>
            <w:r w:rsidR="00594B52">
              <w:rPr>
                <w:rFonts w:asciiTheme="minorHAnsi" w:hAnsiTheme="minorHAnsi" w:cs="Calibri"/>
                <w:color w:val="000000"/>
                <w:lang w:eastAsia="zh-CN"/>
              </w:rPr>
              <w:t xml:space="preserve"> </w:t>
            </w:r>
            <w:r w:rsidRPr="000A4B1B">
              <w:rPr>
                <w:rFonts w:asciiTheme="minorHAnsi" w:hAnsiTheme="minorHAnsi" w:cs="Calibri"/>
                <w:color w:val="000000"/>
                <w:lang w:eastAsia="zh-CN"/>
              </w:rPr>
              <w:t>established</w:t>
            </w:r>
            <w:proofErr w:type="gramEnd"/>
            <w:r w:rsidRPr="000A4B1B">
              <w:rPr>
                <w:rFonts w:asciiTheme="minorHAnsi" w:hAnsiTheme="minorHAnsi" w:cs="Calibri"/>
                <w:color w:val="000000"/>
                <w:lang w:eastAsia="zh-CN"/>
              </w:rPr>
              <w:t xml:space="preserve"> theoretical frameworks including Keller’s Customer-Based Brand Equity Model, Oliver’s Four</w:t>
            </w:r>
            <w:r w:rsidR="00594B52">
              <w:rPr>
                <w:rFonts w:asciiTheme="minorHAnsi" w:hAnsiTheme="minorHAnsi" w:cs="Calibri"/>
                <w:color w:val="000000"/>
                <w:lang w:eastAsia="zh-CN"/>
              </w:rPr>
              <w:t xml:space="preserve"> </w:t>
            </w:r>
            <w:r w:rsidRPr="000A4B1B">
              <w:rPr>
                <w:rFonts w:asciiTheme="minorHAnsi" w:hAnsiTheme="minorHAnsi" w:cs="Calibri"/>
                <w:color w:val="000000"/>
                <w:lang w:eastAsia="zh-CN"/>
              </w:rPr>
              <w:t xml:space="preserve">Stage Loyalty Model and Hofstede’s Cultural Dimensions. The discussion links these theories to the smartphone industry and the contrasting positioning strategies adopted by Apple and Samsung. The literature review also identifies a relevant gap concerning the limited qualitative and </w:t>
            </w:r>
            <w:proofErr w:type="gramStart"/>
            <w:r w:rsidRPr="000A4B1B">
              <w:rPr>
                <w:rFonts w:asciiTheme="minorHAnsi" w:hAnsiTheme="minorHAnsi" w:cs="Calibri"/>
                <w:color w:val="000000"/>
                <w:lang w:eastAsia="zh-CN"/>
              </w:rPr>
              <w:t>cross</w:t>
            </w:r>
            <w:r w:rsidR="00594B52">
              <w:rPr>
                <w:rFonts w:asciiTheme="minorHAnsi" w:hAnsiTheme="minorHAnsi" w:cs="Calibri"/>
                <w:color w:val="000000"/>
                <w:lang w:eastAsia="zh-CN"/>
              </w:rPr>
              <w:t xml:space="preserve"> </w:t>
            </w:r>
            <w:r w:rsidRPr="000A4B1B">
              <w:rPr>
                <w:rFonts w:asciiTheme="minorHAnsi" w:hAnsiTheme="minorHAnsi" w:cs="Calibri"/>
                <w:color w:val="000000"/>
                <w:lang w:eastAsia="zh-CN"/>
              </w:rPr>
              <w:t>cultural</w:t>
            </w:r>
            <w:proofErr w:type="gramEnd"/>
            <w:r w:rsidRPr="000A4B1B">
              <w:rPr>
                <w:rFonts w:asciiTheme="minorHAnsi" w:hAnsiTheme="minorHAnsi" w:cs="Calibri"/>
                <w:color w:val="000000"/>
                <w:lang w:eastAsia="zh-CN"/>
              </w:rPr>
              <w:t xml:space="preserve"> exploration of brand image and loyalty within the premium smartphone market. </w:t>
            </w:r>
          </w:p>
          <w:p w14:paraId="455C6355" w14:textId="77777777" w:rsidR="00594B52" w:rsidRDefault="00594B52" w:rsidP="00A30926">
            <w:pPr>
              <w:rPr>
                <w:rFonts w:asciiTheme="minorHAnsi" w:hAnsiTheme="minorHAnsi" w:cs="Calibri"/>
                <w:color w:val="000000"/>
                <w:lang w:eastAsia="zh-CN"/>
              </w:rPr>
            </w:pPr>
          </w:p>
          <w:p w14:paraId="2AB8EBAE" w14:textId="151121F8" w:rsidR="00844DE4" w:rsidRPr="00844DE4" w:rsidRDefault="000A4B1B" w:rsidP="00A30926">
            <w:pPr>
              <w:rPr>
                <w:rFonts w:asciiTheme="minorHAnsi" w:hAnsiTheme="minorHAnsi" w:cs="Calibri"/>
                <w:color w:val="000000"/>
                <w:lang w:eastAsia="zh-CN"/>
              </w:rPr>
            </w:pPr>
            <w:r w:rsidRPr="000A4B1B">
              <w:rPr>
                <w:rFonts w:asciiTheme="minorHAnsi" w:hAnsiTheme="minorHAnsi" w:cs="Calibri"/>
                <w:color w:val="000000"/>
                <w:lang w:eastAsia="zh-CN"/>
              </w:rPr>
              <w:t xml:space="preserve">However, despite the breadth of literature covered, critical evaluation is somewhat inconsistent. Many sources are discussed individually, and there is limited synthesis of conflicting viewpoints or methodological differences across studies. </w:t>
            </w:r>
            <w:r w:rsidR="00594B52">
              <w:rPr>
                <w:rFonts w:asciiTheme="minorHAnsi" w:hAnsiTheme="minorHAnsi" w:cs="Calibri"/>
                <w:color w:val="000000"/>
                <w:lang w:eastAsia="zh-CN"/>
              </w:rPr>
              <w:t>Overall</w:t>
            </w:r>
            <w:r w:rsidRPr="000A4B1B">
              <w:rPr>
                <w:rFonts w:asciiTheme="minorHAnsi" w:hAnsiTheme="minorHAnsi" w:cs="Calibri"/>
                <w:color w:val="000000"/>
                <w:lang w:eastAsia="zh-CN"/>
              </w:rPr>
              <w:t>, the review demonstrates a good level of academic engagement and provides a solid foundation for the research.</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6ACD62E4" w:rsidR="00160509" w:rsidRPr="00844DE4" w:rsidRDefault="000A4B1B" w:rsidP="00A30926">
            <w:pPr>
              <w:pStyle w:val="Header"/>
              <w:jc w:val="center"/>
              <w:rPr>
                <w:rFonts w:cs="Calibri"/>
              </w:rPr>
            </w:pPr>
            <w:r>
              <w:rPr>
                <w:rFonts w:cs="Calibri"/>
              </w:rPr>
              <w:t>15</w:t>
            </w:r>
          </w:p>
        </w:tc>
        <w:tc>
          <w:tcPr>
            <w:tcW w:w="6521" w:type="dxa"/>
            <w:vAlign w:val="bottom"/>
          </w:tcPr>
          <w:p w14:paraId="41CE9652" w14:textId="77777777" w:rsidR="00594B52" w:rsidRDefault="000A4B1B" w:rsidP="00A30926">
            <w:pPr>
              <w:pStyle w:val="Header"/>
              <w:rPr>
                <w:rFonts w:cs="Calibri"/>
              </w:rPr>
            </w:pPr>
            <w:r w:rsidRPr="000A4B1B">
              <w:rPr>
                <w:rFonts w:cs="Calibri"/>
              </w:rPr>
              <w:t xml:space="preserve">The dissertation demonstrates a very good understanding of brand image, customer loyalty and consumer behaviour within the retail technology sector. The discussion clearly recognises the shift from product differentiation towards emotional branding, ecosystem integration and symbolic consumption as drivers of competitive advantage. The comparison between Apple and Samsung is well justified and supported by discussion of differing brand strategies, consumer perceptions and cultural influences. Theoretical concepts are generally applied appropriately throughout the dissertation, particularly in relation to loyalty formation, emotional attachment and social signalling. The </w:t>
            </w:r>
            <w:proofErr w:type="gramStart"/>
            <w:r w:rsidRPr="000A4B1B">
              <w:rPr>
                <w:rFonts w:cs="Calibri"/>
              </w:rPr>
              <w:t>cross</w:t>
            </w:r>
            <w:r w:rsidR="00594B52">
              <w:rPr>
                <w:rFonts w:cs="Calibri"/>
              </w:rPr>
              <w:t xml:space="preserve"> </w:t>
            </w:r>
            <w:r w:rsidRPr="000A4B1B">
              <w:rPr>
                <w:rFonts w:cs="Calibri"/>
              </w:rPr>
              <w:t>cultural</w:t>
            </w:r>
            <w:proofErr w:type="gramEnd"/>
            <w:r w:rsidRPr="000A4B1B">
              <w:rPr>
                <w:rFonts w:cs="Calibri"/>
              </w:rPr>
              <w:t xml:space="preserve"> dimension strengthens the study by recognising that loyalty drivers differ significantly between</w:t>
            </w:r>
            <w:r w:rsidR="00594B52">
              <w:rPr>
                <w:rFonts w:cs="Calibri"/>
              </w:rPr>
              <w:t xml:space="preserve"> </w:t>
            </w:r>
            <w:proofErr w:type="spellStart"/>
            <w:r w:rsidR="00594B52">
              <w:rPr>
                <w:rFonts w:cs="Calibri"/>
              </w:rPr>
              <w:t>developped</w:t>
            </w:r>
            <w:proofErr w:type="spellEnd"/>
            <w:r w:rsidRPr="000A4B1B">
              <w:rPr>
                <w:rFonts w:cs="Calibri"/>
              </w:rPr>
              <w:t xml:space="preserve"> and emerging markets. </w:t>
            </w:r>
          </w:p>
          <w:p w14:paraId="455F7235" w14:textId="77777777" w:rsidR="00594B52" w:rsidRDefault="00594B52" w:rsidP="00A30926">
            <w:pPr>
              <w:pStyle w:val="Header"/>
              <w:rPr>
                <w:rFonts w:cs="Calibri"/>
              </w:rPr>
            </w:pPr>
          </w:p>
          <w:p w14:paraId="33999233" w14:textId="79AD38E9" w:rsidR="00FC18FC" w:rsidRPr="00844DE4" w:rsidRDefault="000A4B1B" w:rsidP="00A30926">
            <w:pPr>
              <w:pStyle w:val="Header"/>
              <w:rPr>
                <w:rFonts w:cs="Calibri"/>
              </w:rPr>
            </w:pPr>
            <w:r w:rsidRPr="000A4B1B">
              <w:rPr>
                <w:rFonts w:cs="Calibri"/>
              </w:rPr>
              <w:t xml:space="preserve">While the conceptual understanding is strong, there are occasions where theoretical application remains descriptive rather than fully analytical. Some arguments would benefit from deeper engagement with alternative explanations and </w:t>
            </w:r>
            <w:r w:rsidRPr="000A4B1B">
              <w:rPr>
                <w:rFonts w:cs="Calibri"/>
              </w:rPr>
              <w:lastRenderedPageBreak/>
              <w:t>contemporary branding theory. Overall, the dissertation demonstrates a strong level of subject knowledge.</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lastRenderedPageBreak/>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125A61D5" w:rsidR="00160509" w:rsidRPr="00844DE4" w:rsidRDefault="000A4B1B" w:rsidP="00A30926">
            <w:pPr>
              <w:pStyle w:val="Header"/>
              <w:jc w:val="center"/>
              <w:rPr>
                <w:rFonts w:cs="Calibri"/>
              </w:rPr>
            </w:pPr>
            <w:r>
              <w:rPr>
                <w:rFonts w:cs="Calibri"/>
              </w:rPr>
              <w:t>19</w:t>
            </w:r>
          </w:p>
        </w:tc>
        <w:tc>
          <w:tcPr>
            <w:tcW w:w="6521" w:type="dxa"/>
            <w:vAlign w:val="bottom"/>
          </w:tcPr>
          <w:p w14:paraId="566AA100" w14:textId="77777777" w:rsidR="00594B52" w:rsidRDefault="000A4B1B" w:rsidP="00A30926">
            <w:pPr>
              <w:pStyle w:val="Header"/>
              <w:rPr>
                <w:rFonts w:cs="Calibri"/>
              </w:rPr>
            </w:pPr>
            <w:r w:rsidRPr="000A4B1B">
              <w:rPr>
                <w:rFonts w:cs="Calibri"/>
              </w:rPr>
              <w:t>The dissertation adopts an interpretivist philosophy and qualitative comparative case study approach that aligns well with the exploratory nature of the research objectives. The use of thematic analysis based on Braun and Clarke’s framework provides a structured analytical process, and the findings demonstrate a reasonable level of synthesis across different cultural contexts. The identification of themes such as ecosystem lock</w:t>
            </w:r>
            <w:r w:rsidR="00594B52">
              <w:rPr>
                <w:rFonts w:cs="Calibri"/>
              </w:rPr>
              <w:t xml:space="preserve"> </w:t>
            </w:r>
            <w:r w:rsidRPr="000A4B1B">
              <w:rPr>
                <w:rFonts w:cs="Calibri"/>
              </w:rPr>
              <w:t xml:space="preserve">in, functional trust, aspirational loyalty and social signalling shows evidence of independent interpretation rather than simple reporting of source material. The discussion chapter also attempts to critique established theories and considers limitations of existing frameworks when applied to contemporary smartphone markets. </w:t>
            </w:r>
          </w:p>
          <w:p w14:paraId="0A1BD6D7" w14:textId="77777777" w:rsidR="00594B52" w:rsidRDefault="00594B52" w:rsidP="00A30926">
            <w:pPr>
              <w:pStyle w:val="Header"/>
              <w:rPr>
                <w:rFonts w:cs="Calibri"/>
              </w:rPr>
            </w:pPr>
          </w:p>
          <w:p w14:paraId="07FEE379" w14:textId="12CA151F" w:rsidR="00FC18FC" w:rsidRDefault="000A4B1B" w:rsidP="00A30926">
            <w:pPr>
              <w:pStyle w:val="Header"/>
              <w:rPr>
                <w:rFonts w:cs="Calibri"/>
              </w:rPr>
            </w:pPr>
            <w:r w:rsidRPr="000A4B1B">
              <w:rPr>
                <w:rFonts w:cs="Calibri"/>
              </w:rPr>
              <w:t xml:space="preserve">However, the intellectual contribution is </w:t>
            </w:r>
            <w:r w:rsidR="00594B52">
              <w:rPr>
                <w:rFonts w:cs="Calibri"/>
              </w:rPr>
              <w:t>limit</w:t>
            </w:r>
            <w:r w:rsidRPr="000A4B1B">
              <w:rPr>
                <w:rFonts w:cs="Calibri"/>
              </w:rPr>
              <w:t>ed by the exclusive reliance on secondary data. Much of the analysis is ultimately dependent on existing studies and consumer narratives rather than original empirical evidence. In addition, some themes are supported by relatively limited evidence and rely on broad generalisations about national cultures. Greater methodological rigour and deeper critical interrogation of alternative interpretations would have strengthened the analytical contribution.</w:t>
            </w: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1B505366" w:rsidR="00160509" w:rsidRPr="00844DE4" w:rsidRDefault="000A4B1B" w:rsidP="00A30926">
            <w:pPr>
              <w:pStyle w:val="Header"/>
              <w:jc w:val="center"/>
              <w:rPr>
                <w:rFonts w:cs="Calibri"/>
              </w:rPr>
            </w:pPr>
            <w:r>
              <w:rPr>
                <w:rFonts w:cs="Calibri"/>
              </w:rPr>
              <w:t>13</w:t>
            </w:r>
          </w:p>
        </w:tc>
        <w:tc>
          <w:tcPr>
            <w:tcW w:w="6521" w:type="dxa"/>
            <w:vAlign w:val="bottom"/>
          </w:tcPr>
          <w:p w14:paraId="6DB44DB9" w14:textId="77777777" w:rsidR="00594B52" w:rsidRDefault="000A4B1B" w:rsidP="00A30926">
            <w:pPr>
              <w:pStyle w:val="Header"/>
              <w:rPr>
                <w:rFonts w:cs="Calibri"/>
              </w:rPr>
            </w:pPr>
            <w:r w:rsidRPr="000A4B1B">
              <w:rPr>
                <w:rFonts w:cs="Calibri"/>
              </w:rPr>
              <w:t>The dissertation provides relevant and useful insights for technology retailers and brand managers operating within highly competitive global smartphone markets. The findings highlight the importance of adapting brand positioning strategies to local cultural contexts and demonstrate how emotional branding, ecosystem design and social signalling can influence customer loyalty. The recommendations relating to hyper</w:t>
            </w:r>
            <w:r w:rsidR="00594B52">
              <w:rPr>
                <w:rFonts w:cs="Calibri"/>
              </w:rPr>
              <w:t xml:space="preserve"> </w:t>
            </w:r>
            <w:r w:rsidRPr="000A4B1B">
              <w:rPr>
                <w:rFonts w:cs="Calibri"/>
              </w:rPr>
              <w:t>localisation, ethical ecosystem management and differentiated value propositions are aligned with the findings and reflect awareness of contemporary marketing challenges. The comparison between Apple and Samsung also offers practical lessons regarding premium positioning, trust</w:t>
            </w:r>
            <w:r w:rsidR="00594B52">
              <w:rPr>
                <w:rFonts w:cs="Calibri"/>
              </w:rPr>
              <w:t xml:space="preserve"> </w:t>
            </w:r>
            <w:r w:rsidRPr="000A4B1B">
              <w:rPr>
                <w:rFonts w:cs="Calibri"/>
              </w:rPr>
              <w:t xml:space="preserve">building and consumer retention strategies. </w:t>
            </w:r>
          </w:p>
          <w:p w14:paraId="33ADDB96" w14:textId="77777777" w:rsidR="00594B52" w:rsidRDefault="00594B52" w:rsidP="00A30926">
            <w:pPr>
              <w:pStyle w:val="Header"/>
              <w:rPr>
                <w:rFonts w:cs="Calibri"/>
              </w:rPr>
            </w:pPr>
          </w:p>
          <w:p w14:paraId="0D721715" w14:textId="078BB195" w:rsidR="00160509" w:rsidRPr="00844DE4" w:rsidRDefault="000A4B1B" w:rsidP="00A30926">
            <w:pPr>
              <w:pStyle w:val="Header"/>
              <w:rPr>
                <w:rFonts w:cs="Calibri"/>
              </w:rPr>
            </w:pPr>
            <w:r w:rsidRPr="000A4B1B">
              <w:rPr>
                <w:rFonts w:cs="Calibri"/>
              </w:rPr>
              <w:t xml:space="preserve">However, some recommendations remain relatively strategic and conceptual rather than operational. Greater detail regarding implementation, performance measurement and managerial </w:t>
            </w:r>
            <w:proofErr w:type="gramStart"/>
            <w:r w:rsidRPr="000A4B1B">
              <w:rPr>
                <w:rFonts w:cs="Calibri"/>
              </w:rPr>
              <w:t>decision</w:t>
            </w:r>
            <w:r w:rsidR="00594B52">
              <w:rPr>
                <w:rFonts w:cs="Calibri"/>
              </w:rPr>
              <w:t xml:space="preserve"> </w:t>
            </w:r>
            <w:r w:rsidRPr="000A4B1B">
              <w:rPr>
                <w:rFonts w:cs="Calibri"/>
              </w:rPr>
              <w:t>making</w:t>
            </w:r>
            <w:proofErr w:type="gramEnd"/>
            <w:r w:rsidRPr="000A4B1B">
              <w:rPr>
                <w:rFonts w:cs="Calibri"/>
              </w:rPr>
              <w:t xml:space="preserve"> processes would have enhanced the practical contribution of the research. Despite these limitations, the study demonstrates a strong appreciation of the managerial implications of brand image and customer loyalty within international retail environments.</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lastRenderedPageBreak/>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47C9CD0D" w:rsidR="00160509" w:rsidRPr="00844DE4" w:rsidRDefault="000A4B1B" w:rsidP="00A30926">
            <w:pPr>
              <w:pStyle w:val="Header"/>
              <w:jc w:val="center"/>
              <w:rPr>
                <w:rFonts w:cs="Calibri"/>
              </w:rPr>
            </w:pPr>
            <w:r>
              <w:rPr>
                <w:rFonts w:cs="Calibri"/>
              </w:rPr>
              <w:t>10</w:t>
            </w:r>
          </w:p>
        </w:tc>
        <w:tc>
          <w:tcPr>
            <w:tcW w:w="6521" w:type="dxa"/>
            <w:vAlign w:val="bottom"/>
          </w:tcPr>
          <w:p w14:paraId="1DF13504" w14:textId="77777777" w:rsidR="00197398" w:rsidRDefault="000A4B1B" w:rsidP="00A30926">
            <w:pPr>
              <w:pStyle w:val="Header"/>
              <w:rPr>
                <w:rFonts w:cs="Calibri"/>
              </w:rPr>
            </w:pPr>
            <w:r w:rsidRPr="000A4B1B">
              <w:rPr>
                <w:rFonts w:cs="Calibri"/>
              </w:rPr>
              <w:t xml:space="preserve">The dissertation demonstrates good organisational, research and communication skills. The overall structure is logical and coherent, with clear alignment between the research aims, objectives, methodology and findings. The student demonstrates competence in conducting an independent research project, synthesising large volumes of literature and applying a recognised qualitative analytical framework. The presentation of findings is generally clear, and the progression between chapters is effective. The study also demonstrates strong awareness of methodological limitations. </w:t>
            </w:r>
          </w:p>
          <w:p w14:paraId="0C0F9B45" w14:textId="77777777" w:rsidR="00197398" w:rsidRDefault="00197398" w:rsidP="00A30926">
            <w:pPr>
              <w:pStyle w:val="Header"/>
              <w:rPr>
                <w:rFonts w:cs="Calibri"/>
              </w:rPr>
            </w:pPr>
          </w:p>
          <w:p w14:paraId="0CB3F9B1" w14:textId="2C72B4EE" w:rsidR="00160509" w:rsidRPr="00844DE4" w:rsidRDefault="000A4B1B" w:rsidP="00A30926">
            <w:pPr>
              <w:pStyle w:val="Header"/>
              <w:rPr>
                <w:rFonts w:cs="Calibri"/>
              </w:rPr>
            </w:pPr>
            <w:r w:rsidRPr="000A4B1B">
              <w:rPr>
                <w:rFonts w:cs="Calibri"/>
              </w:rPr>
              <w:t xml:space="preserve">However, the quality of academic writing is inconsistent in places. There are grammatical errors, repetitive phrasing throughout several chapters. Some sections would benefit from tighter editing and greater conciseness. Despite these weaknesses, the dissertation demonstrates a solid range of transferable skills </w:t>
            </w:r>
            <w:r w:rsidR="00197398">
              <w:rPr>
                <w:rFonts w:cs="Calibri"/>
              </w:rPr>
              <w:t>expected</w:t>
            </w:r>
            <w:r w:rsidRPr="000A4B1B">
              <w:rPr>
                <w:rFonts w:cs="Calibri"/>
              </w:rPr>
              <w:t>.</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713BD876" w:rsidR="00160509" w:rsidRPr="00844DE4" w:rsidRDefault="000A4B1B" w:rsidP="00A30926">
            <w:pPr>
              <w:pStyle w:val="Header"/>
              <w:jc w:val="center"/>
              <w:rPr>
                <w:rFonts w:cs="Calibri"/>
              </w:rPr>
            </w:pPr>
            <w:r>
              <w:rPr>
                <w:rFonts w:cs="Calibri"/>
              </w:rPr>
              <w:t>68</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F9343" w14:textId="77777777" w:rsidR="009053B9" w:rsidRDefault="009053B9" w:rsidP="003E76A2">
      <w:r>
        <w:separator/>
      </w:r>
    </w:p>
  </w:endnote>
  <w:endnote w:type="continuationSeparator" w:id="0">
    <w:p w14:paraId="51B64874" w14:textId="77777777" w:rsidR="009053B9" w:rsidRDefault="009053B9" w:rsidP="003E76A2">
      <w:r>
        <w:continuationSeparator/>
      </w:r>
    </w:p>
  </w:endnote>
  <w:endnote w:type="continuationNotice" w:id="1">
    <w:p w14:paraId="63FD13F3" w14:textId="77777777" w:rsidR="009053B9" w:rsidRDefault="009053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6C007" w14:textId="77777777" w:rsidR="009053B9" w:rsidRDefault="009053B9" w:rsidP="003E76A2">
      <w:r>
        <w:separator/>
      </w:r>
    </w:p>
  </w:footnote>
  <w:footnote w:type="continuationSeparator" w:id="0">
    <w:p w14:paraId="4B7BA4BE" w14:textId="77777777" w:rsidR="009053B9" w:rsidRDefault="009053B9" w:rsidP="003E76A2">
      <w:r>
        <w:continuationSeparator/>
      </w:r>
    </w:p>
  </w:footnote>
  <w:footnote w:type="continuationNotice" w:id="1">
    <w:p w14:paraId="027C09DC" w14:textId="77777777" w:rsidR="009053B9" w:rsidRDefault="009053B9"/>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53A8"/>
    <w:rsid w:val="00071F61"/>
    <w:rsid w:val="000A4B1B"/>
    <w:rsid w:val="000B4B03"/>
    <w:rsid w:val="00127072"/>
    <w:rsid w:val="00160509"/>
    <w:rsid w:val="00167936"/>
    <w:rsid w:val="00197398"/>
    <w:rsid w:val="00197DE6"/>
    <w:rsid w:val="001B0DAA"/>
    <w:rsid w:val="001C20BE"/>
    <w:rsid w:val="001F12B4"/>
    <w:rsid w:val="00232DEB"/>
    <w:rsid w:val="00245033"/>
    <w:rsid w:val="002644D2"/>
    <w:rsid w:val="002677E0"/>
    <w:rsid w:val="002833BF"/>
    <w:rsid w:val="0035292C"/>
    <w:rsid w:val="00366927"/>
    <w:rsid w:val="00385EE2"/>
    <w:rsid w:val="00387F4E"/>
    <w:rsid w:val="003956F5"/>
    <w:rsid w:val="003A44D5"/>
    <w:rsid w:val="003E76A2"/>
    <w:rsid w:val="00413C78"/>
    <w:rsid w:val="004221C5"/>
    <w:rsid w:val="004326F5"/>
    <w:rsid w:val="0044103B"/>
    <w:rsid w:val="004B56B6"/>
    <w:rsid w:val="004C415A"/>
    <w:rsid w:val="004D4062"/>
    <w:rsid w:val="00514597"/>
    <w:rsid w:val="00555B8D"/>
    <w:rsid w:val="00594B52"/>
    <w:rsid w:val="00596DE8"/>
    <w:rsid w:val="005B06E9"/>
    <w:rsid w:val="005F39B9"/>
    <w:rsid w:val="00603D8C"/>
    <w:rsid w:val="00604D26"/>
    <w:rsid w:val="00627077"/>
    <w:rsid w:val="006A5BC0"/>
    <w:rsid w:val="007015EE"/>
    <w:rsid w:val="00705C9C"/>
    <w:rsid w:val="0081474E"/>
    <w:rsid w:val="00834569"/>
    <w:rsid w:val="00844DE4"/>
    <w:rsid w:val="00875CDF"/>
    <w:rsid w:val="00875E2A"/>
    <w:rsid w:val="00887819"/>
    <w:rsid w:val="008A5A5D"/>
    <w:rsid w:val="009053B9"/>
    <w:rsid w:val="009166FC"/>
    <w:rsid w:val="00961D9C"/>
    <w:rsid w:val="009C6514"/>
    <w:rsid w:val="009F030F"/>
    <w:rsid w:val="00A013CB"/>
    <w:rsid w:val="00A30926"/>
    <w:rsid w:val="00A5072F"/>
    <w:rsid w:val="00AA37A0"/>
    <w:rsid w:val="00AF6492"/>
    <w:rsid w:val="00B466BE"/>
    <w:rsid w:val="00B46F51"/>
    <w:rsid w:val="00BB715C"/>
    <w:rsid w:val="00C4635D"/>
    <w:rsid w:val="00D12369"/>
    <w:rsid w:val="00D51F84"/>
    <w:rsid w:val="00D742E1"/>
    <w:rsid w:val="00DA6320"/>
    <w:rsid w:val="00DF64EA"/>
    <w:rsid w:val="00E14B1E"/>
    <w:rsid w:val="00E155B9"/>
    <w:rsid w:val="00E74CF4"/>
    <w:rsid w:val="00E84456"/>
    <w:rsid w:val="00F020A3"/>
    <w:rsid w:val="00F1149A"/>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978</Words>
  <Characters>5579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2</cp:revision>
  <dcterms:created xsi:type="dcterms:W3CDTF">2026-07-14T12:44:00Z</dcterms:created>
  <dcterms:modified xsi:type="dcterms:W3CDTF">2026-07-14T12:44:00Z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2026-06-15T09:13:49Z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dc5926a1-7131-40af-ab8b-c17f44628719</vt:lpwstr>
  </property>
  <property fmtid="{D5CDD505-2E9C-101B-9397-08002B2CF9AE}" pid="8" name="MSIP_Label_55e1b534-098f-4ac8-9223-69712ddf82de_ContentBits">
    <vt:lpwstr>0</vt:lpwstr>
  </property>
  <property fmtid="{D5CDD505-2E9C-101B-9397-08002B2CF9AE}" pid="9" name="MSIP_Label_55e1b534-098f-4ac8-9223-69712ddf82de_Tag">
    <vt:lpwstr>10, 3, 0, 1</vt:lpwstr>
  </property>
</Properties>
</file>