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5159B" w14:textId="697906F9" w:rsidR="008C3A25" w:rsidRDefault="00EC1977" w:rsidP="00852BCC">
      <w:pPr>
        <w:spacing w:before="100" w:beforeAutospacing="1" w:after="100" w:afterAutospacing="1" w:line="240" w:lineRule="auto"/>
        <w:outlineLvl w:val="0"/>
        <w:rPr>
          <w:rFonts w:ascii="Arial" w:eastAsia="Times New Roman" w:hAnsi="Arial" w:cs="Arial"/>
          <w:b/>
          <w:bCs/>
          <w:kern w:val="36"/>
          <w:sz w:val="48"/>
          <w:szCs w:val="48"/>
          <w14:ligatures w14:val="none"/>
        </w:rPr>
      </w:pPr>
      <w:r>
        <w:rPr>
          <w:noProof/>
        </w:rPr>
        <w:drawing>
          <wp:anchor distT="0" distB="0" distL="114300" distR="114300" simplePos="0" relativeHeight="251658240" behindDoc="1" locked="0" layoutInCell="1" allowOverlap="1" wp14:anchorId="6B1AC2C3" wp14:editId="208E12ED">
            <wp:simplePos x="0" y="0"/>
            <wp:positionH relativeFrom="margin">
              <wp:posOffset>-442595</wp:posOffset>
            </wp:positionH>
            <wp:positionV relativeFrom="paragraph">
              <wp:posOffset>0</wp:posOffset>
            </wp:positionV>
            <wp:extent cx="6400800" cy="2190115"/>
            <wp:effectExtent l="0" t="0" r="0" b="0"/>
            <wp:wrapTight wrapText="bothSides">
              <wp:wrapPolygon edited="0">
                <wp:start x="964" y="3758"/>
                <wp:lineTo x="1029" y="10146"/>
                <wp:lineTo x="1286" y="13152"/>
                <wp:lineTo x="1993" y="16158"/>
                <wp:lineTo x="2057" y="17097"/>
                <wp:lineTo x="3150" y="17285"/>
                <wp:lineTo x="7007" y="17661"/>
                <wp:lineTo x="7264" y="17661"/>
                <wp:lineTo x="13114" y="17285"/>
                <wp:lineTo x="13050" y="16158"/>
                <wp:lineTo x="16843" y="13152"/>
                <wp:lineTo x="17100" y="13152"/>
                <wp:lineTo x="17164" y="10146"/>
                <wp:lineTo x="18964" y="10146"/>
                <wp:lineTo x="21471" y="8455"/>
                <wp:lineTo x="21471" y="5824"/>
                <wp:lineTo x="20957" y="5073"/>
                <wp:lineTo x="19286" y="3758"/>
                <wp:lineTo x="964" y="3758"/>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6400800" cy="2190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7275E1" w14:textId="77777777" w:rsidR="00D578F2" w:rsidRDefault="00D578F2" w:rsidP="00852BCC">
      <w:pPr>
        <w:spacing w:before="100" w:beforeAutospacing="1" w:after="100" w:afterAutospacing="1" w:line="240" w:lineRule="auto"/>
        <w:outlineLvl w:val="0"/>
        <w:rPr>
          <w:rFonts w:ascii="Arial" w:eastAsia="Times New Roman" w:hAnsi="Arial" w:cs="Arial"/>
          <w:b/>
          <w:kern w:val="36"/>
          <w:sz w:val="48"/>
          <w:szCs w:val="48"/>
          <w14:ligatures w14:val="none"/>
        </w:rPr>
      </w:pPr>
    </w:p>
    <w:p w14:paraId="437EAABC" w14:textId="77777777" w:rsidR="00D578F2" w:rsidRDefault="00D578F2" w:rsidP="00852BCC">
      <w:pPr>
        <w:spacing w:before="100" w:beforeAutospacing="1" w:after="100" w:afterAutospacing="1" w:line="240" w:lineRule="auto"/>
        <w:outlineLvl w:val="0"/>
        <w:rPr>
          <w:rFonts w:ascii="Arial" w:eastAsia="Times New Roman" w:hAnsi="Arial" w:cs="Arial"/>
          <w:b/>
          <w:kern w:val="36"/>
          <w:sz w:val="48"/>
          <w:szCs w:val="48"/>
          <w14:ligatures w14:val="none"/>
        </w:rPr>
      </w:pPr>
    </w:p>
    <w:p w14:paraId="09170EF7" w14:textId="77777777" w:rsidR="003617A5" w:rsidRDefault="003617A5" w:rsidP="00852BCC">
      <w:pPr>
        <w:spacing w:before="100" w:beforeAutospacing="1" w:after="100" w:afterAutospacing="1" w:line="240" w:lineRule="auto"/>
        <w:outlineLvl w:val="0"/>
        <w:rPr>
          <w:rFonts w:ascii="Arial" w:eastAsia="Times New Roman" w:hAnsi="Arial" w:cs="Arial"/>
          <w:b/>
          <w:kern w:val="36"/>
          <w:sz w:val="48"/>
          <w:szCs w:val="48"/>
          <w14:ligatures w14:val="none"/>
        </w:rPr>
      </w:pPr>
    </w:p>
    <w:p w14:paraId="6D7B18B7" w14:textId="54778ADC" w:rsidR="00BA3140" w:rsidRPr="003804F8" w:rsidRDefault="00BA3140" w:rsidP="00852BCC">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sidRPr="003804F8">
        <w:rPr>
          <w:rFonts w:ascii="Arial" w:eastAsia="Times New Roman" w:hAnsi="Arial" w:cs="Arial"/>
          <w:b/>
          <w:kern w:val="36"/>
          <w:sz w:val="48"/>
          <w:szCs w:val="48"/>
          <w14:ligatures w14:val="none"/>
        </w:rPr>
        <w:t xml:space="preserve">Name: </w:t>
      </w:r>
      <w:r w:rsidRPr="003804F8">
        <w:rPr>
          <w:rFonts w:ascii="Arial" w:eastAsia="Times New Roman" w:hAnsi="Arial" w:cs="Arial"/>
          <w:kern w:val="36"/>
          <w:sz w:val="48"/>
          <w:szCs w:val="48"/>
          <w14:ligatures w14:val="none"/>
        </w:rPr>
        <w:t>Shamaila Sakhawat</w:t>
      </w:r>
      <w:r w:rsidRPr="003804F8">
        <w:rPr>
          <w:rFonts w:ascii="Times New Roman" w:eastAsia="Times New Roman" w:hAnsi="Times New Roman" w:cs="Times New Roman"/>
          <w:kern w:val="36"/>
          <w:sz w:val="48"/>
          <w:szCs w:val="48"/>
          <w14:ligatures w14:val="none"/>
        </w:rPr>
        <w:t xml:space="preserve"> </w:t>
      </w:r>
    </w:p>
    <w:p w14:paraId="430B8406" w14:textId="4BD53A38" w:rsidR="00BA3140" w:rsidRPr="003804F8" w:rsidRDefault="00BA3140" w:rsidP="00852BCC">
      <w:pPr>
        <w:spacing w:before="100" w:beforeAutospacing="1" w:after="100" w:afterAutospacing="1" w:line="240" w:lineRule="auto"/>
        <w:outlineLvl w:val="0"/>
        <w:rPr>
          <w:rFonts w:ascii="Arial" w:eastAsia="Times New Roman" w:hAnsi="Arial" w:cs="Arial"/>
          <w:kern w:val="36"/>
          <w:sz w:val="48"/>
          <w:szCs w:val="48"/>
          <w14:ligatures w14:val="none"/>
        </w:rPr>
      </w:pPr>
      <w:r w:rsidRPr="003804F8">
        <w:rPr>
          <w:rFonts w:ascii="Arial" w:eastAsia="Times New Roman" w:hAnsi="Arial" w:cs="Arial"/>
          <w:b/>
          <w:kern w:val="36"/>
          <w:sz w:val="48"/>
          <w:szCs w:val="48"/>
          <w14:ligatures w14:val="none"/>
        </w:rPr>
        <w:t>Student ID:</w:t>
      </w:r>
      <w:r>
        <w:rPr>
          <w:rFonts w:ascii="Times New Roman" w:eastAsia="Times New Roman" w:hAnsi="Times New Roman" w:cs="Times New Roman"/>
          <w:b/>
          <w:bCs/>
          <w:kern w:val="36"/>
          <w:sz w:val="48"/>
          <w:szCs w:val="48"/>
          <w14:ligatures w14:val="none"/>
        </w:rPr>
        <w:t xml:space="preserve"> </w:t>
      </w:r>
      <w:r w:rsidRPr="003804F8">
        <w:rPr>
          <w:rFonts w:ascii="Arial" w:eastAsia="Times New Roman" w:hAnsi="Arial" w:cs="Arial"/>
          <w:kern w:val="36"/>
          <w:sz w:val="48"/>
          <w:szCs w:val="48"/>
          <w14:ligatures w14:val="none"/>
        </w:rPr>
        <w:t>2309140</w:t>
      </w:r>
    </w:p>
    <w:p w14:paraId="554D2BF8" w14:textId="5C3D5850" w:rsidR="00BA3140" w:rsidRDefault="00B9340F"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804F8">
        <w:rPr>
          <w:rFonts w:ascii="Arial" w:eastAsia="Times New Roman" w:hAnsi="Arial" w:cs="Arial"/>
          <w:b/>
          <w:bCs/>
          <w:kern w:val="36"/>
          <w:sz w:val="48"/>
          <w:szCs w:val="48"/>
          <w14:ligatures w14:val="none"/>
        </w:rPr>
        <w:t>Lecture</w:t>
      </w:r>
      <w:r w:rsidR="00641815" w:rsidRPr="003804F8">
        <w:rPr>
          <w:rFonts w:ascii="Arial" w:eastAsia="Times New Roman" w:hAnsi="Arial" w:cs="Arial"/>
          <w:b/>
          <w:bCs/>
          <w:kern w:val="36"/>
          <w:sz w:val="48"/>
          <w:szCs w:val="48"/>
          <w14:ligatures w14:val="none"/>
        </w:rPr>
        <w:t>:</w:t>
      </w:r>
      <w:r w:rsidR="00641815">
        <w:rPr>
          <w:rFonts w:ascii="Times New Roman" w:eastAsia="Times New Roman" w:hAnsi="Times New Roman" w:cs="Times New Roman"/>
          <w:b/>
          <w:bCs/>
          <w:kern w:val="36"/>
          <w:sz w:val="48"/>
          <w:szCs w:val="48"/>
          <w14:ligatures w14:val="none"/>
        </w:rPr>
        <w:t xml:space="preserve"> </w:t>
      </w:r>
      <w:r w:rsidR="003804F8" w:rsidRPr="003804F8">
        <w:rPr>
          <w:rFonts w:ascii="Arial" w:eastAsia="Times New Roman" w:hAnsi="Arial" w:cs="Arial"/>
          <w:kern w:val="36"/>
          <w:sz w:val="48"/>
          <w:szCs w:val="48"/>
          <w14:ligatures w14:val="none"/>
        </w:rPr>
        <w:t>Junaid</w:t>
      </w:r>
      <w:r w:rsidRPr="003804F8">
        <w:rPr>
          <w:rFonts w:ascii="Arial" w:eastAsia="Times New Roman" w:hAnsi="Arial" w:cs="Arial"/>
          <w:kern w:val="36"/>
          <w:sz w:val="48"/>
          <w:szCs w:val="48"/>
          <w14:ligatures w14:val="none"/>
        </w:rPr>
        <w:t xml:space="preserve"> Sha</w:t>
      </w:r>
      <w:r w:rsidR="003804F8" w:rsidRPr="003804F8">
        <w:rPr>
          <w:rFonts w:ascii="Arial" w:eastAsia="Times New Roman" w:hAnsi="Arial" w:cs="Arial"/>
          <w:kern w:val="36"/>
          <w:sz w:val="48"/>
          <w:szCs w:val="48"/>
          <w14:ligatures w14:val="none"/>
        </w:rPr>
        <w:t>ikh</w:t>
      </w:r>
    </w:p>
    <w:p w14:paraId="52925A7F" w14:textId="2D077092" w:rsidR="00CC4EF7" w:rsidRPr="003804F8" w:rsidRDefault="00CC4EF7" w:rsidP="00852BCC">
      <w:pPr>
        <w:spacing w:before="100" w:beforeAutospacing="1" w:after="100" w:afterAutospacing="1" w:line="240" w:lineRule="auto"/>
        <w:outlineLvl w:val="0"/>
        <w:rPr>
          <w:rFonts w:ascii="Arial" w:eastAsia="Times New Roman" w:hAnsi="Arial" w:cs="Arial"/>
          <w:b/>
          <w:kern w:val="36"/>
          <w:sz w:val="48"/>
          <w:szCs w:val="48"/>
          <w14:ligatures w14:val="none"/>
        </w:rPr>
      </w:pPr>
      <w:r w:rsidRPr="003804F8">
        <w:rPr>
          <w:rFonts w:ascii="Arial" w:eastAsia="Times New Roman" w:hAnsi="Arial" w:cs="Arial"/>
          <w:b/>
          <w:bCs/>
          <w:kern w:val="36"/>
          <w:sz w:val="48"/>
          <w:szCs w:val="48"/>
          <w14:ligatures w14:val="none"/>
        </w:rPr>
        <w:t>Module:</w:t>
      </w:r>
      <w:r w:rsidR="003804F8">
        <w:rPr>
          <w:rFonts w:ascii="Arial" w:eastAsia="Times New Roman" w:hAnsi="Arial" w:cs="Arial"/>
          <w:b/>
          <w:bCs/>
          <w:kern w:val="36"/>
          <w:sz w:val="48"/>
          <w:szCs w:val="48"/>
          <w14:ligatures w14:val="none"/>
        </w:rPr>
        <w:t xml:space="preserve"> </w:t>
      </w:r>
      <w:r w:rsidR="00366CBD" w:rsidRPr="00C44103">
        <w:rPr>
          <w:rFonts w:ascii="Arial" w:eastAsia="Times New Roman" w:hAnsi="Arial" w:cs="Arial"/>
          <w:kern w:val="36"/>
          <w:sz w:val="48"/>
          <w:szCs w:val="48"/>
          <w14:ligatures w14:val="none"/>
        </w:rPr>
        <w:t>Health, W</w:t>
      </w:r>
      <w:r w:rsidR="00C44103" w:rsidRPr="00C44103">
        <w:rPr>
          <w:rFonts w:ascii="Arial" w:eastAsia="Times New Roman" w:hAnsi="Arial" w:cs="Arial"/>
          <w:kern w:val="36"/>
          <w:sz w:val="48"/>
          <w:szCs w:val="48"/>
          <w14:ligatures w14:val="none"/>
        </w:rPr>
        <w:t>ellbeing and Sustainable Development</w:t>
      </w:r>
    </w:p>
    <w:p w14:paraId="3B783589" w14:textId="01C51560" w:rsidR="00CC4EF7" w:rsidRPr="00366CBD" w:rsidRDefault="00CC4EF7" w:rsidP="00852BCC">
      <w:pPr>
        <w:spacing w:before="100" w:beforeAutospacing="1" w:after="100" w:afterAutospacing="1" w:line="240" w:lineRule="auto"/>
        <w:outlineLvl w:val="0"/>
        <w:rPr>
          <w:rFonts w:ascii="Arial" w:eastAsia="Times New Roman" w:hAnsi="Arial" w:cs="Arial"/>
          <w:kern w:val="36"/>
          <w:sz w:val="48"/>
          <w:szCs w:val="48"/>
          <w14:ligatures w14:val="none"/>
        </w:rPr>
      </w:pPr>
      <w:r w:rsidRPr="003804F8">
        <w:rPr>
          <w:rFonts w:ascii="Arial" w:eastAsia="Times New Roman" w:hAnsi="Arial" w:cs="Arial"/>
          <w:b/>
          <w:kern w:val="36"/>
          <w:sz w:val="48"/>
          <w:szCs w:val="48"/>
          <w14:ligatures w14:val="none"/>
        </w:rPr>
        <w:t>Module Code:</w:t>
      </w:r>
      <w:r w:rsidR="001E0FCF">
        <w:rPr>
          <w:rFonts w:ascii="Arial" w:eastAsia="Times New Roman" w:hAnsi="Arial" w:cs="Arial"/>
          <w:b/>
          <w:bCs/>
          <w:kern w:val="36"/>
          <w:sz w:val="48"/>
          <w:szCs w:val="48"/>
          <w14:ligatures w14:val="none"/>
        </w:rPr>
        <w:t xml:space="preserve"> </w:t>
      </w:r>
      <w:r w:rsidR="00366CBD" w:rsidRPr="00366CBD">
        <w:rPr>
          <w:rFonts w:ascii="Arial" w:eastAsia="Times New Roman" w:hAnsi="Arial" w:cs="Arial"/>
          <w:kern w:val="36"/>
          <w:sz w:val="48"/>
          <w:szCs w:val="48"/>
          <w14:ligatures w14:val="none"/>
        </w:rPr>
        <w:t>BMPH6030</w:t>
      </w:r>
    </w:p>
    <w:p w14:paraId="0BD1F9CA" w14:textId="5244FC66" w:rsidR="00CC4EF7" w:rsidRPr="006F6E0A" w:rsidRDefault="00CC4EF7" w:rsidP="00852BCC">
      <w:pPr>
        <w:spacing w:before="100" w:beforeAutospacing="1" w:after="100" w:afterAutospacing="1" w:line="240" w:lineRule="auto"/>
        <w:outlineLvl w:val="0"/>
        <w:rPr>
          <w:rFonts w:ascii="Arial" w:eastAsia="Times New Roman" w:hAnsi="Arial" w:cs="Arial"/>
          <w:kern w:val="36"/>
          <w:sz w:val="48"/>
          <w:szCs w:val="48"/>
          <w14:ligatures w14:val="none"/>
        </w:rPr>
      </w:pPr>
      <w:r w:rsidRPr="003804F8">
        <w:rPr>
          <w:rFonts w:ascii="Arial" w:eastAsia="Times New Roman" w:hAnsi="Arial" w:cs="Arial"/>
          <w:b/>
          <w:bCs/>
          <w:kern w:val="36"/>
          <w:sz w:val="48"/>
          <w:szCs w:val="48"/>
          <w14:ligatures w14:val="none"/>
        </w:rPr>
        <w:t>Assignment Tittle</w:t>
      </w:r>
      <w:r w:rsidR="00C02236" w:rsidRPr="003804F8">
        <w:rPr>
          <w:rFonts w:ascii="Arial" w:eastAsia="Times New Roman" w:hAnsi="Arial" w:cs="Arial"/>
          <w:b/>
          <w:bCs/>
          <w:kern w:val="36"/>
          <w:sz w:val="48"/>
          <w:szCs w:val="48"/>
          <w14:ligatures w14:val="none"/>
        </w:rPr>
        <w:t>:</w:t>
      </w:r>
      <w:r w:rsidR="00366CBD">
        <w:rPr>
          <w:rFonts w:ascii="Arial" w:eastAsia="Times New Roman" w:hAnsi="Arial" w:cs="Arial"/>
          <w:b/>
          <w:bCs/>
          <w:kern w:val="36"/>
          <w:sz w:val="48"/>
          <w:szCs w:val="48"/>
          <w14:ligatures w14:val="none"/>
        </w:rPr>
        <w:t xml:space="preserve"> </w:t>
      </w:r>
      <w:bookmarkStart w:id="0" w:name="_Int_pEtDjNgj"/>
      <w:r w:rsidR="00C74E0B" w:rsidRPr="006F6E0A">
        <w:rPr>
          <w:rFonts w:ascii="Arial" w:eastAsia="Times New Roman" w:hAnsi="Arial" w:cs="Arial"/>
          <w:kern w:val="36"/>
          <w:sz w:val="48"/>
          <w:szCs w:val="48"/>
          <w14:ligatures w14:val="none"/>
        </w:rPr>
        <w:t>Compon</w:t>
      </w:r>
      <w:r w:rsidR="00961FC0" w:rsidRPr="006F6E0A">
        <w:rPr>
          <w:rFonts w:ascii="Arial" w:eastAsia="Times New Roman" w:hAnsi="Arial" w:cs="Arial"/>
          <w:kern w:val="36"/>
          <w:sz w:val="48"/>
          <w:szCs w:val="48"/>
          <w14:ligatures w14:val="none"/>
        </w:rPr>
        <w:t>ent</w:t>
      </w:r>
      <w:bookmarkEnd w:id="0"/>
      <w:r w:rsidR="00961FC0" w:rsidRPr="006F6E0A">
        <w:rPr>
          <w:rFonts w:ascii="Arial" w:eastAsia="Times New Roman" w:hAnsi="Arial" w:cs="Arial"/>
          <w:kern w:val="36"/>
          <w:sz w:val="48"/>
          <w:szCs w:val="48"/>
          <w14:ligatures w14:val="none"/>
        </w:rPr>
        <w:t xml:space="preserve"> 2: Written Assignment</w:t>
      </w:r>
      <w:r w:rsidR="006F6E0A" w:rsidRPr="006F6E0A">
        <w:rPr>
          <w:rFonts w:ascii="Arial" w:eastAsia="Times New Roman" w:hAnsi="Arial" w:cs="Arial"/>
          <w:kern w:val="36"/>
          <w:sz w:val="48"/>
          <w:szCs w:val="48"/>
          <w14:ligatures w14:val="none"/>
        </w:rPr>
        <w:t xml:space="preserve"> (Report)</w:t>
      </w:r>
    </w:p>
    <w:p w14:paraId="2D1A6620" w14:textId="77777777" w:rsidR="00C02236" w:rsidRDefault="00C02236"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F1408C0" w14:textId="77777777" w:rsidR="00B9340F" w:rsidRDefault="00B9340F"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4A9DCDD" w14:textId="77777777" w:rsidR="00BA3140" w:rsidRDefault="00BA3140"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399160E" w14:textId="77777777" w:rsidR="00BA3140" w:rsidRDefault="00BA3140"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DC3FA3D" w14:textId="44B57AAF" w:rsidR="00080095" w:rsidRPr="003F3CF6" w:rsidRDefault="00080095" w:rsidP="003F3CF6">
      <w:pPr>
        <w:pStyle w:val="Heading1"/>
        <w:divId w:val="1556893499"/>
        <w:rPr>
          <w:rFonts w:ascii="Arial" w:hAnsi="Arial" w:cs="Arial"/>
          <w:b/>
          <w:bCs/>
        </w:rPr>
      </w:pPr>
      <w:r w:rsidRPr="003F3CF6">
        <w:rPr>
          <w:rFonts w:ascii="Arial" w:hAnsi="Arial" w:cs="Arial"/>
          <w:b/>
          <w:bCs/>
        </w:rPr>
        <w:lastRenderedPageBreak/>
        <w:t>Contents</w:t>
      </w:r>
      <w:r w:rsidR="004006E5" w:rsidRPr="003F3CF6">
        <w:rPr>
          <w:rFonts w:ascii="Arial" w:hAnsi="Arial" w:cs="Arial"/>
          <w:b/>
          <w:bCs/>
        </w:rPr>
        <w:t xml:space="preserve"> </w:t>
      </w:r>
      <w:r w:rsidR="006E2F44">
        <w:rPr>
          <w:rFonts w:ascii="Arial" w:hAnsi="Arial" w:cs="Arial"/>
          <w:b/>
          <w:bCs/>
        </w:rPr>
        <w:t>Page</w:t>
      </w:r>
    </w:p>
    <w:p w14:paraId="7D61FCAE" w14:textId="5568FDB5" w:rsidR="001602F7" w:rsidRDefault="001602F7"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bookmarkStart w:id="1" w:name="_Ref235044780"/>
      <w:r>
        <w:rPr>
          <w:rFonts w:ascii="Arial" w:eastAsia="Times New Roman" w:hAnsi="Arial" w:cs="Arial"/>
          <w:kern w:val="0"/>
          <w:sz w:val="22"/>
          <w:szCs w:val="22"/>
          <w14:ligatures w14:val="none"/>
        </w:rPr>
        <w:t>Cover pag</w:t>
      </w:r>
      <w:r w:rsidR="006E2F44">
        <w:rPr>
          <w:rFonts w:ascii="Arial" w:eastAsia="Times New Roman" w:hAnsi="Arial" w:cs="Arial"/>
          <w:kern w:val="0"/>
          <w:sz w:val="22"/>
          <w:szCs w:val="22"/>
          <w14:ligatures w14:val="none"/>
        </w:rPr>
        <w:t>e…………………………………</w:t>
      </w:r>
      <w:r w:rsidR="00AB046B">
        <w:rPr>
          <w:rFonts w:ascii="Arial" w:eastAsia="Times New Roman" w:hAnsi="Arial" w:cs="Arial"/>
          <w:kern w:val="0"/>
          <w:sz w:val="22"/>
          <w:szCs w:val="22"/>
          <w14:ligatures w14:val="none"/>
        </w:rPr>
        <w:t>1.</w:t>
      </w:r>
      <w:bookmarkEnd w:id="1"/>
    </w:p>
    <w:p w14:paraId="2C5BC38C" w14:textId="2A77D76C" w:rsidR="001703CC" w:rsidRDefault="001703CC"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Contents page…………………………………………...2</w:t>
      </w:r>
    </w:p>
    <w:p w14:paraId="7263E162" w14:textId="4D3CB0E9"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Introduction …………………………………………………………………</w:t>
      </w:r>
      <w:r w:rsidR="00EF6216">
        <w:rPr>
          <w:rFonts w:ascii="Arial" w:eastAsia="Times New Roman" w:hAnsi="Arial" w:cs="Arial"/>
          <w:kern w:val="0"/>
          <w:sz w:val="22"/>
          <w:szCs w:val="22"/>
          <w14:ligatures w14:val="none"/>
        </w:rPr>
        <w:t>3</w:t>
      </w:r>
    </w:p>
    <w:p w14:paraId="7CCA5AAB" w14:textId="69EB8BBC"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SDG 3: Good Health and Wellbeing …………………………………</w:t>
      </w:r>
      <w:r w:rsidR="0054296E">
        <w:rPr>
          <w:rFonts w:ascii="Arial" w:eastAsia="Times New Roman" w:hAnsi="Arial" w:cs="Arial"/>
          <w:kern w:val="0"/>
          <w:sz w:val="22"/>
          <w:szCs w:val="22"/>
          <w14:ligatures w14:val="none"/>
        </w:rPr>
        <w:t>3</w:t>
      </w:r>
    </w:p>
    <w:p w14:paraId="7A054BE0"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Global Policy Context</w:t>
      </w:r>
    </w:p>
    <w:p w14:paraId="383CD706"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United Kingdom Policy Context</w:t>
      </w:r>
    </w:p>
    <w:p w14:paraId="1111C465"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Local Implementation</w:t>
      </w:r>
    </w:p>
    <w:p w14:paraId="71A8078B"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Critical Evaluation and Recommendations</w:t>
      </w:r>
    </w:p>
    <w:p w14:paraId="563649D1" w14:textId="0C0489E3"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SDG 13: Climate Action ……………………………………………</w:t>
      </w:r>
      <w:r w:rsidR="001D32DC" w:rsidRPr="007B2729">
        <w:rPr>
          <w:rFonts w:ascii="Arial" w:eastAsia="Times New Roman" w:hAnsi="Arial" w:cs="Arial"/>
          <w:kern w:val="0"/>
          <w:sz w:val="22"/>
          <w:szCs w:val="22"/>
          <w14:ligatures w14:val="none"/>
        </w:rPr>
        <w:t>….</w:t>
      </w:r>
      <w:r w:rsidR="00FC3873">
        <w:rPr>
          <w:rFonts w:ascii="Arial" w:eastAsia="Times New Roman" w:hAnsi="Arial" w:cs="Arial"/>
          <w:kern w:val="0"/>
          <w:sz w:val="22"/>
          <w:szCs w:val="22"/>
          <w14:ligatures w14:val="none"/>
        </w:rPr>
        <w:t>7</w:t>
      </w:r>
    </w:p>
    <w:p w14:paraId="7BBACD89"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Global Policy Context</w:t>
      </w:r>
    </w:p>
    <w:p w14:paraId="486BEF37"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United Kingdom Policy Context</w:t>
      </w:r>
    </w:p>
    <w:p w14:paraId="6FC4E0C7"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Local Level Action: Birmingham</w:t>
      </w:r>
    </w:p>
    <w:p w14:paraId="6EF01D4A"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Critical Evaluation and Recommendations</w:t>
      </w:r>
    </w:p>
    <w:p w14:paraId="0CA08869" w14:textId="5104B5D1"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Integrating SDG 3 and SDG 13 ………………………………………</w:t>
      </w:r>
      <w:r w:rsidR="00142C31">
        <w:rPr>
          <w:rFonts w:ascii="Arial" w:eastAsia="Times New Roman" w:hAnsi="Arial" w:cs="Arial"/>
          <w:kern w:val="0"/>
          <w:sz w:val="22"/>
          <w:szCs w:val="22"/>
          <w14:ligatures w14:val="none"/>
        </w:rPr>
        <w:t>12</w:t>
      </w:r>
    </w:p>
    <w:p w14:paraId="059DE69C" w14:textId="123B90A9"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Conclusion ………………………………………………………………</w:t>
      </w:r>
      <w:r w:rsidR="001D32DC" w:rsidRPr="007B2729">
        <w:rPr>
          <w:rFonts w:ascii="Arial" w:eastAsia="Times New Roman" w:hAnsi="Arial" w:cs="Arial"/>
          <w:kern w:val="0"/>
          <w:sz w:val="22"/>
          <w:szCs w:val="22"/>
          <w14:ligatures w14:val="none"/>
        </w:rPr>
        <w:t>….</w:t>
      </w:r>
      <w:r w:rsidRPr="007B2729">
        <w:rPr>
          <w:rFonts w:ascii="Arial" w:eastAsia="Times New Roman" w:hAnsi="Arial" w:cs="Arial"/>
          <w:kern w:val="0"/>
          <w:sz w:val="22"/>
          <w:szCs w:val="22"/>
          <w14:ligatures w14:val="none"/>
        </w:rPr>
        <w:t>1</w:t>
      </w:r>
      <w:r w:rsidR="0098557B">
        <w:rPr>
          <w:rFonts w:ascii="Arial" w:eastAsia="Times New Roman" w:hAnsi="Arial" w:cs="Arial"/>
          <w:kern w:val="0"/>
          <w:sz w:val="22"/>
          <w:szCs w:val="22"/>
          <w14:ligatures w14:val="none"/>
        </w:rPr>
        <w:t>2</w:t>
      </w:r>
    </w:p>
    <w:p w14:paraId="15A4A692" w14:textId="0D0ED9C8"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080095">
        <w:rPr>
          <w:rFonts w:ascii="Arial" w:eastAsia="Times New Roman" w:hAnsi="Arial" w:cs="Arial"/>
          <w:kern w:val="0"/>
          <w:sz w:val="22"/>
          <w:szCs w:val="22"/>
          <w14:ligatures w14:val="none"/>
        </w:rPr>
        <w:t>References ………………………………………………………………</w:t>
      </w:r>
      <w:r w:rsidR="00E90AF3" w:rsidRPr="00080095">
        <w:rPr>
          <w:rFonts w:ascii="Arial" w:eastAsia="Times New Roman" w:hAnsi="Arial" w:cs="Arial"/>
          <w:kern w:val="0"/>
          <w:sz w:val="22"/>
          <w:szCs w:val="22"/>
          <w14:ligatures w14:val="none"/>
        </w:rPr>
        <w:t>…...</w:t>
      </w:r>
      <w:r w:rsidRPr="00080095">
        <w:rPr>
          <w:rFonts w:ascii="Arial" w:eastAsia="Times New Roman" w:hAnsi="Arial" w:cs="Arial"/>
          <w:kern w:val="0"/>
          <w:sz w:val="22"/>
          <w:szCs w:val="22"/>
          <w14:ligatures w14:val="none"/>
        </w:rPr>
        <w:t>1</w:t>
      </w:r>
      <w:r w:rsidR="00B05884">
        <w:rPr>
          <w:rFonts w:ascii="Arial" w:eastAsia="Times New Roman" w:hAnsi="Arial" w:cs="Arial"/>
          <w:kern w:val="0"/>
          <w:sz w:val="22"/>
          <w:szCs w:val="22"/>
          <w14:ligatures w14:val="none"/>
        </w:rPr>
        <w:t>6</w:t>
      </w:r>
    </w:p>
    <w:p w14:paraId="35CAAC91"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5DD16A1"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49AA79D"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4B03BD8"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C2B7CC2"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B62F741"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C973B29"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571D1A2"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E822334" w14:textId="1D7B3F99" w:rsidR="008120D5" w:rsidRPr="006E787D" w:rsidRDefault="00852BCC" w:rsidP="007A3B06">
      <w:pPr>
        <w:pStyle w:val="Heading1"/>
        <w:rPr>
          <w:rFonts w:ascii="Arial" w:eastAsia="Times New Roman" w:hAnsi="Arial" w:cs="Arial"/>
          <w:b/>
        </w:rPr>
      </w:pPr>
      <w:r w:rsidRPr="00D9588B">
        <w:rPr>
          <w:rFonts w:ascii="Arial" w:eastAsia="Times New Roman" w:hAnsi="Arial" w:cs="Arial"/>
          <w:b/>
        </w:rPr>
        <w:lastRenderedPageBreak/>
        <w:t>A Critical Examination of SDG 3 (Good Health and Wellbeing) and SDG 13 (Climate Action): Global, National and Local Analysis</w:t>
      </w:r>
    </w:p>
    <w:p w14:paraId="136FEFDD" w14:textId="1302D59E" w:rsidR="008120D5" w:rsidRDefault="007A3B06" w:rsidP="00852BCC">
      <w:pPr>
        <w:spacing w:after="0" w:line="240" w:lineRule="auto"/>
        <w:rPr>
          <w:rFonts w:ascii="Times New Roman" w:eastAsia="Times New Roman" w:hAnsi="Times New Roman" w:cs="Times New Roman"/>
          <w:kern w:val="0"/>
          <w14:ligatures w14:val="none"/>
        </w:rPr>
      </w:pPr>
      <w:r>
        <w:rPr>
          <w:noProof/>
        </w:rPr>
        <w:drawing>
          <wp:anchor distT="0" distB="0" distL="114300" distR="114300" simplePos="0" relativeHeight="251658241" behindDoc="0" locked="0" layoutInCell="1" allowOverlap="1" wp14:anchorId="343AF351" wp14:editId="55DCEBE7">
            <wp:simplePos x="0" y="0"/>
            <wp:positionH relativeFrom="margin">
              <wp:posOffset>741475</wp:posOffset>
            </wp:positionH>
            <wp:positionV relativeFrom="paragraph">
              <wp:posOffset>196675</wp:posOffset>
            </wp:positionV>
            <wp:extent cx="4138930" cy="1922145"/>
            <wp:effectExtent l="0" t="0" r="0" b="1905"/>
            <wp:wrapTopAndBottom/>
            <wp:docPr id="59609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93484" name=""/>
                    <pic:cNvPicPr/>
                  </pic:nvPicPr>
                  <pic:blipFill>
                    <a:blip r:embed="rId9"/>
                    <a:stretch>
                      <a:fillRect/>
                    </a:stretch>
                  </pic:blipFill>
                  <pic:spPr>
                    <a:xfrm>
                      <a:off x="0" y="0"/>
                      <a:ext cx="4138930" cy="1922145"/>
                    </a:xfrm>
                    <a:prstGeom prst="rect">
                      <a:avLst/>
                    </a:prstGeom>
                  </pic:spPr>
                </pic:pic>
              </a:graphicData>
            </a:graphic>
            <wp14:sizeRelH relativeFrom="margin">
              <wp14:pctWidth>0</wp14:pctWidth>
            </wp14:sizeRelH>
            <wp14:sizeRelV relativeFrom="margin">
              <wp14:pctHeight>0</wp14:pctHeight>
            </wp14:sizeRelV>
          </wp:anchor>
        </w:drawing>
      </w:r>
    </w:p>
    <w:p w14:paraId="00A32D93" w14:textId="77777777" w:rsidR="008120D5" w:rsidRDefault="008120D5" w:rsidP="00852BCC">
      <w:pPr>
        <w:spacing w:after="0" w:line="240" w:lineRule="auto"/>
        <w:rPr>
          <w:rFonts w:ascii="Times New Roman" w:eastAsia="Times New Roman" w:hAnsi="Times New Roman" w:cs="Times New Roman"/>
          <w:kern w:val="0"/>
          <w14:ligatures w14:val="none"/>
        </w:rPr>
      </w:pPr>
    </w:p>
    <w:tbl>
      <w:tblPr>
        <w:tblStyle w:val="TableGrid"/>
        <w:tblW w:w="0" w:type="auto"/>
        <w:tblLook w:val="04A0" w:firstRow="1" w:lastRow="0" w:firstColumn="1" w:lastColumn="0" w:noHBand="0" w:noVBand="1"/>
      </w:tblPr>
      <w:tblGrid>
        <w:gridCol w:w="9016"/>
      </w:tblGrid>
      <w:tr w:rsidR="009D3C8A" w14:paraId="5B8DE46A" w14:textId="77777777" w:rsidTr="00E504B1">
        <w:trPr>
          <w:trHeight w:val="1023"/>
        </w:trPr>
        <w:tc>
          <w:tcPr>
            <w:tcW w:w="9016" w:type="dxa"/>
          </w:tcPr>
          <w:p w14:paraId="6D751B7D" w14:textId="3EC5FD49" w:rsidR="007F7E77" w:rsidRPr="007F7E77" w:rsidRDefault="00CA22F9" w:rsidP="00EB3D6D">
            <w:pPr>
              <w:spacing w:before="100" w:beforeAutospacing="1" w:after="100" w:afterAutospacing="1" w:line="360" w:lineRule="auto"/>
              <w:divId w:val="106240612"/>
              <w:rPr>
                <w:rFonts w:ascii="Arial" w:eastAsia="Times New Roman" w:hAnsi="Arial" w:cs="Arial"/>
                <w:kern w:val="0"/>
                <w:sz w:val="22"/>
                <w:szCs w:val="22"/>
                <w14:ligatures w14:val="none"/>
              </w:rPr>
            </w:pPr>
            <w:r w:rsidRPr="00EB3D6D">
              <w:rPr>
                <w:rFonts w:ascii="Times New Roman" w:eastAsia="Times New Roman" w:hAnsi="Times New Roman" w:cs="Times New Roman"/>
                <w:b/>
                <w:kern w:val="0"/>
                <w14:ligatures w14:val="none"/>
              </w:rPr>
              <w:t>Fig</w:t>
            </w:r>
            <w:r w:rsidR="000315A3" w:rsidRPr="00EB3D6D">
              <w:rPr>
                <w:rFonts w:ascii="Times New Roman" w:eastAsia="Times New Roman" w:hAnsi="Times New Roman" w:cs="Times New Roman"/>
                <w:b/>
                <w:kern w:val="0"/>
                <w14:ligatures w14:val="none"/>
              </w:rPr>
              <w:t>ure1</w:t>
            </w:r>
            <w:r w:rsidR="00074B92" w:rsidRPr="00EB3D6D">
              <w:rPr>
                <w:rFonts w:ascii="Times New Roman" w:eastAsia="Times New Roman" w:hAnsi="Times New Roman" w:cs="Times New Roman"/>
                <w:b/>
                <w:kern w:val="0"/>
                <w14:ligatures w14:val="none"/>
              </w:rPr>
              <w:t>:</w:t>
            </w:r>
            <w:r w:rsidR="00074B92">
              <w:rPr>
                <w:rFonts w:ascii="Times New Roman" w:eastAsia="Times New Roman" w:hAnsi="Times New Roman" w:cs="Times New Roman"/>
                <w:kern w:val="0"/>
                <w14:ligatures w14:val="none"/>
              </w:rPr>
              <w:t xml:space="preserve"> </w:t>
            </w:r>
            <w:r w:rsidR="007F7E77" w:rsidRPr="007F7E77">
              <w:rPr>
                <w:rFonts w:ascii="Arial" w:eastAsia="Times New Roman" w:hAnsi="Arial" w:cs="Arial"/>
                <w:kern w:val="0"/>
                <w:sz w:val="22"/>
                <w:szCs w:val="22"/>
                <w14:ligatures w14:val="none"/>
              </w:rPr>
              <w:t>United Nations (n.d.) states that SDG 3 focuses on ensuring healthy lives and promoting well-being for all.</w:t>
            </w:r>
          </w:p>
          <w:p w14:paraId="79415CB1" w14:textId="77777777" w:rsidR="009D3C8A" w:rsidRDefault="009D3C8A" w:rsidP="00852BCC">
            <w:pPr>
              <w:rPr>
                <w:rFonts w:ascii="Times New Roman" w:eastAsia="Times New Roman" w:hAnsi="Times New Roman" w:cs="Times New Roman"/>
                <w:kern w:val="0"/>
                <w14:ligatures w14:val="none"/>
              </w:rPr>
            </w:pPr>
          </w:p>
        </w:tc>
      </w:tr>
    </w:tbl>
    <w:p w14:paraId="7463E479" w14:textId="77777777" w:rsidR="008120D5" w:rsidRPr="00852BCC" w:rsidRDefault="008120D5" w:rsidP="00852BCC">
      <w:pPr>
        <w:spacing w:after="0" w:line="240" w:lineRule="auto"/>
        <w:rPr>
          <w:rFonts w:ascii="Times New Roman" w:eastAsia="Times New Roman" w:hAnsi="Times New Roman" w:cs="Times New Roman"/>
          <w:kern w:val="0"/>
          <w14:ligatures w14:val="none"/>
        </w:rPr>
      </w:pPr>
    </w:p>
    <w:p w14:paraId="585F00F2" w14:textId="68F2D7FB" w:rsidR="00852BCC" w:rsidRPr="00B63A97" w:rsidRDefault="00852BCC" w:rsidP="00B72AA0">
      <w:pPr>
        <w:pStyle w:val="Heading1"/>
        <w:rPr>
          <w:rFonts w:ascii="Arial" w:hAnsi="Arial" w:cs="Arial"/>
          <w:b/>
        </w:rPr>
      </w:pPr>
      <w:r w:rsidRPr="00B63A97">
        <w:rPr>
          <w:rFonts w:ascii="Arial" w:hAnsi="Arial" w:cs="Arial"/>
          <w:b/>
        </w:rPr>
        <w:t xml:space="preserve">Introduction </w:t>
      </w:r>
    </w:p>
    <w:p w14:paraId="4FB431FC" w14:textId="0E97FEB8" w:rsidR="00852BCC" w:rsidRPr="003A42D9" w:rsidRDefault="00852BCC" w:rsidP="003A42D9">
      <w:pPr>
        <w:spacing w:before="100" w:beforeAutospacing="1" w:after="100" w:afterAutospacing="1" w:line="360" w:lineRule="auto"/>
        <w:rPr>
          <w:rFonts w:ascii="Arial" w:hAnsi="Arial" w:cs="Arial"/>
          <w:kern w:val="0"/>
          <w:sz w:val="22"/>
          <w:szCs w:val="22"/>
          <w14:ligatures w14:val="none"/>
        </w:rPr>
      </w:pPr>
      <w:r w:rsidRPr="003A42D9">
        <w:rPr>
          <w:rFonts w:ascii="Arial" w:hAnsi="Arial" w:cs="Arial"/>
          <w:kern w:val="0"/>
          <w:sz w:val="22"/>
          <w:szCs w:val="22"/>
          <w14:ligatures w14:val="none"/>
        </w:rPr>
        <w:t xml:space="preserve">The Sustainable Development Goals (SDGs), </w:t>
      </w:r>
      <w:r w:rsidR="00C02236" w:rsidRPr="003A42D9">
        <w:rPr>
          <w:rFonts w:ascii="Arial" w:hAnsi="Arial" w:cs="Arial"/>
          <w:kern w:val="0"/>
          <w:sz w:val="22"/>
          <w:szCs w:val="22"/>
          <w14:ligatures w14:val="none"/>
        </w:rPr>
        <w:t>proved</w:t>
      </w:r>
      <w:r w:rsidRPr="003A42D9">
        <w:rPr>
          <w:rFonts w:ascii="Arial" w:hAnsi="Arial" w:cs="Arial"/>
          <w:kern w:val="0"/>
          <w:sz w:val="22"/>
          <w:szCs w:val="22"/>
          <w14:ligatures w14:val="none"/>
        </w:rPr>
        <w:t xml:space="preserve"> by the United Nations in 2015, provide a comprehensive global framework for addressing interconnected challenges such as health inequalities, environmental degradation, and social injustice (United Nations, 2015). Among these</w:t>
      </w:r>
      <w:r w:rsidRPr="002028F9">
        <w:rPr>
          <w:rFonts w:ascii="Arial" w:hAnsi="Arial" w:cs="Arial"/>
          <w:color w:val="00B0F0"/>
          <w:kern w:val="0"/>
          <w:sz w:val="22"/>
          <w:szCs w:val="22"/>
          <w14:ligatures w14:val="none"/>
        </w:rPr>
        <w:t xml:space="preserve">, SDG 3: </w:t>
      </w:r>
      <w:r w:rsidRPr="003A42D9">
        <w:rPr>
          <w:rFonts w:ascii="Arial" w:hAnsi="Arial" w:cs="Arial"/>
          <w:kern w:val="0"/>
          <w:sz w:val="22"/>
          <w:szCs w:val="22"/>
          <w14:ligatures w14:val="none"/>
        </w:rPr>
        <w:t xml:space="preserve">Good Health and Wellbeing is central to improving population health outcomes and reducing global disparities. However, health </w:t>
      </w:r>
      <w:bookmarkStart w:id="2" w:name="_Int_O5zsNu5m"/>
      <w:r w:rsidRPr="003A42D9">
        <w:rPr>
          <w:rFonts w:ascii="Arial" w:hAnsi="Arial" w:cs="Arial"/>
          <w:kern w:val="0"/>
          <w:sz w:val="22"/>
          <w:szCs w:val="22"/>
          <w14:ligatures w14:val="none"/>
        </w:rPr>
        <w:t>is increasingly understood</w:t>
      </w:r>
      <w:bookmarkEnd w:id="2"/>
      <w:r w:rsidRPr="003A42D9">
        <w:rPr>
          <w:rFonts w:ascii="Arial" w:hAnsi="Arial" w:cs="Arial"/>
          <w:kern w:val="0"/>
          <w:sz w:val="22"/>
          <w:szCs w:val="22"/>
          <w14:ligatures w14:val="none"/>
        </w:rPr>
        <w:t xml:space="preserve"> as </w:t>
      </w:r>
      <w:bookmarkStart w:id="3" w:name="_Int_9O8XSyeB"/>
      <w:r w:rsidRPr="003A42D9">
        <w:rPr>
          <w:rFonts w:ascii="Arial" w:hAnsi="Arial" w:cs="Arial"/>
          <w:kern w:val="0"/>
          <w:sz w:val="22"/>
          <w:szCs w:val="22"/>
          <w14:ligatures w14:val="none"/>
        </w:rPr>
        <w:t>being shaped</w:t>
      </w:r>
      <w:bookmarkEnd w:id="3"/>
      <w:r w:rsidRPr="003A42D9">
        <w:rPr>
          <w:rFonts w:ascii="Arial" w:hAnsi="Arial" w:cs="Arial"/>
          <w:kern w:val="0"/>
          <w:sz w:val="22"/>
          <w:szCs w:val="22"/>
          <w14:ligatures w14:val="none"/>
        </w:rPr>
        <w:t xml:space="preserve"> by structural determinants beyond healthcare systems, including environmental sustainability, income distribution, and climate stability (Marmot, 2020; WHO, 2021).</w:t>
      </w:r>
    </w:p>
    <w:p w14:paraId="4EEE63DE" w14:textId="77777777" w:rsidR="00852BCC" w:rsidRPr="003A42D9" w:rsidRDefault="00852BCC" w:rsidP="003A42D9">
      <w:pPr>
        <w:spacing w:before="100" w:beforeAutospacing="1" w:after="100" w:afterAutospacing="1" w:line="360" w:lineRule="auto"/>
        <w:rPr>
          <w:rFonts w:ascii="Arial" w:hAnsi="Arial" w:cs="Arial"/>
          <w:kern w:val="0"/>
          <w:sz w:val="22"/>
          <w:szCs w:val="22"/>
          <w14:ligatures w14:val="none"/>
        </w:rPr>
      </w:pPr>
      <w:r w:rsidRPr="002028F9">
        <w:rPr>
          <w:rFonts w:ascii="Arial" w:hAnsi="Arial" w:cs="Arial"/>
          <w:b/>
          <w:color w:val="00B050"/>
          <w:kern w:val="0"/>
          <w:sz w:val="22"/>
          <w:szCs w:val="22"/>
          <w14:ligatures w14:val="none"/>
        </w:rPr>
        <w:t>SDG 13:</w:t>
      </w:r>
      <w:r w:rsidRPr="003A42D9">
        <w:rPr>
          <w:rFonts w:ascii="Arial" w:hAnsi="Arial" w:cs="Arial"/>
          <w:kern w:val="0"/>
          <w:sz w:val="22"/>
          <w:szCs w:val="22"/>
          <w14:ligatures w14:val="none"/>
        </w:rPr>
        <w:t xml:space="preserve"> Climate Action is therefore critically relevant, as climate change </w:t>
      </w:r>
      <w:bookmarkStart w:id="4" w:name="_Int_Cu21BLnS"/>
      <w:r w:rsidRPr="003A42D9">
        <w:rPr>
          <w:rFonts w:ascii="Arial" w:hAnsi="Arial" w:cs="Arial"/>
          <w:kern w:val="0"/>
          <w:sz w:val="22"/>
          <w:szCs w:val="22"/>
          <w14:ligatures w14:val="none"/>
        </w:rPr>
        <w:t>is now recognised</w:t>
      </w:r>
      <w:bookmarkEnd w:id="4"/>
      <w:r w:rsidRPr="003A42D9">
        <w:rPr>
          <w:rFonts w:ascii="Arial" w:hAnsi="Arial" w:cs="Arial"/>
          <w:kern w:val="0"/>
          <w:sz w:val="22"/>
          <w:szCs w:val="22"/>
          <w14:ligatures w14:val="none"/>
        </w:rPr>
        <w:t xml:space="preserve"> as one of the most significant global health threats of the 21st century (Watts et al., 2018; IPCC, 2022). Rising temperatures, air pollution, and extreme weather events directly and indirectly influence morbidity, mortality, and wellbeing.</w:t>
      </w:r>
    </w:p>
    <w:p w14:paraId="02A2CB14" w14:textId="77777777" w:rsidR="00021EE6" w:rsidRPr="00390AD0" w:rsidRDefault="00021EE6" w:rsidP="00390AD0">
      <w:pPr>
        <w:pStyle w:val="p1"/>
        <w:spacing w:line="360" w:lineRule="auto"/>
        <w:divId w:val="799691672"/>
        <w:rPr>
          <w:rFonts w:ascii="Arial" w:hAnsi="Arial" w:cs="Arial"/>
          <w:sz w:val="22"/>
          <w:szCs w:val="22"/>
        </w:rPr>
      </w:pPr>
      <w:r w:rsidRPr="00390AD0">
        <w:rPr>
          <w:rFonts w:ascii="Arial" w:hAnsi="Arial" w:cs="Arial"/>
          <w:sz w:val="22"/>
          <w:szCs w:val="22"/>
        </w:rPr>
        <w:t xml:space="preserve">This report critically evaluates SDG 3 and SDG 13 at global, national (United Kingdom), and local (Birmingham) levels. It applies theoretical perspectives including the Social </w:t>
      </w:r>
      <w:r w:rsidRPr="00390AD0">
        <w:rPr>
          <w:rFonts w:ascii="Arial" w:hAnsi="Arial" w:cs="Arial"/>
          <w:sz w:val="22"/>
          <w:szCs w:val="22"/>
        </w:rPr>
        <w:lastRenderedPageBreak/>
        <w:t>Determinants of Health model (Dahlgren and Whitehead, 1991), Health Belief Model (Rosenstock, 1974), and Social Cognitive Theory (Bandura, 1986) to examine policy effectiveness, inequalities, and barriers affecting sustainable development.</w:t>
      </w:r>
    </w:p>
    <w:p w14:paraId="28802F1E" w14:textId="4B43DBD3" w:rsidR="00852BCC" w:rsidRPr="00852BCC" w:rsidRDefault="00852BCC" w:rsidP="00852BCC">
      <w:pPr>
        <w:spacing w:after="0" w:line="240" w:lineRule="auto"/>
        <w:rPr>
          <w:rFonts w:ascii="Times New Roman" w:eastAsia="Times New Roman" w:hAnsi="Times New Roman" w:cs="Times New Roman"/>
          <w:kern w:val="0"/>
          <w14:ligatures w14:val="none"/>
        </w:rPr>
      </w:pPr>
    </w:p>
    <w:p w14:paraId="589C65E4" w14:textId="03F10CFB" w:rsidR="00852BCC" w:rsidRPr="00852BCC" w:rsidRDefault="00852BCC" w:rsidP="009100BD">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9100BD">
        <w:rPr>
          <w:rStyle w:val="Heading1Char"/>
          <w:rFonts w:ascii="Arial" w:hAnsi="Arial" w:cs="Arial"/>
          <w:b/>
        </w:rPr>
        <w:t>Section 1: SDG 3 – Good Health and Wellbeing</w:t>
      </w:r>
      <w:r w:rsidRPr="00852BCC">
        <w:rPr>
          <w:rFonts w:ascii="Times New Roman" w:eastAsia="Times New Roman" w:hAnsi="Times New Roman" w:cs="Times New Roman"/>
          <w:b/>
          <w:bCs/>
          <w:kern w:val="0"/>
          <w:sz w:val="36"/>
          <w:szCs w:val="36"/>
          <w14:ligatures w14:val="none"/>
        </w:rPr>
        <w:t xml:space="preserve"> </w:t>
      </w:r>
    </w:p>
    <w:p w14:paraId="6E302DEC" w14:textId="77777777" w:rsidR="00DC4825" w:rsidRDefault="00DC4825" w:rsidP="003C700C">
      <w:pPr>
        <w:pStyle w:val="p1"/>
        <w:spacing w:line="360" w:lineRule="auto"/>
        <w:divId w:val="1738935819"/>
        <w:rPr>
          <w:rFonts w:ascii="Arial" w:hAnsi="Arial" w:cs="Arial"/>
          <w:sz w:val="22"/>
          <w:szCs w:val="22"/>
        </w:rPr>
      </w:pPr>
      <w:r w:rsidRPr="003C700C">
        <w:rPr>
          <w:rFonts w:ascii="Arial" w:hAnsi="Arial" w:cs="Arial"/>
          <w:sz w:val="22"/>
          <w:szCs w:val="22"/>
        </w:rPr>
        <w:t xml:space="preserve">SDG 3 aims to ensure healthy lives and promote wellbeing for people of all ages, including improving maternal health, reducing communicable and non-communicable diseases, supporting mental health, and achieving universal health coverage (United Nations, 2015). Although global health improvements have increased life expectancy and reduced some diseases, significant inequalities </w:t>
      </w:r>
      <w:bookmarkStart w:id="5" w:name="_Int_ySpxvd1k"/>
      <w:r w:rsidRPr="003C700C">
        <w:rPr>
          <w:rFonts w:ascii="Arial" w:hAnsi="Arial" w:cs="Arial"/>
          <w:sz w:val="22"/>
          <w:szCs w:val="22"/>
        </w:rPr>
        <w:t>remain</w:t>
      </w:r>
      <w:bookmarkEnd w:id="5"/>
      <w:r w:rsidRPr="003C700C">
        <w:rPr>
          <w:rFonts w:ascii="Arial" w:hAnsi="Arial" w:cs="Arial"/>
          <w:sz w:val="22"/>
          <w:szCs w:val="22"/>
        </w:rPr>
        <w:t xml:space="preserve"> between and within countries (Marmot, 2020; Beaglehole et al., 2019).</w:t>
      </w:r>
    </w:p>
    <w:p w14:paraId="2437C3D3" w14:textId="77777777" w:rsidR="00B339C6" w:rsidRPr="003C700C" w:rsidRDefault="00B339C6" w:rsidP="003C700C">
      <w:pPr>
        <w:pStyle w:val="p1"/>
        <w:spacing w:line="360" w:lineRule="auto"/>
        <w:divId w:val="1738935819"/>
        <w:rPr>
          <w:rFonts w:ascii="Arial" w:hAnsi="Arial" w:cs="Arial"/>
          <w:sz w:val="22"/>
          <w:szCs w:val="22"/>
        </w:rPr>
      </w:pPr>
    </w:p>
    <w:p w14:paraId="6E19A81D" w14:textId="4AC07A61" w:rsidR="00EF0485" w:rsidRDefault="00DC4825" w:rsidP="003C700C">
      <w:pPr>
        <w:pStyle w:val="p2"/>
        <w:spacing w:line="360" w:lineRule="auto"/>
        <w:rPr>
          <w:rFonts w:ascii="Arial" w:hAnsi="Arial" w:cs="Arial"/>
          <w:sz w:val="22"/>
          <w:szCs w:val="22"/>
        </w:rPr>
      </w:pPr>
      <w:r w:rsidRPr="003C700C">
        <w:rPr>
          <w:rFonts w:ascii="Arial" w:hAnsi="Arial" w:cs="Arial"/>
          <w:sz w:val="22"/>
          <w:szCs w:val="22"/>
        </w:rPr>
        <w:t>Digital healthcare approaches such as telehealth can improve access to healthcare, particularly for people living in rural or underserved communities. Remote consultations reduce travel barriers and allow individuals to receive prompt support. Remote monitoring technologies also support people with long-term conditions, including diabetes and hypertension, by enabling early intervention, improving health outcomes, and reducing avoidable hospital admissions (World Health Organi</w:t>
      </w:r>
      <w:r w:rsidR="002733DF">
        <w:rPr>
          <w:rFonts w:ascii="Arial" w:hAnsi="Arial" w:cs="Arial"/>
          <w:sz w:val="22"/>
          <w:szCs w:val="22"/>
        </w:rPr>
        <w:t>s</w:t>
      </w:r>
      <w:r w:rsidRPr="003C700C">
        <w:rPr>
          <w:rFonts w:ascii="Arial" w:hAnsi="Arial" w:cs="Arial"/>
          <w:sz w:val="22"/>
          <w:szCs w:val="22"/>
        </w:rPr>
        <w:t>ation, 202</w:t>
      </w:r>
      <w:r w:rsidR="00225C2A">
        <w:rPr>
          <w:rFonts w:ascii="Arial" w:hAnsi="Arial" w:cs="Arial"/>
          <w:sz w:val="22"/>
          <w:szCs w:val="22"/>
        </w:rPr>
        <w:t>3</w:t>
      </w:r>
      <w:r w:rsidRPr="003C700C">
        <w:rPr>
          <w:rFonts w:ascii="Arial" w:hAnsi="Arial" w:cs="Arial"/>
          <w:sz w:val="22"/>
          <w:szCs w:val="22"/>
        </w:rPr>
        <w:t>).</w:t>
      </w:r>
    </w:p>
    <w:p w14:paraId="28303BFB" w14:textId="77777777" w:rsidR="00B339C6" w:rsidRPr="003C700C" w:rsidRDefault="00B339C6" w:rsidP="003C700C">
      <w:pPr>
        <w:pStyle w:val="p2"/>
        <w:spacing w:line="360" w:lineRule="auto"/>
        <w:rPr>
          <w:rFonts w:ascii="Arial" w:hAnsi="Arial" w:cs="Arial"/>
          <w:sz w:val="22"/>
          <w:szCs w:val="22"/>
        </w:rPr>
      </w:pPr>
    </w:p>
    <w:p w14:paraId="1BB24A64" w14:textId="49AA4D23" w:rsidR="00E77712" w:rsidRPr="00B339C6" w:rsidRDefault="00E77712" w:rsidP="00B339C6">
      <w:pPr>
        <w:pStyle w:val="p1"/>
        <w:spacing w:line="360" w:lineRule="auto"/>
        <w:divId w:val="1517118420"/>
        <w:rPr>
          <w:rFonts w:ascii="Arial" w:hAnsi="Arial" w:cs="Arial"/>
          <w:sz w:val="22"/>
          <w:szCs w:val="22"/>
        </w:rPr>
      </w:pPr>
      <w:r w:rsidRPr="00B339C6">
        <w:rPr>
          <w:rFonts w:ascii="Arial" w:hAnsi="Arial" w:cs="Arial"/>
          <w:sz w:val="22"/>
          <w:szCs w:val="22"/>
        </w:rPr>
        <w:t>However, digital exclusion and data privacy concerns may limit the effectiveness of telehealth (United Nations Inter-Agency Task Team on Science, Technology, and Innovation for the SDGs and UNIDO, 2022).</w:t>
      </w:r>
    </w:p>
    <w:p w14:paraId="27900078" w14:textId="77777777" w:rsidR="00E77712" w:rsidRPr="003C700C" w:rsidRDefault="00E77712" w:rsidP="003C700C">
      <w:pPr>
        <w:pStyle w:val="p2"/>
        <w:spacing w:line="360" w:lineRule="auto"/>
        <w:rPr>
          <w:rFonts w:ascii="Arial" w:hAnsi="Arial" w:cs="Arial"/>
          <w:sz w:val="22"/>
          <w:szCs w:val="22"/>
        </w:rPr>
      </w:pPr>
    </w:p>
    <w:p w14:paraId="3DE40DB8" w14:textId="77777777" w:rsidR="00EF0485" w:rsidRPr="00B54120" w:rsidRDefault="00EF0485" w:rsidP="00B54120">
      <w:pPr>
        <w:spacing w:before="100" w:beforeAutospacing="1" w:after="100" w:afterAutospacing="1" w:line="360" w:lineRule="auto"/>
        <w:rPr>
          <w:rFonts w:ascii="Arial" w:hAnsi="Arial" w:cs="Arial"/>
          <w:kern w:val="0"/>
          <w:sz w:val="22"/>
          <w:szCs w:val="22"/>
          <w14:ligatures w14:val="none"/>
        </w:rPr>
      </w:pPr>
    </w:p>
    <w:p w14:paraId="5DBE69CC" w14:textId="19F518CF" w:rsidR="00852BCC" w:rsidRDefault="001121CD" w:rsidP="00B54120">
      <w:pPr>
        <w:pStyle w:val="Heading1"/>
        <w:rPr>
          <w:rFonts w:ascii="Arial" w:eastAsia="Times New Roman" w:hAnsi="Arial" w:cs="Arial"/>
          <w:b/>
        </w:rPr>
      </w:pPr>
      <w:r>
        <w:rPr>
          <w:noProof/>
        </w:rPr>
        <w:lastRenderedPageBreak/>
        <w:drawing>
          <wp:anchor distT="0" distB="0" distL="114300" distR="114300" simplePos="0" relativeHeight="251658242" behindDoc="0" locked="0" layoutInCell="1" allowOverlap="1" wp14:anchorId="7DBAEB21" wp14:editId="3B057DC1">
            <wp:simplePos x="0" y="0"/>
            <wp:positionH relativeFrom="margin">
              <wp:align>left</wp:align>
            </wp:positionH>
            <wp:positionV relativeFrom="paragraph">
              <wp:posOffset>558800</wp:posOffset>
            </wp:positionV>
            <wp:extent cx="5434330" cy="2005330"/>
            <wp:effectExtent l="0" t="0" r="0" b="0"/>
            <wp:wrapTopAndBottom/>
            <wp:docPr id="179147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75515" name=""/>
                    <pic:cNvPicPr/>
                  </pic:nvPicPr>
                  <pic:blipFill>
                    <a:blip r:embed="rId10"/>
                    <a:stretch>
                      <a:fillRect/>
                    </a:stretch>
                  </pic:blipFill>
                  <pic:spPr>
                    <a:xfrm>
                      <a:off x="0" y="0"/>
                      <a:ext cx="5449872" cy="2011516"/>
                    </a:xfrm>
                    <a:prstGeom prst="rect">
                      <a:avLst/>
                    </a:prstGeom>
                  </pic:spPr>
                </pic:pic>
              </a:graphicData>
            </a:graphic>
            <wp14:sizeRelH relativeFrom="margin">
              <wp14:pctWidth>0</wp14:pctWidth>
            </wp14:sizeRelH>
            <wp14:sizeRelV relativeFrom="margin">
              <wp14:pctHeight>0</wp14:pctHeight>
            </wp14:sizeRelV>
          </wp:anchor>
        </w:drawing>
      </w:r>
      <w:r w:rsidR="00852BCC" w:rsidRPr="00B54120">
        <w:rPr>
          <w:rFonts w:ascii="Arial" w:eastAsia="Times New Roman" w:hAnsi="Arial" w:cs="Arial"/>
          <w:b/>
        </w:rPr>
        <w:t>Global Policy Context</w:t>
      </w:r>
    </w:p>
    <w:p w14:paraId="5872ABF7" w14:textId="575E8203" w:rsidR="00311E6A" w:rsidRDefault="00311E6A" w:rsidP="00311E6A"/>
    <w:tbl>
      <w:tblPr>
        <w:tblStyle w:val="TableGrid"/>
        <w:tblpPr w:leftFromText="180" w:rightFromText="180" w:vertAnchor="text" w:horzAnchor="margin" w:tblpY="3"/>
        <w:tblW w:w="0" w:type="auto"/>
        <w:tblLook w:val="04A0" w:firstRow="1" w:lastRow="0" w:firstColumn="1" w:lastColumn="0" w:noHBand="0" w:noVBand="1"/>
      </w:tblPr>
      <w:tblGrid>
        <w:gridCol w:w="9016"/>
      </w:tblGrid>
      <w:tr w:rsidR="00FB0D43" w14:paraId="20AA1691" w14:textId="77777777" w:rsidTr="00FB0D43">
        <w:tc>
          <w:tcPr>
            <w:tcW w:w="9016" w:type="dxa"/>
          </w:tcPr>
          <w:p w14:paraId="0EC97177" w14:textId="1B7819B6" w:rsidR="00FB0D43" w:rsidRPr="007C1CDD" w:rsidRDefault="00FB0D43" w:rsidP="00FB0D43">
            <w:pPr>
              <w:pStyle w:val="p1"/>
              <w:spacing w:line="360" w:lineRule="auto"/>
              <w:rPr>
                <w:rFonts w:ascii="Arial" w:hAnsi="Arial" w:cs="Arial"/>
                <w:sz w:val="22"/>
                <w:szCs w:val="22"/>
              </w:rPr>
            </w:pPr>
            <w:r w:rsidRPr="007C1CDD">
              <w:rPr>
                <w:rFonts w:ascii="Arial" w:hAnsi="Arial" w:cs="Arial"/>
                <w:b/>
                <w:sz w:val="22"/>
                <w:szCs w:val="22"/>
              </w:rPr>
              <w:t>Figure2:</w:t>
            </w:r>
            <w:r>
              <w:t xml:space="preserve"> </w:t>
            </w:r>
            <w:r w:rsidRPr="007C1CDD">
              <w:rPr>
                <w:rFonts w:ascii="Arial" w:hAnsi="Arial" w:cs="Arial"/>
                <w:sz w:val="22"/>
                <w:szCs w:val="22"/>
              </w:rPr>
              <w:t xml:space="preserve">Climate adaptation should address gender inequalities affecting vulnerable groups </w:t>
            </w:r>
            <w:r w:rsidR="0086683A">
              <w:rPr>
                <w:rFonts w:ascii="Arial" w:hAnsi="Arial" w:cs="Arial"/>
                <w:sz w:val="22"/>
                <w:szCs w:val="22"/>
              </w:rPr>
              <w:t>(Un</w:t>
            </w:r>
            <w:r w:rsidR="005935B9">
              <w:rPr>
                <w:rFonts w:ascii="Arial" w:hAnsi="Arial" w:cs="Arial"/>
                <w:sz w:val="22"/>
                <w:szCs w:val="22"/>
              </w:rPr>
              <w:t>ited Nation</w:t>
            </w:r>
            <w:r w:rsidR="00735A8F">
              <w:rPr>
                <w:rFonts w:ascii="Arial" w:hAnsi="Arial" w:cs="Arial"/>
                <w:sz w:val="22"/>
                <w:szCs w:val="22"/>
              </w:rPr>
              <w:t>s De</w:t>
            </w:r>
            <w:r w:rsidR="00FB207F">
              <w:rPr>
                <w:rFonts w:ascii="Arial" w:hAnsi="Arial" w:cs="Arial"/>
                <w:sz w:val="22"/>
                <w:szCs w:val="22"/>
              </w:rPr>
              <w:t xml:space="preserve">velopment </w:t>
            </w:r>
            <w:r w:rsidR="00006030">
              <w:rPr>
                <w:rFonts w:ascii="Arial" w:hAnsi="Arial" w:cs="Arial"/>
                <w:sz w:val="22"/>
                <w:szCs w:val="22"/>
              </w:rPr>
              <w:t>Programme</w:t>
            </w:r>
            <w:r w:rsidR="00463958">
              <w:rPr>
                <w:rFonts w:ascii="Arial" w:hAnsi="Arial" w:cs="Arial"/>
                <w:sz w:val="22"/>
                <w:szCs w:val="22"/>
              </w:rPr>
              <w:t>,</w:t>
            </w:r>
            <w:r w:rsidR="00EA406C">
              <w:rPr>
                <w:rFonts w:ascii="Arial" w:hAnsi="Arial" w:cs="Arial"/>
                <w:sz w:val="22"/>
                <w:szCs w:val="22"/>
              </w:rPr>
              <w:t xml:space="preserve"> </w:t>
            </w:r>
            <w:r w:rsidR="007E62C0">
              <w:rPr>
                <w:rFonts w:ascii="Arial" w:hAnsi="Arial" w:cs="Arial"/>
                <w:sz w:val="22"/>
                <w:szCs w:val="22"/>
              </w:rPr>
              <w:t>n</w:t>
            </w:r>
            <w:r w:rsidR="00EA406C">
              <w:rPr>
                <w:rFonts w:ascii="Arial" w:hAnsi="Arial" w:cs="Arial"/>
                <w:sz w:val="22"/>
                <w:szCs w:val="22"/>
              </w:rPr>
              <w:t>.d.</w:t>
            </w:r>
            <w:r w:rsidR="005B03E4">
              <w:rPr>
                <w:rFonts w:ascii="Arial" w:hAnsi="Arial" w:cs="Arial"/>
                <w:sz w:val="22"/>
                <w:szCs w:val="22"/>
              </w:rPr>
              <w:t>)</w:t>
            </w:r>
          </w:p>
          <w:p w14:paraId="6112934F" w14:textId="77777777" w:rsidR="00FB0D43" w:rsidRDefault="00FB0D43" w:rsidP="00FB0D43"/>
        </w:tc>
      </w:tr>
    </w:tbl>
    <w:p w14:paraId="1E3CBD0F" w14:textId="77777777" w:rsidR="00311E6A" w:rsidRPr="00311E6A" w:rsidRDefault="00311E6A" w:rsidP="00311E6A"/>
    <w:p w14:paraId="58D9737A" w14:textId="7306A12E" w:rsidR="00774FDC" w:rsidRPr="00847F65" w:rsidRDefault="00774FDC" w:rsidP="00847F65">
      <w:pPr>
        <w:pStyle w:val="p1"/>
        <w:spacing w:line="360" w:lineRule="auto"/>
        <w:divId w:val="1678727814"/>
        <w:rPr>
          <w:rFonts w:ascii="Arial" w:hAnsi="Arial" w:cs="Arial"/>
          <w:sz w:val="22"/>
          <w:szCs w:val="22"/>
        </w:rPr>
      </w:pPr>
      <w:r w:rsidRPr="00847F65">
        <w:rPr>
          <w:rFonts w:ascii="Arial" w:hAnsi="Arial" w:cs="Arial"/>
          <w:sz w:val="22"/>
          <w:szCs w:val="22"/>
        </w:rPr>
        <w:t>At a global level, the World Health Organi</w:t>
      </w:r>
      <w:r w:rsidR="005C3E5C">
        <w:rPr>
          <w:rFonts w:ascii="Arial" w:hAnsi="Arial" w:cs="Arial"/>
          <w:sz w:val="22"/>
          <w:szCs w:val="22"/>
        </w:rPr>
        <w:t>s</w:t>
      </w:r>
      <w:r w:rsidRPr="00847F65">
        <w:rPr>
          <w:rFonts w:ascii="Arial" w:hAnsi="Arial" w:cs="Arial"/>
          <w:sz w:val="22"/>
          <w:szCs w:val="22"/>
        </w:rPr>
        <w:t xml:space="preserve">ation (WHO) supports international health governance through initiatives such as the Global Action Plan for Healthy Lives and Well-being for All, which promotes collaboration between organisations and improved health system efficiency (WHO, 2019). However, global health governance </w:t>
      </w:r>
      <w:bookmarkStart w:id="6" w:name="_Int_eZXM7Vmy"/>
      <w:r w:rsidRPr="00847F65">
        <w:rPr>
          <w:rFonts w:ascii="Arial" w:hAnsi="Arial" w:cs="Arial"/>
          <w:sz w:val="22"/>
          <w:szCs w:val="22"/>
        </w:rPr>
        <w:t>remains</w:t>
      </w:r>
      <w:bookmarkEnd w:id="6"/>
      <w:r w:rsidRPr="00847F65">
        <w:rPr>
          <w:rFonts w:ascii="Arial" w:hAnsi="Arial" w:cs="Arial"/>
          <w:sz w:val="22"/>
          <w:szCs w:val="22"/>
        </w:rPr>
        <w:t xml:space="preserve"> affected by political and economic inequalities, limiting equal participation among countries (Kickbusch and Lister, 2016; Yamey et al., 2020).</w:t>
      </w:r>
    </w:p>
    <w:p w14:paraId="292FE1F8" w14:textId="1EDABE96" w:rsidR="00774FDC" w:rsidRPr="00847F65" w:rsidRDefault="00774FDC" w:rsidP="00847F65">
      <w:pPr>
        <w:pStyle w:val="p1"/>
        <w:spacing w:line="360" w:lineRule="auto"/>
        <w:divId w:val="1678727814"/>
        <w:rPr>
          <w:rFonts w:ascii="Arial" w:hAnsi="Arial" w:cs="Arial"/>
          <w:sz w:val="22"/>
          <w:szCs w:val="22"/>
        </w:rPr>
      </w:pPr>
      <w:r w:rsidRPr="00847F65">
        <w:rPr>
          <w:rFonts w:ascii="Arial" w:hAnsi="Arial" w:cs="Arial"/>
          <w:sz w:val="22"/>
          <w:szCs w:val="22"/>
        </w:rPr>
        <w:t>The COVID-19 pandemic exposed weaknesses within global health systems, particularly through unequal vaccine distribution. High-income countries secured greater vaccine access, highlighting continuing inequalities and limitations in achieving global health equity (Yamey et al., 2020).</w:t>
      </w:r>
    </w:p>
    <w:p w14:paraId="2CFCA7FC" w14:textId="77777777" w:rsidR="00774FDC" w:rsidRPr="00847F65" w:rsidRDefault="00774FDC" w:rsidP="00847F65">
      <w:pPr>
        <w:pStyle w:val="p2"/>
        <w:spacing w:line="360" w:lineRule="auto"/>
        <w:divId w:val="1678727814"/>
        <w:rPr>
          <w:rFonts w:ascii="Arial" w:hAnsi="Arial" w:cs="Arial"/>
          <w:sz w:val="22"/>
          <w:szCs w:val="22"/>
        </w:rPr>
      </w:pPr>
      <w:r w:rsidRPr="00847F65">
        <w:rPr>
          <w:rFonts w:ascii="Arial" w:hAnsi="Arial" w:cs="Arial"/>
          <w:sz w:val="22"/>
          <w:szCs w:val="22"/>
        </w:rPr>
        <w:t xml:space="preserve">The Social Determinants of Health model (Dahlgren and Whitehead, 1991) </w:t>
      </w:r>
      <w:bookmarkStart w:id="7" w:name="_Int_V7gerdna"/>
      <w:r w:rsidRPr="00847F65">
        <w:rPr>
          <w:rFonts w:ascii="Arial" w:hAnsi="Arial" w:cs="Arial"/>
          <w:sz w:val="22"/>
          <w:szCs w:val="22"/>
        </w:rPr>
        <w:t>demonstrates</w:t>
      </w:r>
      <w:bookmarkEnd w:id="7"/>
      <w:r w:rsidRPr="00847F65">
        <w:rPr>
          <w:rFonts w:ascii="Arial" w:hAnsi="Arial" w:cs="Arial"/>
          <w:sz w:val="22"/>
          <w:szCs w:val="22"/>
        </w:rPr>
        <w:t xml:space="preserve"> that health outcomes </w:t>
      </w:r>
      <w:bookmarkStart w:id="8" w:name="_Int_OyMaVD9K"/>
      <w:r w:rsidRPr="00847F65">
        <w:rPr>
          <w:rFonts w:ascii="Arial" w:hAnsi="Arial" w:cs="Arial"/>
          <w:sz w:val="22"/>
          <w:szCs w:val="22"/>
        </w:rPr>
        <w:t>are shaped</w:t>
      </w:r>
      <w:bookmarkEnd w:id="8"/>
      <w:r w:rsidRPr="00847F65">
        <w:rPr>
          <w:rFonts w:ascii="Arial" w:hAnsi="Arial" w:cs="Arial"/>
          <w:sz w:val="22"/>
          <w:szCs w:val="22"/>
        </w:rPr>
        <w:t xml:space="preserve"> by wider social, economic, and environmental conditions rather than healthcare services alone. Therefore, improving health requires addressing poverty, education, housing, and employment inequalities alongside medical interventions (Marmot, 2020).</w:t>
      </w:r>
    </w:p>
    <w:p w14:paraId="19347CCA" w14:textId="77777777" w:rsidR="00A43D2C" w:rsidRPr="00A43D2C" w:rsidRDefault="00A43D2C" w:rsidP="00A43D2C"/>
    <w:p w14:paraId="3DF28E2A" w14:textId="6BD64F2E" w:rsidR="00852BCC" w:rsidRPr="00B54120" w:rsidRDefault="00852BCC" w:rsidP="00B54120">
      <w:pPr>
        <w:pStyle w:val="Heading1"/>
        <w:rPr>
          <w:rFonts w:ascii="Arial" w:eastAsia="Times New Roman" w:hAnsi="Arial" w:cs="Arial"/>
          <w:b/>
        </w:rPr>
      </w:pPr>
      <w:r w:rsidRPr="00B54120">
        <w:rPr>
          <w:rFonts w:ascii="Arial" w:eastAsia="Times New Roman" w:hAnsi="Arial" w:cs="Arial"/>
          <w:b/>
        </w:rPr>
        <w:lastRenderedPageBreak/>
        <w:t xml:space="preserve">United Kingdom Policy </w:t>
      </w:r>
      <w:r w:rsidR="00EC0E4F" w:rsidRPr="00B54120">
        <w:rPr>
          <w:rFonts w:ascii="Arial" w:eastAsia="Times New Roman" w:hAnsi="Arial" w:cs="Arial"/>
          <w:b/>
        </w:rPr>
        <w:t>Context</w:t>
      </w:r>
    </w:p>
    <w:p w14:paraId="09418C27" w14:textId="77777777" w:rsidR="008E0AE6" w:rsidRDefault="008E0AE6" w:rsidP="008E0AE6"/>
    <w:p w14:paraId="75623817" w14:textId="77777777" w:rsidR="00EC0E4F" w:rsidRPr="002670C5" w:rsidRDefault="00EC0E4F" w:rsidP="002670C5">
      <w:pPr>
        <w:pStyle w:val="p1"/>
        <w:spacing w:line="360" w:lineRule="auto"/>
        <w:divId w:val="396900198"/>
        <w:rPr>
          <w:rStyle w:val="s1"/>
          <w:rFonts w:ascii="Arial" w:hAnsi="Arial" w:cs="Arial"/>
          <w:sz w:val="22"/>
          <w:szCs w:val="22"/>
        </w:rPr>
      </w:pPr>
      <w:r w:rsidRPr="002670C5">
        <w:rPr>
          <w:rFonts w:ascii="Arial" w:hAnsi="Arial" w:cs="Arial"/>
          <w:sz w:val="22"/>
          <w:szCs w:val="22"/>
        </w:rPr>
        <w:t xml:space="preserve">In the UK, SDG 3 </w:t>
      </w:r>
      <w:bookmarkStart w:id="9" w:name="_Int_mp6PPfd2"/>
      <w:r w:rsidRPr="002670C5">
        <w:rPr>
          <w:rFonts w:ascii="Arial" w:hAnsi="Arial" w:cs="Arial"/>
          <w:sz w:val="22"/>
          <w:szCs w:val="22"/>
        </w:rPr>
        <w:t>is supported</w:t>
      </w:r>
      <w:bookmarkEnd w:id="9"/>
      <w:r w:rsidRPr="002670C5">
        <w:rPr>
          <w:rFonts w:ascii="Arial" w:hAnsi="Arial" w:cs="Arial"/>
          <w:sz w:val="22"/>
          <w:szCs w:val="22"/>
        </w:rPr>
        <w:t xml:space="preserve"> through the National Health Service (NHS) and public health strategies such as </w:t>
      </w:r>
      <w:r w:rsidRPr="006607D0">
        <w:rPr>
          <w:rStyle w:val="s2"/>
          <w:rFonts w:ascii="Arial" w:hAnsi="Arial" w:cs="Arial"/>
          <w:sz w:val="22"/>
          <w:szCs w:val="22"/>
        </w:rPr>
        <w:t>Prevention is Better than Cure</w:t>
      </w:r>
      <w:r w:rsidRPr="006607D0">
        <w:rPr>
          <w:rStyle w:val="s1"/>
          <w:rFonts w:ascii="Arial" w:hAnsi="Arial" w:cs="Arial"/>
          <w:sz w:val="22"/>
          <w:szCs w:val="22"/>
        </w:rPr>
        <w:t>,</w:t>
      </w:r>
      <w:r w:rsidRPr="002670C5">
        <w:rPr>
          <w:rStyle w:val="s1"/>
          <w:rFonts w:ascii="Arial" w:hAnsi="Arial" w:cs="Arial"/>
          <w:sz w:val="22"/>
          <w:szCs w:val="22"/>
        </w:rPr>
        <w:t xml:space="preserve"> which focus on prevention, early intervention, and reducing long-term health conditions (Department of Health and Social Care, 2018). Integrated care approaches aim to improve collaboration between healthcare and social care services (NHS England, 2021).</w:t>
      </w:r>
    </w:p>
    <w:p w14:paraId="540EB8F3" w14:textId="77777777" w:rsidR="00EC0E4F" w:rsidRPr="002670C5" w:rsidRDefault="00EC0E4F" w:rsidP="002670C5">
      <w:pPr>
        <w:pStyle w:val="p1"/>
        <w:spacing w:line="360" w:lineRule="auto"/>
        <w:divId w:val="396900198"/>
        <w:rPr>
          <w:rFonts w:ascii="Arial" w:hAnsi="Arial" w:cs="Arial"/>
          <w:sz w:val="22"/>
          <w:szCs w:val="22"/>
        </w:rPr>
      </w:pPr>
      <w:r w:rsidRPr="002670C5">
        <w:rPr>
          <w:rFonts w:ascii="Arial" w:hAnsi="Arial" w:cs="Arial"/>
          <w:sz w:val="22"/>
          <w:szCs w:val="22"/>
        </w:rPr>
        <w:t xml:space="preserve">However, significant health inequalities </w:t>
      </w:r>
      <w:bookmarkStart w:id="10" w:name="_Int_uVyT5tk4"/>
      <w:r w:rsidRPr="002670C5">
        <w:rPr>
          <w:rFonts w:ascii="Arial" w:hAnsi="Arial" w:cs="Arial"/>
          <w:sz w:val="22"/>
          <w:szCs w:val="22"/>
        </w:rPr>
        <w:t>remain</w:t>
      </w:r>
      <w:bookmarkEnd w:id="10"/>
      <w:r w:rsidRPr="002670C5">
        <w:rPr>
          <w:rFonts w:ascii="Arial" w:hAnsi="Arial" w:cs="Arial"/>
          <w:sz w:val="22"/>
          <w:szCs w:val="22"/>
        </w:rPr>
        <w:t xml:space="preserve">. Marmot (2020) </w:t>
      </w:r>
      <w:bookmarkStart w:id="11" w:name="_Int_MvEJNR5b"/>
      <w:r w:rsidRPr="002670C5">
        <w:rPr>
          <w:rFonts w:ascii="Arial" w:hAnsi="Arial" w:cs="Arial"/>
          <w:sz w:val="22"/>
          <w:szCs w:val="22"/>
        </w:rPr>
        <w:t>identified</w:t>
      </w:r>
      <w:bookmarkEnd w:id="11"/>
      <w:r w:rsidRPr="002670C5">
        <w:rPr>
          <w:rFonts w:ascii="Arial" w:hAnsi="Arial" w:cs="Arial"/>
          <w:sz w:val="22"/>
          <w:szCs w:val="22"/>
        </w:rPr>
        <w:t xml:space="preserve"> widening differences in life expectancy between affluent and deprived communities, </w:t>
      </w:r>
      <w:bookmarkStart w:id="12" w:name="_Int_geMyx2rm"/>
      <w:r w:rsidRPr="002670C5">
        <w:rPr>
          <w:rFonts w:ascii="Arial" w:hAnsi="Arial" w:cs="Arial"/>
          <w:sz w:val="22"/>
          <w:szCs w:val="22"/>
        </w:rPr>
        <w:t>demonstrating</w:t>
      </w:r>
      <w:bookmarkEnd w:id="12"/>
      <w:r w:rsidRPr="002670C5">
        <w:rPr>
          <w:rFonts w:ascii="Arial" w:hAnsi="Arial" w:cs="Arial"/>
          <w:sz w:val="22"/>
          <w:szCs w:val="22"/>
        </w:rPr>
        <w:t xml:space="preserve"> the continuing impact of social determinants such as income, housing, education, and employment. Wilkinson and Pickett (2018) argue that greater income inequality contributes to poorer population health outcomes.</w:t>
      </w:r>
    </w:p>
    <w:p w14:paraId="53DA2003" w14:textId="3AA60B73" w:rsidR="00EC0E4F" w:rsidRPr="002670C5" w:rsidRDefault="00EC0E4F" w:rsidP="002670C5">
      <w:pPr>
        <w:pStyle w:val="p2"/>
        <w:spacing w:line="360" w:lineRule="auto"/>
        <w:divId w:val="396900198"/>
        <w:rPr>
          <w:rFonts w:ascii="Arial" w:hAnsi="Arial" w:cs="Arial"/>
          <w:sz w:val="22"/>
          <w:szCs w:val="22"/>
        </w:rPr>
      </w:pPr>
      <w:r w:rsidRPr="002670C5">
        <w:rPr>
          <w:rFonts w:ascii="Arial" w:hAnsi="Arial" w:cs="Arial"/>
          <w:sz w:val="22"/>
          <w:szCs w:val="22"/>
        </w:rPr>
        <w:t>Behavioural theories help explain challenges in improving health behaviours. The Health Belief Model suggests that individuals are more likely to adopt healthier behaviours when they recognise health risks and believe that change will provide benefits (Rosenstock, 1974). However, social</w:t>
      </w:r>
      <w:r w:rsidR="006B131D" w:rsidRPr="002670C5">
        <w:rPr>
          <w:rFonts w:ascii="Arial" w:hAnsi="Arial" w:cs="Arial"/>
          <w:sz w:val="22"/>
          <w:szCs w:val="22"/>
        </w:rPr>
        <w:t>,</w:t>
      </w:r>
      <w:r w:rsidRPr="002670C5">
        <w:rPr>
          <w:rFonts w:ascii="Arial" w:hAnsi="Arial" w:cs="Arial"/>
          <w:sz w:val="22"/>
          <w:szCs w:val="22"/>
        </w:rPr>
        <w:t xml:space="preserve"> and economic barriers can limit people’s ability to make healthy choices. Social Cognitive Theory also highlights that behaviour </w:t>
      </w:r>
      <w:bookmarkStart w:id="13" w:name="_Int_A3zuCNTd"/>
      <w:r w:rsidRPr="002670C5">
        <w:rPr>
          <w:rFonts w:ascii="Arial" w:hAnsi="Arial" w:cs="Arial"/>
          <w:sz w:val="22"/>
          <w:szCs w:val="22"/>
        </w:rPr>
        <w:t>is influenced</w:t>
      </w:r>
      <w:bookmarkEnd w:id="13"/>
      <w:r w:rsidRPr="002670C5">
        <w:rPr>
          <w:rFonts w:ascii="Arial" w:hAnsi="Arial" w:cs="Arial"/>
          <w:sz w:val="22"/>
          <w:szCs w:val="22"/>
        </w:rPr>
        <w:t xml:space="preserve"> by social environments and available resources rather than individual decisions alone (Bandura, 1986).</w:t>
      </w:r>
    </w:p>
    <w:p w14:paraId="6D3FF3B5" w14:textId="77777777" w:rsidR="00D65BDE" w:rsidRDefault="00D65BDE" w:rsidP="00B54120">
      <w:pPr>
        <w:spacing w:before="100" w:beforeAutospacing="1" w:after="100" w:afterAutospacing="1" w:line="360" w:lineRule="auto"/>
        <w:rPr>
          <w:rFonts w:ascii="Arial" w:hAnsi="Arial" w:cs="Arial"/>
          <w:kern w:val="0"/>
          <w:sz w:val="22"/>
          <w:szCs w:val="22"/>
          <w14:ligatures w14:val="none"/>
        </w:rPr>
      </w:pPr>
    </w:p>
    <w:p w14:paraId="74725AF0" w14:textId="77777777" w:rsidR="00852BCC" w:rsidRPr="00B54120" w:rsidRDefault="00852BCC" w:rsidP="00B54120">
      <w:pPr>
        <w:pStyle w:val="Heading1"/>
        <w:rPr>
          <w:rFonts w:ascii="Arial" w:eastAsia="Times New Roman" w:hAnsi="Arial" w:cs="Arial"/>
          <w:b/>
        </w:rPr>
      </w:pPr>
      <w:r w:rsidRPr="00B54120">
        <w:rPr>
          <w:rFonts w:ascii="Arial" w:eastAsia="Times New Roman" w:hAnsi="Arial" w:cs="Arial"/>
          <w:b/>
        </w:rPr>
        <w:t>Local Implementation</w:t>
      </w:r>
    </w:p>
    <w:p w14:paraId="6217AF75" w14:textId="77777777" w:rsidR="00852BCC" w:rsidRPr="00B54120" w:rsidRDefault="00852BCC" w:rsidP="00B54120">
      <w:pPr>
        <w:spacing w:before="100" w:beforeAutospacing="1" w:after="100" w:afterAutospacing="1" w:line="360" w:lineRule="auto"/>
        <w:rPr>
          <w:rFonts w:ascii="Arial" w:hAnsi="Arial" w:cs="Arial"/>
          <w:kern w:val="0"/>
          <w:sz w:val="22"/>
          <w:szCs w:val="22"/>
          <w14:ligatures w14:val="none"/>
        </w:rPr>
      </w:pPr>
      <w:r w:rsidRPr="00B54120">
        <w:rPr>
          <w:rFonts w:ascii="Arial" w:hAnsi="Arial" w:cs="Arial"/>
          <w:kern w:val="0"/>
          <w:sz w:val="22"/>
          <w:szCs w:val="22"/>
          <w14:ligatures w14:val="none"/>
        </w:rPr>
        <w:t>At the local level, Integrated Care Systems (ICSs) aim to coordinate healthcare, social care, and community services (NHS England, 2021). Local authority public health programmes focus on smoking cessation, obesity reduction, and mental health support.</w:t>
      </w:r>
    </w:p>
    <w:p w14:paraId="41B30886" w14:textId="57D7C785" w:rsidR="00852BCC" w:rsidRPr="00B54120" w:rsidRDefault="00852BCC" w:rsidP="00B54120">
      <w:pPr>
        <w:spacing w:before="100" w:beforeAutospacing="1" w:after="100" w:afterAutospacing="1" w:line="360" w:lineRule="auto"/>
        <w:rPr>
          <w:rFonts w:ascii="Arial" w:hAnsi="Arial" w:cs="Arial"/>
          <w:kern w:val="0"/>
          <w:sz w:val="22"/>
          <w:szCs w:val="22"/>
          <w14:ligatures w14:val="none"/>
        </w:rPr>
      </w:pPr>
      <w:r w:rsidRPr="00B54120">
        <w:rPr>
          <w:rFonts w:ascii="Arial" w:hAnsi="Arial" w:cs="Arial"/>
          <w:kern w:val="0"/>
          <w:sz w:val="22"/>
          <w:szCs w:val="22"/>
          <w14:ligatures w14:val="none"/>
        </w:rPr>
        <w:t>However, austerity policies have significantly reduced local public health budgets, weakening preventive capacity (Bambra, 2019</w:t>
      </w:r>
      <w:r w:rsidR="003D1441">
        <w:rPr>
          <w:rFonts w:ascii="Arial" w:hAnsi="Arial" w:cs="Arial"/>
          <w:kern w:val="0"/>
          <w:sz w:val="22"/>
          <w:szCs w:val="22"/>
          <w14:ligatures w14:val="none"/>
        </w:rPr>
        <w:t>).</w:t>
      </w:r>
      <w:r w:rsidRPr="00B54120">
        <w:rPr>
          <w:rFonts w:ascii="Arial" w:hAnsi="Arial" w:cs="Arial"/>
          <w:kern w:val="0"/>
          <w:sz w:val="22"/>
          <w:szCs w:val="22"/>
          <w14:ligatures w14:val="none"/>
        </w:rPr>
        <w:t xml:space="preserve"> This has resulted in uneven service provision and increased regional health inequalities. The Ottawa Charter for Health Promotion (WHO, 1986) emphasises enabling environments and community empowerment, yet local implementation often </w:t>
      </w:r>
      <w:bookmarkStart w:id="14" w:name="_Int_pfp8QS03"/>
      <w:r w:rsidRPr="00B54120">
        <w:rPr>
          <w:rFonts w:ascii="Arial" w:hAnsi="Arial" w:cs="Arial"/>
          <w:kern w:val="0"/>
          <w:sz w:val="22"/>
          <w:szCs w:val="22"/>
          <w14:ligatures w14:val="none"/>
        </w:rPr>
        <w:t>remains</w:t>
      </w:r>
      <w:bookmarkEnd w:id="14"/>
      <w:r w:rsidRPr="00B54120">
        <w:rPr>
          <w:rFonts w:ascii="Arial" w:hAnsi="Arial" w:cs="Arial"/>
          <w:kern w:val="0"/>
          <w:sz w:val="22"/>
          <w:szCs w:val="22"/>
          <w14:ligatures w14:val="none"/>
        </w:rPr>
        <w:t xml:space="preserve"> service-driven rather than structural.</w:t>
      </w:r>
    </w:p>
    <w:p w14:paraId="4F507D56" w14:textId="77777777" w:rsidR="007018D8" w:rsidRDefault="007018D8" w:rsidP="00B54120">
      <w:pPr>
        <w:pStyle w:val="Heading1"/>
        <w:rPr>
          <w:rFonts w:ascii="Arial" w:eastAsia="Times New Roman" w:hAnsi="Arial" w:cs="Arial"/>
          <w:b/>
        </w:rPr>
      </w:pPr>
    </w:p>
    <w:p w14:paraId="0C5AE189" w14:textId="54E0CE20" w:rsidR="00852BCC" w:rsidRPr="004D218A" w:rsidRDefault="00852BCC" w:rsidP="00B54120">
      <w:pPr>
        <w:pStyle w:val="Heading1"/>
        <w:rPr>
          <w:rFonts w:ascii="Arial" w:eastAsia="Times New Roman" w:hAnsi="Arial" w:cs="Arial"/>
          <w:b/>
        </w:rPr>
      </w:pPr>
      <w:r w:rsidRPr="004D218A">
        <w:rPr>
          <w:rFonts w:ascii="Arial" w:eastAsia="Times New Roman" w:hAnsi="Arial" w:cs="Arial"/>
          <w:b/>
        </w:rPr>
        <w:t>Critical Evaluation and Recommendations</w:t>
      </w:r>
    </w:p>
    <w:p w14:paraId="158B0AFB" w14:textId="4EAEFF59" w:rsidR="00852BCC" w:rsidRPr="00B54120" w:rsidRDefault="00852BCC" w:rsidP="00B54120">
      <w:pPr>
        <w:spacing w:before="100" w:beforeAutospacing="1" w:after="100" w:afterAutospacing="1" w:line="360" w:lineRule="auto"/>
        <w:rPr>
          <w:rFonts w:ascii="Arial" w:hAnsi="Arial" w:cs="Arial"/>
          <w:kern w:val="0"/>
          <w:sz w:val="22"/>
          <w:szCs w:val="22"/>
          <w14:ligatures w14:val="none"/>
        </w:rPr>
      </w:pPr>
      <w:r w:rsidRPr="00B54120">
        <w:rPr>
          <w:rFonts w:ascii="Arial" w:hAnsi="Arial" w:cs="Arial"/>
          <w:kern w:val="0"/>
          <w:sz w:val="22"/>
          <w:szCs w:val="22"/>
          <w14:ligatures w14:val="none"/>
        </w:rPr>
        <w:t xml:space="preserve">Overall, SDG 3 </w:t>
      </w:r>
      <w:bookmarkStart w:id="15" w:name="_Int_UDSYL1TH"/>
      <w:r w:rsidRPr="00B54120">
        <w:rPr>
          <w:rFonts w:ascii="Arial" w:hAnsi="Arial" w:cs="Arial"/>
          <w:kern w:val="0"/>
          <w:sz w:val="22"/>
          <w:szCs w:val="22"/>
          <w14:ligatures w14:val="none"/>
        </w:rPr>
        <w:t>demonstrates</w:t>
      </w:r>
      <w:bookmarkEnd w:id="15"/>
      <w:r w:rsidRPr="00B54120">
        <w:rPr>
          <w:rFonts w:ascii="Arial" w:hAnsi="Arial" w:cs="Arial"/>
          <w:kern w:val="0"/>
          <w:sz w:val="22"/>
          <w:szCs w:val="22"/>
          <w14:ligatures w14:val="none"/>
        </w:rPr>
        <w:t xml:space="preserve"> partial success but persistent structural limitations. A key issue is </w:t>
      </w:r>
      <w:r w:rsidR="00273D23" w:rsidRPr="00B54120">
        <w:rPr>
          <w:rFonts w:ascii="Arial" w:hAnsi="Arial" w:cs="Arial"/>
          <w:kern w:val="0"/>
          <w:sz w:val="22"/>
          <w:szCs w:val="22"/>
          <w14:ligatures w14:val="none"/>
        </w:rPr>
        <w:t>over reliance</w:t>
      </w:r>
      <w:r w:rsidRPr="00B54120">
        <w:rPr>
          <w:rFonts w:ascii="Arial" w:hAnsi="Arial" w:cs="Arial"/>
          <w:kern w:val="0"/>
          <w:sz w:val="22"/>
          <w:szCs w:val="22"/>
          <w14:ligatures w14:val="none"/>
        </w:rPr>
        <w:t xml:space="preserve"> on individual behaviour change models, which insufficiently address socioeconomic determinants (Marmot, 2020). A shift toward Health in All Policies (HiAP) is </w:t>
      </w:r>
      <w:bookmarkStart w:id="16" w:name="_Int_wSvxPlmJ"/>
      <w:r w:rsidRPr="00B54120">
        <w:rPr>
          <w:rFonts w:ascii="Arial" w:hAnsi="Arial" w:cs="Arial"/>
          <w:kern w:val="0"/>
          <w:sz w:val="22"/>
          <w:szCs w:val="22"/>
          <w14:ligatures w14:val="none"/>
        </w:rPr>
        <w:t>required</w:t>
      </w:r>
      <w:bookmarkEnd w:id="16"/>
      <w:r w:rsidRPr="00B54120">
        <w:rPr>
          <w:rFonts w:ascii="Arial" w:hAnsi="Arial" w:cs="Arial"/>
          <w:kern w:val="0"/>
          <w:sz w:val="22"/>
          <w:szCs w:val="22"/>
          <w14:ligatures w14:val="none"/>
        </w:rPr>
        <w:t xml:space="preserve"> to embed health considerations across housing, education, and employment policy (Kickbusch and Buckett, 2010).</w:t>
      </w:r>
    </w:p>
    <w:p w14:paraId="10EF80B6" w14:textId="3FCFBD4D" w:rsidR="0068386F" w:rsidRPr="007E6DD4" w:rsidRDefault="00852BCC" w:rsidP="007E6DD4">
      <w:pPr>
        <w:spacing w:before="100" w:beforeAutospacing="1" w:after="100" w:afterAutospacing="1" w:line="360" w:lineRule="auto"/>
        <w:rPr>
          <w:rStyle w:val="Heading1Char"/>
          <w:rFonts w:ascii="Arial" w:eastAsiaTheme="minorEastAsia" w:hAnsi="Arial" w:cs="Arial"/>
          <w:color w:val="auto"/>
          <w:kern w:val="0"/>
          <w:sz w:val="22"/>
          <w:szCs w:val="22"/>
          <w14:ligatures w14:val="none"/>
        </w:rPr>
      </w:pPr>
      <w:r w:rsidRPr="00B54120">
        <w:rPr>
          <w:rFonts w:ascii="Arial" w:hAnsi="Arial" w:cs="Arial"/>
          <w:kern w:val="0"/>
          <w:sz w:val="22"/>
          <w:szCs w:val="22"/>
          <w14:ligatures w14:val="none"/>
        </w:rPr>
        <w:t xml:space="preserve">Increased investment in prevention, stronger integration of services, and community-led interventions </w:t>
      </w:r>
      <w:r w:rsidR="003E00D4" w:rsidRPr="00B54120">
        <w:rPr>
          <w:rFonts w:ascii="Arial" w:hAnsi="Arial" w:cs="Arial"/>
          <w:kern w:val="0"/>
          <w:sz w:val="22"/>
          <w:szCs w:val="22"/>
          <w14:ligatures w14:val="none"/>
        </w:rPr>
        <w:t>is</w:t>
      </w:r>
      <w:r w:rsidRPr="00B54120">
        <w:rPr>
          <w:rFonts w:ascii="Arial" w:hAnsi="Arial" w:cs="Arial"/>
          <w:kern w:val="0"/>
          <w:sz w:val="22"/>
          <w:szCs w:val="22"/>
          <w14:ligatures w14:val="none"/>
        </w:rPr>
        <w:t xml:space="preserve"> also essential to reduce inequalities and improve long-term outcomes (WHO, 2019).</w:t>
      </w:r>
    </w:p>
    <w:p w14:paraId="1C489F86" w14:textId="39738C52" w:rsidR="00852BCC" w:rsidRPr="00852BCC" w:rsidRDefault="00852BCC" w:rsidP="0033658A">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E6A2D">
        <w:rPr>
          <w:rStyle w:val="Heading1Char"/>
          <w:rFonts w:ascii="Arial" w:hAnsi="Arial" w:cs="Arial"/>
          <w:b/>
        </w:rPr>
        <w:t>Section 2: SDG 13 – Climate Action</w:t>
      </w:r>
      <w:r w:rsidRPr="00852BCC">
        <w:rPr>
          <w:rFonts w:ascii="Times New Roman" w:eastAsia="Times New Roman" w:hAnsi="Times New Roman" w:cs="Times New Roman"/>
          <w:b/>
          <w:bCs/>
          <w:kern w:val="0"/>
          <w:sz w:val="36"/>
          <w:szCs w:val="36"/>
          <w14:ligatures w14:val="none"/>
        </w:rPr>
        <w:t xml:space="preserve"> </w:t>
      </w:r>
    </w:p>
    <w:p w14:paraId="502C4E0B" w14:textId="21E6DDC8" w:rsidR="00CC2904" w:rsidRPr="007678E2" w:rsidRDefault="00852BCC" w:rsidP="007678E2">
      <w:pPr>
        <w:spacing w:before="100" w:beforeAutospacing="1" w:after="100" w:afterAutospacing="1" w:line="360" w:lineRule="auto"/>
        <w:rPr>
          <w:rFonts w:ascii="Arial" w:hAnsi="Arial" w:cs="Arial"/>
          <w:kern w:val="0"/>
          <w:sz w:val="22"/>
          <w:szCs w:val="22"/>
          <w14:ligatures w14:val="none"/>
        </w:rPr>
      </w:pPr>
      <w:r w:rsidRPr="0033658A">
        <w:rPr>
          <w:rFonts w:ascii="Arial" w:hAnsi="Arial" w:cs="Arial"/>
          <w:kern w:val="0"/>
          <w:sz w:val="22"/>
          <w:szCs w:val="22"/>
          <w14:ligatures w14:val="none"/>
        </w:rPr>
        <w:t xml:space="preserve">SDG 13 focuses on urgent action to combat climate change and its impacts (United Nations, 2015). Climate change </w:t>
      </w:r>
      <w:bookmarkStart w:id="17" w:name="_Int_aQLP3T0N"/>
      <w:r w:rsidRPr="0033658A">
        <w:rPr>
          <w:rFonts w:ascii="Arial" w:hAnsi="Arial" w:cs="Arial"/>
          <w:kern w:val="0"/>
          <w:sz w:val="22"/>
          <w:szCs w:val="22"/>
          <w14:ligatures w14:val="none"/>
        </w:rPr>
        <w:t xml:space="preserve">is </w:t>
      </w:r>
      <w:r w:rsidR="00651655">
        <w:rPr>
          <w:rFonts w:ascii="Arial" w:hAnsi="Arial" w:cs="Arial"/>
          <w:kern w:val="0"/>
          <w:sz w:val="22"/>
          <w:szCs w:val="22"/>
          <w14:ligatures w14:val="none"/>
        </w:rPr>
        <w:t>increas</w:t>
      </w:r>
      <w:r w:rsidR="00522BAE">
        <w:rPr>
          <w:rFonts w:ascii="Arial" w:hAnsi="Arial" w:cs="Arial"/>
          <w:kern w:val="0"/>
          <w:sz w:val="22"/>
          <w:szCs w:val="22"/>
          <w14:ligatures w14:val="none"/>
        </w:rPr>
        <w:t>ingly</w:t>
      </w:r>
      <w:r w:rsidRPr="0033658A">
        <w:rPr>
          <w:rFonts w:ascii="Arial" w:hAnsi="Arial" w:cs="Arial"/>
          <w:kern w:val="0"/>
          <w:sz w:val="22"/>
          <w:szCs w:val="22"/>
          <w14:ligatures w14:val="none"/>
        </w:rPr>
        <w:t xml:space="preserve"> recognised</w:t>
      </w:r>
      <w:bookmarkEnd w:id="17"/>
      <w:r w:rsidRPr="0033658A">
        <w:rPr>
          <w:rFonts w:ascii="Arial" w:hAnsi="Arial" w:cs="Arial"/>
          <w:kern w:val="0"/>
          <w:sz w:val="22"/>
          <w:szCs w:val="22"/>
          <w14:ligatures w14:val="none"/>
        </w:rPr>
        <w:t xml:space="preserve"> as a major determinant of global health, affecting mortality, disease </w:t>
      </w:r>
      <w:r w:rsidR="00044C8C">
        <w:rPr>
          <w:rFonts w:ascii="Arial" w:hAnsi="Arial" w:cs="Arial"/>
          <w:kern w:val="0"/>
          <w:sz w:val="22"/>
          <w:szCs w:val="22"/>
          <w14:ligatures w14:val="none"/>
        </w:rPr>
        <w:t>p</w:t>
      </w:r>
      <w:r w:rsidR="00C056CB">
        <w:rPr>
          <w:rFonts w:ascii="Arial" w:hAnsi="Arial" w:cs="Arial"/>
          <w:kern w:val="0"/>
          <w:sz w:val="22"/>
          <w:szCs w:val="22"/>
          <w14:ligatures w14:val="none"/>
        </w:rPr>
        <w:t>atterns</w:t>
      </w:r>
      <w:r w:rsidRPr="0033658A">
        <w:rPr>
          <w:rFonts w:ascii="Arial" w:hAnsi="Arial" w:cs="Arial"/>
          <w:kern w:val="0"/>
          <w:sz w:val="22"/>
          <w:szCs w:val="22"/>
          <w14:ligatures w14:val="none"/>
        </w:rPr>
        <w:t>, mental health, food security</w:t>
      </w:r>
      <w:r w:rsidR="002A1325">
        <w:rPr>
          <w:rFonts w:ascii="Arial" w:hAnsi="Arial" w:cs="Arial"/>
          <w:kern w:val="0"/>
          <w:sz w:val="22"/>
          <w:szCs w:val="22"/>
          <w14:ligatures w14:val="none"/>
        </w:rPr>
        <w:t xml:space="preserve">, and </w:t>
      </w:r>
      <w:r w:rsidR="00274457">
        <w:rPr>
          <w:rFonts w:ascii="Arial" w:hAnsi="Arial" w:cs="Arial"/>
          <w:kern w:val="0"/>
          <w:sz w:val="22"/>
          <w:szCs w:val="22"/>
          <w14:ligatures w14:val="none"/>
        </w:rPr>
        <w:t>health in</w:t>
      </w:r>
      <w:r w:rsidR="00600A6C">
        <w:rPr>
          <w:rFonts w:ascii="Arial" w:hAnsi="Arial" w:cs="Arial"/>
          <w:kern w:val="0"/>
          <w:sz w:val="22"/>
          <w:szCs w:val="22"/>
          <w14:ligatures w14:val="none"/>
        </w:rPr>
        <w:t>eq</w:t>
      </w:r>
      <w:r w:rsidR="00486712">
        <w:rPr>
          <w:rFonts w:ascii="Arial" w:hAnsi="Arial" w:cs="Arial"/>
          <w:kern w:val="0"/>
          <w:sz w:val="22"/>
          <w:szCs w:val="22"/>
          <w14:ligatures w14:val="none"/>
        </w:rPr>
        <w:t>ualities</w:t>
      </w:r>
      <w:r w:rsidR="007838A2">
        <w:rPr>
          <w:rFonts w:ascii="Arial" w:hAnsi="Arial" w:cs="Arial"/>
          <w:kern w:val="0"/>
          <w:sz w:val="22"/>
          <w:szCs w:val="22"/>
          <w14:ligatures w14:val="none"/>
        </w:rPr>
        <w:t xml:space="preserve"> </w:t>
      </w:r>
      <w:r w:rsidRPr="0033658A">
        <w:rPr>
          <w:rFonts w:ascii="Arial" w:hAnsi="Arial" w:cs="Arial"/>
          <w:kern w:val="0"/>
          <w:sz w:val="22"/>
          <w:szCs w:val="22"/>
          <w14:ligatures w14:val="none"/>
        </w:rPr>
        <w:t>(Watts et al., 2018; IPCC, 2022).</w:t>
      </w:r>
    </w:p>
    <w:p w14:paraId="1083B2C5" w14:textId="7A727911" w:rsidR="009108C9" w:rsidRDefault="00852BCC" w:rsidP="000858A5">
      <w:pPr>
        <w:pStyle w:val="Heading1"/>
        <w:rPr>
          <w:rFonts w:ascii="Arial" w:eastAsia="Times New Roman" w:hAnsi="Arial" w:cs="Arial"/>
          <w:b/>
        </w:rPr>
      </w:pPr>
      <w:r w:rsidRPr="009E05A9">
        <w:rPr>
          <w:rFonts w:ascii="Arial" w:eastAsia="Times New Roman" w:hAnsi="Arial" w:cs="Arial"/>
          <w:b/>
        </w:rPr>
        <w:t>Global Policy Context</w:t>
      </w:r>
    </w:p>
    <w:p w14:paraId="2C99D9BE" w14:textId="77777777" w:rsidR="000858A5" w:rsidRDefault="000858A5" w:rsidP="000858A5"/>
    <w:p w14:paraId="72D00C61" w14:textId="2B2866F6" w:rsidR="00553512" w:rsidRPr="00210E1B" w:rsidRDefault="00553512" w:rsidP="00210E1B">
      <w:pPr>
        <w:pStyle w:val="p1"/>
        <w:spacing w:line="360" w:lineRule="auto"/>
        <w:divId w:val="930545968"/>
        <w:rPr>
          <w:rFonts w:ascii="Arial" w:hAnsi="Arial" w:cs="Arial"/>
          <w:sz w:val="22"/>
          <w:szCs w:val="22"/>
        </w:rPr>
      </w:pPr>
      <w:r w:rsidRPr="00210E1B">
        <w:rPr>
          <w:rFonts w:ascii="Arial" w:hAnsi="Arial" w:cs="Arial"/>
          <w:sz w:val="22"/>
          <w:szCs w:val="22"/>
        </w:rPr>
        <w:t xml:space="preserve">The Paris Agreement (2015) </w:t>
      </w:r>
      <w:bookmarkStart w:id="18" w:name="_Int_g9dzOZhS"/>
      <w:r w:rsidRPr="00210E1B">
        <w:rPr>
          <w:rFonts w:ascii="Arial" w:hAnsi="Arial" w:cs="Arial"/>
          <w:sz w:val="22"/>
          <w:szCs w:val="22"/>
        </w:rPr>
        <w:t>represents</w:t>
      </w:r>
      <w:bookmarkEnd w:id="18"/>
      <w:r w:rsidRPr="00210E1B">
        <w:rPr>
          <w:rFonts w:ascii="Arial" w:hAnsi="Arial" w:cs="Arial"/>
          <w:sz w:val="22"/>
          <w:szCs w:val="22"/>
        </w:rPr>
        <w:t xml:space="preserve"> the main international climate governance framework, aiming to limit global temperature increases to well below 2°C while pursuing efforts to restrict warming to 1.5°C (UNFCCC, 2015). The World Health Organi</w:t>
      </w:r>
      <w:r w:rsidR="00226388">
        <w:rPr>
          <w:rFonts w:ascii="Arial" w:hAnsi="Arial" w:cs="Arial"/>
          <w:sz w:val="22"/>
          <w:szCs w:val="22"/>
        </w:rPr>
        <w:t>s</w:t>
      </w:r>
      <w:r w:rsidRPr="00210E1B">
        <w:rPr>
          <w:rFonts w:ascii="Arial" w:hAnsi="Arial" w:cs="Arial"/>
          <w:sz w:val="22"/>
          <w:szCs w:val="22"/>
        </w:rPr>
        <w:t>ation (202</w:t>
      </w:r>
      <w:r w:rsidR="00C25A86">
        <w:rPr>
          <w:rFonts w:ascii="Arial" w:hAnsi="Arial" w:cs="Arial"/>
          <w:sz w:val="22"/>
          <w:szCs w:val="22"/>
        </w:rPr>
        <w:t>3</w:t>
      </w:r>
      <w:r w:rsidRPr="00210E1B">
        <w:rPr>
          <w:rFonts w:ascii="Arial" w:hAnsi="Arial" w:cs="Arial"/>
          <w:sz w:val="22"/>
          <w:szCs w:val="22"/>
        </w:rPr>
        <w:t>) highlights that climate mitigation actions can provide important health benefits, including improved air quality, reduced respiratory illness, and increased opportunities for physical activity.</w:t>
      </w:r>
    </w:p>
    <w:p w14:paraId="3277D64E" w14:textId="77777777" w:rsidR="00553512" w:rsidRPr="00210E1B" w:rsidRDefault="00553512" w:rsidP="00210E1B">
      <w:pPr>
        <w:pStyle w:val="p1"/>
        <w:spacing w:line="360" w:lineRule="auto"/>
        <w:divId w:val="930545968"/>
        <w:rPr>
          <w:rFonts w:ascii="Arial" w:hAnsi="Arial" w:cs="Arial"/>
          <w:sz w:val="22"/>
          <w:szCs w:val="22"/>
        </w:rPr>
      </w:pPr>
      <w:r w:rsidRPr="00210E1B">
        <w:rPr>
          <w:rFonts w:ascii="Arial" w:hAnsi="Arial" w:cs="Arial"/>
          <w:sz w:val="22"/>
          <w:szCs w:val="22"/>
        </w:rPr>
        <w:t xml:space="preserve">However, global climate action </w:t>
      </w:r>
      <w:bookmarkStart w:id="19" w:name="_Int_qNbrwgYo"/>
      <w:r w:rsidRPr="00210E1B">
        <w:rPr>
          <w:rFonts w:ascii="Arial" w:hAnsi="Arial" w:cs="Arial"/>
          <w:sz w:val="22"/>
          <w:szCs w:val="22"/>
        </w:rPr>
        <w:t>remains</w:t>
      </w:r>
      <w:bookmarkEnd w:id="19"/>
      <w:r w:rsidRPr="00210E1B">
        <w:rPr>
          <w:rFonts w:ascii="Arial" w:hAnsi="Arial" w:cs="Arial"/>
          <w:sz w:val="22"/>
          <w:szCs w:val="22"/>
        </w:rPr>
        <w:t xml:space="preserve"> insufficient. The IPCC (2022) reports that current national commitments are not consistent with achieving global temperature targets. In addition, climate finance inequalities continue, with lower-income countries experiencing severe climate impacts despite contributing less to global emissions (UNDP, 2022).</w:t>
      </w:r>
    </w:p>
    <w:p w14:paraId="3A654BEC" w14:textId="77777777" w:rsidR="00553512" w:rsidRPr="00210E1B" w:rsidRDefault="00553512" w:rsidP="00210E1B">
      <w:pPr>
        <w:pStyle w:val="p1"/>
        <w:spacing w:line="360" w:lineRule="auto"/>
        <w:divId w:val="930545968"/>
        <w:rPr>
          <w:rFonts w:ascii="Arial" w:hAnsi="Arial" w:cs="Arial"/>
          <w:sz w:val="22"/>
          <w:szCs w:val="22"/>
        </w:rPr>
      </w:pPr>
      <w:r w:rsidRPr="00210E1B">
        <w:rPr>
          <w:rFonts w:ascii="Arial" w:hAnsi="Arial" w:cs="Arial"/>
          <w:sz w:val="22"/>
          <w:szCs w:val="22"/>
        </w:rPr>
        <w:lastRenderedPageBreak/>
        <w:t xml:space="preserve">Climate change also raises ethical concerns </w:t>
      </w:r>
      <w:bookmarkStart w:id="20" w:name="_Int_auw4y4sB"/>
      <w:r w:rsidRPr="00210E1B">
        <w:rPr>
          <w:rFonts w:ascii="Arial" w:hAnsi="Arial" w:cs="Arial"/>
          <w:sz w:val="22"/>
          <w:szCs w:val="22"/>
        </w:rPr>
        <w:t>regarding</w:t>
      </w:r>
      <w:bookmarkEnd w:id="20"/>
      <w:r w:rsidRPr="00210E1B">
        <w:rPr>
          <w:rFonts w:ascii="Arial" w:hAnsi="Arial" w:cs="Arial"/>
          <w:sz w:val="22"/>
          <w:szCs w:val="22"/>
        </w:rPr>
        <w:t xml:space="preserve"> climate justice. Vulnerable populations often experience the greatest consequences of climate change due to limited resources, weaker infrastructure, and reduced adaptation capacity. The United Nations Development Programme (n.d.) highlights the importance of climate adaptation strategies that consider inequalities and protect vulnerable communities.</w:t>
      </w:r>
    </w:p>
    <w:p w14:paraId="22598275" w14:textId="64F00999" w:rsidR="007678E2" w:rsidRDefault="00553512" w:rsidP="007678E2">
      <w:pPr>
        <w:pStyle w:val="p2"/>
        <w:spacing w:line="360" w:lineRule="auto"/>
        <w:rPr>
          <w:rFonts w:ascii="Arial" w:hAnsi="Arial" w:cs="Arial"/>
          <w:sz w:val="22"/>
          <w:szCs w:val="22"/>
        </w:rPr>
      </w:pPr>
      <w:r w:rsidRPr="00787CA5">
        <w:rPr>
          <w:rFonts w:ascii="Arial" w:hAnsi="Arial" w:cs="Arial"/>
          <w:sz w:val="22"/>
          <w:szCs w:val="22"/>
        </w:rPr>
        <w:t xml:space="preserve">From a behavioural perspective, the Health Belief Model suggests that individuals and policymakers may underestimate climate risks when they perceive them as distant or unlikely to affect them directly. This reduced </w:t>
      </w:r>
      <w:bookmarkStart w:id="21" w:name="_Int_DijQpbuI"/>
      <w:r w:rsidRPr="00787CA5">
        <w:rPr>
          <w:rFonts w:ascii="Arial" w:hAnsi="Arial" w:cs="Arial"/>
          <w:sz w:val="22"/>
          <w:szCs w:val="22"/>
        </w:rPr>
        <w:t>perception</w:t>
      </w:r>
      <w:bookmarkEnd w:id="21"/>
      <w:r w:rsidRPr="00787CA5">
        <w:rPr>
          <w:rFonts w:ascii="Arial" w:hAnsi="Arial" w:cs="Arial"/>
          <w:sz w:val="22"/>
          <w:szCs w:val="22"/>
        </w:rPr>
        <w:t xml:space="preserve"> of vulnerability can delay climate action despite scientific evidence (Rogers, 1974).</w:t>
      </w:r>
    </w:p>
    <w:p w14:paraId="2B634D20" w14:textId="77777777" w:rsidR="00F81225" w:rsidRPr="007678E2" w:rsidRDefault="00F81225" w:rsidP="007678E2">
      <w:pPr>
        <w:pStyle w:val="p2"/>
        <w:spacing w:line="360" w:lineRule="auto"/>
        <w:rPr>
          <w:rFonts w:ascii="Arial" w:hAnsi="Arial" w:cs="Arial"/>
          <w:sz w:val="22"/>
          <w:szCs w:val="22"/>
        </w:rPr>
      </w:pPr>
    </w:p>
    <w:p w14:paraId="16DF0368" w14:textId="77777777" w:rsidR="009108C9" w:rsidRDefault="009108C9" w:rsidP="009E05A9">
      <w:pPr>
        <w:pStyle w:val="Heading1"/>
        <w:divId w:val="194469034"/>
        <w:rPr>
          <w:rFonts w:ascii="Arial" w:eastAsia="Times New Roman" w:hAnsi="Arial" w:cs="Arial"/>
          <w:b/>
        </w:rPr>
      </w:pPr>
      <w:r w:rsidRPr="009E05A9">
        <w:rPr>
          <w:rFonts w:ascii="Arial" w:eastAsia="Times New Roman" w:hAnsi="Arial" w:cs="Arial"/>
          <w:b/>
        </w:rPr>
        <w:t>Critical Debate: Global Health Governance</w:t>
      </w:r>
    </w:p>
    <w:p w14:paraId="6D40113E" w14:textId="77777777" w:rsidR="003C778E" w:rsidRPr="003C778E" w:rsidRDefault="003C778E" w:rsidP="003C778E">
      <w:pPr>
        <w:divId w:val="194469034"/>
      </w:pPr>
    </w:p>
    <w:p w14:paraId="1D7746C9" w14:textId="37C48036" w:rsidR="000F5869" w:rsidRPr="003C778E" w:rsidRDefault="000F5869" w:rsidP="003C778E">
      <w:pPr>
        <w:pStyle w:val="p1"/>
        <w:spacing w:line="360" w:lineRule="auto"/>
        <w:divId w:val="571156423"/>
        <w:rPr>
          <w:rFonts w:ascii="Arial" w:hAnsi="Arial" w:cs="Arial"/>
          <w:sz w:val="22"/>
          <w:szCs w:val="22"/>
        </w:rPr>
      </w:pPr>
      <w:r w:rsidRPr="003C778E">
        <w:rPr>
          <w:rFonts w:ascii="Arial" w:hAnsi="Arial" w:cs="Arial"/>
          <w:sz w:val="22"/>
          <w:szCs w:val="22"/>
        </w:rPr>
        <w:t xml:space="preserve">Although international agreements such as the Paris Agreement have strengthened global cooperation, debates </w:t>
      </w:r>
      <w:bookmarkStart w:id="22" w:name="_Int_11mvmydS"/>
      <w:r w:rsidRPr="003C778E">
        <w:rPr>
          <w:rFonts w:ascii="Arial" w:hAnsi="Arial" w:cs="Arial"/>
          <w:sz w:val="22"/>
          <w:szCs w:val="22"/>
        </w:rPr>
        <w:t>remain</w:t>
      </w:r>
      <w:bookmarkEnd w:id="22"/>
      <w:r w:rsidRPr="003C778E">
        <w:rPr>
          <w:rFonts w:ascii="Arial" w:hAnsi="Arial" w:cs="Arial"/>
          <w:sz w:val="22"/>
          <w:szCs w:val="22"/>
        </w:rPr>
        <w:t xml:space="preserve"> </w:t>
      </w:r>
      <w:bookmarkStart w:id="23" w:name="_Int_KCHjMGjK"/>
      <w:r w:rsidRPr="003C778E">
        <w:rPr>
          <w:rFonts w:ascii="Arial" w:hAnsi="Arial" w:cs="Arial"/>
          <w:sz w:val="22"/>
          <w:szCs w:val="22"/>
        </w:rPr>
        <w:t>regarding</w:t>
      </w:r>
      <w:bookmarkEnd w:id="23"/>
      <w:r w:rsidRPr="003C778E">
        <w:rPr>
          <w:rFonts w:ascii="Arial" w:hAnsi="Arial" w:cs="Arial"/>
          <w:sz w:val="22"/>
          <w:szCs w:val="22"/>
        </w:rPr>
        <w:t xml:space="preserve"> their effectiveness. Supporters argue that international climate commitments encourage governments to invest in renewable energy and </w:t>
      </w:r>
      <w:r w:rsidR="00E44C86" w:rsidRPr="003C778E">
        <w:rPr>
          <w:rFonts w:ascii="Arial" w:hAnsi="Arial" w:cs="Arial"/>
          <w:sz w:val="22"/>
          <w:szCs w:val="22"/>
        </w:rPr>
        <w:t>prove</w:t>
      </w:r>
      <w:r w:rsidRPr="003C778E">
        <w:rPr>
          <w:rFonts w:ascii="Arial" w:hAnsi="Arial" w:cs="Arial"/>
          <w:sz w:val="22"/>
          <w:szCs w:val="22"/>
        </w:rPr>
        <w:t xml:space="preserve"> long-term sustainability goals (UNFCCC, 2015). However, critics highlight that limited enforcement mechanisms allow countries to create ambitious targets without sufficient implementation (IPCC, 2022).</w:t>
      </w:r>
    </w:p>
    <w:p w14:paraId="770A6DB6" w14:textId="23CD30D7" w:rsidR="004B3283" w:rsidRDefault="000F5869" w:rsidP="00756C59">
      <w:pPr>
        <w:pStyle w:val="p2"/>
        <w:spacing w:line="360" w:lineRule="auto"/>
        <w:divId w:val="571156423"/>
        <w:rPr>
          <w:rFonts w:ascii="Arial" w:hAnsi="Arial" w:cs="Arial"/>
          <w:sz w:val="22"/>
          <w:szCs w:val="22"/>
        </w:rPr>
      </w:pPr>
      <w:r w:rsidRPr="003C778E">
        <w:rPr>
          <w:rFonts w:ascii="Arial" w:hAnsi="Arial" w:cs="Arial"/>
          <w:sz w:val="22"/>
          <w:szCs w:val="22"/>
        </w:rPr>
        <w:t xml:space="preserve">Climate finance </w:t>
      </w:r>
      <w:bookmarkStart w:id="24" w:name="_Int_7XEHBe57"/>
      <w:r w:rsidRPr="003C778E">
        <w:rPr>
          <w:rFonts w:ascii="Arial" w:hAnsi="Arial" w:cs="Arial"/>
          <w:sz w:val="22"/>
          <w:szCs w:val="22"/>
        </w:rPr>
        <w:t>remains</w:t>
      </w:r>
      <w:bookmarkEnd w:id="24"/>
      <w:r w:rsidRPr="003C778E">
        <w:rPr>
          <w:rFonts w:ascii="Arial" w:hAnsi="Arial" w:cs="Arial"/>
          <w:sz w:val="22"/>
          <w:szCs w:val="22"/>
        </w:rPr>
        <w:t xml:space="preserve"> another major concern. Although wealthier countries have greater responsibility due to historical emissions, many developing countries continue to experience difficulties accessing sufficient resources for climate adaptation (UNDP, 2022). Therefore, achieving SDG 13 requires stronger accountability, financial support, and international cooperation.</w:t>
      </w:r>
    </w:p>
    <w:p w14:paraId="103719E7" w14:textId="77777777" w:rsidR="00756C59" w:rsidRPr="00756C59" w:rsidRDefault="00756C59" w:rsidP="00756C59">
      <w:pPr>
        <w:pStyle w:val="p2"/>
        <w:spacing w:line="360" w:lineRule="auto"/>
        <w:divId w:val="571156423"/>
        <w:rPr>
          <w:rFonts w:ascii="Arial" w:hAnsi="Arial" w:cs="Arial"/>
          <w:sz w:val="22"/>
          <w:szCs w:val="22"/>
        </w:rPr>
      </w:pPr>
    </w:p>
    <w:p w14:paraId="1BF9A24B" w14:textId="77777777" w:rsidR="00852BCC" w:rsidRPr="009E05A9" w:rsidRDefault="00852BCC" w:rsidP="008B2695">
      <w:pPr>
        <w:pStyle w:val="Heading1"/>
        <w:rPr>
          <w:rFonts w:ascii="Arial" w:eastAsia="Times New Roman" w:hAnsi="Arial" w:cs="Arial"/>
          <w:b/>
        </w:rPr>
      </w:pPr>
      <w:r w:rsidRPr="009E05A9">
        <w:rPr>
          <w:rFonts w:ascii="Arial" w:eastAsia="Times New Roman" w:hAnsi="Arial" w:cs="Arial"/>
          <w:b/>
        </w:rPr>
        <w:t>United Kingdom Policy Context</w:t>
      </w:r>
    </w:p>
    <w:p w14:paraId="7BEDAE10" w14:textId="77777777" w:rsidR="005066D4" w:rsidRDefault="005066D4" w:rsidP="005066D4"/>
    <w:p w14:paraId="23187D70" w14:textId="06BD065C" w:rsidR="005066D4" w:rsidRPr="00274632" w:rsidRDefault="005066D4" w:rsidP="00274632">
      <w:pPr>
        <w:pStyle w:val="p1"/>
        <w:spacing w:line="360" w:lineRule="auto"/>
        <w:divId w:val="1549879899"/>
        <w:rPr>
          <w:rFonts w:ascii="Arial" w:hAnsi="Arial" w:cs="Arial"/>
          <w:sz w:val="22"/>
          <w:szCs w:val="22"/>
        </w:rPr>
      </w:pPr>
      <w:r w:rsidRPr="00274632">
        <w:rPr>
          <w:rFonts w:ascii="Arial" w:hAnsi="Arial" w:cs="Arial"/>
          <w:sz w:val="22"/>
          <w:szCs w:val="22"/>
        </w:rPr>
        <w:t xml:space="preserve">The UK has </w:t>
      </w:r>
      <w:r w:rsidR="00C576DB" w:rsidRPr="00274632">
        <w:rPr>
          <w:rFonts w:ascii="Arial" w:hAnsi="Arial" w:cs="Arial"/>
          <w:sz w:val="22"/>
          <w:szCs w:val="22"/>
        </w:rPr>
        <w:t>proven</w:t>
      </w:r>
      <w:r w:rsidRPr="00274632">
        <w:rPr>
          <w:rFonts w:ascii="Arial" w:hAnsi="Arial" w:cs="Arial"/>
          <w:sz w:val="22"/>
          <w:szCs w:val="22"/>
        </w:rPr>
        <w:t xml:space="preserve"> climate commitments through the Climate Change Act (2008, amended 2019), which legally requires achieving net-zero greenhouse gas emissions by 2050 (HM Government, 2019). Supporting policies include the Net Zero Strategy, which focuses on </w:t>
      </w:r>
      <w:r w:rsidRPr="00274632">
        <w:rPr>
          <w:rFonts w:ascii="Arial" w:hAnsi="Arial" w:cs="Arial"/>
          <w:sz w:val="22"/>
          <w:szCs w:val="22"/>
        </w:rPr>
        <w:lastRenderedPageBreak/>
        <w:t>renewable energy, transport improvements, and reducing emissions across different sectors (BEIS, 2021).</w:t>
      </w:r>
    </w:p>
    <w:p w14:paraId="7D9106A7" w14:textId="77777777" w:rsidR="005066D4" w:rsidRPr="00274632" w:rsidRDefault="005066D4" w:rsidP="00274632">
      <w:pPr>
        <w:pStyle w:val="p1"/>
        <w:spacing w:line="360" w:lineRule="auto"/>
        <w:divId w:val="1549879899"/>
        <w:rPr>
          <w:rFonts w:ascii="Arial" w:hAnsi="Arial" w:cs="Arial"/>
          <w:sz w:val="22"/>
          <w:szCs w:val="22"/>
        </w:rPr>
      </w:pPr>
      <w:r w:rsidRPr="00274632">
        <w:rPr>
          <w:rFonts w:ascii="Arial" w:hAnsi="Arial" w:cs="Arial"/>
          <w:sz w:val="22"/>
          <w:szCs w:val="22"/>
        </w:rPr>
        <w:t xml:space="preserve">Despite these commitments, significant challenges </w:t>
      </w:r>
      <w:bookmarkStart w:id="25" w:name="_Int_WZCvbAJl"/>
      <w:r w:rsidRPr="00274632">
        <w:rPr>
          <w:rFonts w:ascii="Arial" w:hAnsi="Arial" w:cs="Arial"/>
          <w:sz w:val="22"/>
          <w:szCs w:val="22"/>
        </w:rPr>
        <w:t>remain</w:t>
      </w:r>
      <w:bookmarkEnd w:id="25"/>
      <w:r w:rsidRPr="00274632">
        <w:rPr>
          <w:rFonts w:ascii="Arial" w:hAnsi="Arial" w:cs="Arial"/>
          <w:sz w:val="22"/>
          <w:szCs w:val="22"/>
        </w:rPr>
        <w:t xml:space="preserve">. The Climate Change Committee (2023) </w:t>
      </w:r>
      <w:bookmarkStart w:id="26" w:name="_Int_NZV9XxnL"/>
      <w:r w:rsidRPr="00274632">
        <w:rPr>
          <w:rFonts w:ascii="Arial" w:hAnsi="Arial" w:cs="Arial"/>
          <w:sz w:val="22"/>
          <w:szCs w:val="22"/>
        </w:rPr>
        <w:t>identified</w:t>
      </w:r>
      <w:bookmarkEnd w:id="26"/>
      <w:r w:rsidRPr="00274632">
        <w:rPr>
          <w:rFonts w:ascii="Arial" w:hAnsi="Arial" w:cs="Arial"/>
          <w:sz w:val="22"/>
          <w:szCs w:val="22"/>
        </w:rPr>
        <w:t xml:space="preserve"> gaps in areas including transport, housing, and industrial decarbonisation. Climate policies also need to address environmental inequalities, as deprived communities </w:t>
      </w:r>
      <w:bookmarkStart w:id="27" w:name="_Int_EsSfaDcd"/>
      <w:r w:rsidRPr="00274632">
        <w:rPr>
          <w:rFonts w:ascii="Arial" w:hAnsi="Arial" w:cs="Arial"/>
          <w:sz w:val="22"/>
          <w:szCs w:val="22"/>
        </w:rPr>
        <w:t>are often exposed</w:t>
      </w:r>
      <w:bookmarkEnd w:id="27"/>
      <w:r w:rsidRPr="00274632">
        <w:rPr>
          <w:rFonts w:ascii="Arial" w:hAnsi="Arial" w:cs="Arial"/>
          <w:sz w:val="22"/>
          <w:szCs w:val="22"/>
        </w:rPr>
        <w:t xml:space="preserve"> to higher levels of pollution and greater climate-related risks (Fecht et al., 2015; Marmot et al., 2020).</w:t>
      </w:r>
    </w:p>
    <w:p w14:paraId="14BE97B0" w14:textId="658DA08E" w:rsidR="00756C59" w:rsidRPr="000777CF" w:rsidRDefault="005066D4" w:rsidP="000777CF">
      <w:pPr>
        <w:pStyle w:val="p2"/>
        <w:spacing w:line="360" w:lineRule="auto"/>
        <w:divId w:val="1421607329"/>
        <w:rPr>
          <w:rFonts w:ascii="Arial" w:hAnsi="Arial" w:cs="Arial"/>
          <w:sz w:val="22"/>
          <w:szCs w:val="22"/>
        </w:rPr>
      </w:pPr>
      <w:r w:rsidRPr="00274632">
        <w:rPr>
          <w:rFonts w:ascii="Arial" w:hAnsi="Arial" w:cs="Arial"/>
          <w:sz w:val="22"/>
          <w:szCs w:val="22"/>
        </w:rPr>
        <w:t xml:space="preserve">Climate action can create important health benefits. For example, cleaner transport systems can reduce air pollution and encourage active travel, improving cardiovascular and respiratory health. However, policies must consider fairness and ensure that vulnerable groups </w:t>
      </w:r>
      <w:bookmarkStart w:id="28" w:name="_Int_Gvj5eJj0"/>
      <w:r w:rsidRPr="00274632">
        <w:rPr>
          <w:rFonts w:ascii="Arial" w:hAnsi="Arial" w:cs="Arial"/>
          <w:sz w:val="22"/>
          <w:szCs w:val="22"/>
        </w:rPr>
        <w:t>are not disadvantaged</w:t>
      </w:r>
      <w:bookmarkEnd w:id="28"/>
      <w:r w:rsidRPr="00274632">
        <w:rPr>
          <w:rFonts w:ascii="Arial" w:hAnsi="Arial" w:cs="Arial"/>
          <w:sz w:val="22"/>
          <w:szCs w:val="22"/>
        </w:rPr>
        <w:t xml:space="preserve"> during the transition towards sustainability</w:t>
      </w:r>
      <w:r w:rsidR="00E07D10">
        <w:rPr>
          <w:rFonts w:ascii="Arial" w:hAnsi="Arial" w:cs="Arial"/>
          <w:sz w:val="22"/>
          <w:szCs w:val="22"/>
        </w:rPr>
        <w:t>.</w:t>
      </w:r>
    </w:p>
    <w:p w14:paraId="7A550B84" w14:textId="2CE97F1F" w:rsidR="009E08EE" w:rsidRDefault="009E08EE" w:rsidP="002046AA">
      <w:pPr>
        <w:pStyle w:val="Heading1"/>
        <w:divId w:val="1421607329"/>
        <w:rPr>
          <w:rFonts w:ascii="Arial" w:eastAsia="Times New Roman" w:hAnsi="Arial" w:cs="Arial"/>
          <w:b/>
        </w:rPr>
      </w:pPr>
      <w:r w:rsidRPr="002046AA">
        <w:rPr>
          <w:rFonts w:ascii="Arial" w:eastAsia="Times New Roman" w:hAnsi="Arial" w:cs="Arial"/>
          <w:b/>
        </w:rPr>
        <w:t>Critical Debate: Individual Responsibility versus Structural Determinants</w:t>
      </w:r>
    </w:p>
    <w:p w14:paraId="2787F39F" w14:textId="30B9FFD3" w:rsidR="00A86DE9" w:rsidRDefault="00A86DE9" w:rsidP="00A86DE9">
      <w:pPr>
        <w:divId w:val="1421607329"/>
      </w:pPr>
    </w:p>
    <w:p w14:paraId="1B6C8A99" w14:textId="6302F22F" w:rsidR="00A86DE9" w:rsidRDefault="000777CF" w:rsidP="00A86DE9">
      <w:pPr>
        <w:divId w:val="1421607329"/>
      </w:pPr>
      <w:r>
        <w:rPr>
          <w:rFonts w:eastAsia="Times New Roman"/>
          <w:noProof/>
        </w:rPr>
        <w:drawing>
          <wp:anchor distT="0" distB="0" distL="114300" distR="114300" simplePos="0" relativeHeight="251658243" behindDoc="0" locked="0" layoutInCell="1" allowOverlap="1" wp14:anchorId="69577EDD" wp14:editId="6015D7D4">
            <wp:simplePos x="0" y="0"/>
            <wp:positionH relativeFrom="margin">
              <wp:posOffset>566420</wp:posOffset>
            </wp:positionH>
            <wp:positionV relativeFrom="paragraph">
              <wp:posOffset>67945</wp:posOffset>
            </wp:positionV>
            <wp:extent cx="3959860" cy="3001010"/>
            <wp:effectExtent l="0" t="0" r="2540" b="8890"/>
            <wp:wrapTopAndBottom/>
            <wp:docPr id="602211225" name="Picture 1" descr="1: Global Health Governance along three political sp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Global Health Governance along three political spa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9860" cy="3001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316EE7" w14:textId="77777777" w:rsidR="00A86DE9" w:rsidRDefault="00A86DE9" w:rsidP="00A86DE9">
      <w:pPr>
        <w:divId w:val="1421607329"/>
      </w:pPr>
    </w:p>
    <w:tbl>
      <w:tblPr>
        <w:tblStyle w:val="TableGrid"/>
        <w:tblW w:w="0" w:type="auto"/>
        <w:tblLook w:val="04A0" w:firstRow="1" w:lastRow="0" w:firstColumn="1" w:lastColumn="0" w:noHBand="0" w:noVBand="1"/>
      </w:tblPr>
      <w:tblGrid>
        <w:gridCol w:w="9016"/>
      </w:tblGrid>
      <w:tr w:rsidR="0099569C" w14:paraId="171CABFF" w14:textId="77777777">
        <w:tc>
          <w:tcPr>
            <w:tcW w:w="9016" w:type="dxa"/>
          </w:tcPr>
          <w:p w14:paraId="53FC9812" w14:textId="77777777" w:rsidR="0099569C" w:rsidRPr="001942C4" w:rsidRDefault="0099569C">
            <w:pPr>
              <w:pStyle w:val="p1"/>
              <w:spacing w:line="360" w:lineRule="auto"/>
              <w:rPr>
                <w:rFonts w:ascii="Arial" w:hAnsi="Arial" w:cs="Arial"/>
                <w:sz w:val="22"/>
                <w:szCs w:val="22"/>
              </w:rPr>
            </w:pPr>
            <w:r>
              <w:rPr>
                <w:b/>
                <w:bCs/>
              </w:rPr>
              <w:t xml:space="preserve">Figure 3: </w:t>
            </w:r>
            <w:r w:rsidRPr="001942C4">
              <w:rPr>
                <w:rFonts w:ascii="Arial" w:hAnsi="Arial" w:cs="Arial"/>
                <w:sz w:val="22"/>
                <w:szCs w:val="22"/>
              </w:rPr>
              <w:t>Global Health Governance along three political spaces (van de Pas, 2020).</w:t>
            </w:r>
          </w:p>
          <w:p w14:paraId="1C62D89C" w14:textId="77777777" w:rsidR="0099569C" w:rsidRDefault="0099569C"/>
        </w:tc>
      </w:tr>
    </w:tbl>
    <w:p w14:paraId="41FF0883" w14:textId="77777777" w:rsidR="0099569C" w:rsidRPr="003C778E" w:rsidRDefault="0099569C"/>
    <w:p w14:paraId="1722AC7E" w14:textId="5389F891" w:rsidR="0096359E" w:rsidRPr="007251A8" w:rsidRDefault="0096359E" w:rsidP="007251A8">
      <w:pPr>
        <w:pStyle w:val="p1"/>
        <w:spacing w:line="360" w:lineRule="auto"/>
        <w:divId w:val="980961372"/>
        <w:rPr>
          <w:rFonts w:ascii="Arial" w:hAnsi="Arial" w:cs="Arial"/>
          <w:sz w:val="22"/>
          <w:szCs w:val="22"/>
        </w:rPr>
      </w:pPr>
      <w:r w:rsidRPr="007251A8">
        <w:rPr>
          <w:rFonts w:ascii="Arial" w:hAnsi="Arial" w:cs="Arial"/>
          <w:sz w:val="22"/>
          <w:szCs w:val="22"/>
        </w:rPr>
        <w:lastRenderedPageBreak/>
        <w:t xml:space="preserve">A continuing debate in public health concerns whether improving health and environmental outcomes should focus </w:t>
      </w:r>
      <w:r w:rsidR="00860E00" w:rsidRPr="007251A8">
        <w:rPr>
          <w:rFonts w:ascii="Arial" w:hAnsi="Arial" w:cs="Arial"/>
          <w:sz w:val="22"/>
          <w:szCs w:val="22"/>
        </w:rPr>
        <w:t>on</w:t>
      </w:r>
      <w:r w:rsidRPr="007251A8">
        <w:rPr>
          <w:rFonts w:ascii="Arial" w:hAnsi="Arial" w:cs="Arial"/>
          <w:sz w:val="22"/>
          <w:szCs w:val="22"/>
        </w:rPr>
        <w:t xml:space="preserve"> individual behaviour or wider structural change. Government strategies often encourage personal responsibility through lifestyle changes such as healthier diets, increased physical activity, and reduced smoking (Department of Health and Social Care, 2018).</w:t>
      </w:r>
    </w:p>
    <w:p w14:paraId="28401AFE" w14:textId="707491B9" w:rsidR="0096359E" w:rsidRPr="007251A8" w:rsidRDefault="0096359E" w:rsidP="007251A8">
      <w:pPr>
        <w:pStyle w:val="p1"/>
        <w:spacing w:line="360" w:lineRule="auto"/>
        <w:divId w:val="980961372"/>
        <w:rPr>
          <w:rFonts w:ascii="Arial" w:hAnsi="Arial" w:cs="Arial"/>
          <w:sz w:val="22"/>
          <w:szCs w:val="22"/>
        </w:rPr>
      </w:pPr>
      <w:r w:rsidRPr="007251A8">
        <w:rPr>
          <w:rFonts w:ascii="Arial" w:hAnsi="Arial" w:cs="Arial"/>
          <w:sz w:val="22"/>
          <w:szCs w:val="22"/>
        </w:rPr>
        <w:t>However, Marmot (2020) argues that focusing on individual choices ignores wider factors such as poverty, housing conditions, employment insecurity, and unequal access to resources. Individuals living in disadvantaged communities may face greater barriers to making healthy and environmentally sustainable choices.</w:t>
      </w:r>
    </w:p>
    <w:p w14:paraId="79EAEF1F" w14:textId="65E2DD8F" w:rsidR="009E08EE" w:rsidRPr="007251A8" w:rsidRDefault="0096359E" w:rsidP="007251A8">
      <w:pPr>
        <w:pStyle w:val="p2"/>
        <w:spacing w:line="360" w:lineRule="auto"/>
        <w:divId w:val="980961372"/>
        <w:rPr>
          <w:rFonts w:ascii="Arial" w:hAnsi="Arial" w:cs="Arial"/>
          <w:sz w:val="22"/>
          <w:szCs w:val="22"/>
        </w:rPr>
      </w:pPr>
      <w:r w:rsidRPr="007251A8">
        <w:rPr>
          <w:rFonts w:ascii="Arial" w:hAnsi="Arial" w:cs="Arial"/>
          <w:sz w:val="22"/>
          <w:szCs w:val="22"/>
        </w:rPr>
        <w:t xml:space="preserve">Behavioural approaches </w:t>
      </w:r>
      <w:bookmarkStart w:id="29" w:name="_Int_4K2Zna33"/>
      <w:r w:rsidRPr="007251A8">
        <w:rPr>
          <w:rFonts w:ascii="Arial" w:hAnsi="Arial" w:cs="Arial"/>
          <w:sz w:val="22"/>
          <w:szCs w:val="22"/>
        </w:rPr>
        <w:t>remain</w:t>
      </w:r>
      <w:bookmarkEnd w:id="29"/>
      <w:r w:rsidRPr="007251A8">
        <w:rPr>
          <w:rFonts w:ascii="Arial" w:hAnsi="Arial" w:cs="Arial"/>
          <w:sz w:val="22"/>
          <w:szCs w:val="22"/>
        </w:rPr>
        <w:t xml:space="preserve"> valuable because lifestyle changes can reduce the risk of preventable diseases (Beaglehole et al., 2019). However, effective progress requires combining individual interventions with policies that address wider social and economic inequalities.</w:t>
      </w:r>
    </w:p>
    <w:p w14:paraId="6E79AFA5" w14:textId="77777777" w:rsidR="0096359E" w:rsidRDefault="0096359E" w:rsidP="0096359E">
      <w:pPr>
        <w:pStyle w:val="p2"/>
        <w:divId w:val="980961372"/>
      </w:pPr>
    </w:p>
    <w:p w14:paraId="6866CFED" w14:textId="77777777" w:rsidR="0005004C" w:rsidRPr="002046AA" w:rsidRDefault="0005004C" w:rsidP="002046AA">
      <w:pPr>
        <w:pStyle w:val="Heading1"/>
        <w:divId w:val="421222130"/>
        <w:rPr>
          <w:rFonts w:ascii="Arial" w:eastAsia="Times New Roman" w:hAnsi="Arial" w:cs="Arial"/>
          <w:b/>
        </w:rPr>
      </w:pPr>
      <w:r w:rsidRPr="002046AA">
        <w:rPr>
          <w:rFonts w:ascii="Arial" w:eastAsia="Times New Roman" w:hAnsi="Arial" w:cs="Arial"/>
          <w:b/>
        </w:rPr>
        <w:t>Critical Debate: Climate Commitments versus Policy Implementation</w:t>
      </w:r>
    </w:p>
    <w:p w14:paraId="5DCE91FC" w14:textId="77777777" w:rsidR="00830954" w:rsidRDefault="00830954" w:rsidP="002046AA">
      <w:pPr>
        <w:spacing w:before="100" w:beforeAutospacing="1" w:after="100" w:afterAutospacing="1" w:line="360" w:lineRule="auto"/>
        <w:divId w:val="421222130"/>
        <w:rPr>
          <w:rFonts w:ascii="Arial" w:hAnsi="Arial" w:cs="Arial"/>
          <w:kern w:val="0"/>
          <w:sz w:val="22"/>
          <w:szCs w:val="22"/>
          <w14:ligatures w14:val="none"/>
        </w:rPr>
      </w:pPr>
    </w:p>
    <w:p w14:paraId="705CE04F" w14:textId="77777777" w:rsidR="000B5A29" w:rsidRDefault="0005004C" w:rsidP="0007392F">
      <w:pPr>
        <w:spacing w:before="100" w:beforeAutospacing="1" w:after="100" w:afterAutospacing="1" w:line="360" w:lineRule="auto"/>
        <w:divId w:val="421222130"/>
        <w:rPr>
          <w:rFonts w:ascii="Arial" w:hAnsi="Arial" w:cs="Arial"/>
          <w:kern w:val="0"/>
          <w:sz w:val="22"/>
          <w:szCs w:val="22"/>
          <w14:ligatures w14:val="none"/>
        </w:rPr>
      </w:pPr>
      <w:r w:rsidRPr="002046AA">
        <w:rPr>
          <w:rFonts w:ascii="Arial" w:hAnsi="Arial" w:cs="Arial"/>
          <w:kern w:val="0"/>
          <w:sz w:val="22"/>
          <w:szCs w:val="22"/>
          <w14:ligatures w14:val="none"/>
        </w:rPr>
        <w:t xml:space="preserve">Although international agreements such as the Paris Agreement represent significant political progress, there is considerable debate </w:t>
      </w:r>
      <w:bookmarkStart w:id="30" w:name="_Int_snTCk7H7"/>
      <w:r w:rsidRPr="002046AA">
        <w:rPr>
          <w:rFonts w:ascii="Arial" w:hAnsi="Arial" w:cs="Arial"/>
          <w:kern w:val="0"/>
          <w:sz w:val="22"/>
          <w:szCs w:val="22"/>
          <w14:ligatures w14:val="none"/>
        </w:rPr>
        <w:t>regarding</w:t>
      </w:r>
      <w:bookmarkEnd w:id="30"/>
      <w:r w:rsidRPr="002046AA">
        <w:rPr>
          <w:rFonts w:ascii="Arial" w:hAnsi="Arial" w:cs="Arial"/>
          <w:kern w:val="0"/>
          <w:sz w:val="22"/>
          <w:szCs w:val="22"/>
          <w14:ligatures w14:val="none"/>
        </w:rPr>
        <w:t xml:space="preserve"> their practical effectiveness. Supporters argue that legally recognised climate targets encourage long-term investment in renewable technologies and strengthen international cooperation (UNFCCC, 2015). Nevertheless, critics note that the Agreement lacks robust enforcement mechanisms, allowing governments to set ambitious targets without implementing sufficient domestic action (IPCC, 2022). </w:t>
      </w:r>
    </w:p>
    <w:p w14:paraId="3FAA4B9C" w14:textId="7C7D5CC5" w:rsidR="0007392F" w:rsidRPr="0007392F" w:rsidRDefault="0005004C" w:rsidP="0007392F">
      <w:pPr>
        <w:spacing w:before="100" w:beforeAutospacing="1" w:after="100" w:afterAutospacing="1" w:line="360" w:lineRule="auto"/>
        <w:divId w:val="421222130"/>
        <w:rPr>
          <w:rFonts w:ascii="Arial" w:hAnsi="Arial" w:cs="Arial"/>
          <w:kern w:val="0"/>
          <w:sz w:val="22"/>
          <w:szCs w:val="22"/>
          <w14:ligatures w14:val="none"/>
        </w:rPr>
      </w:pPr>
      <w:r w:rsidRPr="002046AA">
        <w:rPr>
          <w:rFonts w:ascii="Arial" w:hAnsi="Arial" w:cs="Arial"/>
          <w:kern w:val="0"/>
          <w:sz w:val="22"/>
          <w:szCs w:val="22"/>
          <w14:ligatures w14:val="none"/>
        </w:rPr>
        <w:t xml:space="preserve">This “implementation gap” has become increasingly </w:t>
      </w:r>
      <w:bookmarkStart w:id="31" w:name="_Int_XYqRoNyQ"/>
      <w:r w:rsidRPr="002046AA">
        <w:rPr>
          <w:rFonts w:ascii="Arial" w:hAnsi="Arial" w:cs="Arial"/>
          <w:kern w:val="0"/>
          <w:sz w:val="22"/>
          <w:szCs w:val="22"/>
          <w14:ligatures w14:val="none"/>
        </w:rPr>
        <w:t>evident</w:t>
      </w:r>
      <w:bookmarkEnd w:id="31"/>
      <w:r w:rsidRPr="002046AA">
        <w:rPr>
          <w:rFonts w:ascii="Arial" w:hAnsi="Arial" w:cs="Arial"/>
          <w:kern w:val="0"/>
          <w:sz w:val="22"/>
          <w:szCs w:val="22"/>
          <w14:ligatures w14:val="none"/>
        </w:rPr>
        <w:t xml:space="preserve"> as current national commitments remain inconsistent with limiting global warming to 1.5°C (Climate Action Tracker, 2023). Furthermore, wealthier nations have </w:t>
      </w:r>
      <w:bookmarkStart w:id="32" w:name="_Int_Oa7ZV4u3"/>
      <w:r w:rsidRPr="002046AA">
        <w:rPr>
          <w:rFonts w:ascii="Arial" w:hAnsi="Arial" w:cs="Arial"/>
          <w:kern w:val="0"/>
          <w:sz w:val="22"/>
          <w:szCs w:val="22"/>
          <w14:ligatures w14:val="none"/>
        </w:rPr>
        <w:t>frequently</w:t>
      </w:r>
      <w:bookmarkEnd w:id="32"/>
      <w:r w:rsidRPr="002046AA">
        <w:rPr>
          <w:rFonts w:ascii="Arial" w:hAnsi="Arial" w:cs="Arial"/>
          <w:kern w:val="0"/>
          <w:sz w:val="22"/>
          <w:szCs w:val="22"/>
          <w14:ligatures w14:val="none"/>
        </w:rPr>
        <w:t xml:space="preserve"> failed to meet promised climate finance commitments to developing countries, raising concerns </w:t>
      </w:r>
      <w:bookmarkStart w:id="33" w:name="_Int_BAQ10ftb"/>
      <w:r w:rsidRPr="002046AA">
        <w:rPr>
          <w:rFonts w:ascii="Arial" w:hAnsi="Arial" w:cs="Arial"/>
          <w:kern w:val="0"/>
          <w:sz w:val="22"/>
          <w:szCs w:val="22"/>
          <w14:ligatures w14:val="none"/>
        </w:rPr>
        <w:t>regarding</w:t>
      </w:r>
      <w:bookmarkEnd w:id="33"/>
      <w:r w:rsidRPr="002046AA">
        <w:rPr>
          <w:rFonts w:ascii="Arial" w:hAnsi="Arial" w:cs="Arial"/>
          <w:kern w:val="0"/>
          <w:sz w:val="22"/>
          <w:szCs w:val="22"/>
          <w14:ligatures w14:val="none"/>
        </w:rPr>
        <w:t xml:space="preserve"> climate justice and international accountability (UNDP, 2022). Consequently, while global agreements </w:t>
      </w:r>
      <w:bookmarkStart w:id="34" w:name="_Int_XY9dKrXl"/>
      <w:r w:rsidRPr="002046AA">
        <w:rPr>
          <w:rFonts w:ascii="Arial" w:hAnsi="Arial" w:cs="Arial"/>
          <w:kern w:val="0"/>
          <w:sz w:val="22"/>
          <w:szCs w:val="22"/>
          <w14:ligatures w14:val="none"/>
        </w:rPr>
        <w:t>establish</w:t>
      </w:r>
      <w:bookmarkEnd w:id="34"/>
      <w:r w:rsidRPr="002046AA">
        <w:rPr>
          <w:rFonts w:ascii="Arial" w:hAnsi="Arial" w:cs="Arial"/>
          <w:kern w:val="0"/>
          <w:sz w:val="22"/>
          <w:szCs w:val="22"/>
          <w14:ligatures w14:val="none"/>
        </w:rPr>
        <w:t xml:space="preserve"> an important policy framework, their success depends upon effective national implementation, transparent monitoring, and </w:t>
      </w:r>
      <w:bookmarkStart w:id="35" w:name="_Int_p71Zsnle"/>
      <w:r w:rsidRPr="002046AA">
        <w:rPr>
          <w:rFonts w:ascii="Arial" w:hAnsi="Arial" w:cs="Arial"/>
          <w:kern w:val="0"/>
          <w:sz w:val="22"/>
          <w:szCs w:val="22"/>
          <w14:ligatures w14:val="none"/>
        </w:rPr>
        <w:t>equitable</w:t>
      </w:r>
      <w:bookmarkEnd w:id="35"/>
      <w:r w:rsidRPr="002046AA">
        <w:rPr>
          <w:rFonts w:ascii="Arial" w:hAnsi="Arial" w:cs="Arial"/>
          <w:kern w:val="0"/>
          <w:sz w:val="22"/>
          <w:szCs w:val="22"/>
          <w14:ligatures w14:val="none"/>
        </w:rPr>
        <w:t xml:space="preserve"> international cooperation.</w:t>
      </w:r>
    </w:p>
    <w:p w14:paraId="05CBCC6B" w14:textId="77777777" w:rsidR="0007392F" w:rsidRDefault="0007392F" w:rsidP="0007392F">
      <w:pPr>
        <w:pStyle w:val="Heading1"/>
        <w:rPr>
          <w:rFonts w:ascii="Arial" w:eastAsia="Times New Roman" w:hAnsi="Arial" w:cs="Arial"/>
          <w:b/>
        </w:rPr>
      </w:pPr>
    </w:p>
    <w:p w14:paraId="2F020F50" w14:textId="60523406" w:rsidR="0007392F" w:rsidRPr="0007392F" w:rsidRDefault="00852BCC" w:rsidP="0007392F">
      <w:pPr>
        <w:pStyle w:val="Heading1"/>
        <w:rPr>
          <w:rFonts w:ascii="Arial" w:eastAsia="Times New Roman" w:hAnsi="Arial" w:cs="Arial"/>
          <w:b/>
        </w:rPr>
      </w:pPr>
      <w:r w:rsidRPr="002046AA">
        <w:rPr>
          <w:rFonts w:ascii="Arial" w:eastAsia="Times New Roman" w:hAnsi="Arial" w:cs="Arial"/>
          <w:b/>
        </w:rPr>
        <w:t>Local Level Action</w:t>
      </w:r>
      <w:r w:rsidR="005A682B">
        <w:rPr>
          <w:rFonts w:ascii="Arial" w:eastAsia="Times New Roman" w:hAnsi="Arial" w:cs="Arial"/>
          <w:b/>
        </w:rPr>
        <w:t xml:space="preserve"> Birmingham </w:t>
      </w:r>
    </w:p>
    <w:p w14:paraId="46D58B43" w14:textId="145A00F1" w:rsidR="0097312A" w:rsidRPr="00EE63F6" w:rsidRDefault="0097312A" w:rsidP="00EE63F6">
      <w:pPr>
        <w:pStyle w:val="p1"/>
        <w:spacing w:line="360" w:lineRule="auto"/>
        <w:divId w:val="1149126089"/>
        <w:rPr>
          <w:rFonts w:ascii="Arial" w:hAnsi="Arial" w:cs="Arial"/>
          <w:sz w:val="22"/>
          <w:szCs w:val="22"/>
        </w:rPr>
      </w:pPr>
      <w:r w:rsidRPr="00EE63F6">
        <w:rPr>
          <w:rFonts w:ascii="Arial" w:hAnsi="Arial" w:cs="Arial"/>
          <w:sz w:val="22"/>
          <w:szCs w:val="22"/>
        </w:rPr>
        <w:t>At a local level, Birmingham City Council has developed climate action strategies focusing on reducing emissions, improving green spaces, and encouraging sustainable transport (Birmingham City Council, 2023). These approaches can improve health by increasing physical activity, reducing air pollution, and supporting healthier environments</w:t>
      </w:r>
      <w:r w:rsidR="001E0F3B">
        <w:rPr>
          <w:rFonts w:ascii="Arial" w:hAnsi="Arial" w:cs="Arial"/>
          <w:sz w:val="22"/>
          <w:szCs w:val="22"/>
        </w:rPr>
        <w:t>.</w:t>
      </w:r>
    </w:p>
    <w:p w14:paraId="094C5313" w14:textId="2B4F1BF0" w:rsidR="0097312A" w:rsidRPr="00EE63F6" w:rsidRDefault="0097312A" w:rsidP="00EE63F6">
      <w:pPr>
        <w:pStyle w:val="p2"/>
        <w:spacing w:line="360" w:lineRule="auto"/>
        <w:divId w:val="1149126089"/>
        <w:rPr>
          <w:rFonts w:ascii="Arial" w:hAnsi="Arial" w:cs="Arial"/>
          <w:sz w:val="22"/>
          <w:szCs w:val="22"/>
        </w:rPr>
      </w:pPr>
      <w:r w:rsidRPr="00EE63F6">
        <w:rPr>
          <w:rFonts w:ascii="Arial" w:hAnsi="Arial" w:cs="Arial"/>
          <w:sz w:val="22"/>
          <w:szCs w:val="22"/>
        </w:rPr>
        <w:t xml:space="preserve">However, challenges </w:t>
      </w:r>
      <w:bookmarkStart w:id="36" w:name="_Int_Owgtaoz7"/>
      <w:r w:rsidRPr="00EE63F6">
        <w:rPr>
          <w:rFonts w:ascii="Arial" w:hAnsi="Arial" w:cs="Arial"/>
          <w:sz w:val="22"/>
          <w:szCs w:val="22"/>
        </w:rPr>
        <w:t>remain</w:t>
      </w:r>
      <w:bookmarkEnd w:id="36"/>
      <w:r w:rsidRPr="00EE63F6">
        <w:rPr>
          <w:rFonts w:ascii="Arial" w:hAnsi="Arial" w:cs="Arial"/>
          <w:sz w:val="22"/>
          <w:szCs w:val="22"/>
        </w:rPr>
        <w:t xml:space="preserve"> due to differences in local authority resources, funding pressures, and technical capacity. Limited resources can affect the ability of communities to implement effective climate adaptation strategies and may increase inequalities in climate resilience</w:t>
      </w:r>
      <w:r w:rsidR="006E482D">
        <w:rPr>
          <w:rFonts w:ascii="Arial" w:hAnsi="Arial" w:cs="Arial"/>
          <w:sz w:val="22"/>
          <w:szCs w:val="22"/>
        </w:rPr>
        <w:t>.</w:t>
      </w:r>
      <w:r w:rsidRPr="00EE63F6">
        <w:rPr>
          <w:rFonts w:ascii="Arial" w:hAnsi="Arial" w:cs="Arial"/>
          <w:sz w:val="22"/>
          <w:szCs w:val="22"/>
        </w:rPr>
        <w:t xml:space="preserve"> </w:t>
      </w:r>
    </w:p>
    <w:p w14:paraId="159309FB" w14:textId="6583DB74" w:rsidR="009C6348" w:rsidRPr="002908AE" w:rsidRDefault="009C6348" w:rsidP="002908AE">
      <w:pPr>
        <w:pStyle w:val="p1"/>
        <w:spacing w:line="360" w:lineRule="auto"/>
        <w:divId w:val="1376270312"/>
        <w:rPr>
          <w:rFonts w:ascii="Arial" w:hAnsi="Arial" w:cs="Arial"/>
          <w:sz w:val="22"/>
          <w:szCs w:val="22"/>
        </w:rPr>
      </w:pPr>
    </w:p>
    <w:p w14:paraId="6378AB59" w14:textId="77777777" w:rsidR="005B5066" w:rsidRPr="00A56053" w:rsidRDefault="005B5066" w:rsidP="00A56053">
      <w:pPr>
        <w:pStyle w:val="Heading1"/>
        <w:divId w:val="2050180318"/>
        <w:rPr>
          <w:rFonts w:ascii="Arial" w:eastAsia="Times New Roman" w:hAnsi="Arial" w:cs="Arial"/>
          <w:b/>
        </w:rPr>
      </w:pPr>
      <w:r w:rsidRPr="00A56053">
        <w:rPr>
          <w:rFonts w:ascii="Arial" w:eastAsia="Times New Roman" w:hAnsi="Arial" w:cs="Arial"/>
          <w:b/>
        </w:rPr>
        <w:t>Critical Debate: Economic Growth and Climate Policy</w:t>
      </w:r>
    </w:p>
    <w:p w14:paraId="683B6A44" w14:textId="6B67C767" w:rsidR="00AF4562" w:rsidRPr="00874650" w:rsidRDefault="00AF4562" w:rsidP="00874650">
      <w:pPr>
        <w:spacing w:before="100" w:beforeAutospacing="1" w:after="100" w:afterAutospacing="1" w:line="360" w:lineRule="auto"/>
        <w:divId w:val="100298766"/>
        <w:rPr>
          <w:rFonts w:ascii="Arial" w:eastAsia="Times New Roman" w:hAnsi="Arial" w:cs="Arial"/>
          <w:kern w:val="0"/>
          <w:sz w:val="22"/>
          <w:szCs w:val="22"/>
          <w14:ligatures w14:val="none"/>
        </w:rPr>
      </w:pPr>
      <w:r w:rsidRPr="00874650">
        <w:rPr>
          <w:rFonts w:ascii="Arial" w:hAnsi="Arial" w:cs="Arial"/>
          <w:sz w:val="22"/>
          <w:szCs w:val="22"/>
        </w:rPr>
        <w:t xml:space="preserve">A significant debate concerns whether ambitious climate policies can </w:t>
      </w:r>
      <w:bookmarkStart w:id="37" w:name="_Int_OY6ee7W6"/>
      <w:r w:rsidRPr="00874650">
        <w:rPr>
          <w:rFonts w:ascii="Arial" w:hAnsi="Arial" w:cs="Arial"/>
          <w:sz w:val="22"/>
          <w:szCs w:val="22"/>
        </w:rPr>
        <w:t>be achieved</w:t>
      </w:r>
      <w:bookmarkEnd w:id="37"/>
      <w:r w:rsidRPr="00874650">
        <w:rPr>
          <w:rFonts w:ascii="Arial" w:hAnsi="Arial" w:cs="Arial"/>
          <w:sz w:val="22"/>
          <w:szCs w:val="22"/>
        </w:rPr>
        <w:t xml:space="preserve"> alongside economic growth. Supporters of green economic development argue that investment in renewable energy, sustainable transport, and green infrastructure can create employment opportunities while improving environmental and health outcomes</w:t>
      </w:r>
      <w:r w:rsidR="00553419" w:rsidRPr="00874650">
        <w:rPr>
          <w:rFonts w:ascii="Arial" w:eastAsia="Times New Roman" w:hAnsi="Arial" w:cs="Arial"/>
          <w:b/>
          <w:bCs/>
          <w:kern w:val="0"/>
          <w:sz w:val="22"/>
          <w:szCs w:val="22"/>
          <w14:ligatures w14:val="none"/>
        </w:rPr>
        <w:t xml:space="preserve"> </w:t>
      </w:r>
      <w:r w:rsidR="00553419" w:rsidRPr="00874650">
        <w:rPr>
          <w:rFonts w:ascii="Arial" w:eastAsia="Times New Roman" w:hAnsi="Arial" w:cs="Arial"/>
          <w:kern w:val="0"/>
          <w:sz w:val="22"/>
          <w:szCs w:val="22"/>
          <w14:ligatures w14:val="none"/>
        </w:rPr>
        <w:t>(Mastini, Kallis, and Hickel, 2021)</w:t>
      </w:r>
    </w:p>
    <w:p w14:paraId="4A68AA5D" w14:textId="65358BD2" w:rsidR="00AF4562" w:rsidRPr="00FD1688" w:rsidRDefault="00AF4562" w:rsidP="00FD1688">
      <w:pPr>
        <w:pStyle w:val="p1"/>
        <w:spacing w:line="360" w:lineRule="auto"/>
        <w:divId w:val="231426985"/>
        <w:rPr>
          <w:rFonts w:ascii="Arial" w:hAnsi="Arial" w:cs="Arial"/>
          <w:sz w:val="22"/>
          <w:szCs w:val="22"/>
        </w:rPr>
      </w:pPr>
      <w:r w:rsidRPr="00FD1688">
        <w:rPr>
          <w:rFonts w:ascii="Arial" w:hAnsi="Arial" w:cs="Arial"/>
          <w:sz w:val="22"/>
          <w:szCs w:val="22"/>
        </w:rPr>
        <w:t xml:space="preserve">Conversely, critics argue that rapid decarbonisation may create short-term economic challenges for industries and workers dependent on carbon-intensive sectors (Climate Change Committee, 2023). However, evidence suggests that the long-term costs of climate inaction, including increased healthcare costs and environmental damage, are likely to exceed the costs of </w:t>
      </w:r>
      <w:r w:rsidR="00C810FB" w:rsidRPr="00FD1688">
        <w:rPr>
          <w:rFonts w:ascii="Arial" w:hAnsi="Arial" w:cs="Arial"/>
          <w:sz w:val="22"/>
          <w:szCs w:val="22"/>
        </w:rPr>
        <w:t>prompt action</w:t>
      </w:r>
      <w:r w:rsidRPr="00FD1688">
        <w:rPr>
          <w:rFonts w:ascii="Arial" w:hAnsi="Arial" w:cs="Arial"/>
          <w:sz w:val="22"/>
          <w:szCs w:val="22"/>
        </w:rPr>
        <w:t xml:space="preserve"> (Stern, 200</w:t>
      </w:r>
      <w:r w:rsidR="0076700F">
        <w:rPr>
          <w:rFonts w:ascii="Arial" w:hAnsi="Arial" w:cs="Arial"/>
          <w:sz w:val="22"/>
          <w:szCs w:val="22"/>
        </w:rPr>
        <w:t>8</w:t>
      </w:r>
      <w:r w:rsidRPr="00FD1688">
        <w:rPr>
          <w:rFonts w:ascii="Arial" w:hAnsi="Arial" w:cs="Arial"/>
          <w:sz w:val="22"/>
          <w:szCs w:val="22"/>
        </w:rPr>
        <w:t>; IPCC, 2022).</w:t>
      </w:r>
    </w:p>
    <w:p w14:paraId="2C5C8EB3" w14:textId="77777777" w:rsidR="00AF4562" w:rsidRPr="00FD1688" w:rsidRDefault="00AF4562" w:rsidP="00FD1688">
      <w:pPr>
        <w:pStyle w:val="p2"/>
        <w:spacing w:line="360" w:lineRule="auto"/>
        <w:divId w:val="231426985"/>
        <w:rPr>
          <w:rFonts w:ascii="Arial" w:hAnsi="Arial" w:cs="Arial"/>
          <w:sz w:val="22"/>
          <w:szCs w:val="22"/>
        </w:rPr>
      </w:pPr>
      <w:r w:rsidRPr="00FD1688">
        <w:rPr>
          <w:rFonts w:ascii="Arial" w:hAnsi="Arial" w:cs="Arial"/>
          <w:sz w:val="22"/>
          <w:szCs w:val="22"/>
        </w:rPr>
        <w:t>Therefore, climate policies should support a just transition by protecting vulnerable workers, reducing inequalities, and promoting sustainable economic development.</w:t>
      </w:r>
    </w:p>
    <w:p w14:paraId="720D1039" w14:textId="77777777" w:rsidR="005B5066" w:rsidRPr="00852BCC" w:rsidRDefault="005B5066" w:rsidP="00852BCC">
      <w:pPr>
        <w:spacing w:before="100" w:beforeAutospacing="1" w:after="100" w:afterAutospacing="1" w:line="240" w:lineRule="auto"/>
        <w:rPr>
          <w:rFonts w:ascii="Times New Roman" w:hAnsi="Times New Roman" w:cs="Times New Roman"/>
          <w:kern w:val="0"/>
          <w14:ligatures w14:val="none"/>
        </w:rPr>
      </w:pPr>
    </w:p>
    <w:p w14:paraId="64B119CE" w14:textId="77777777" w:rsidR="00852BCC" w:rsidRDefault="00852BCC" w:rsidP="00A56053">
      <w:pPr>
        <w:pStyle w:val="Heading1"/>
        <w:rPr>
          <w:rFonts w:ascii="Arial" w:hAnsi="Arial" w:cs="Arial"/>
          <w:b/>
        </w:rPr>
      </w:pPr>
      <w:r w:rsidRPr="00A56053">
        <w:rPr>
          <w:rFonts w:ascii="Arial" w:hAnsi="Arial" w:cs="Arial"/>
          <w:b/>
        </w:rPr>
        <w:lastRenderedPageBreak/>
        <w:t>Critical Evaluation and Recommendations</w:t>
      </w:r>
    </w:p>
    <w:p w14:paraId="5E86A4F0" w14:textId="77777777" w:rsidR="007A1448" w:rsidRDefault="007A1448" w:rsidP="007A1448"/>
    <w:p w14:paraId="55DEE29A" w14:textId="55AF6D42" w:rsidR="00161E9F" w:rsidRPr="00A40E2E" w:rsidRDefault="00161E9F" w:rsidP="00A40E2E">
      <w:pPr>
        <w:pStyle w:val="p1"/>
        <w:spacing w:line="360" w:lineRule="auto"/>
        <w:divId w:val="2129349730"/>
        <w:rPr>
          <w:rFonts w:ascii="Arial" w:hAnsi="Arial" w:cs="Arial"/>
          <w:sz w:val="22"/>
          <w:szCs w:val="22"/>
        </w:rPr>
      </w:pPr>
      <w:r w:rsidRPr="00A40E2E">
        <w:rPr>
          <w:rFonts w:ascii="Arial" w:hAnsi="Arial" w:cs="Arial"/>
          <w:sz w:val="22"/>
          <w:szCs w:val="22"/>
        </w:rPr>
        <w:t>Achieving SDG 3 requires stronger accountability, as policy effectiveness depends on transparent monitoring, adequate funding, and collaboration between healthcare providers, governments, and communities (World Health Organisation, 20</w:t>
      </w:r>
      <w:r w:rsidR="009A2835">
        <w:rPr>
          <w:rFonts w:ascii="Arial" w:hAnsi="Arial" w:cs="Arial"/>
          <w:sz w:val="22"/>
          <w:szCs w:val="22"/>
        </w:rPr>
        <w:t>23</w:t>
      </w:r>
      <w:r w:rsidRPr="00A40E2E">
        <w:rPr>
          <w:rFonts w:ascii="Arial" w:hAnsi="Arial" w:cs="Arial"/>
          <w:sz w:val="22"/>
          <w:szCs w:val="22"/>
        </w:rPr>
        <w:t xml:space="preserve">). </w:t>
      </w:r>
    </w:p>
    <w:p w14:paraId="14316152" w14:textId="456F3206" w:rsidR="00161E9F" w:rsidRPr="00A40E2E" w:rsidRDefault="00161E9F" w:rsidP="00A40E2E">
      <w:pPr>
        <w:pStyle w:val="p1"/>
        <w:spacing w:line="360" w:lineRule="auto"/>
        <w:divId w:val="2129349730"/>
        <w:rPr>
          <w:rFonts w:ascii="Arial" w:hAnsi="Arial" w:cs="Arial"/>
          <w:sz w:val="22"/>
          <w:szCs w:val="22"/>
        </w:rPr>
      </w:pPr>
      <w:r w:rsidRPr="00A40E2E">
        <w:rPr>
          <w:rFonts w:ascii="Arial" w:hAnsi="Arial" w:cs="Arial"/>
          <w:sz w:val="22"/>
          <w:szCs w:val="22"/>
        </w:rPr>
        <w:t xml:space="preserve">However, workforce shortages, unequal resource distribution, and wider social determinants continue to reinforce health inequalities (Dahlgren and Whitehead, 1991; Marmot et al., 2020). Ethical concerns </w:t>
      </w:r>
      <w:bookmarkStart w:id="38" w:name="_Int_wJ0LL1Mc"/>
      <w:r w:rsidRPr="00A40E2E">
        <w:rPr>
          <w:rFonts w:ascii="Arial" w:hAnsi="Arial" w:cs="Arial"/>
          <w:sz w:val="22"/>
          <w:szCs w:val="22"/>
        </w:rPr>
        <w:t>regarding</w:t>
      </w:r>
      <w:bookmarkEnd w:id="38"/>
      <w:r w:rsidRPr="00A40E2E">
        <w:rPr>
          <w:rFonts w:ascii="Arial" w:hAnsi="Arial" w:cs="Arial"/>
          <w:sz w:val="22"/>
          <w:szCs w:val="22"/>
        </w:rPr>
        <w:t xml:space="preserve"> unequal access and digital exclusion remain significant (Nutbeam, 2018). </w:t>
      </w:r>
    </w:p>
    <w:p w14:paraId="4D884F52" w14:textId="75FA08D2" w:rsidR="00161E9F" w:rsidRPr="00A40E2E" w:rsidRDefault="00161E9F" w:rsidP="00A40E2E">
      <w:pPr>
        <w:pStyle w:val="p1"/>
        <w:spacing w:line="360" w:lineRule="auto"/>
        <w:divId w:val="2129349730"/>
        <w:rPr>
          <w:rFonts w:ascii="Arial" w:hAnsi="Arial" w:cs="Arial"/>
          <w:sz w:val="22"/>
          <w:szCs w:val="22"/>
        </w:rPr>
      </w:pPr>
      <w:r w:rsidRPr="00A40E2E">
        <w:rPr>
          <w:rFonts w:ascii="Arial" w:hAnsi="Arial" w:cs="Arial"/>
          <w:sz w:val="22"/>
          <w:szCs w:val="22"/>
        </w:rPr>
        <w:t xml:space="preserve">Similarly, SDG 13 </w:t>
      </w:r>
      <w:bookmarkStart w:id="39" w:name="_Int_jSCNUlzN"/>
      <w:r w:rsidRPr="00A40E2E">
        <w:rPr>
          <w:rFonts w:ascii="Arial" w:hAnsi="Arial" w:cs="Arial"/>
          <w:sz w:val="22"/>
          <w:szCs w:val="22"/>
        </w:rPr>
        <w:t>demonstrates</w:t>
      </w:r>
      <w:bookmarkEnd w:id="39"/>
      <w:r w:rsidRPr="00A40E2E">
        <w:rPr>
          <w:rFonts w:ascii="Arial" w:hAnsi="Arial" w:cs="Arial"/>
          <w:sz w:val="22"/>
          <w:szCs w:val="22"/>
        </w:rPr>
        <w:t xml:space="preserve"> strong policy ambition but weak implementation consistency due to the separation of climate and health policies (Watts et al., 2018). A planetary health approach </w:t>
      </w:r>
      <w:bookmarkStart w:id="40" w:name="_Int_YkPEgVUL"/>
      <w:r w:rsidRPr="00A40E2E">
        <w:rPr>
          <w:rFonts w:ascii="Arial" w:hAnsi="Arial" w:cs="Arial"/>
          <w:sz w:val="22"/>
          <w:szCs w:val="22"/>
        </w:rPr>
        <w:t>is needed</w:t>
      </w:r>
      <w:bookmarkEnd w:id="40"/>
      <w:r w:rsidRPr="00A40E2E">
        <w:rPr>
          <w:rFonts w:ascii="Arial" w:hAnsi="Arial" w:cs="Arial"/>
          <w:sz w:val="22"/>
          <w:szCs w:val="22"/>
        </w:rPr>
        <w:t xml:space="preserve"> to integrate sustainability, health impact assessments, adaptation funding, and climate justice to address unequal vulnerability and exposure (Whitmee et al., 2015; IPCC, 2022).</w:t>
      </w:r>
    </w:p>
    <w:p w14:paraId="7E3AC445" w14:textId="77777777" w:rsidR="007A1448" w:rsidRPr="007A1448" w:rsidRDefault="007A1448" w:rsidP="007A1448"/>
    <w:p w14:paraId="57442CEA" w14:textId="30995635" w:rsidR="00577FFE" w:rsidRPr="00A40E2E" w:rsidRDefault="000005EE" w:rsidP="00A40E2E">
      <w:pPr>
        <w:pStyle w:val="Heading1"/>
        <w:divId w:val="832725228"/>
        <w:rPr>
          <w:rFonts w:ascii="Arial" w:eastAsiaTheme="minorEastAsia" w:hAnsi="Arial" w:cs="Arial"/>
          <w:b/>
          <w:kern w:val="0"/>
          <w14:ligatures w14:val="none"/>
        </w:rPr>
      </w:pPr>
      <w:r w:rsidRPr="00F134C6">
        <w:rPr>
          <w:rFonts w:ascii="Arial" w:eastAsia="Times New Roman" w:hAnsi="Arial" w:cs="Arial"/>
          <w:b/>
        </w:rPr>
        <w:t>Integrating SDG 3 and SDG 13</w:t>
      </w:r>
    </w:p>
    <w:p w14:paraId="24195DC7" w14:textId="77777777" w:rsidR="00187F33" w:rsidRDefault="00187F33" w:rsidP="00852BCC">
      <w:pPr>
        <w:spacing w:after="0" w:line="240" w:lineRule="auto"/>
        <w:rPr>
          <w:rFonts w:ascii="Times New Roman" w:eastAsia="Times New Roman" w:hAnsi="Times New Roman" w:cs="Times New Roman"/>
          <w:kern w:val="0"/>
          <w14:ligatures w14:val="none"/>
        </w:rPr>
      </w:pPr>
    </w:p>
    <w:p w14:paraId="6C90656D" w14:textId="77777777" w:rsidR="001A79B7" w:rsidRPr="00711A5A" w:rsidRDefault="001A79B7" w:rsidP="00711A5A">
      <w:pPr>
        <w:pStyle w:val="p1"/>
        <w:spacing w:line="360" w:lineRule="auto"/>
        <w:divId w:val="773284977"/>
        <w:rPr>
          <w:rFonts w:ascii="Arial" w:hAnsi="Arial" w:cs="Arial"/>
          <w:sz w:val="22"/>
          <w:szCs w:val="22"/>
        </w:rPr>
      </w:pPr>
      <w:r w:rsidRPr="00711A5A">
        <w:rPr>
          <w:rFonts w:ascii="Arial" w:hAnsi="Arial" w:cs="Arial"/>
          <w:sz w:val="22"/>
          <w:szCs w:val="22"/>
        </w:rPr>
        <w:t xml:space="preserve">Although SDG 3 and SDG 13 are separate goals, they </w:t>
      </w:r>
      <w:bookmarkStart w:id="41" w:name="_Int_W46PlzB4"/>
      <w:r w:rsidRPr="00711A5A">
        <w:rPr>
          <w:rFonts w:ascii="Arial" w:hAnsi="Arial" w:cs="Arial"/>
          <w:sz w:val="22"/>
          <w:szCs w:val="22"/>
        </w:rPr>
        <w:t>are strongly interconnected</w:t>
      </w:r>
      <w:bookmarkEnd w:id="41"/>
      <w:r w:rsidRPr="00711A5A">
        <w:rPr>
          <w:rFonts w:ascii="Arial" w:hAnsi="Arial" w:cs="Arial"/>
          <w:sz w:val="22"/>
          <w:szCs w:val="22"/>
        </w:rPr>
        <w:t>. Climate change affects health through increased temperatures, air pollution, food insecurity, infectious diseases, and mental health impacts (Watts et al., 2018). At the same time, climate mitigation strategies such as renewable energy, active transport, and improved urban environments can create direct health benefits (WHO, 2021).</w:t>
      </w:r>
    </w:p>
    <w:p w14:paraId="6F64AFB7" w14:textId="1E7C1618" w:rsidR="00E51E59" w:rsidRPr="00AA71D4" w:rsidRDefault="001A79B7" w:rsidP="00AA71D4">
      <w:pPr>
        <w:pStyle w:val="p2"/>
        <w:spacing w:line="360" w:lineRule="auto"/>
        <w:divId w:val="773284977"/>
        <w:rPr>
          <w:rFonts w:ascii="Arial" w:hAnsi="Arial" w:cs="Arial"/>
          <w:sz w:val="22"/>
          <w:szCs w:val="22"/>
        </w:rPr>
      </w:pPr>
      <w:r w:rsidRPr="00711A5A">
        <w:rPr>
          <w:rFonts w:ascii="Arial" w:hAnsi="Arial" w:cs="Arial"/>
          <w:sz w:val="22"/>
          <w:szCs w:val="22"/>
        </w:rPr>
        <w:t xml:space="preserve">A systems-thinking approach is therefore </w:t>
      </w:r>
      <w:bookmarkStart w:id="42" w:name="_Int_Tg4SHrmc"/>
      <w:r w:rsidRPr="00711A5A">
        <w:rPr>
          <w:rFonts w:ascii="Arial" w:hAnsi="Arial" w:cs="Arial"/>
          <w:sz w:val="22"/>
          <w:szCs w:val="22"/>
        </w:rPr>
        <w:t>required</w:t>
      </w:r>
      <w:bookmarkEnd w:id="42"/>
      <w:r w:rsidRPr="00711A5A">
        <w:rPr>
          <w:rFonts w:ascii="Arial" w:hAnsi="Arial" w:cs="Arial"/>
          <w:sz w:val="22"/>
          <w:szCs w:val="22"/>
        </w:rPr>
        <w:t xml:space="preserve">, where health and environmental policies </w:t>
      </w:r>
      <w:bookmarkStart w:id="43" w:name="_Int_vs0hYi1a"/>
      <w:r w:rsidRPr="00711A5A">
        <w:rPr>
          <w:rFonts w:ascii="Arial" w:hAnsi="Arial" w:cs="Arial"/>
          <w:sz w:val="22"/>
          <w:szCs w:val="22"/>
        </w:rPr>
        <w:t>are developed</w:t>
      </w:r>
      <w:bookmarkEnd w:id="43"/>
      <w:r w:rsidRPr="00711A5A">
        <w:rPr>
          <w:rFonts w:ascii="Arial" w:hAnsi="Arial" w:cs="Arial"/>
          <w:sz w:val="22"/>
          <w:szCs w:val="22"/>
        </w:rPr>
        <w:t xml:space="preserve"> together rather than separately. Integrating these goals can improve efficiency, reduce inequalities, and support sustainable development.</w:t>
      </w:r>
    </w:p>
    <w:p w14:paraId="3FA3CFBB" w14:textId="77777777" w:rsidR="00E51E59" w:rsidRDefault="00E51E59" w:rsidP="00852BCC">
      <w:pPr>
        <w:spacing w:after="0" w:line="240" w:lineRule="auto"/>
        <w:rPr>
          <w:rFonts w:ascii="Times New Roman" w:eastAsia="Times New Roman" w:hAnsi="Times New Roman" w:cs="Times New Roman"/>
          <w:kern w:val="0"/>
          <w14:ligatures w14:val="none"/>
        </w:rPr>
      </w:pPr>
    </w:p>
    <w:p w14:paraId="4CA2AC04" w14:textId="77777777" w:rsidR="00D148AD" w:rsidRDefault="00D148AD" w:rsidP="00852BCC">
      <w:pPr>
        <w:spacing w:after="0" w:line="240" w:lineRule="auto"/>
        <w:rPr>
          <w:rFonts w:ascii="Times New Roman" w:eastAsia="Times New Roman" w:hAnsi="Times New Roman" w:cs="Times New Roman"/>
          <w:kern w:val="0"/>
          <w14:ligatures w14:val="none"/>
        </w:rPr>
      </w:pPr>
    </w:p>
    <w:p w14:paraId="059F8EFC" w14:textId="77777777" w:rsidR="00D148AD" w:rsidRDefault="00D148AD" w:rsidP="00852BCC">
      <w:pPr>
        <w:spacing w:after="0" w:line="240" w:lineRule="auto"/>
        <w:rPr>
          <w:rFonts w:ascii="Times New Roman" w:eastAsia="Times New Roman" w:hAnsi="Times New Roman" w:cs="Times New Roman"/>
          <w:kern w:val="0"/>
          <w14:ligatures w14:val="none"/>
        </w:rPr>
      </w:pPr>
    </w:p>
    <w:p w14:paraId="213ADB96" w14:textId="77777777" w:rsidR="00D148AD" w:rsidRDefault="00D148AD" w:rsidP="00852BCC">
      <w:pPr>
        <w:spacing w:after="0" w:line="240" w:lineRule="auto"/>
        <w:rPr>
          <w:rFonts w:ascii="Times New Roman" w:eastAsia="Times New Roman" w:hAnsi="Times New Roman" w:cs="Times New Roman"/>
          <w:kern w:val="0"/>
          <w14:ligatures w14:val="none"/>
        </w:rPr>
      </w:pPr>
    </w:p>
    <w:p w14:paraId="5C79FBCF" w14:textId="77777777" w:rsidR="00B65775" w:rsidRDefault="00B65775" w:rsidP="00852BCC">
      <w:pPr>
        <w:spacing w:before="100" w:beforeAutospacing="1" w:after="100" w:afterAutospacing="1" w:line="240" w:lineRule="auto"/>
        <w:outlineLvl w:val="1"/>
        <w:rPr>
          <w:rStyle w:val="Heading1Char"/>
          <w:rFonts w:ascii="Arial" w:hAnsi="Arial" w:cs="Arial"/>
          <w:b/>
        </w:rPr>
      </w:pPr>
    </w:p>
    <w:p w14:paraId="3441FB8F" w14:textId="1532E4A3" w:rsidR="00852BCC" w:rsidRDefault="00852BCC"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450CB">
        <w:rPr>
          <w:rStyle w:val="Heading1Char"/>
          <w:rFonts w:ascii="Arial" w:hAnsi="Arial" w:cs="Arial"/>
          <w:b/>
        </w:rPr>
        <w:lastRenderedPageBreak/>
        <w:t>Conclusion</w:t>
      </w:r>
      <w:r w:rsidRPr="00852BCC">
        <w:rPr>
          <w:rFonts w:ascii="Times New Roman" w:eastAsia="Times New Roman" w:hAnsi="Times New Roman" w:cs="Times New Roman"/>
          <w:b/>
          <w:bCs/>
          <w:kern w:val="0"/>
          <w:sz w:val="36"/>
          <w:szCs w:val="36"/>
          <w14:ligatures w14:val="none"/>
        </w:rPr>
        <w:t xml:space="preserve"> </w:t>
      </w:r>
    </w:p>
    <w:p w14:paraId="6C6CA475" w14:textId="77777777" w:rsidR="00B65775" w:rsidRDefault="00B65775"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3FE9DF" w14:textId="77777777" w:rsidR="008C6EEF" w:rsidRPr="009C27DA" w:rsidRDefault="008C6EEF" w:rsidP="009C27DA">
      <w:pPr>
        <w:pStyle w:val="p1"/>
        <w:spacing w:line="360" w:lineRule="auto"/>
        <w:divId w:val="1097025092"/>
        <w:rPr>
          <w:rFonts w:ascii="Arial" w:hAnsi="Arial" w:cs="Arial"/>
          <w:sz w:val="22"/>
          <w:szCs w:val="22"/>
        </w:rPr>
      </w:pPr>
      <w:r w:rsidRPr="009C27DA">
        <w:rPr>
          <w:rFonts w:ascii="Arial" w:hAnsi="Arial" w:cs="Arial"/>
          <w:sz w:val="22"/>
          <w:szCs w:val="22"/>
        </w:rPr>
        <w:t xml:space="preserve">This report has critically examined SDG 3 and SDG 13 across global, national, and local contexts, </w:t>
      </w:r>
      <w:bookmarkStart w:id="44" w:name="_Int_RbJIQHV9"/>
      <w:r w:rsidRPr="009C27DA">
        <w:rPr>
          <w:rFonts w:ascii="Arial" w:hAnsi="Arial" w:cs="Arial"/>
          <w:sz w:val="22"/>
          <w:szCs w:val="22"/>
        </w:rPr>
        <w:t>demonstrating</w:t>
      </w:r>
      <w:bookmarkEnd w:id="44"/>
      <w:r w:rsidRPr="009C27DA">
        <w:rPr>
          <w:rFonts w:ascii="Arial" w:hAnsi="Arial" w:cs="Arial"/>
          <w:sz w:val="22"/>
          <w:szCs w:val="22"/>
        </w:rPr>
        <w:t xml:space="preserve"> that health and climate challenges </w:t>
      </w:r>
      <w:bookmarkStart w:id="45" w:name="_Int_xL5cANo0"/>
      <w:r w:rsidRPr="009C27DA">
        <w:rPr>
          <w:rFonts w:ascii="Arial" w:hAnsi="Arial" w:cs="Arial"/>
          <w:sz w:val="22"/>
          <w:szCs w:val="22"/>
        </w:rPr>
        <w:t>are deeply connected</w:t>
      </w:r>
      <w:bookmarkEnd w:id="45"/>
      <w:r w:rsidRPr="009C27DA">
        <w:rPr>
          <w:rFonts w:ascii="Arial" w:hAnsi="Arial" w:cs="Arial"/>
          <w:sz w:val="22"/>
          <w:szCs w:val="22"/>
        </w:rPr>
        <w:t xml:space="preserve">. Although SDG 3 has improved healthcare access and disease prevention, progress </w:t>
      </w:r>
      <w:bookmarkStart w:id="46" w:name="_Int_LUX35hVe"/>
      <w:r w:rsidRPr="009C27DA">
        <w:rPr>
          <w:rFonts w:ascii="Arial" w:hAnsi="Arial" w:cs="Arial"/>
          <w:sz w:val="22"/>
          <w:szCs w:val="22"/>
        </w:rPr>
        <w:t>remains</w:t>
      </w:r>
      <w:bookmarkEnd w:id="46"/>
      <w:r w:rsidRPr="009C27DA">
        <w:rPr>
          <w:rFonts w:ascii="Arial" w:hAnsi="Arial" w:cs="Arial"/>
          <w:sz w:val="22"/>
          <w:szCs w:val="22"/>
        </w:rPr>
        <w:t xml:space="preserve"> limited by social, economic, and environmental inequalities. The Social Determinants of Health model </w:t>
      </w:r>
      <w:bookmarkStart w:id="47" w:name="_Int_7Tga5RkR"/>
      <w:r w:rsidRPr="009C27DA">
        <w:rPr>
          <w:rFonts w:ascii="Arial" w:hAnsi="Arial" w:cs="Arial"/>
          <w:sz w:val="22"/>
          <w:szCs w:val="22"/>
        </w:rPr>
        <w:t>demonstrates</w:t>
      </w:r>
      <w:bookmarkEnd w:id="47"/>
      <w:r w:rsidRPr="009C27DA">
        <w:rPr>
          <w:rFonts w:ascii="Arial" w:hAnsi="Arial" w:cs="Arial"/>
          <w:sz w:val="22"/>
          <w:szCs w:val="22"/>
        </w:rPr>
        <w:t xml:space="preserve"> that improving health requires action beyond healthcare services alone.</w:t>
      </w:r>
    </w:p>
    <w:p w14:paraId="61FBDCF6" w14:textId="77777777" w:rsidR="008C6EEF" w:rsidRPr="009C27DA" w:rsidRDefault="008C6EEF" w:rsidP="009C27DA">
      <w:pPr>
        <w:pStyle w:val="p1"/>
        <w:spacing w:line="360" w:lineRule="auto"/>
        <w:divId w:val="1097025092"/>
        <w:rPr>
          <w:rFonts w:ascii="Arial" w:hAnsi="Arial" w:cs="Arial"/>
          <w:sz w:val="22"/>
          <w:szCs w:val="22"/>
        </w:rPr>
      </w:pPr>
      <w:r w:rsidRPr="009C27DA">
        <w:rPr>
          <w:rFonts w:ascii="Arial" w:hAnsi="Arial" w:cs="Arial"/>
          <w:sz w:val="22"/>
          <w:szCs w:val="22"/>
        </w:rPr>
        <w:t xml:space="preserve">Similarly, SDG 13 has encouraged important climate commitments, but implementation </w:t>
      </w:r>
      <w:bookmarkStart w:id="48" w:name="_Int_uoOvyVWn"/>
      <w:r w:rsidRPr="009C27DA">
        <w:rPr>
          <w:rFonts w:ascii="Arial" w:hAnsi="Arial" w:cs="Arial"/>
          <w:sz w:val="22"/>
          <w:szCs w:val="22"/>
        </w:rPr>
        <w:t>remains</w:t>
      </w:r>
      <w:bookmarkEnd w:id="48"/>
      <w:r w:rsidRPr="009C27DA">
        <w:rPr>
          <w:rFonts w:ascii="Arial" w:hAnsi="Arial" w:cs="Arial"/>
          <w:sz w:val="22"/>
          <w:szCs w:val="22"/>
        </w:rPr>
        <w:t xml:space="preserve"> challenged by political, economic, and governance barriers. Climate change is not only an environmental issue but also a major public health and ethical concern that disproportionately affects vulnerable populations.</w:t>
      </w:r>
    </w:p>
    <w:p w14:paraId="1658B81D" w14:textId="77777777" w:rsidR="008C6EEF" w:rsidRPr="009C27DA" w:rsidRDefault="008C6EEF" w:rsidP="009C27DA">
      <w:pPr>
        <w:pStyle w:val="p2"/>
        <w:spacing w:line="360" w:lineRule="auto"/>
        <w:divId w:val="1097025092"/>
        <w:rPr>
          <w:rFonts w:ascii="Arial" w:hAnsi="Arial" w:cs="Arial"/>
          <w:sz w:val="22"/>
          <w:szCs w:val="22"/>
        </w:rPr>
      </w:pPr>
      <w:r w:rsidRPr="009C27DA">
        <w:rPr>
          <w:rFonts w:ascii="Arial" w:hAnsi="Arial" w:cs="Arial"/>
          <w:sz w:val="22"/>
          <w:szCs w:val="22"/>
        </w:rPr>
        <w:t>The relationship between SDG 3 and SDG 13 highlights the need for integrated approaches based on equity, accountability, and planetary health principles. Future progress requires stronger implementation, transparent monitoring, community involvement, and fair distribution of resources to protect both current and future generations.</w:t>
      </w:r>
    </w:p>
    <w:p w14:paraId="1B544B1C" w14:textId="77777777" w:rsidR="00773FF7" w:rsidRDefault="00773FF7"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6717CA0" w14:textId="77777777" w:rsidR="00AA71D4" w:rsidRDefault="00AA71D4"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C090D11"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9647D55"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E499CAC"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2E536DC"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CFE67CD"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10C501C"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7C9D32C" w14:textId="77777777" w:rsidR="00F72F4D" w:rsidRPr="00852BCC"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6BA00E1" w14:textId="20F31CB7" w:rsidR="00917C99" w:rsidRDefault="009778EA" w:rsidP="009778EA">
      <w:pPr>
        <w:spacing w:before="100" w:beforeAutospacing="1" w:after="100" w:afterAutospacing="1" w:line="240" w:lineRule="auto"/>
        <w:outlineLvl w:val="0"/>
        <w:divId w:val="2063745436"/>
        <w:rPr>
          <w:rFonts w:ascii="Times New Roman" w:eastAsia="Times New Roman" w:hAnsi="Times New Roman" w:cs="Times New Roman"/>
          <w:b/>
          <w:bCs/>
          <w:kern w:val="36"/>
          <w:sz w:val="48"/>
          <w:szCs w:val="48"/>
          <w14:ligatures w14:val="none"/>
        </w:rPr>
      </w:pPr>
      <w:r w:rsidRPr="009778EA">
        <w:rPr>
          <w:rFonts w:ascii="Times New Roman" w:eastAsia="Times New Roman" w:hAnsi="Times New Roman" w:cs="Times New Roman"/>
          <w:b/>
          <w:bCs/>
          <w:kern w:val="36"/>
          <w:sz w:val="48"/>
          <w:szCs w:val="48"/>
          <w14:ligatures w14:val="none"/>
        </w:rPr>
        <w:lastRenderedPageBreak/>
        <w:t xml:space="preserve">References </w:t>
      </w:r>
    </w:p>
    <w:p w14:paraId="2D6C2303" w14:textId="44A39304" w:rsidR="001713BA" w:rsidRPr="007F0156" w:rsidRDefault="006272B4"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Bandura, A., 1986. Social foundations of thought and action.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Englewood Cliffs, NJ</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1986</w:t>
      </w:r>
      <w:r w:rsidRPr="007F0156">
        <w:rPr>
          <w:rFonts w:ascii="Arial" w:eastAsia="Times New Roman" w:hAnsi="Arial" w:cs="Arial"/>
          <w:color w:val="222222"/>
          <w:sz w:val="22"/>
          <w:szCs w:val="22"/>
          <w:shd w:val="clear" w:color="auto" w:fill="FFFFFF"/>
        </w:rPr>
        <w:t>(23-28), p.2.</w:t>
      </w:r>
    </w:p>
    <w:p w14:paraId="0FC91C0C" w14:textId="30FB98D4" w:rsidR="00F9600C" w:rsidRPr="007F0156" w:rsidRDefault="00970F88"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Bambra, C., 2019. Introduction: Local health inequalities in an age of austerity. In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 xml:space="preserve">Health in </w:t>
      </w:r>
      <w:bookmarkStart w:id="49" w:name="_Int_Vem9sgKH"/>
      <w:r w:rsidRPr="007F0156">
        <w:rPr>
          <w:rFonts w:ascii="Arial" w:eastAsia="Times New Roman" w:hAnsi="Arial" w:cs="Arial"/>
          <w:i/>
          <w:iCs/>
          <w:color w:val="222222"/>
          <w:sz w:val="22"/>
          <w:szCs w:val="22"/>
        </w:rPr>
        <w:t>hard times</w:t>
      </w:r>
      <w:bookmarkEnd w:id="49"/>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color w:val="222222"/>
          <w:sz w:val="22"/>
          <w:szCs w:val="22"/>
          <w:shd w:val="clear" w:color="auto" w:fill="FFFFFF"/>
        </w:rPr>
        <w:t>(pp. 1-34). Policy Press.</w:t>
      </w:r>
    </w:p>
    <w:p w14:paraId="21A709B3" w14:textId="62081781" w:rsidR="004C1129" w:rsidRPr="007F0156" w:rsidRDefault="004C112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Beaglehole, R., Bonita, R., Horton, R., Adams, C., Alleyne, G., Asaria, P., Baugh, V., Bekedam, H., Billo, N., Casswell, S. and Cecchini, M., 2011. Priority actions for the non-communicable disease crisis.</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377</w:t>
      </w:r>
      <w:r w:rsidRPr="007F0156">
        <w:rPr>
          <w:rFonts w:ascii="Arial" w:eastAsia="Times New Roman" w:hAnsi="Arial" w:cs="Arial"/>
          <w:color w:val="222222"/>
          <w:sz w:val="22"/>
          <w:szCs w:val="22"/>
          <w:shd w:val="clear" w:color="auto" w:fill="FFFFFF"/>
        </w:rPr>
        <w:t>(9775), pp.1438-1447.</w:t>
      </w:r>
    </w:p>
    <w:p w14:paraId="327CA929"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Birmingham City Council (2023) </w:t>
      </w:r>
      <w:r w:rsidRPr="007F0156">
        <w:rPr>
          <w:rFonts w:ascii="Arial" w:hAnsi="Arial" w:cs="Arial"/>
          <w:i/>
          <w:iCs/>
          <w:kern w:val="0"/>
          <w:sz w:val="22"/>
          <w:szCs w:val="22"/>
          <w14:ligatures w14:val="none"/>
        </w:rPr>
        <w:t>Route to net zero: Birmingham’s climate action journey</w:t>
      </w:r>
      <w:r w:rsidRPr="007F0156">
        <w:rPr>
          <w:rFonts w:ascii="Arial" w:hAnsi="Arial" w:cs="Arial"/>
          <w:kern w:val="0"/>
          <w:sz w:val="22"/>
          <w:szCs w:val="22"/>
          <w14:ligatures w14:val="none"/>
        </w:rPr>
        <w:t xml:space="preserve">. Birmingham: Birmingham City Council. Available at: </w:t>
      </w:r>
      <w:hyperlink r:id="rId12" w:history="1">
        <w:r w:rsidRPr="007F0156">
          <w:rPr>
            <w:rFonts w:ascii="Arial" w:hAnsi="Arial" w:cs="Arial"/>
            <w:color w:val="0000FF"/>
            <w:kern w:val="0"/>
            <w:sz w:val="22"/>
            <w:szCs w:val="22"/>
            <w:u w:val="single"/>
            <w14:ligatures w14:val="none"/>
          </w:rPr>
          <w:t>https://www.birmingham.gov.uk/climatechange</w:t>
        </w:r>
      </w:hyperlink>
      <w:r w:rsidRPr="007F0156">
        <w:rPr>
          <w:rFonts w:ascii="Arial" w:hAnsi="Arial" w:cs="Arial"/>
          <w:kern w:val="0"/>
          <w:sz w:val="22"/>
          <w:szCs w:val="22"/>
          <w14:ligatures w14:val="none"/>
        </w:rPr>
        <w:t xml:space="preserve"> (Accessed: 13 July 2026).</w:t>
      </w:r>
    </w:p>
    <w:p w14:paraId="7372544C"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Climate Change Committee (2023) </w:t>
      </w:r>
      <w:r w:rsidRPr="007F0156">
        <w:rPr>
          <w:rFonts w:ascii="Arial" w:hAnsi="Arial" w:cs="Arial"/>
          <w:i/>
          <w:iCs/>
          <w:kern w:val="0"/>
          <w:sz w:val="22"/>
          <w:szCs w:val="22"/>
          <w14:ligatures w14:val="none"/>
        </w:rPr>
        <w:t>Progress in reducing emissions: 2023 report to Parliament</w:t>
      </w:r>
      <w:r w:rsidRPr="007F0156">
        <w:rPr>
          <w:rFonts w:ascii="Arial" w:hAnsi="Arial" w:cs="Arial"/>
          <w:kern w:val="0"/>
          <w:sz w:val="22"/>
          <w:szCs w:val="22"/>
          <w14:ligatures w14:val="none"/>
        </w:rPr>
        <w:t>. London: Climate Change Committee.</w:t>
      </w:r>
    </w:p>
    <w:p w14:paraId="46E17202" w14:textId="0B2FAA18"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Department for Business, Energy</w:t>
      </w:r>
      <w:r w:rsidR="00C13D44" w:rsidRPr="007F0156">
        <w:rPr>
          <w:rFonts w:ascii="Arial" w:hAnsi="Arial" w:cs="Arial"/>
          <w:kern w:val="0"/>
          <w:sz w:val="22"/>
          <w:szCs w:val="22"/>
          <w14:ligatures w14:val="none"/>
        </w:rPr>
        <w:t>,</w:t>
      </w:r>
      <w:r w:rsidRPr="007F0156">
        <w:rPr>
          <w:rFonts w:ascii="Arial" w:hAnsi="Arial" w:cs="Arial"/>
          <w:kern w:val="0"/>
          <w:sz w:val="22"/>
          <w:szCs w:val="22"/>
          <w14:ligatures w14:val="none"/>
        </w:rPr>
        <w:t xml:space="preserve"> and Industrial Strategy (BEIS) (2021) </w:t>
      </w:r>
      <w:r w:rsidRPr="007F0156">
        <w:rPr>
          <w:rFonts w:ascii="Arial" w:hAnsi="Arial" w:cs="Arial"/>
          <w:i/>
          <w:iCs/>
          <w:kern w:val="0"/>
          <w:sz w:val="22"/>
          <w:szCs w:val="22"/>
          <w14:ligatures w14:val="none"/>
        </w:rPr>
        <w:t>Net Zero Strategy: Build Back Greener</w:t>
      </w:r>
      <w:r w:rsidRPr="007F0156">
        <w:rPr>
          <w:rFonts w:ascii="Arial" w:hAnsi="Arial" w:cs="Arial"/>
          <w:kern w:val="0"/>
          <w:sz w:val="22"/>
          <w:szCs w:val="22"/>
          <w14:ligatures w14:val="none"/>
        </w:rPr>
        <w:t xml:space="preserve">. London: HM Government. Available at: </w:t>
      </w:r>
      <w:hyperlink r:id="rId13" w:history="1">
        <w:r w:rsidRPr="007F0156">
          <w:rPr>
            <w:rFonts w:ascii="Arial" w:hAnsi="Arial" w:cs="Arial"/>
            <w:color w:val="0000FF"/>
            <w:kern w:val="0"/>
            <w:sz w:val="22"/>
            <w:szCs w:val="22"/>
            <w:u w:val="single"/>
            <w14:ligatures w14:val="none"/>
          </w:rPr>
          <w:t>https://www.gov.uk/government/publications/net-zero-strategy</w:t>
        </w:r>
      </w:hyperlink>
      <w:r w:rsidRPr="007F0156">
        <w:rPr>
          <w:rFonts w:ascii="Arial" w:hAnsi="Arial" w:cs="Arial"/>
          <w:kern w:val="0"/>
          <w:sz w:val="22"/>
          <w:szCs w:val="22"/>
          <w14:ligatures w14:val="none"/>
        </w:rPr>
        <w:t xml:space="preserve"> (Accessed: 13 July 2026).</w:t>
      </w:r>
    </w:p>
    <w:p w14:paraId="30D1614F" w14:textId="25C7FE90" w:rsidR="00022EAC" w:rsidRPr="007F0156" w:rsidRDefault="00C13D44"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UK, G., 2018. Prevention is better than cure: our vision to help you live well for longer.</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Department of Health and Social Care</w:t>
      </w:r>
      <w:r w:rsidRPr="007F0156">
        <w:rPr>
          <w:rFonts w:ascii="Arial" w:eastAsia="Times New Roman" w:hAnsi="Arial" w:cs="Arial"/>
          <w:color w:val="222222"/>
          <w:sz w:val="22"/>
          <w:szCs w:val="22"/>
          <w:shd w:val="clear" w:color="auto" w:fill="FFFFFF"/>
        </w:rPr>
        <w:t>.</w:t>
      </w:r>
    </w:p>
    <w:p w14:paraId="2354EF8E" w14:textId="7CA9BF41" w:rsidR="00DC6DD1" w:rsidRPr="007F0156" w:rsidRDefault="00870A2B" w:rsidP="007F0156">
      <w:pPr>
        <w:spacing w:before="100" w:beforeAutospacing="1" w:after="100" w:afterAutospacing="1" w:line="360" w:lineRule="auto"/>
        <w:divId w:val="1213276489"/>
        <w:rPr>
          <w:rFonts w:ascii="Arial" w:hAnsi="Arial" w:cs="Arial"/>
          <w:kern w:val="0"/>
          <w:sz w:val="22"/>
          <w:szCs w:val="22"/>
          <w14:ligatures w14:val="none"/>
        </w:rPr>
      </w:pPr>
      <w:r w:rsidRPr="00AB046B">
        <w:rPr>
          <w:rFonts w:ascii="Arial" w:eastAsia="Times New Roman" w:hAnsi="Arial" w:cs="Arial"/>
          <w:color w:val="222222"/>
          <w:sz w:val="22"/>
          <w:szCs w:val="22"/>
          <w:shd w:val="clear" w:color="auto" w:fill="FFFFFF"/>
        </w:rPr>
        <w:t xml:space="preserve">Fecht, D., Fischer, P., Fortunato, L., Hoek, G., De Hoogh, K., Marra, M., Kruize, H., Vienneau, D., Beelen, R. and Hansell, A., 2015. </w:t>
      </w:r>
      <w:r w:rsidRPr="007F0156">
        <w:rPr>
          <w:rFonts w:ascii="Arial" w:eastAsia="Times New Roman" w:hAnsi="Arial" w:cs="Arial"/>
          <w:color w:val="222222"/>
          <w:sz w:val="22"/>
          <w:szCs w:val="22"/>
          <w:shd w:val="clear" w:color="auto" w:fill="FFFFFF"/>
        </w:rPr>
        <w:t>Associations between air pollution and socioeconomic characteristics, ethnicity</w:t>
      </w:r>
      <w:r w:rsidR="004178C5" w:rsidRPr="007F0156">
        <w:rPr>
          <w:rFonts w:ascii="Arial" w:eastAsia="Times New Roman" w:hAnsi="Arial" w:cs="Arial"/>
          <w:color w:val="222222"/>
          <w:sz w:val="22"/>
          <w:szCs w:val="22"/>
          <w:shd w:val="clear" w:color="auto" w:fill="FFFFFF"/>
        </w:rPr>
        <w:t>,</w:t>
      </w:r>
      <w:r w:rsidRPr="007F0156">
        <w:rPr>
          <w:rFonts w:ascii="Arial" w:eastAsia="Times New Roman" w:hAnsi="Arial" w:cs="Arial"/>
          <w:color w:val="222222"/>
          <w:sz w:val="22"/>
          <w:szCs w:val="22"/>
          <w:shd w:val="clear" w:color="auto" w:fill="FFFFFF"/>
        </w:rPr>
        <w:t xml:space="preserve"> and age profile of neighbourhoods in England and the Netherlands.</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Environmental pollution</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198</w:t>
      </w:r>
      <w:r w:rsidRPr="007F0156">
        <w:rPr>
          <w:rFonts w:ascii="Arial" w:eastAsia="Times New Roman" w:hAnsi="Arial" w:cs="Arial"/>
          <w:color w:val="222222"/>
          <w:sz w:val="22"/>
          <w:szCs w:val="22"/>
          <w:shd w:val="clear" w:color="auto" w:fill="FFFFFF"/>
        </w:rPr>
        <w:t>, pp.201-210.</w:t>
      </w:r>
    </w:p>
    <w:p w14:paraId="02FE8354"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HM Government (2019) </w:t>
      </w:r>
      <w:r w:rsidRPr="007F0156">
        <w:rPr>
          <w:rFonts w:ascii="Arial" w:hAnsi="Arial" w:cs="Arial"/>
          <w:i/>
          <w:iCs/>
          <w:kern w:val="0"/>
          <w:sz w:val="22"/>
          <w:szCs w:val="22"/>
          <w14:ligatures w14:val="none"/>
        </w:rPr>
        <w:t>The Climate Change Act 2008 (2050 Target Amendment) Order 2019</w:t>
      </w:r>
      <w:r w:rsidRPr="007F0156">
        <w:rPr>
          <w:rFonts w:ascii="Arial" w:hAnsi="Arial" w:cs="Arial"/>
          <w:kern w:val="0"/>
          <w:sz w:val="22"/>
          <w:szCs w:val="22"/>
          <w14:ligatures w14:val="none"/>
        </w:rPr>
        <w:t xml:space="preserve">. London: The Stationery Office. Available at: </w:t>
      </w:r>
      <w:hyperlink r:id="rId14" w:history="1">
        <w:r w:rsidRPr="007F0156">
          <w:rPr>
            <w:rFonts w:ascii="Arial" w:hAnsi="Arial" w:cs="Arial"/>
            <w:color w:val="0000FF"/>
            <w:kern w:val="0"/>
            <w:sz w:val="22"/>
            <w:szCs w:val="22"/>
            <w:u w:val="single"/>
            <w14:ligatures w14:val="none"/>
          </w:rPr>
          <w:t>https://www.legislation.gov.uk</w:t>
        </w:r>
      </w:hyperlink>
      <w:r w:rsidRPr="007F0156">
        <w:rPr>
          <w:rFonts w:ascii="Arial" w:hAnsi="Arial" w:cs="Arial"/>
          <w:kern w:val="0"/>
          <w:sz w:val="22"/>
          <w:szCs w:val="22"/>
          <w14:ligatures w14:val="none"/>
        </w:rPr>
        <w:t xml:space="preserve"> (Accessed: 13 July 2026).</w:t>
      </w:r>
    </w:p>
    <w:p w14:paraId="07802E71" w14:textId="0A7F7BA3" w:rsidR="00715DCC" w:rsidRPr="007F0156" w:rsidRDefault="00ED1D8A"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Change, I.C., 2022. impacts, adaptation, and vulnerability. Contribution of Working Group II to the Sixth Assessment Report of the Intergovernmental Panel on Climate Change.</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O., Roberts, DC, Tignor, M., Poloczanska, ES, Mintenbeck, K., Alegría, A., Craig, M., Langsdorf, S., Löschke, S., Möller, V., et al., Eds</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3056</w:t>
      </w:r>
      <w:r w:rsidRPr="007F0156">
        <w:rPr>
          <w:rFonts w:ascii="Arial" w:eastAsia="Times New Roman" w:hAnsi="Arial" w:cs="Arial"/>
          <w:color w:val="222222"/>
          <w:sz w:val="22"/>
          <w:szCs w:val="22"/>
          <w:shd w:val="clear" w:color="auto" w:fill="FFFFFF"/>
        </w:rPr>
        <w:t>.</w:t>
      </w:r>
    </w:p>
    <w:p w14:paraId="2E5B053D" w14:textId="195173FF" w:rsidR="00D80E4B" w:rsidRPr="007F0156" w:rsidRDefault="007D49E3"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lastRenderedPageBreak/>
        <w:t>Kickbusch, I. and Buckett, K., 2010. Implementing health in all policies: Adelaide 2010.</w:t>
      </w:r>
    </w:p>
    <w:p w14:paraId="62BD4A3B" w14:textId="4903FD16"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Kickbusch, I</w:t>
      </w:r>
      <w:r w:rsidR="006E482D" w:rsidRPr="007F0156">
        <w:rPr>
          <w:rFonts w:ascii="Arial" w:hAnsi="Arial" w:cs="Arial"/>
          <w:kern w:val="0"/>
          <w:sz w:val="22"/>
          <w:szCs w:val="22"/>
          <w14:ligatures w14:val="none"/>
        </w:rPr>
        <w:t>.,</w:t>
      </w:r>
      <w:r w:rsidRPr="007F0156">
        <w:rPr>
          <w:rFonts w:ascii="Arial" w:hAnsi="Arial" w:cs="Arial"/>
          <w:kern w:val="0"/>
          <w:sz w:val="22"/>
          <w:szCs w:val="22"/>
          <w14:ligatures w14:val="none"/>
        </w:rPr>
        <w:t xml:space="preserve"> and Lister, G. (2016) </w:t>
      </w:r>
      <w:r w:rsidRPr="007F0156">
        <w:rPr>
          <w:rFonts w:ascii="Arial" w:hAnsi="Arial" w:cs="Arial"/>
          <w:i/>
          <w:iCs/>
          <w:kern w:val="0"/>
          <w:sz w:val="22"/>
          <w:szCs w:val="22"/>
          <w14:ligatures w14:val="none"/>
        </w:rPr>
        <w:t>Global health diplomacy</w:t>
      </w:r>
      <w:r w:rsidRPr="007F0156">
        <w:rPr>
          <w:rFonts w:ascii="Arial" w:hAnsi="Arial" w:cs="Arial"/>
          <w:kern w:val="0"/>
          <w:sz w:val="22"/>
          <w:szCs w:val="22"/>
          <w14:ligatures w14:val="none"/>
        </w:rPr>
        <w:t>. London: Chatham House.</w:t>
      </w:r>
    </w:p>
    <w:p w14:paraId="09B56F37" w14:textId="626FE75D" w:rsidR="00D96A3F" w:rsidRPr="007F0156" w:rsidRDefault="002F006D"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Marmot, M., 2020. Health equity in England: The Marmot review 10 years on.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Bmj</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368</w:t>
      </w:r>
      <w:r w:rsidRPr="007F0156">
        <w:rPr>
          <w:rFonts w:ascii="Arial" w:eastAsia="Times New Roman" w:hAnsi="Arial" w:cs="Arial"/>
          <w:color w:val="222222"/>
          <w:sz w:val="22"/>
          <w:szCs w:val="22"/>
          <w:shd w:val="clear" w:color="auto" w:fill="FFFFFF"/>
        </w:rPr>
        <w:t>.</w:t>
      </w:r>
    </w:p>
    <w:p w14:paraId="6137492B" w14:textId="5AF7AEA4" w:rsidR="00FF63D7" w:rsidRPr="007F0156" w:rsidRDefault="00A1201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England, N.H.S. and Improvement, N.H.S., 2021. Integrated care systems: design framework.</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Version</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w:t>
      </w:r>
      <w:r w:rsidRPr="007F0156">
        <w:rPr>
          <w:rFonts w:ascii="Arial" w:eastAsia="Times New Roman" w:hAnsi="Arial" w:cs="Arial"/>
          <w:color w:val="222222"/>
          <w:sz w:val="22"/>
          <w:szCs w:val="22"/>
          <w:shd w:val="clear" w:color="auto" w:fill="FFFFFF"/>
        </w:rPr>
        <w:t>, p.13.</w:t>
      </w:r>
    </w:p>
    <w:p w14:paraId="1F32D077" w14:textId="2413E582" w:rsidR="00621AAB" w:rsidRPr="007F0156" w:rsidRDefault="002C4B0A"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Nutbeam, D., 2000. Health literacy as a public health goal: a challenge for contemporary health education and communication strategies into the 21st century.</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Health promotion international</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15</w:t>
      </w:r>
      <w:r w:rsidRPr="007F0156">
        <w:rPr>
          <w:rFonts w:ascii="Arial" w:eastAsia="Times New Roman" w:hAnsi="Arial" w:cs="Arial"/>
          <w:color w:val="222222"/>
          <w:sz w:val="22"/>
          <w:szCs w:val="22"/>
          <w:shd w:val="clear" w:color="auto" w:fill="FFFFFF"/>
        </w:rPr>
        <w:t>(3), pp.259-267</w:t>
      </w:r>
    </w:p>
    <w:p w14:paraId="0A63508D" w14:textId="2F6F6F5B" w:rsidR="002C7A96" w:rsidRPr="007F0156" w:rsidRDefault="00067B70"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Rogers, R.W., 1975. A protection motivation theory of fear appeals and attitude change1.</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journal of psychology</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91</w:t>
      </w:r>
      <w:r w:rsidRPr="007F0156">
        <w:rPr>
          <w:rFonts w:ascii="Arial" w:eastAsia="Times New Roman" w:hAnsi="Arial" w:cs="Arial"/>
          <w:color w:val="222222"/>
          <w:sz w:val="22"/>
          <w:szCs w:val="22"/>
          <w:shd w:val="clear" w:color="auto" w:fill="FFFFFF"/>
        </w:rPr>
        <w:t>(1), pp.93-114.</w:t>
      </w:r>
    </w:p>
    <w:p w14:paraId="75FB1B0F" w14:textId="46123BA6" w:rsidR="00BE1BCB" w:rsidRPr="007F0156" w:rsidRDefault="00E93690"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 xml:space="preserve">Mastini, R., Kallis, G. and Hickel, J., 2021. </w:t>
      </w:r>
      <w:r w:rsidR="005D327E" w:rsidRPr="007F0156">
        <w:rPr>
          <w:rFonts w:ascii="Arial" w:eastAsia="Times New Roman" w:hAnsi="Arial" w:cs="Arial"/>
          <w:color w:val="222222"/>
          <w:sz w:val="22"/>
          <w:szCs w:val="22"/>
          <w:shd w:val="clear" w:color="auto" w:fill="FFFFFF"/>
        </w:rPr>
        <w:t>A new green</w:t>
      </w:r>
      <w:r w:rsidRPr="007F0156">
        <w:rPr>
          <w:rFonts w:ascii="Arial" w:eastAsia="Times New Roman" w:hAnsi="Arial" w:cs="Arial"/>
          <w:color w:val="222222"/>
          <w:sz w:val="22"/>
          <w:szCs w:val="22"/>
          <w:shd w:val="clear" w:color="auto" w:fill="FFFFFF"/>
        </w:rPr>
        <w:t xml:space="preserve"> deal without growth?</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Ecological economics</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179</w:t>
      </w:r>
      <w:r w:rsidRPr="007F0156">
        <w:rPr>
          <w:rFonts w:ascii="Arial" w:eastAsia="Times New Roman" w:hAnsi="Arial" w:cs="Arial"/>
          <w:color w:val="222222"/>
          <w:sz w:val="22"/>
          <w:szCs w:val="22"/>
          <w:shd w:val="clear" w:color="auto" w:fill="FFFFFF"/>
        </w:rPr>
        <w:t>, p.106832.</w:t>
      </w:r>
    </w:p>
    <w:p w14:paraId="68BB98D5" w14:textId="2C37CF83" w:rsidR="00BE2CB4" w:rsidRPr="007F0156" w:rsidRDefault="00F70943"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Stern, N., 2008. The economics of climate change.</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American economic review</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98</w:t>
      </w:r>
      <w:r w:rsidRPr="007F0156">
        <w:rPr>
          <w:rFonts w:ascii="Arial" w:eastAsia="Times New Roman" w:hAnsi="Arial" w:cs="Arial"/>
          <w:color w:val="222222"/>
          <w:sz w:val="22"/>
          <w:szCs w:val="22"/>
          <w:shd w:val="clear" w:color="auto" w:fill="FFFFFF"/>
        </w:rPr>
        <w:t>(2), pp.1-37</w:t>
      </w:r>
      <w:r w:rsidR="009F1163">
        <w:rPr>
          <w:rFonts w:ascii="Arial" w:eastAsia="Times New Roman" w:hAnsi="Arial" w:cs="Arial"/>
          <w:color w:val="222222"/>
          <w:sz w:val="22"/>
          <w:szCs w:val="22"/>
          <w:shd w:val="clear" w:color="auto" w:fill="FFFFFF"/>
        </w:rPr>
        <w:t>.</w:t>
      </w:r>
    </w:p>
    <w:p w14:paraId="1F8E4AC5"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(2015) </w:t>
      </w:r>
      <w:r w:rsidRPr="007F0156">
        <w:rPr>
          <w:rFonts w:ascii="Arial" w:hAnsi="Arial" w:cs="Arial"/>
          <w:i/>
          <w:iCs/>
          <w:kern w:val="0"/>
          <w:sz w:val="22"/>
          <w:szCs w:val="22"/>
          <w14:ligatures w14:val="none"/>
        </w:rPr>
        <w:t>Transforming our world: The 2030 Agenda for Sustainable Development</w:t>
      </w:r>
      <w:r w:rsidRPr="007F0156">
        <w:rPr>
          <w:rFonts w:ascii="Arial" w:hAnsi="Arial" w:cs="Arial"/>
          <w:kern w:val="0"/>
          <w:sz w:val="22"/>
          <w:szCs w:val="22"/>
          <w14:ligatures w14:val="none"/>
        </w:rPr>
        <w:t xml:space="preserve">. New York: United Nations. Available at: </w:t>
      </w:r>
      <w:hyperlink r:id="rId15" w:history="1">
        <w:r w:rsidRPr="007F0156">
          <w:rPr>
            <w:rFonts w:ascii="Arial" w:hAnsi="Arial" w:cs="Arial"/>
            <w:color w:val="0000FF"/>
            <w:kern w:val="0"/>
            <w:sz w:val="22"/>
            <w:szCs w:val="22"/>
            <w:u w:val="single"/>
            <w14:ligatures w14:val="none"/>
          </w:rPr>
          <w:t>https://sdgs.un.org/2030agenda</w:t>
        </w:r>
      </w:hyperlink>
      <w:r w:rsidRPr="007F0156">
        <w:rPr>
          <w:rFonts w:ascii="Arial" w:hAnsi="Arial" w:cs="Arial"/>
          <w:kern w:val="0"/>
          <w:sz w:val="22"/>
          <w:szCs w:val="22"/>
          <w14:ligatures w14:val="none"/>
        </w:rPr>
        <w:t xml:space="preserve"> (Accessed: 13 July 2026).</w:t>
      </w:r>
    </w:p>
    <w:p w14:paraId="30D72EC0"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(n.d.) </w:t>
      </w:r>
      <w:r w:rsidRPr="007F0156">
        <w:rPr>
          <w:rFonts w:ascii="Arial" w:hAnsi="Arial" w:cs="Arial"/>
          <w:i/>
          <w:iCs/>
          <w:kern w:val="0"/>
          <w:sz w:val="22"/>
          <w:szCs w:val="22"/>
          <w14:ligatures w14:val="none"/>
        </w:rPr>
        <w:t>Goal 3: Ensure healthy lives and promote well-being for all at all ages</w:t>
      </w:r>
      <w:r w:rsidRPr="007F0156">
        <w:rPr>
          <w:rFonts w:ascii="Arial" w:hAnsi="Arial" w:cs="Arial"/>
          <w:kern w:val="0"/>
          <w:sz w:val="22"/>
          <w:szCs w:val="22"/>
          <w14:ligatures w14:val="none"/>
        </w:rPr>
        <w:t xml:space="preserve">. Available at: </w:t>
      </w:r>
      <w:hyperlink r:id="rId16" w:history="1">
        <w:r w:rsidRPr="007F0156">
          <w:rPr>
            <w:rFonts w:ascii="Arial" w:hAnsi="Arial" w:cs="Arial"/>
            <w:color w:val="0000FF"/>
            <w:kern w:val="0"/>
            <w:sz w:val="22"/>
            <w:szCs w:val="22"/>
            <w:u w:val="single"/>
            <w14:ligatures w14:val="none"/>
          </w:rPr>
          <w:t>https://sdgs.un.org/goals/goal3</w:t>
        </w:r>
      </w:hyperlink>
      <w:r w:rsidRPr="007F0156">
        <w:rPr>
          <w:rFonts w:ascii="Arial" w:hAnsi="Arial" w:cs="Arial"/>
          <w:kern w:val="0"/>
          <w:sz w:val="22"/>
          <w:szCs w:val="22"/>
          <w14:ligatures w14:val="none"/>
        </w:rPr>
        <w:t xml:space="preserve"> (Accessed: 13 July 2026).</w:t>
      </w:r>
    </w:p>
    <w:p w14:paraId="4A2944A8"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Development Programme (UNDP) (n.d.) </w:t>
      </w:r>
      <w:r w:rsidRPr="007F0156">
        <w:rPr>
          <w:rFonts w:ascii="Arial" w:hAnsi="Arial" w:cs="Arial"/>
          <w:i/>
          <w:iCs/>
          <w:kern w:val="0"/>
          <w:sz w:val="22"/>
          <w:szCs w:val="22"/>
          <w14:ligatures w14:val="none"/>
        </w:rPr>
        <w:t>Module 1: Global Policy Context for Climate Change Adaptation</w:t>
      </w:r>
      <w:r w:rsidRPr="007F0156">
        <w:rPr>
          <w:rFonts w:ascii="Arial" w:hAnsi="Arial" w:cs="Arial"/>
          <w:kern w:val="0"/>
          <w:sz w:val="22"/>
          <w:szCs w:val="22"/>
          <w14:ligatures w14:val="none"/>
        </w:rPr>
        <w:t xml:space="preserve">. Available at: </w:t>
      </w:r>
      <w:hyperlink r:id="rId17" w:history="1">
        <w:r w:rsidRPr="007F0156">
          <w:rPr>
            <w:rFonts w:ascii="Arial" w:hAnsi="Arial" w:cs="Arial"/>
            <w:color w:val="0000FF"/>
            <w:kern w:val="0"/>
            <w:sz w:val="22"/>
            <w:szCs w:val="22"/>
            <w:u w:val="single"/>
            <w14:ligatures w14:val="none"/>
          </w:rPr>
          <w:t>https://www.adaptation-undp.org/sites/default/files/uploaded-images/module_1_global_policy_context_for_me_of_adaptation.pdf</w:t>
        </w:r>
      </w:hyperlink>
      <w:r w:rsidRPr="007F0156">
        <w:rPr>
          <w:rFonts w:ascii="Arial" w:hAnsi="Arial" w:cs="Arial"/>
          <w:kern w:val="0"/>
          <w:sz w:val="22"/>
          <w:szCs w:val="22"/>
          <w14:ligatures w14:val="none"/>
        </w:rPr>
        <w:t xml:space="preserve"> (Accessed: 13 July 2026).</w:t>
      </w:r>
    </w:p>
    <w:p w14:paraId="2C3BB0C2"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Development Programme (UNDP) (2022) </w:t>
      </w:r>
      <w:r w:rsidRPr="007F0156">
        <w:rPr>
          <w:rFonts w:ascii="Arial" w:hAnsi="Arial" w:cs="Arial"/>
          <w:i/>
          <w:iCs/>
          <w:kern w:val="0"/>
          <w:sz w:val="22"/>
          <w:szCs w:val="22"/>
          <w14:ligatures w14:val="none"/>
        </w:rPr>
        <w:t>Human Development Report 2021/2022: Uncertain times, unsettled lives</w:t>
      </w:r>
      <w:r w:rsidRPr="007F0156">
        <w:rPr>
          <w:rFonts w:ascii="Arial" w:hAnsi="Arial" w:cs="Arial"/>
          <w:kern w:val="0"/>
          <w:sz w:val="22"/>
          <w:szCs w:val="22"/>
          <w14:ligatures w14:val="none"/>
        </w:rPr>
        <w:t xml:space="preserve">. New York: UNDP. Available at: </w:t>
      </w:r>
      <w:hyperlink r:id="rId18" w:history="1">
        <w:r w:rsidRPr="007F0156">
          <w:rPr>
            <w:rFonts w:ascii="Arial" w:hAnsi="Arial" w:cs="Arial"/>
            <w:color w:val="0000FF"/>
            <w:kern w:val="0"/>
            <w:sz w:val="22"/>
            <w:szCs w:val="22"/>
            <w:u w:val="single"/>
            <w14:ligatures w14:val="none"/>
          </w:rPr>
          <w:t>https://hdr.undp.org</w:t>
        </w:r>
      </w:hyperlink>
      <w:r w:rsidRPr="007F0156">
        <w:rPr>
          <w:rFonts w:ascii="Arial" w:hAnsi="Arial" w:cs="Arial"/>
          <w:kern w:val="0"/>
          <w:sz w:val="22"/>
          <w:szCs w:val="22"/>
          <w14:ligatures w14:val="none"/>
        </w:rPr>
        <w:t xml:space="preserve"> (Accessed: 13 July 2026).</w:t>
      </w:r>
    </w:p>
    <w:p w14:paraId="08F8C025"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lastRenderedPageBreak/>
        <w:t xml:space="preserve">United Nations Framework Convention on Climate Change (UNFCCC) (2015) </w:t>
      </w:r>
      <w:r w:rsidRPr="007F0156">
        <w:rPr>
          <w:rFonts w:ascii="Arial" w:hAnsi="Arial" w:cs="Arial"/>
          <w:i/>
          <w:iCs/>
          <w:kern w:val="0"/>
          <w:sz w:val="22"/>
          <w:szCs w:val="22"/>
          <w14:ligatures w14:val="none"/>
        </w:rPr>
        <w:t>The Paris Agreement</w:t>
      </w:r>
      <w:r w:rsidRPr="007F0156">
        <w:rPr>
          <w:rFonts w:ascii="Arial" w:hAnsi="Arial" w:cs="Arial"/>
          <w:kern w:val="0"/>
          <w:sz w:val="22"/>
          <w:szCs w:val="22"/>
          <w14:ligatures w14:val="none"/>
        </w:rPr>
        <w:t xml:space="preserve">. Bonn: UNFCCC. Available at: </w:t>
      </w:r>
      <w:hyperlink r:id="rId19" w:history="1">
        <w:r w:rsidRPr="007F0156">
          <w:rPr>
            <w:rFonts w:ascii="Arial" w:hAnsi="Arial" w:cs="Arial"/>
            <w:color w:val="0000FF"/>
            <w:kern w:val="0"/>
            <w:sz w:val="22"/>
            <w:szCs w:val="22"/>
            <w:u w:val="single"/>
            <w14:ligatures w14:val="none"/>
          </w:rPr>
          <w:t>https://unfccc.int</w:t>
        </w:r>
      </w:hyperlink>
      <w:r w:rsidRPr="007F0156">
        <w:rPr>
          <w:rFonts w:ascii="Arial" w:hAnsi="Arial" w:cs="Arial"/>
          <w:kern w:val="0"/>
          <w:sz w:val="22"/>
          <w:szCs w:val="22"/>
          <w14:ligatures w14:val="none"/>
        </w:rPr>
        <w:t xml:space="preserve"> (Accessed: 13 July 2026).</w:t>
      </w:r>
    </w:p>
    <w:p w14:paraId="0E82EF4F" w14:textId="44C3217E" w:rsidR="005E1663" w:rsidRPr="007F0156" w:rsidRDefault="000D2868"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AB046B">
        <w:rPr>
          <w:rFonts w:ascii="Arial" w:eastAsia="Times New Roman" w:hAnsi="Arial" w:cs="Arial"/>
          <w:color w:val="222222"/>
          <w:sz w:val="22"/>
          <w:szCs w:val="22"/>
          <w:shd w:val="clear" w:color="auto" w:fill="FFFFFF"/>
        </w:rPr>
        <w:t>Van</w:t>
      </w:r>
      <w:r w:rsidR="001A7E12" w:rsidRPr="00AB046B">
        <w:rPr>
          <w:rFonts w:ascii="Arial" w:eastAsia="Times New Roman" w:hAnsi="Arial" w:cs="Arial"/>
          <w:color w:val="222222"/>
          <w:sz w:val="22"/>
          <w:szCs w:val="22"/>
          <w:shd w:val="clear" w:color="auto" w:fill="FFFFFF"/>
        </w:rPr>
        <w:t xml:space="preserve"> de Pas, R.A.M., 2020. </w:t>
      </w:r>
      <w:r w:rsidR="001A7E12" w:rsidRPr="007F0156">
        <w:rPr>
          <w:rFonts w:ascii="Arial" w:eastAsia="Times New Roman" w:hAnsi="Arial" w:cs="Arial"/>
          <w:color w:val="222222"/>
          <w:sz w:val="22"/>
          <w:szCs w:val="22"/>
          <w:shd w:val="clear" w:color="auto" w:fill="FFFFFF"/>
        </w:rPr>
        <w:t>A cosmopolitan outlook on health workforce development.</w:t>
      </w:r>
    </w:p>
    <w:p w14:paraId="754D2DFE" w14:textId="49CA2AD2" w:rsidR="00267CBA" w:rsidRPr="007F0156" w:rsidRDefault="000D2868"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Watts, N., Amann, M., Arnell, N., Ayeb-Karlsson, S., Belesova, K., Berry, H., Bouley, T., Boykoff, M., Byass, P., Cai, W. and Campbell-Lendrum, D., 2018. The 2018 report of the Lancet Countdown on health and climate change: shaping the health of nations for centuries to come.</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392</w:t>
      </w:r>
      <w:r w:rsidRPr="007F0156">
        <w:rPr>
          <w:rFonts w:ascii="Arial" w:eastAsia="Times New Roman" w:hAnsi="Arial" w:cs="Arial"/>
          <w:color w:val="222222"/>
          <w:sz w:val="22"/>
          <w:szCs w:val="22"/>
          <w:shd w:val="clear" w:color="auto" w:fill="FFFFFF"/>
        </w:rPr>
        <w:t>(10163), pp.2479-2514.</w:t>
      </w:r>
    </w:p>
    <w:p w14:paraId="0BF85C1F" w14:textId="0D336BC6" w:rsidR="007670E8" w:rsidRPr="007F0156" w:rsidRDefault="00D72203"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Whitmee, S., Haines, A., Beyrer, C., Boltz, F., Capon, A.G., de Souza Dias, B.F., Ezeh, A., Frumkin, H., Gong, P., Head, P. and Horton, R., 2015. Safeguarding human health in the Anthropocene epoch: report of The Rockefeller Foundation–Lancet Commission on planetary health.</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386</w:t>
      </w:r>
      <w:r w:rsidRPr="007F0156">
        <w:rPr>
          <w:rFonts w:ascii="Arial" w:eastAsia="Times New Roman" w:hAnsi="Arial" w:cs="Arial"/>
          <w:color w:val="222222"/>
          <w:sz w:val="22"/>
          <w:szCs w:val="22"/>
          <w:shd w:val="clear" w:color="auto" w:fill="FFFFFF"/>
        </w:rPr>
        <w:t>(10007), pp.1973-2028.</w:t>
      </w:r>
    </w:p>
    <w:p w14:paraId="313B3541" w14:textId="41A628C0" w:rsidR="00226DE8" w:rsidRPr="007F0156" w:rsidRDefault="001D5CFE"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Wilkinson, R. and Pickett, K., 2020.</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inner level: How more equal societies reduce stress, restore sanity, and improve everyone's well-being</w:t>
      </w:r>
      <w:r w:rsidRPr="007F0156">
        <w:rPr>
          <w:rFonts w:ascii="Arial" w:eastAsia="Times New Roman" w:hAnsi="Arial" w:cs="Arial"/>
          <w:color w:val="222222"/>
          <w:sz w:val="22"/>
          <w:szCs w:val="22"/>
          <w:shd w:val="clear" w:color="auto" w:fill="FFFFFF"/>
        </w:rPr>
        <w:t>. Penguin.</w:t>
      </w:r>
    </w:p>
    <w:p w14:paraId="323E6FA3" w14:textId="5ACBB8C3" w:rsidR="00226DE8" w:rsidRPr="007F0156" w:rsidRDefault="00FA18E2"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 xml:space="preserve">World Health </w:t>
      </w:r>
      <w:r w:rsidR="001D30F9">
        <w:rPr>
          <w:rFonts w:ascii="Arial" w:eastAsia="Times New Roman" w:hAnsi="Arial" w:cs="Arial"/>
          <w:color w:val="222222"/>
          <w:sz w:val="22"/>
          <w:szCs w:val="22"/>
          <w:shd w:val="clear" w:color="auto" w:fill="FFFFFF"/>
        </w:rPr>
        <w:t>Organisation,</w:t>
      </w:r>
      <w:r w:rsidRPr="007F0156">
        <w:rPr>
          <w:rFonts w:ascii="Arial" w:eastAsia="Times New Roman" w:hAnsi="Arial" w:cs="Arial"/>
          <w:color w:val="222222"/>
          <w:sz w:val="22"/>
          <w:szCs w:val="22"/>
          <w:shd w:val="clear" w:color="auto" w:fill="FFFFFF"/>
        </w:rPr>
        <w:t xml:space="preserve"> 1986. Ottawa charter for health promotion. In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First International Health Promotion Conference, Ottawa, Canada, 1986</w:t>
      </w:r>
      <w:r w:rsidRPr="007F0156">
        <w:rPr>
          <w:rFonts w:ascii="Arial" w:eastAsia="Times New Roman" w:hAnsi="Arial" w:cs="Arial"/>
          <w:color w:val="222222"/>
          <w:sz w:val="22"/>
          <w:szCs w:val="22"/>
          <w:shd w:val="clear" w:color="auto" w:fill="FFFFFF"/>
        </w:rPr>
        <w:t>.</w:t>
      </w:r>
    </w:p>
    <w:p w14:paraId="6767233E" w14:textId="59380FCF"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World Health Organi</w:t>
      </w:r>
      <w:r w:rsidR="001D0168" w:rsidRPr="007F0156">
        <w:rPr>
          <w:rFonts w:ascii="Arial" w:hAnsi="Arial" w:cs="Arial"/>
          <w:kern w:val="0"/>
          <w:sz w:val="22"/>
          <w:szCs w:val="22"/>
          <w14:ligatures w14:val="none"/>
        </w:rPr>
        <w:t>s</w:t>
      </w:r>
      <w:r w:rsidRPr="007F0156">
        <w:rPr>
          <w:rFonts w:ascii="Arial" w:hAnsi="Arial" w:cs="Arial"/>
          <w:kern w:val="0"/>
          <w:sz w:val="22"/>
          <w:szCs w:val="22"/>
          <w14:ligatures w14:val="none"/>
        </w:rPr>
        <w:t xml:space="preserve">ation (WHO) (2019) </w:t>
      </w:r>
      <w:r w:rsidRPr="007F0156">
        <w:rPr>
          <w:rFonts w:ascii="Arial" w:hAnsi="Arial" w:cs="Arial"/>
          <w:i/>
          <w:iCs/>
          <w:kern w:val="0"/>
          <w:sz w:val="22"/>
          <w:szCs w:val="22"/>
          <w14:ligatures w14:val="none"/>
        </w:rPr>
        <w:t>Global action plan for healthy lives and wellbeing for all</w:t>
      </w:r>
      <w:r w:rsidRPr="007F0156">
        <w:rPr>
          <w:rFonts w:ascii="Arial" w:hAnsi="Arial" w:cs="Arial"/>
          <w:kern w:val="0"/>
          <w:sz w:val="22"/>
          <w:szCs w:val="22"/>
          <w14:ligatures w14:val="none"/>
        </w:rPr>
        <w:t>. Geneva: World Health Organi</w:t>
      </w:r>
      <w:r w:rsidR="00FA59AE" w:rsidRPr="007F0156">
        <w:rPr>
          <w:rFonts w:ascii="Arial" w:hAnsi="Arial" w:cs="Arial"/>
          <w:kern w:val="0"/>
          <w:sz w:val="22"/>
          <w:szCs w:val="22"/>
          <w14:ligatures w14:val="none"/>
        </w:rPr>
        <w:t>s</w:t>
      </w:r>
      <w:r w:rsidRPr="007F0156">
        <w:rPr>
          <w:rFonts w:ascii="Arial" w:hAnsi="Arial" w:cs="Arial"/>
          <w:kern w:val="0"/>
          <w:sz w:val="22"/>
          <w:szCs w:val="22"/>
          <w14:ligatures w14:val="none"/>
        </w:rPr>
        <w:t>ation.</w:t>
      </w:r>
    </w:p>
    <w:p w14:paraId="63329A9A" w14:textId="5247D51F" w:rsidR="00B70AB4" w:rsidRPr="007F0156" w:rsidRDefault="00F42B82"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World Health Organi</w:t>
      </w:r>
      <w:r w:rsidR="0041597F" w:rsidRPr="007F0156">
        <w:rPr>
          <w:rFonts w:ascii="Arial" w:eastAsia="Times New Roman" w:hAnsi="Arial" w:cs="Arial"/>
          <w:color w:val="222222"/>
          <w:sz w:val="22"/>
          <w:szCs w:val="22"/>
          <w:shd w:val="clear" w:color="auto" w:fill="FFFFFF"/>
        </w:rPr>
        <w:t>s</w:t>
      </w:r>
      <w:r w:rsidRPr="007F0156">
        <w:rPr>
          <w:rFonts w:ascii="Arial" w:eastAsia="Times New Roman" w:hAnsi="Arial" w:cs="Arial"/>
          <w:color w:val="222222"/>
          <w:sz w:val="22"/>
          <w:szCs w:val="22"/>
          <w:shd w:val="clear" w:color="auto" w:fill="FFFFFF"/>
        </w:rPr>
        <w:t>ation, 2023.</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Climate change, health, and environment: a regional framework for action, 2023-2029</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color w:val="222222"/>
          <w:sz w:val="22"/>
          <w:szCs w:val="22"/>
          <w:shd w:val="clear" w:color="auto" w:fill="FFFFFF"/>
        </w:rPr>
        <w:t>(No. EM/RC70/6). World Health Organi</w:t>
      </w:r>
      <w:r w:rsidR="009269D1">
        <w:rPr>
          <w:rFonts w:ascii="Arial" w:eastAsia="Times New Roman" w:hAnsi="Arial" w:cs="Arial"/>
          <w:color w:val="222222"/>
          <w:sz w:val="22"/>
          <w:szCs w:val="22"/>
          <w:shd w:val="clear" w:color="auto" w:fill="FFFFFF"/>
        </w:rPr>
        <w:t>s</w:t>
      </w:r>
      <w:r w:rsidRPr="007F0156">
        <w:rPr>
          <w:rFonts w:ascii="Arial" w:eastAsia="Times New Roman" w:hAnsi="Arial" w:cs="Arial"/>
          <w:color w:val="222222"/>
          <w:sz w:val="22"/>
          <w:szCs w:val="22"/>
          <w:shd w:val="clear" w:color="auto" w:fill="FFFFFF"/>
        </w:rPr>
        <w:t>ation. Regional Office for the Eastern Mediterranean.</w:t>
      </w:r>
    </w:p>
    <w:p w14:paraId="580A5636" w14:textId="77777777" w:rsidR="00F109FA" w:rsidRPr="007F0156" w:rsidRDefault="00F109FA"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p>
    <w:p w14:paraId="7CD0027F" w14:textId="13FD11D6" w:rsidR="00F109FA" w:rsidRPr="007F0156" w:rsidRDefault="0038121F"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Yamey, G., Schäferhoff, M., Hatchett, R., Pate, M., Zhao, F. and McDade, K.K., 2020. Ensuring global access to COVID-19 vaccines.</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395</w:t>
      </w:r>
      <w:r w:rsidRPr="007F0156">
        <w:rPr>
          <w:rFonts w:ascii="Arial" w:eastAsia="Times New Roman" w:hAnsi="Arial" w:cs="Arial"/>
          <w:color w:val="222222"/>
          <w:sz w:val="22"/>
          <w:szCs w:val="22"/>
          <w:shd w:val="clear" w:color="auto" w:fill="FFFFFF"/>
        </w:rPr>
        <w:t>(10234), pp.1405-1406.</w:t>
      </w:r>
    </w:p>
    <w:p w14:paraId="6066B7DF" w14:textId="77777777" w:rsidR="00917C99" w:rsidRPr="007F0156" w:rsidRDefault="00917C99"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p w14:paraId="6D0D83BA" w14:textId="77777777" w:rsidR="00917C99" w:rsidRPr="007F0156" w:rsidRDefault="00917C99"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p w14:paraId="60A6F925" w14:textId="77777777" w:rsidR="00917C99" w:rsidRPr="007F0156" w:rsidRDefault="00917C99"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p w14:paraId="73E3E09E" w14:textId="513725D0" w:rsidR="009778EA" w:rsidRPr="007F0156" w:rsidRDefault="009778EA"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sectPr w:rsidR="009778EA" w:rsidRPr="007F0156" w:rsidSect="00DC22BB">
      <w:footerReference w:type="default" r:id="rId20"/>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80156" w14:textId="77777777" w:rsidR="00FA2F58" w:rsidRDefault="00FA2F58" w:rsidP="001C43D9">
      <w:pPr>
        <w:spacing w:after="0" w:line="240" w:lineRule="auto"/>
      </w:pPr>
      <w:r>
        <w:separator/>
      </w:r>
    </w:p>
  </w:endnote>
  <w:endnote w:type="continuationSeparator" w:id="0">
    <w:p w14:paraId="08A701AD" w14:textId="77777777" w:rsidR="00FA2F58" w:rsidRDefault="00FA2F58" w:rsidP="001C4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325641"/>
      <w:docPartObj>
        <w:docPartGallery w:val="Page Numbers (Bottom of Page)"/>
        <w:docPartUnique/>
      </w:docPartObj>
    </w:sdtPr>
    <w:sdtEndPr/>
    <w:sdtContent>
      <w:p w14:paraId="2BCB78A7" w14:textId="34D2FA92" w:rsidR="008C3A25" w:rsidRDefault="008C3A25">
        <w:pPr>
          <w:pStyle w:val="Footer"/>
          <w:jc w:val="right"/>
        </w:pPr>
        <w:r>
          <w:fldChar w:fldCharType="begin"/>
        </w:r>
        <w:r>
          <w:instrText>PAGE   \* MERGEFORMAT</w:instrText>
        </w:r>
        <w:r>
          <w:fldChar w:fldCharType="separate"/>
        </w:r>
        <w:r>
          <w:t>2</w:t>
        </w:r>
        <w:r>
          <w:fldChar w:fldCharType="end"/>
        </w:r>
      </w:p>
    </w:sdtContent>
  </w:sdt>
  <w:p w14:paraId="7D7DCF82" w14:textId="77777777" w:rsidR="001C43D9" w:rsidRDefault="001C4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567F4" w14:textId="77777777" w:rsidR="00FA2F58" w:rsidRDefault="00FA2F58" w:rsidP="001C43D9">
      <w:pPr>
        <w:spacing w:after="0" w:line="240" w:lineRule="auto"/>
      </w:pPr>
      <w:r>
        <w:separator/>
      </w:r>
    </w:p>
  </w:footnote>
  <w:footnote w:type="continuationSeparator" w:id="0">
    <w:p w14:paraId="3F63149C" w14:textId="77777777" w:rsidR="00FA2F58" w:rsidRDefault="00FA2F58" w:rsidP="001C43D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O8XSyeB" int2:invalidationBookmarkName="" int2:hashCode="K4Zf77nWbxvKEg" int2:id="2Llbn5zx">
      <int2:state int2:value="Rejected" int2:type="style"/>
    </int2:bookmark>
    <int2:bookmark int2:bookmarkName="_Int_Cu21BLnS" int2:invalidationBookmarkName="" int2:hashCode="T37iUomAZxh9Sl" int2:id="3VwxNFbl">
      <int2:state int2:value="Rejected" int2:type="style"/>
    </int2:bookmark>
    <int2:bookmark int2:bookmarkName="_Int_V7gerdna" int2:invalidationBookmarkName="" int2:hashCode="SMFwPIHakRGYAb" int2:id="3jORJqle">
      <int2:state int2:value="Rejected" int2:type="style"/>
    </int2:bookmark>
    <int2:bookmark int2:bookmarkName="_Int_aQLP3T0N" int2:invalidationBookmarkName="" int2:hashCode="+uuAocOvmsHLNV" int2:id="4UnjpxSs">
      <int2:state int2:value="Rejected" int2:type="style"/>
    </int2:bookmark>
    <int2:bookmark int2:bookmarkName="_Int_xL5cANo0" int2:invalidationBookmarkName="" int2:hashCode="84qPKCObrD8LxP" int2:id="6Ci4xIU6">
      <int2:state int2:value="Rejected" int2:type="style"/>
    </int2:bookmark>
    <int2:bookmark int2:bookmarkName="_Int_DijQpbuI" int2:invalidationBookmarkName="" int2:hashCode="oAHK+1eRuDNTAF" int2:id="6dQ3iwrR">
      <int2:state int2:value="Rejected" int2:type="style"/>
    </int2:bookmark>
    <int2:bookmark int2:bookmarkName="_Int_BAQ10ftb" int2:invalidationBookmarkName="" int2:hashCode="43K/JlIt1QZTyM" int2:id="7OTELxsL">
      <int2:state int2:value="Rejected" int2:type="style"/>
    </int2:bookmark>
    <int2:bookmark int2:bookmarkName="_Int_Oa7ZV4u3" int2:invalidationBookmarkName="" int2:hashCode="2i9M6eDcqD4Mt6" int2:id="8XTwS6n3">
      <int2:state int2:value="Rejected" int2:type="style"/>
    </int2:bookmark>
    <int2:bookmark int2:bookmarkName="_Int_geMyx2rm" int2:invalidationBookmarkName="" int2:hashCode="5NmnYnEbPG7rVG" int2:id="8nvintZD">
      <int2:state int2:value="Rejected" int2:type="style"/>
    </int2:bookmark>
    <int2:bookmark int2:bookmarkName="_Int_11mvmydS" int2:invalidationBookmarkName="" int2:hashCode="dkmkRuVDysnpuX" int2:id="9g4kUCJI">
      <int2:state int2:value="Rejected" int2:type="style"/>
    </int2:bookmark>
    <int2:bookmark int2:bookmarkName="_Int_XY9dKrXl" int2:invalidationBookmarkName="" int2:hashCode="v1+anaRfUIDswh" int2:id="Bn5URsWh">
      <int2:state int2:value="Rejected" int2:type="style"/>
    </int2:bookmark>
    <int2:bookmark int2:bookmarkName="_Int_snTCk7H7" int2:invalidationBookmarkName="" int2:hashCode="43K/JlIt1QZTyM" int2:id="Frv0Rjg6">
      <int2:state int2:value="Rejected" int2:type="style"/>
    </int2:bookmark>
    <int2:bookmark int2:bookmarkName="_Int_Vem9sgKH" int2:invalidationBookmarkName="" int2:hashCode="sszfQRDXSzrOHJ" int2:id="FtbKhhoX">
      <int2:state int2:value="Rejected" int2:type="style"/>
    </int2:bookmark>
    <int2:bookmark int2:bookmarkName="_Int_ySpxvd1k" int2:invalidationBookmarkName="" int2:hashCode="dkmkRuVDysnpuX" int2:id="Hg3od1rV">
      <int2:state int2:value="Rejected" int2:type="style"/>
    </int2:bookmark>
    <int2:bookmark int2:bookmarkName="_Int_KCHjMGjK" int2:invalidationBookmarkName="" int2:hashCode="43K/JlIt1QZTyM" int2:id="Iq0m1NZb">
      <int2:state int2:value="Rejected" int2:type="style"/>
    </int2:bookmark>
    <int2:bookmark int2:bookmarkName="_Int_p71Zsnle" int2:invalidationBookmarkName="" int2:hashCode="xhKzW50/O76H3Z" int2:id="JraM6Gih">
      <int2:state int2:value="Rejected" int2:type="style"/>
    </int2:bookmark>
    <int2:bookmark int2:bookmarkName="_Int_A3zuCNTd" int2:invalidationBookmarkName="" int2:hashCode="gNnnTkPTW8q52R" int2:id="LBCWGkW8">
      <int2:state int2:value="Rejected" int2:type="style"/>
    </int2:bookmark>
    <int2:bookmark int2:bookmarkName="_Int_XYqRoNyQ" int2:invalidationBookmarkName="" int2:hashCode="RqhmcRGM7U3nVn" int2:id="MAW6FP3c">
      <int2:state int2:value="Rejected" int2:type="style"/>
    </int2:bookmark>
    <int2:bookmark int2:bookmarkName="_Int_uVyT5tk4" int2:invalidationBookmarkName="" int2:hashCode="dkmkRuVDysnpuX" int2:id="N6jNx0cJ">
      <int2:state int2:value="Rejected" int2:type="style"/>
    </int2:bookmark>
    <int2:bookmark int2:bookmarkName="_Int_wJ0LL1Mc" int2:invalidationBookmarkName="" int2:hashCode="43K/JlIt1QZTyM" int2:id="NHzGStX7">
      <int2:state int2:value="Rejected" int2:type="style"/>
    </int2:bookmark>
    <int2:bookmark int2:bookmarkName="_Int_Gvj5eJj0" int2:invalidationBookmarkName="" int2:hashCode="bUJMN69M1aPWHo" int2:id="NeM6J869">
      <int2:state int2:value="Rejected" int2:type="style"/>
    </int2:bookmark>
    <int2:bookmark int2:bookmarkName="_Int_MvEJNR5b" int2:invalidationBookmarkName="" int2:hashCode="ZanletI6wlweVG" int2:id="SK0cbfds">
      <int2:state int2:value="Rejected" int2:type="style"/>
    </int2:bookmark>
    <int2:bookmark int2:bookmarkName="_Int_YkPEgVUL" int2:invalidationBookmarkName="" int2:hashCode="5REDhXTu2EAQNs" int2:id="UBFSc64u">
      <int2:state int2:value="Rejected" int2:type="style"/>
    </int2:bookmark>
    <int2:bookmark int2:bookmarkName="_Int_W46PlzB4" int2:invalidationBookmarkName="" int2:hashCode="aHYqKVUUTAt4Qv" int2:id="Ur5jDCEd">
      <int2:state int2:value="Rejected" int2:type="style"/>
    </int2:bookmark>
    <int2:bookmark int2:bookmarkName="_Int_pEtDjNgj" int2:invalidationBookmarkName="" int2:hashCode="ySxSngcxxX79dV" int2:id="V0YlSNAL">
      <int2:state int2:value="Rejected" int2:type="style"/>
    </int2:bookmark>
    <int2:bookmark int2:bookmarkName="_Int_OY6ee7W6" int2:invalidationBookmarkName="" int2:hashCode="WFMMxYjAgS+MCk" int2:id="WRWiGdFK">
      <int2:state int2:value="Rejected" int2:type="style"/>
    </int2:bookmark>
    <int2:bookmark int2:bookmarkName="_Int_jSCNUlzN" int2:invalidationBookmarkName="" int2:hashCode="SMFwPIHakRGYAb" int2:id="XuYou3CC">
      <int2:state int2:value="Rejected" int2:type="style"/>
    </int2:bookmark>
    <int2:bookmark int2:bookmarkName="_Int_Tg4SHrmc" int2:invalidationBookmarkName="" int2:hashCode="GnfUFiJMu+d6Q5" int2:id="bLKzAhmt">
      <int2:state int2:value="Rejected" int2:type="style"/>
    </int2:bookmark>
    <int2:bookmark int2:bookmarkName="_Int_7XEHBe57" int2:invalidationBookmarkName="" int2:hashCode="dalNooyseA++F1" int2:id="dIpHdIv7">
      <int2:state int2:value="Rejected" int2:type="style"/>
    </int2:bookmark>
    <int2:bookmark int2:bookmarkName="_Int_OyMaVD9K" int2:invalidationBookmarkName="" int2:hashCode="XBCTO60HnI4yRJ" int2:id="e9FKhAJT">
      <int2:state int2:value="Rejected" int2:type="style"/>
    </int2:bookmark>
    <int2:bookmark int2:bookmarkName="_Int_RbJIQHV9" int2:invalidationBookmarkName="" int2:hashCode="5NmnYnEbPG7rVG" int2:id="egmtlzyV">
      <int2:state int2:value="Rejected" int2:type="style"/>
    </int2:bookmark>
    <int2:bookmark int2:bookmarkName="_Int_pfp8QS03" int2:invalidationBookmarkName="" int2:hashCode="dalNooyseA++F1" int2:id="hYU7ETlf">
      <int2:state int2:value="Rejected" int2:type="style"/>
    </int2:bookmark>
    <int2:bookmark int2:bookmarkName="_Int_vs0hYi1a" int2:invalidationBookmarkName="" int2:hashCode="8OY9OBUjt6xPEe" int2:id="iyo3Ejmb">
      <int2:state int2:value="Rejected" int2:type="style"/>
    </int2:bookmark>
    <int2:bookmark int2:bookmarkName="_Int_4K2Zna33" int2:invalidationBookmarkName="" int2:hashCode="dkmkRuVDysnpuX" int2:id="jAvjUR1A">
      <int2:state int2:value="Rejected" int2:type="style"/>
    </int2:bookmark>
    <int2:bookmark int2:bookmarkName="_Int_UDSYL1TH" int2:invalidationBookmarkName="" int2:hashCode="SMFwPIHakRGYAb" int2:id="jg2uXJiW">
      <int2:state int2:value="Rejected" int2:type="style"/>
    </int2:bookmark>
    <int2:bookmark int2:bookmarkName="_Int_qNbrwgYo" int2:invalidationBookmarkName="" int2:hashCode="dalNooyseA++F1" int2:id="mRjKchVW">
      <int2:state int2:value="Rejected" int2:type="style"/>
    </int2:bookmark>
    <int2:bookmark int2:bookmarkName="_Int_7Tga5RkR" int2:invalidationBookmarkName="" int2:hashCode="SMFwPIHakRGYAb" int2:id="nGdu82UQ">
      <int2:state int2:value="Rejected" int2:type="style"/>
    </int2:bookmark>
    <int2:bookmark int2:bookmarkName="_Int_mp6PPfd2" int2:invalidationBookmarkName="" int2:hashCode="/5aGncXwjRgebT" int2:id="oQP42jRu">
      <int2:state int2:value="Rejected" int2:type="style"/>
    </int2:bookmark>
    <int2:bookmark int2:bookmarkName="_Int_NZV9XxnL" int2:invalidationBookmarkName="" int2:hashCode="ZanletI6wlweVG" int2:id="qdGO5JxW">
      <int2:state int2:value="Rejected" int2:type="style"/>
    </int2:bookmark>
    <int2:bookmark int2:bookmarkName="_Int_LUX35hVe" int2:invalidationBookmarkName="" int2:hashCode="dalNooyseA++F1" int2:id="tQN50J4P">
      <int2:state int2:value="Rejected" int2:type="style"/>
    </int2:bookmark>
    <int2:bookmark int2:bookmarkName="_Int_g9dzOZhS" int2:invalidationBookmarkName="" int2:hashCode="20lmumeNxO0dfa" int2:id="uDOsYARB">
      <int2:state int2:value="Rejected" int2:type="style"/>
    </int2:bookmark>
    <int2:bookmark int2:bookmarkName="_Int_EsSfaDcd" int2:invalidationBookmarkName="" int2:hashCode="f+nVWC83DRqrjw" int2:id="uHNoKhDv">
      <int2:state int2:value="Rejected" int2:type="style"/>
    </int2:bookmark>
    <int2:bookmark int2:bookmarkName="_Int_Owgtaoz7" int2:invalidationBookmarkName="" int2:hashCode="dkmkRuVDysnpuX" int2:id="vvC4XG5b">
      <int2:state int2:value="Rejected" int2:type="style"/>
    </int2:bookmark>
    <int2:bookmark int2:bookmarkName="_Int_auw4y4sB" int2:invalidationBookmarkName="" int2:hashCode="43K/JlIt1QZTyM" int2:id="wYT4OiqE">
      <int2:state int2:value="Rejected" int2:type="style"/>
    </int2:bookmark>
    <int2:bookmark int2:bookmarkName="_Int_eZXM7Vmy" int2:invalidationBookmarkName="" int2:hashCode="dalNooyseA++F1" int2:id="x69zJzC6">
      <int2:state int2:value="Rejected" int2:type="style"/>
    </int2:bookmark>
    <int2:bookmark int2:bookmarkName="_Int_WZCvbAJl" int2:invalidationBookmarkName="" int2:hashCode="dkmkRuVDysnpuX" int2:id="xwQmZgIb">
      <int2:state int2:value="Rejected" int2:type="style"/>
    </int2:bookmark>
    <int2:bookmark int2:bookmarkName="_Int_uoOvyVWn" int2:invalidationBookmarkName="" int2:hashCode="dalNooyseA++F1" int2:id="yDb6ihEb">
      <int2:state int2:value="Rejected" int2:type="style"/>
    </int2:bookmark>
    <int2:bookmark int2:bookmarkName="_Int_O5zsNu5m" int2:invalidationBookmarkName="" int2:hashCode="TpvcPwUsqMSX3H" int2:id="ys28l8Bv">
      <int2:state int2:value="Rejected" int2:type="style"/>
    </int2:bookmark>
    <int2:bookmark int2:bookmarkName="_Int_wSvxPlmJ" int2:invalidationBookmarkName="" int2:hashCode="GnfUFiJMu+d6Q5" int2:id="zPdHKHM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03B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80504E"/>
    <w:multiLevelType w:val="multilevel"/>
    <w:tmpl w:val="FFFFFFFF"/>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69331C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225919">
    <w:abstractNumId w:val="2"/>
  </w:num>
  <w:num w:numId="2" w16cid:durableId="151411760">
    <w:abstractNumId w:val="1"/>
  </w:num>
  <w:num w:numId="3" w16cid:durableId="1503397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BCC"/>
    <w:rsid w:val="000005EE"/>
    <w:rsid w:val="000024F0"/>
    <w:rsid w:val="0000489C"/>
    <w:rsid w:val="00004D49"/>
    <w:rsid w:val="00005663"/>
    <w:rsid w:val="00006030"/>
    <w:rsid w:val="0000692F"/>
    <w:rsid w:val="000125B8"/>
    <w:rsid w:val="00014E03"/>
    <w:rsid w:val="0001586C"/>
    <w:rsid w:val="000171E0"/>
    <w:rsid w:val="0002002E"/>
    <w:rsid w:val="00021EE6"/>
    <w:rsid w:val="000221F8"/>
    <w:rsid w:val="000229C1"/>
    <w:rsid w:val="00022EAC"/>
    <w:rsid w:val="000315A3"/>
    <w:rsid w:val="00032026"/>
    <w:rsid w:val="000323F7"/>
    <w:rsid w:val="00033825"/>
    <w:rsid w:val="00037F51"/>
    <w:rsid w:val="00040D46"/>
    <w:rsid w:val="00042CA9"/>
    <w:rsid w:val="00044C8C"/>
    <w:rsid w:val="00046BD3"/>
    <w:rsid w:val="0005004C"/>
    <w:rsid w:val="0005116E"/>
    <w:rsid w:val="000521E5"/>
    <w:rsid w:val="0005362F"/>
    <w:rsid w:val="000543BE"/>
    <w:rsid w:val="00057B96"/>
    <w:rsid w:val="00057C41"/>
    <w:rsid w:val="000630C4"/>
    <w:rsid w:val="00065E8B"/>
    <w:rsid w:val="00067B70"/>
    <w:rsid w:val="0007374E"/>
    <w:rsid w:val="0007392F"/>
    <w:rsid w:val="00074B92"/>
    <w:rsid w:val="000777CF"/>
    <w:rsid w:val="00080095"/>
    <w:rsid w:val="00081925"/>
    <w:rsid w:val="000858A5"/>
    <w:rsid w:val="00085A7C"/>
    <w:rsid w:val="0008614D"/>
    <w:rsid w:val="00086335"/>
    <w:rsid w:val="00087222"/>
    <w:rsid w:val="0009374B"/>
    <w:rsid w:val="00093D5D"/>
    <w:rsid w:val="00093DF9"/>
    <w:rsid w:val="00094F71"/>
    <w:rsid w:val="00097BF4"/>
    <w:rsid w:val="000A4A04"/>
    <w:rsid w:val="000A63C5"/>
    <w:rsid w:val="000A6545"/>
    <w:rsid w:val="000A6589"/>
    <w:rsid w:val="000A7377"/>
    <w:rsid w:val="000B1F05"/>
    <w:rsid w:val="000B2497"/>
    <w:rsid w:val="000B5A29"/>
    <w:rsid w:val="000C2EF2"/>
    <w:rsid w:val="000C3A2E"/>
    <w:rsid w:val="000C4FBA"/>
    <w:rsid w:val="000C60D5"/>
    <w:rsid w:val="000D2166"/>
    <w:rsid w:val="000D2868"/>
    <w:rsid w:val="000D742A"/>
    <w:rsid w:val="000E0DF3"/>
    <w:rsid w:val="000E147A"/>
    <w:rsid w:val="000E5B0D"/>
    <w:rsid w:val="000F0FAC"/>
    <w:rsid w:val="000F13CE"/>
    <w:rsid w:val="000F21FB"/>
    <w:rsid w:val="000F36AA"/>
    <w:rsid w:val="000F3F7F"/>
    <w:rsid w:val="000F5869"/>
    <w:rsid w:val="000F7750"/>
    <w:rsid w:val="000F7D3D"/>
    <w:rsid w:val="00100249"/>
    <w:rsid w:val="001002D9"/>
    <w:rsid w:val="00100556"/>
    <w:rsid w:val="00100CD8"/>
    <w:rsid w:val="0010178E"/>
    <w:rsid w:val="001057FC"/>
    <w:rsid w:val="001102A9"/>
    <w:rsid w:val="00111BB3"/>
    <w:rsid w:val="001121CD"/>
    <w:rsid w:val="0011364B"/>
    <w:rsid w:val="00115786"/>
    <w:rsid w:val="001171AF"/>
    <w:rsid w:val="00117AAB"/>
    <w:rsid w:val="00123372"/>
    <w:rsid w:val="00123457"/>
    <w:rsid w:val="00126916"/>
    <w:rsid w:val="0012727E"/>
    <w:rsid w:val="0013226F"/>
    <w:rsid w:val="001354D2"/>
    <w:rsid w:val="00135FED"/>
    <w:rsid w:val="001360F8"/>
    <w:rsid w:val="00137AAE"/>
    <w:rsid w:val="001423A7"/>
    <w:rsid w:val="00142C31"/>
    <w:rsid w:val="00145477"/>
    <w:rsid w:val="00146676"/>
    <w:rsid w:val="001520E8"/>
    <w:rsid w:val="00152CFD"/>
    <w:rsid w:val="001602F7"/>
    <w:rsid w:val="00161E9F"/>
    <w:rsid w:val="001633D6"/>
    <w:rsid w:val="0016586B"/>
    <w:rsid w:val="00170148"/>
    <w:rsid w:val="001703CC"/>
    <w:rsid w:val="001713BA"/>
    <w:rsid w:val="001737CA"/>
    <w:rsid w:val="00175289"/>
    <w:rsid w:val="0017529F"/>
    <w:rsid w:val="001810D7"/>
    <w:rsid w:val="00181531"/>
    <w:rsid w:val="00181B19"/>
    <w:rsid w:val="00182787"/>
    <w:rsid w:val="00182EF1"/>
    <w:rsid w:val="001837CA"/>
    <w:rsid w:val="001874D5"/>
    <w:rsid w:val="00187F33"/>
    <w:rsid w:val="00192946"/>
    <w:rsid w:val="001942C4"/>
    <w:rsid w:val="00194676"/>
    <w:rsid w:val="001A2C2E"/>
    <w:rsid w:val="001A3549"/>
    <w:rsid w:val="001A71E7"/>
    <w:rsid w:val="001A79B7"/>
    <w:rsid w:val="001A7E12"/>
    <w:rsid w:val="001B17FD"/>
    <w:rsid w:val="001B5798"/>
    <w:rsid w:val="001B71A5"/>
    <w:rsid w:val="001C23D3"/>
    <w:rsid w:val="001C43D9"/>
    <w:rsid w:val="001C5756"/>
    <w:rsid w:val="001C6A61"/>
    <w:rsid w:val="001D0168"/>
    <w:rsid w:val="001D0D83"/>
    <w:rsid w:val="001D30F9"/>
    <w:rsid w:val="001D31CF"/>
    <w:rsid w:val="001D32DC"/>
    <w:rsid w:val="001D5CFE"/>
    <w:rsid w:val="001E0F3B"/>
    <w:rsid w:val="001E0FCF"/>
    <w:rsid w:val="001E23E9"/>
    <w:rsid w:val="001E4194"/>
    <w:rsid w:val="001F1E06"/>
    <w:rsid w:val="001F210A"/>
    <w:rsid w:val="001F2605"/>
    <w:rsid w:val="001F38F8"/>
    <w:rsid w:val="001F4C50"/>
    <w:rsid w:val="001F7BD4"/>
    <w:rsid w:val="0020233A"/>
    <w:rsid w:val="002028F9"/>
    <w:rsid w:val="002046AA"/>
    <w:rsid w:val="00205FC2"/>
    <w:rsid w:val="00206A4C"/>
    <w:rsid w:val="00210E1B"/>
    <w:rsid w:val="0021717A"/>
    <w:rsid w:val="00220013"/>
    <w:rsid w:val="00221519"/>
    <w:rsid w:val="00225C2A"/>
    <w:rsid w:val="00226388"/>
    <w:rsid w:val="00226DE8"/>
    <w:rsid w:val="0022724E"/>
    <w:rsid w:val="00227C2B"/>
    <w:rsid w:val="00227E05"/>
    <w:rsid w:val="00232D52"/>
    <w:rsid w:val="002330D3"/>
    <w:rsid w:val="0024022A"/>
    <w:rsid w:val="00241290"/>
    <w:rsid w:val="00247871"/>
    <w:rsid w:val="0025236E"/>
    <w:rsid w:val="00253025"/>
    <w:rsid w:val="00253DE0"/>
    <w:rsid w:val="002574E6"/>
    <w:rsid w:val="00257A11"/>
    <w:rsid w:val="00262978"/>
    <w:rsid w:val="00262E29"/>
    <w:rsid w:val="0026458D"/>
    <w:rsid w:val="00264F99"/>
    <w:rsid w:val="00265810"/>
    <w:rsid w:val="002670C5"/>
    <w:rsid w:val="00267CBA"/>
    <w:rsid w:val="00270041"/>
    <w:rsid w:val="00270E47"/>
    <w:rsid w:val="002733DF"/>
    <w:rsid w:val="00273479"/>
    <w:rsid w:val="00273D23"/>
    <w:rsid w:val="00274457"/>
    <w:rsid w:val="00274632"/>
    <w:rsid w:val="0027505A"/>
    <w:rsid w:val="00277336"/>
    <w:rsid w:val="00281928"/>
    <w:rsid w:val="00282EE5"/>
    <w:rsid w:val="002902D7"/>
    <w:rsid w:val="002908AE"/>
    <w:rsid w:val="00291097"/>
    <w:rsid w:val="00294007"/>
    <w:rsid w:val="002943A2"/>
    <w:rsid w:val="002968D4"/>
    <w:rsid w:val="00297CB2"/>
    <w:rsid w:val="002A1325"/>
    <w:rsid w:val="002A51BA"/>
    <w:rsid w:val="002B0375"/>
    <w:rsid w:val="002B3736"/>
    <w:rsid w:val="002B62D2"/>
    <w:rsid w:val="002C0193"/>
    <w:rsid w:val="002C1115"/>
    <w:rsid w:val="002C2090"/>
    <w:rsid w:val="002C4179"/>
    <w:rsid w:val="002C4B0A"/>
    <w:rsid w:val="002C7A96"/>
    <w:rsid w:val="002D0DE7"/>
    <w:rsid w:val="002D3ECF"/>
    <w:rsid w:val="002D5231"/>
    <w:rsid w:val="002D7181"/>
    <w:rsid w:val="002E3FD3"/>
    <w:rsid w:val="002E4646"/>
    <w:rsid w:val="002E6D3F"/>
    <w:rsid w:val="002F006D"/>
    <w:rsid w:val="002F2D5E"/>
    <w:rsid w:val="002F2D9D"/>
    <w:rsid w:val="002F35DD"/>
    <w:rsid w:val="002F361F"/>
    <w:rsid w:val="002F7469"/>
    <w:rsid w:val="002F7E9D"/>
    <w:rsid w:val="0030074F"/>
    <w:rsid w:val="00300C22"/>
    <w:rsid w:val="00301679"/>
    <w:rsid w:val="003027D4"/>
    <w:rsid w:val="00302F70"/>
    <w:rsid w:val="00311E1B"/>
    <w:rsid w:val="00311E6A"/>
    <w:rsid w:val="003202E6"/>
    <w:rsid w:val="003212A1"/>
    <w:rsid w:val="0032652B"/>
    <w:rsid w:val="00331299"/>
    <w:rsid w:val="0033658A"/>
    <w:rsid w:val="003366C3"/>
    <w:rsid w:val="00337238"/>
    <w:rsid w:val="00337B55"/>
    <w:rsid w:val="003410EE"/>
    <w:rsid w:val="00341DD4"/>
    <w:rsid w:val="00342C0D"/>
    <w:rsid w:val="0034355A"/>
    <w:rsid w:val="003450D6"/>
    <w:rsid w:val="00346A1B"/>
    <w:rsid w:val="00347CFA"/>
    <w:rsid w:val="00350738"/>
    <w:rsid w:val="00352F56"/>
    <w:rsid w:val="003558AD"/>
    <w:rsid w:val="00357DD9"/>
    <w:rsid w:val="00360E87"/>
    <w:rsid w:val="003617A5"/>
    <w:rsid w:val="003622B4"/>
    <w:rsid w:val="00363792"/>
    <w:rsid w:val="00364656"/>
    <w:rsid w:val="00365B1D"/>
    <w:rsid w:val="0036655A"/>
    <w:rsid w:val="00366CBD"/>
    <w:rsid w:val="00366D11"/>
    <w:rsid w:val="00367D2C"/>
    <w:rsid w:val="00370001"/>
    <w:rsid w:val="0037290D"/>
    <w:rsid w:val="00375845"/>
    <w:rsid w:val="00380308"/>
    <w:rsid w:val="003804F8"/>
    <w:rsid w:val="0038121F"/>
    <w:rsid w:val="00383014"/>
    <w:rsid w:val="00383C93"/>
    <w:rsid w:val="00390AD0"/>
    <w:rsid w:val="00392AE1"/>
    <w:rsid w:val="00394F54"/>
    <w:rsid w:val="00396821"/>
    <w:rsid w:val="00396BB6"/>
    <w:rsid w:val="00396EB6"/>
    <w:rsid w:val="003A3854"/>
    <w:rsid w:val="003A42D9"/>
    <w:rsid w:val="003A72B4"/>
    <w:rsid w:val="003B5E3B"/>
    <w:rsid w:val="003B65D4"/>
    <w:rsid w:val="003B74CB"/>
    <w:rsid w:val="003C1C64"/>
    <w:rsid w:val="003C240B"/>
    <w:rsid w:val="003C4D9A"/>
    <w:rsid w:val="003C700C"/>
    <w:rsid w:val="003C7432"/>
    <w:rsid w:val="003C778E"/>
    <w:rsid w:val="003C7BD3"/>
    <w:rsid w:val="003D0E84"/>
    <w:rsid w:val="003D1441"/>
    <w:rsid w:val="003D2A61"/>
    <w:rsid w:val="003E00D4"/>
    <w:rsid w:val="003E363E"/>
    <w:rsid w:val="003E4408"/>
    <w:rsid w:val="003E528D"/>
    <w:rsid w:val="003E5ED4"/>
    <w:rsid w:val="003E6FC2"/>
    <w:rsid w:val="003E70D7"/>
    <w:rsid w:val="003E7D2A"/>
    <w:rsid w:val="003F05A8"/>
    <w:rsid w:val="003F19DE"/>
    <w:rsid w:val="003F3CF6"/>
    <w:rsid w:val="003F4EE4"/>
    <w:rsid w:val="004006E5"/>
    <w:rsid w:val="004058C4"/>
    <w:rsid w:val="00406ED7"/>
    <w:rsid w:val="00412ED1"/>
    <w:rsid w:val="004142BC"/>
    <w:rsid w:val="00414C9A"/>
    <w:rsid w:val="0041597F"/>
    <w:rsid w:val="004178C5"/>
    <w:rsid w:val="00420DDE"/>
    <w:rsid w:val="0042173D"/>
    <w:rsid w:val="00424358"/>
    <w:rsid w:val="004243F9"/>
    <w:rsid w:val="0043048F"/>
    <w:rsid w:val="00430930"/>
    <w:rsid w:val="00430C1F"/>
    <w:rsid w:val="004340E8"/>
    <w:rsid w:val="004344C4"/>
    <w:rsid w:val="00435181"/>
    <w:rsid w:val="00435218"/>
    <w:rsid w:val="004376A8"/>
    <w:rsid w:val="00443BCA"/>
    <w:rsid w:val="00444135"/>
    <w:rsid w:val="00445873"/>
    <w:rsid w:val="004469E8"/>
    <w:rsid w:val="00450223"/>
    <w:rsid w:val="00450531"/>
    <w:rsid w:val="004525A2"/>
    <w:rsid w:val="004528C3"/>
    <w:rsid w:val="00455176"/>
    <w:rsid w:val="00455F92"/>
    <w:rsid w:val="00460FDD"/>
    <w:rsid w:val="00463958"/>
    <w:rsid w:val="00464599"/>
    <w:rsid w:val="00470916"/>
    <w:rsid w:val="00471DF5"/>
    <w:rsid w:val="004741A1"/>
    <w:rsid w:val="00477A03"/>
    <w:rsid w:val="004801EB"/>
    <w:rsid w:val="00482632"/>
    <w:rsid w:val="0048352E"/>
    <w:rsid w:val="004859F7"/>
    <w:rsid w:val="00485E8B"/>
    <w:rsid w:val="00486712"/>
    <w:rsid w:val="004908E6"/>
    <w:rsid w:val="00491429"/>
    <w:rsid w:val="004A03AB"/>
    <w:rsid w:val="004A429E"/>
    <w:rsid w:val="004A4DD4"/>
    <w:rsid w:val="004A615B"/>
    <w:rsid w:val="004B2543"/>
    <w:rsid w:val="004B2820"/>
    <w:rsid w:val="004B3283"/>
    <w:rsid w:val="004C0B2B"/>
    <w:rsid w:val="004C1034"/>
    <w:rsid w:val="004C1129"/>
    <w:rsid w:val="004C22BC"/>
    <w:rsid w:val="004C2D19"/>
    <w:rsid w:val="004C3A6B"/>
    <w:rsid w:val="004C3CF5"/>
    <w:rsid w:val="004C6245"/>
    <w:rsid w:val="004C75CF"/>
    <w:rsid w:val="004C7B01"/>
    <w:rsid w:val="004D11A6"/>
    <w:rsid w:val="004D192D"/>
    <w:rsid w:val="004D218A"/>
    <w:rsid w:val="004D3FC3"/>
    <w:rsid w:val="004D4874"/>
    <w:rsid w:val="004D6FF6"/>
    <w:rsid w:val="004E0931"/>
    <w:rsid w:val="004E09A1"/>
    <w:rsid w:val="004E6C1B"/>
    <w:rsid w:val="004E7B87"/>
    <w:rsid w:val="004F0F98"/>
    <w:rsid w:val="004F6A7D"/>
    <w:rsid w:val="004F772C"/>
    <w:rsid w:val="00500E6F"/>
    <w:rsid w:val="0050231A"/>
    <w:rsid w:val="005041BA"/>
    <w:rsid w:val="00505B5C"/>
    <w:rsid w:val="005066D4"/>
    <w:rsid w:val="00511D8B"/>
    <w:rsid w:val="005132EB"/>
    <w:rsid w:val="00516FB7"/>
    <w:rsid w:val="00520DDF"/>
    <w:rsid w:val="00522AA2"/>
    <w:rsid w:val="00522BAE"/>
    <w:rsid w:val="00523533"/>
    <w:rsid w:val="00525FFD"/>
    <w:rsid w:val="00532BB3"/>
    <w:rsid w:val="005355B3"/>
    <w:rsid w:val="0054296E"/>
    <w:rsid w:val="00545146"/>
    <w:rsid w:val="00546575"/>
    <w:rsid w:val="00546FF0"/>
    <w:rsid w:val="00547AA9"/>
    <w:rsid w:val="00553419"/>
    <w:rsid w:val="00553512"/>
    <w:rsid w:val="0055634C"/>
    <w:rsid w:val="00556DF2"/>
    <w:rsid w:val="005608C1"/>
    <w:rsid w:val="00562AC1"/>
    <w:rsid w:val="00563A59"/>
    <w:rsid w:val="00567629"/>
    <w:rsid w:val="0056770B"/>
    <w:rsid w:val="0057130B"/>
    <w:rsid w:val="00575747"/>
    <w:rsid w:val="0057696B"/>
    <w:rsid w:val="00576BE1"/>
    <w:rsid w:val="00577D32"/>
    <w:rsid w:val="00577F66"/>
    <w:rsid w:val="00577FFE"/>
    <w:rsid w:val="00580F56"/>
    <w:rsid w:val="00581FAD"/>
    <w:rsid w:val="00582067"/>
    <w:rsid w:val="00583335"/>
    <w:rsid w:val="00584C08"/>
    <w:rsid w:val="00586601"/>
    <w:rsid w:val="00591AEB"/>
    <w:rsid w:val="005935B9"/>
    <w:rsid w:val="00593B9A"/>
    <w:rsid w:val="00594A34"/>
    <w:rsid w:val="005956AD"/>
    <w:rsid w:val="00595FE2"/>
    <w:rsid w:val="00596D7D"/>
    <w:rsid w:val="005A263E"/>
    <w:rsid w:val="005A2AA1"/>
    <w:rsid w:val="005A31CF"/>
    <w:rsid w:val="005A449F"/>
    <w:rsid w:val="005A64CF"/>
    <w:rsid w:val="005A682B"/>
    <w:rsid w:val="005B03E4"/>
    <w:rsid w:val="005B2199"/>
    <w:rsid w:val="005B5066"/>
    <w:rsid w:val="005C3E5C"/>
    <w:rsid w:val="005C4F3B"/>
    <w:rsid w:val="005C6001"/>
    <w:rsid w:val="005D0FCD"/>
    <w:rsid w:val="005D327E"/>
    <w:rsid w:val="005D3BE5"/>
    <w:rsid w:val="005D52A6"/>
    <w:rsid w:val="005D58BA"/>
    <w:rsid w:val="005D72FC"/>
    <w:rsid w:val="005D7CF5"/>
    <w:rsid w:val="005E1663"/>
    <w:rsid w:val="005E21DF"/>
    <w:rsid w:val="005E72B0"/>
    <w:rsid w:val="005F0893"/>
    <w:rsid w:val="005F11BC"/>
    <w:rsid w:val="005F1301"/>
    <w:rsid w:val="005F26D9"/>
    <w:rsid w:val="005F3EE0"/>
    <w:rsid w:val="006006A3"/>
    <w:rsid w:val="00600A6C"/>
    <w:rsid w:val="0060517A"/>
    <w:rsid w:val="006078B0"/>
    <w:rsid w:val="006103E8"/>
    <w:rsid w:val="00613D42"/>
    <w:rsid w:val="00616F93"/>
    <w:rsid w:val="00621A9A"/>
    <w:rsid w:val="00621AAB"/>
    <w:rsid w:val="00622AA0"/>
    <w:rsid w:val="006272B4"/>
    <w:rsid w:val="00630F39"/>
    <w:rsid w:val="00633022"/>
    <w:rsid w:val="00633626"/>
    <w:rsid w:val="00635EA6"/>
    <w:rsid w:val="00637FD0"/>
    <w:rsid w:val="00641800"/>
    <w:rsid w:val="00641815"/>
    <w:rsid w:val="0064203D"/>
    <w:rsid w:val="006427E8"/>
    <w:rsid w:val="00645339"/>
    <w:rsid w:val="0064592D"/>
    <w:rsid w:val="00645E80"/>
    <w:rsid w:val="006473DE"/>
    <w:rsid w:val="0065037C"/>
    <w:rsid w:val="00651655"/>
    <w:rsid w:val="00654B37"/>
    <w:rsid w:val="00654D3A"/>
    <w:rsid w:val="006550E9"/>
    <w:rsid w:val="00656F91"/>
    <w:rsid w:val="006601BB"/>
    <w:rsid w:val="0066032A"/>
    <w:rsid w:val="006607D0"/>
    <w:rsid w:val="006624C6"/>
    <w:rsid w:val="00663205"/>
    <w:rsid w:val="006669B6"/>
    <w:rsid w:val="0067269B"/>
    <w:rsid w:val="0068187F"/>
    <w:rsid w:val="00682C5B"/>
    <w:rsid w:val="0068386F"/>
    <w:rsid w:val="00685273"/>
    <w:rsid w:val="00691144"/>
    <w:rsid w:val="006936C5"/>
    <w:rsid w:val="006966ED"/>
    <w:rsid w:val="006A0456"/>
    <w:rsid w:val="006A3355"/>
    <w:rsid w:val="006A5D97"/>
    <w:rsid w:val="006A71E9"/>
    <w:rsid w:val="006B131D"/>
    <w:rsid w:val="006B14B9"/>
    <w:rsid w:val="006B3C32"/>
    <w:rsid w:val="006B5595"/>
    <w:rsid w:val="006B6A8D"/>
    <w:rsid w:val="006B6CC0"/>
    <w:rsid w:val="006B6DA4"/>
    <w:rsid w:val="006B6EF2"/>
    <w:rsid w:val="006C0DCB"/>
    <w:rsid w:val="006C15D9"/>
    <w:rsid w:val="006C1F27"/>
    <w:rsid w:val="006C2DDD"/>
    <w:rsid w:val="006C5525"/>
    <w:rsid w:val="006C56D3"/>
    <w:rsid w:val="006C5AC3"/>
    <w:rsid w:val="006D06B9"/>
    <w:rsid w:val="006D19B3"/>
    <w:rsid w:val="006D3673"/>
    <w:rsid w:val="006D3EB5"/>
    <w:rsid w:val="006E1964"/>
    <w:rsid w:val="006E2F44"/>
    <w:rsid w:val="006E3005"/>
    <w:rsid w:val="006E482D"/>
    <w:rsid w:val="006E49E6"/>
    <w:rsid w:val="006E787D"/>
    <w:rsid w:val="006F050E"/>
    <w:rsid w:val="006F2103"/>
    <w:rsid w:val="006F3260"/>
    <w:rsid w:val="006F5500"/>
    <w:rsid w:val="006F69FA"/>
    <w:rsid w:val="006F6E0A"/>
    <w:rsid w:val="006F707D"/>
    <w:rsid w:val="006F7DDE"/>
    <w:rsid w:val="007008D4"/>
    <w:rsid w:val="007017A1"/>
    <w:rsid w:val="007018D8"/>
    <w:rsid w:val="0070283E"/>
    <w:rsid w:val="0070656E"/>
    <w:rsid w:val="00707B28"/>
    <w:rsid w:val="00710CE3"/>
    <w:rsid w:val="00711A5A"/>
    <w:rsid w:val="00713014"/>
    <w:rsid w:val="00715DCC"/>
    <w:rsid w:val="00716AD0"/>
    <w:rsid w:val="007224E6"/>
    <w:rsid w:val="007225C7"/>
    <w:rsid w:val="00724B17"/>
    <w:rsid w:val="00725084"/>
    <w:rsid w:val="007251A8"/>
    <w:rsid w:val="00725C7B"/>
    <w:rsid w:val="00732861"/>
    <w:rsid w:val="00732BD2"/>
    <w:rsid w:val="00733956"/>
    <w:rsid w:val="00735893"/>
    <w:rsid w:val="00735A8F"/>
    <w:rsid w:val="00735FF4"/>
    <w:rsid w:val="00737DA8"/>
    <w:rsid w:val="007412F1"/>
    <w:rsid w:val="007417FA"/>
    <w:rsid w:val="00746127"/>
    <w:rsid w:val="00746580"/>
    <w:rsid w:val="0074778E"/>
    <w:rsid w:val="00747AF9"/>
    <w:rsid w:val="00750FED"/>
    <w:rsid w:val="00754F12"/>
    <w:rsid w:val="00755CC1"/>
    <w:rsid w:val="00756C59"/>
    <w:rsid w:val="00761664"/>
    <w:rsid w:val="00763B1F"/>
    <w:rsid w:val="0076404F"/>
    <w:rsid w:val="0076700F"/>
    <w:rsid w:val="007670E8"/>
    <w:rsid w:val="007678E2"/>
    <w:rsid w:val="00767C0D"/>
    <w:rsid w:val="007724BB"/>
    <w:rsid w:val="00773FF7"/>
    <w:rsid w:val="00774FDC"/>
    <w:rsid w:val="007778D6"/>
    <w:rsid w:val="00777E10"/>
    <w:rsid w:val="007805C1"/>
    <w:rsid w:val="00780DCE"/>
    <w:rsid w:val="00783642"/>
    <w:rsid w:val="007838A2"/>
    <w:rsid w:val="00787CA5"/>
    <w:rsid w:val="0079347A"/>
    <w:rsid w:val="00793775"/>
    <w:rsid w:val="0079379C"/>
    <w:rsid w:val="0079415C"/>
    <w:rsid w:val="00794CE4"/>
    <w:rsid w:val="007A0D8D"/>
    <w:rsid w:val="007A1448"/>
    <w:rsid w:val="007A3A40"/>
    <w:rsid w:val="007A3B06"/>
    <w:rsid w:val="007A566E"/>
    <w:rsid w:val="007A585B"/>
    <w:rsid w:val="007B2729"/>
    <w:rsid w:val="007B57CE"/>
    <w:rsid w:val="007B6DD3"/>
    <w:rsid w:val="007C1065"/>
    <w:rsid w:val="007C15A4"/>
    <w:rsid w:val="007C1A81"/>
    <w:rsid w:val="007C1CDD"/>
    <w:rsid w:val="007C4DB6"/>
    <w:rsid w:val="007C5F96"/>
    <w:rsid w:val="007D1BA4"/>
    <w:rsid w:val="007D4494"/>
    <w:rsid w:val="007D49E3"/>
    <w:rsid w:val="007D7285"/>
    <w:rsid w:val="007E1005"/>
    <w:rsid w:val="007E62C0"/>
    <w:rsid w:val="007E6DD4"/>
    <w:rsid w:val="007F0156"/>
    <w:rsid w:val="007F192A"/>
    <w:rsid w:val="007F653A"/>
    <w:rsid w:val="007F7E77"/>
    <w:rsid w:val="0080109B"/>
    <w:rsid w:val="00804AE5"/>
    <w:rsid w:val="00811470"/>
    <w:rsid w:val="008120D5"/>
    <w:rsid w:val="008127BE"/>
    <w:rsid w:val="00817B88"/>
    <w:rsid w:val="00820EF2"/>
    <w:rsid w:val="00821123"/>
    <w:rsid w:val="00822BC7"/>
    <w:rsid w:val="008235DF"/>
    <w:rsid w:val="00830954"/>
    <w:rsid w:val="00832EEA"/>
    <w:rsid w:val="008358E1"/>
    <w:rsid w:val="00836E3A"/>
    <w:rsid w:val="008406CE"/>
    <w:rsid w:val="0084450E"/>
    <w:rsid w:val="0084453B"/>
    <w:rsid w:val="00845ABF"/>
    <w:rsid w:val="0084698D"/>
    <w:rsid w:val="00847F65"/>
    <w:rsid w:val="0085281B"/>
    <w:rsid w:val="00852BCC"/>
    <w:rsid w:val="00860E00"/>
    <w:rsid w:val="00861676"/>
    <w:rsid w:val="00864A1B"/>
    <w:rsid w:val="0086683A"/>
    <w:rsid w:val="00866BC5"/>
    <w:rsid w:val="00867BC6"/>
    <w:rsid w:val="00870A2B"/>
    <w:rsid w:val="00872492"/>
    <w:rsid w:val="00872691"/>
    <w:rsid w:val="00874650"/>
    <w:rsid w:val="00876994"/>
    <w:rsid w:val="00880C85"/>
    <w:rsid w:val="008908C5"/>
    <w:rsid w:val="00890A89"/>
    <w:rsid w:val="00890CDB"/>
    <w:rsid w:val="00892A1E"/>
    <w:rsid w:val="00893DEE"/>
    <w:rsid w:val="00895CD3"/>
    <w:rsid w:val="008A044E"/>
    <w:rsid w:val="008A0CB9"/>
    <w:rsid w:val="008A5B19"/>
    <w:rsid w:val="008A69E6"/>
    <w:rsid w:val="008B2695"/>
    <w:rsid w:val="008B4DED"/>
    <w:rsid w:val="008B6756"/>
    <w:rsid w:val="008B77B2"/>
    <w:rsid w:val="008C1235"/>
    <w:rsid w:val="008C29C2"/>
    <w:rsid w:val="008C3A25"/>
    <w:rsid w:val="008C6EEF"/>
    <w:rsid w:val="008C7B4F"/>
    <w:rsid w:val="008D2984"/>
    <w:rsid w:val="008E063F"/>
    <w:rsid w:val="008E0AE6"/>
    <w:rsid w:val="008E1B3A"/>
    <w:rsid w:val="008E2E44"/>
    <w:rsid w:val="008E39CA"/>
    <w:rsid w:val="008F07FD"/>
    <w:rsid w:val="008F48FD"/>
    <w:rsid w:val="0090082B"/>
    <w:rsid w:val="009008E7"/>
    <w:rsid w:val="009040F3"/>
    <w:rsid w:val="00906E92"/>
    <w:rsid w:val="00907447"/>
    <w:rsid w:val="009100BD"/>
    <w:rsid w:val="009108C9"/>
    <w:rsid w:val="00912409"/>
    <w:rsid w:val="00914385"/>
    <w:rsid w:val="00917C99"/>
    <w:rsid w:val="00923905"/>
    <w:rsid w:val="009269D1"/>
    <w:rsid w:val="009319C4"/>
    <w:rsid w:val="00934BDA"/>
    <w:rsid w:val="0093564E"/>
    <w:rsid w:val="00935FA4"/>
    <w:rsid w:val="009379B9"/>
    <w:rsid w:val="00940154"/>
    <w:rsid w:val="00942CD1"/>
    <w:rsid w:val="009465EA"/>
    <w:rsid w:val="00946EA7"/>
    <w:rsid w:val="009537F8"/>
    <w:rsid w:val="0095380F"/>
    <w:rsid w:val="009560AF"/>
    <w:rsid w:val="00956614"/>
    <w:rsid w:val="00956A26"/>
    <w:rsid w:val="00957A11"/>
    <w:rsid w:val="00961FC0"/>
    <w:rsid w:val="0096359E"/>
    <w:rsid w:val="00965793"/>
    <w:rsid w:val="00966C61"/>
    <w:rsid w:val="00970F88"/>
    <w:rsid w:val="0097312A"/>
    <w:rsid w:val="0097339F"/>
    <w:rsid w:val="009741A9"/>
    <w:rsid w:val="00975683"/>
    <w:rsid w:val="00975D5C"/>
    <w:rsid w:val="009778EA"/>
    <w:rsid w:val="00977FC2"/>
    <w:rsid w:val="00983BCE"/>
    <w:rsid w:val="0098557B"/>
    <w:rsid w:val="00990E47"/>
    <w:rsid w:val="0099180B"/>
    <w:rsid w:val="0099569C"/>
    <w:rsid w:val="00995CCF"/>
    <w:rsid w:val="00995CED"/>
    <w:rsid w:val="00996458"/>
    <w:rsid w:val="009A2835"/>
    <w:rsid w:val="009A4D20"/>
    <w:rsid w:val="009B1B98"/>
    <w:rsid w:val="009B35C6"/>
    <w:rsid w:val="009B4273"/>
    <w:rsid w:val="009B441B"/>
    <w:rsid w:val="009B5B0F"/>
    <w:rsid w:val="009B74AD"/>
    <w:rsid w:val="009B79AA"/>
    <w:rsid w:val="009C0645"/>
    <w:rsid w:val="009C0CBF"/>
    <w:rsid w:val="009C27DA"/>
    <w:rsid w:val="009C595A"/>
    <w:rsid w:val="009C6348"/>
    <w:rsid w:val="009C71AF"/>
    <w:rsid w:val="009D1AB8"/>
    <w:rsid w:val="009D3C8A"/>
    <w:rsid w:val="009D763E"/>
    <w:rsid w:val="009E05A9"/>
    <w:rsid w:val="009E08EE"/>
    <w:rsid w:val="009E2796"/>
    <w:rsid w:val="009E4859"/>
    <w:rsid w:val="009F0C55"/>
    <w:rsid w:val="009F1163"/>
    <w:rsid w:val="009F1766"/>
    <w:rsid w:val="009F2385"/>
    <w:rsid w:val="009F4997"/>
    <w:rsid w:val="009F5044"/>
    <w:rsid w:val="009F65DE"/>
    <w:rsid w:val="00A00D5F"/>
    <w:rsid w:val="00A024A0"/>
    <w:rsid w:val="00A049D7"/>
    <w:rsid w:val="00A04F6B"/>
    <w:rsid w:val="00A060B6"/>
    <w:rsid w:val="00A06307"/>
    <w:rsid w:val="00A06756"/>
    <w:rsid w:val="00A10247"/>
    <w:rsid w:val="00A11B95"/>
    <w:rsid w:val="00A12019"/>
    <w:rsid w:val="00A13204"/>
    <w:rsid w:val="00A14EEF"/>
    <w:rsid w:val="00A15030"/>
    <w:rsid w:val="00A15636"/>
    <w:rsid w:val="00A20237"/>
    <w:rsid w:val="00A2169A"/>
    <w:rsid w:val="00A32599"/>
    <w:rsid w:val="00A32ED1"/>
    <w:rsid w:val="00A33776"/>
    <w:rsid w:val="00A353EC"/>
    <w:rsid w:val="00A36F08"/>
    <w:rsid w:val="00A40E2E"/>
    <w:rsid w:val="00A41DDD"/>
    <w:rsid w:val="00A43485"/>
    <w:rsid w:val="00A43D2C"/>
    <w:rsid w:val="00A450CB"/>
    <w:rsid w:val="00A45CB2"/>
    <w:rsid w:val="00A476B0"/>
    <w:rsid w:val="00A54441"/>
    <w:rsid w:val="00A56053"/>
    <w:rsid w:val="00A60938"/>
    <w:rsid w:val="00A611F6"/>
    <w:rsid w:val="00A6189B"/>
    <w:rsid w:val="00A67C2B"/>
    <w:rsid w:val="00A705BA"/>
    <w:rsid w:val="00A73738"/>
    <w:rsid w:val="00A80F30"/>
    <w:rsid w:val="00A854C3"/>
    <w:rsid w:val="00A86DE9"/>
    <w:rsid w:val="00A9031A"/>
    <w:rsid w:val="00A93D24"/>
    <w:rsid w:val="00A93FE8"/>
    <w:rsid w:val="00A94D86"/>
    <w:rsid w:val="00A9579B"/>
    <w:rsid w:val="00A957A3"/>
    <w:rsid w:val="00AA004B"/>
    <w:rsid w:val="00AA449F"/>
    <w:rsid w:val="00AA4B8C"/>
    <w:rsid w:val="00AA50FC"/>
    <w:rsid w:val="00AA60E9"/>
    <w:rsid w:val="00AA71D4"/>
    <w:rsid w:val="00AB046B"/>
    <w:rsid w:val="00AB225C"/>
    <w:rsid w:val="00AB3B64"/>
    <w:rsid w:val="00AC5B41"/>
    <w:rsid w:val="00AD6EDB"/>
    <w:rsid w:val="00AE214C"/>
    <w:rsid w:val="00AE3377"/>
    <w:rsid w:val="00AF1BB5"/>
    <w:rsid w:val="00AF1F01"/>
    <w:rsid w:val="00AF24AC"/>
    <w:rsid w:val="00AF4386"/>
    <w:rsid w:val="00AF4562"/>
    <w:rsid w:val="00AF7258"/>
    <w:rsid w:val="00B05884"/>
    <w:rsid w:val="00B05B26"/>
    <w:rsid w:val="00B07B86"/>
    <w:rsid w:val="00B102E9"/>
    <w:rsid w:val="00B11145"/>
    <w:rsid w:val="00B118AB"/>
    <w:rsid w:val="00B14125"/>
    <w:rsid w:val="00B14395"/>
    <w:rsid w:val="00B14A80"/>
    <w:rsid w:val="00B339C6"/>
    <w:rsid w:val="00B34693"/>
    <w:rsid w:val="00B3768D"/>
    <w:rsid w:val="00B4002E"/>
    <w:rsid w:val="00B4483B"/>
    <w:rsid w:val="00B44DB5"/>
    <w:rsid w:val="00B46A9A"/>
    <w:rsid w:val="00B477E2"/>
    <w:rsid w:val="00B54120"/>
    <w:rsid w:val="00B5532A"/>
    <w:rsid w:val="00B5670A"/>
    <w:rsid w:val="00B5776E"/>
    <w:rsid w:val="00B61F4C"/>
    <w:rsid w:val="00B6337C"/>
    <w:rsid w:val="00B63A97"/>
    <w:rsid w:val="00B65775"/>
    <w:rsid w:val="00B66E85"/>
    <w:rsid w:val="00B70AB4"/>
    <w:rsid w:val="00B72AA0"/>
    <w:rsid w:val="00B72FC0"/>
    <w:rsid w:val="00B72FCE"/>
    <w:rsid w:val="00B75455"/>
    <w:rsid w:val="00B81691"/>
    <w:rsid w:val="00B81FD9"/>
    <w:rsid w:val="00B87599"/>
    <w:rsid w:val="00B91666"/>
    <w:rsid w:val="00B9340F"/>
    <w:rsid w:val="00B93802"/>
    <w:rsid w:val="00B968AE"/>
    <w:rsid w:val="00B97118"/>
    <w:rsid w:val="00BA3140"/>
    <w:rsid w:val="00BA4B78"/>
    <w:rsid w:val="00BA6224"/>
    <w:rsid w:val="00BA6B3E"/>
    <w:rsid w:val="00BB1C95"/>
    <w:rsid w:val="00BB2B59"/>
    <w:rsid w:val="00BB3D5C"/>
    <w:rsid w:val="00BB5206"/>
    <w:rsid w:val="00BB628D"/>
    <w:rsid w:val="00BB795C"/>
    <w:rsid w:val="00BC4456"/>
    <w:rsid w:val="00BC4A9E"/>
    <w:rsid w:val="00BC676A"/>
    <w:rsid w:val="00BE08F9"/>
    <w:rsid w:val="00BE1787"/>
    <w:rsid w:val="00BE1BCB"/>
    <w:rsid w:val="00BE2CB4"/>
    <w:rsid w:val="00BE48FB"/>
    <w:rsid w:val="00BE6132"/>
    <w:rsid w:val="00BE7D95"/>
    <w:rsid w:val="00BF0234"/>
    <w:rsid w:val="00BF3131"/>
    <w:rsid w:val="00C0074B"/>
    <w:rsid w:val="00C013DF"/>
    <w:rsid w:val="00C02236"/>
    <w:rsid w:val="00C056CB"/>
    <w:rsid w:val="00C12464"/>
    <w:rsid w:val="00C13D44"/>
    <w:rsid w:val="00C16948"/>
    <w:rsid w:val="00C2044B"/>
    <w:rsid w:val="00C2179C"/>
    <w:rsid w:val="00C21EB5"/>
    <w:rsid w:val="00C22D36"/>
    <w:rsid w:val="00C25A86"/>
    <w:rsid w:val="00C30E7D"/>
    <w:rsid w:val="00C322AB"/>
    <w:rsid w:val="00C34F8B"/>
    <w:rsid w:val="00C372D7"/>
    <w:rsid w:val="00C378A4"/>
    <w:rsid w:val="00C433B4"/>
    <w:rsid w:val="00C44103"/>
    <w:rsid w:val="00C44EE3"/>
    <w:rsid w:val="00C5103D"/>
    <w:rsid w:val="00C54E55"/>
    <w:rsid w:val="00C576DB"/>
    <w:rsid w:val="00C6254B"/>
    <w:rsid w:val="00C62BD5"/>
    <w:rsid w:val="00C63C1F"/>
    <w:rsid w:val="00C73151"/>
    <w:rsid w:val="00C737B0"/>
    <w:rsid w:val="00C73892"/>
    <w:rsid w:val="00C74D77"/>
    <w:rsid w:val="00C74E0B"/>
    <w:rsid w:val="00C77885"/>
    <w:rsid w:val="00C77BB3"/>
    <w:rsid w:val="00C80414"/>
    <w:rsid w:val="00C810FB"/>
    <w:rsid w:val="00C85C52"/>
    <w:rsid w:val="00C86008"/>
    <w:rsid w:val="00C9081B"/>
    <w:rsid w:val="00C90DB0"/>
    <w:rsid w:val="00C910E5"/>
    <w:rsid w:val="00C91D66"/>
    <w:rsid w:val="00C92F06"/>
    <w:rsid w:val="00C937AD"/>
    <w:rsid w:val="00C937C7"/>
    <w:rsid w:val="00CA22F9"/>
    <w:rsid w:val="00CA2994"/>
    <w:rsid w:val="00CA3513"/>
    <w:rsid w:val="00CA3FD2"/>
    <w:rsid w:val="00CA5E13"/>
    <w:rsid w:val="00CA6C13"/>
    <w:rsid w:val="00CA7798"/>
    <w:rsid w:val="00CB03E7"/>
    <w:rsid w:val="00CB1DCA"/>
    <w:rsid w:val="00CB23F1"/>
    <w:rsid w:val="00CB3D64"/>
    <w:rsid w:val="00CB7321"/>
    <w:rsid w:val="00CB7BC9"/>
    <w:rsid w:val="00CB7CD5"/>
    <w:rsid w:val="00CC0AD8"/>
    <w:rsid w:val="00CC2904"/>
    <w:rsid w:val="00CC4EF7"/>
    <w:rsid w:val="00CC75E9"/>
    <w:rsid w:val="00CD2EA3"/>
    <w:rsid w:val="00CD3CC8"/>
    <w:rsid w:val="00CD48FB"/>
    <w:rsid w:val="00CD4981"/>
    <w:rsid w:val="00CD6502"/>
    <w:rsid w:val="00CD69BA"/>
    <w:rsid w:val="00CE550B"/>
    <w:rsid w:val="00CE55F5"/>
    <w:rsid w:val="00CE6A2D"/>
    <w:rsid w:val="00CF0DEC"/>
    <w:rsid w:val="00CF0E19"/>
    <w:rsid w:val="00CF2A4B"/>
    <w:rsid w:val="00CF3825"/>
    <w:rsid w:val="00CF7705"/>
    <w:rsid w:val="00D00796"/>
    <w:rsid w:val="00D02BED"/>
    <w:rsid w:val="00D02DBE"/>
    <w:rsid w:val="00D043DA"/>
    <w:rsid w:val="00D046A3"/>
    <w:rsid w:val="00D05078"/>
    <w:rsid w:val="00D070E9"/>
    <w:rsid w:val="00D078A1"/>
    <w:rsid w:val="00D1083E"/>
    <w:rsid w:val="00D148AD"/>
    <w:rsid w:val="00D254A6"/>
    <w:rsid w:val="00D30B43"/>
    <w:rsid w:val="00D310E6"/>
    <w:rsid w:val="00D359E5"/>
    <w:rsid w:val="00D35F15"/>
    <w:rsid w:val="00D37680"/>
    <w:rsid w:val="00D441E0"/>
    <w:rsid w:val="00D46318"/>
    <w:rsid w:val="00D509A1"/>
    <w:rsid w:val="00D52972"/>
    <w:rsid w:val="00D52DE7"/>
    <w:rsid w:val="00D532BC"/>
    <w:rsid w:val="00D55339"/>
    <w:rsid w:val="00D578F2"/>
    <w:rsid w:val="00D6075F"/>
    <w:rsid w:val="00D607EA"/>
    <w:rsid w:val="00D61D18"/>
    <w:rsid w:val="00D638B3"/>
    <w:rsid w:val="00D65BDE"/>
    <w:rsid w:val="00D72203"/>
    <w:rsid w:val="00D7378E"/>
    <w:rsid w:val="00D740CE"/>
    <w:rsid w:val="00D7502C"/>
    <w:rsid w:val="00D75828"/>
    <w:rsid w:val="00D76BC7"/>
    <w:rsid w:val="00D80E4B"/>
    <w:rsid w:val="00D82C2C"/>
    <w:rsid w:val="00D8449A"/>
    <w:rsid w:val="00D87CBA"/>
    <w:rsid w:val="00D93A4A"/>
    <w:rsid w:val="00D9588B"/>
    <w:rsid w:val="00D96A3F"/>
    <w:rsid w:val="00DA58A0"/>
    <w:rsid w:val="00DA5C6F"/>
    <w:rsid w:val="00DA751A"/>
    <w:rsid w:val="00DB0D84"/>
    <w:rsid w:val="00DB0EA2"/>
    <w:rsid w:val="00DB45FE"/>
    <w:rsid w:val="00DC2231"/>
    <w:rsid w:val="00DC2298"/>
    <w:rsid w:val="00DC22BB"/>
    <w:rsid w:val="00DC4825"/>
    <w:rsid w:val="00DC6DD1"/>
    <w:rsid w:val="00DD2C81"/>
    <w:rsid w:val="00DD5DC0"/>
    <w:rsid w:val="00DD67E6"/>
    <w:rsid w:val="00DE043E"/>
    <w:rsid w:val="00DE16A4"/>
    <w:rsid w:val="00DE24AE"/>
    <w:rsid w:val="00DE27A6"/>
    <w:rsid w:val="00DF0114"/>
    <w:rsid w:val="00DF15E2"/>
    <w:rsid w:val="00DF1BD7"/>
    <w:rsid w:val="00DF1C67"/>
    <w:rsid w:val="00DF244F"/>
    <w:rsid w:val="00DF590D"/>
    <w:rsid w:val="00E02B7E"/>
    <w:rsid w:val="00E0445E"/>
    <w:rsid w:val="00E07D10"/>
    <w:rsid w:val="00E14852"/>
    <w:rsid w:val="00E152D7"/>
    <w:rsid w:val="00E1658D"/>
    <w:rsid w:val="00E176C8"/>
    <w:rsid w:val="00E20493"/>
    <w:rsid w:val="00E20950"/>
    <w:rsid w:val="00E21431"/>
    <w:rsid w:val="00E21E24"/>
    <w:rsid w:val="00E222AD"/>
    <w:rsid w:val="00E2297F"/>
    <w:rsid w:val="00E24135"/>
    <w:rsid w:val="00E26D04"/>
    <w:rsid w:val="00E31536"/>
    <w:rsid w:val="00E3223E"/>
    <w:rsid w:val="00E34D94"/>
    <w:rsid w:val="00E3609C"/>
    <w:rsid w:val="00E40263"/>
    <w:rsid w:val="00E41773"/>
    <w:rsid w:val="00E41A23"/>
    <w:rsid w:val="00E42579"/>
    <w:rsid w:val="00E4360E"/>
    <w:rsid w:val="00E449E2"/>
    <w:rsid w:val="00E44C86"/>
    <w:rsid w:val="00E45AF6"/>
    <w:rsid w:val="00E504B1"/>
    <w:rsid w:val="00E51E59"/>
    <w:rsid w:val="00E52C73"/>
    <w:rsid w:val="00E53F60"/>
    <w:rsid w:val="00E56A35"/>
    <w:rsid w:val="00E61E43"/>
    <w:rsid w:val="00E62E87"/>
    <w:rsid w:val="00E6649F"/>
    <w:rsid w:val="00E719BA"/>
    <w:rsid w:val="00E71FAA"/>
    <w:rsid w:val="00E75535"/>
    <w:rsid w:val="00E76515"/>
    <w:rsid w:val="00E77712"/>
    <w:rsid w:val="00E82226"/>
    <w:rsid w:val="00E84C40"/>
    <w:rsid w:val="00E86C21"/>
    <w:rsid w:val="00E90AF3"/>
    <w:rsid w:val="00E910B9"/>
    <w:rsid w:val="00E91E64"/>
    <w:rsid w:val="00E93690"/>
    <w:rsid w:val="00E9425F"/>
    <w:rsid w:val="00E95987"/>
    <w:rsid w:val="00EA0DB6"/>
    <w:rsid w:val="00EA2BF0"/>
    <w:rsid w:val="00EA3811"/>
    <w:rsid w:val="00EA3873"/>
    <w:rsid w:val="00EA406C"/>
    <w:rsid w:val="00EA47B9"/>
    <w:rsid w:val="00EA4AA6"/>
    <w:rsid w:val="00EA76AB"/>
    <w:rsid w:val="00EB0AB7"/>
    <w:rsid w:val="00EB0D4F"/>
    <w:rsid w:val="00EB2C44"/>
    <w:rsid w:val="00EB3D6D"/>
    <w:rsid w:val="00EB457D"/>
    <w:rsid w:val="00EB661B"/>
    <w:rsid w:val="00EB7677"/>
    <w:rsid w:val="00EC0E4F"/>
    <w:rsid w:val="00EC1977"/>
    <w:rsid w:val="00EC1B8A"/>
    <w:rsid w:val="00EC443F"/>
    <w:rsid w:val="00EC68B8"/>
    <w:rsid w:val="00ED15BA"/>
    <w:rsid w:val="00ED1D8A"/>
    <w:rsid w:val="00ED21A3"/>
    <w:rsid w:val="00ED241A"/>
    <w:rsid w:val="00ED5FFC"/>
    <w:rsid w:val="00ED6FA6"/>
    <w:rsid w:val="00EE07CE"/>
    <w:rsid w:val="00EE0EBC"/>
    <w:rsid w:val="00EE1B22"/>
    <w:rsid w:val="00EE3CD9"/>
    <w:rsid w:val="00EE5202"/>
    <w:rsid w:val="00EE63F6"/>
    <w:rsid w:val="00EE6591"/>
    <w:rsid w:val="00EF0085"/>
    <w:rsid w:val="00EF0485"/>
    <w:rsid w:val="00EF2AF3"/>
    <w:rsid w:val="00EF4936"/>
    <w:rsid w:val="00EF6216"/>
    <w:rsid w:val="00EF7BE8"/>
    <w:rsid w:val="00F02008"/>
    <w:rsid w:val="00F03729"/>
    <w:rsid w:val="00F04365"/>
    <w:rsid w:val="00F052E9"/>
    <w:rsid w:val="00F057DE"/>
    <w:rsid w:val="00F06444"/>
    <w:rsid w:val="00F109FA"/>
    <w:rsid w:val="00F12495"/>
    <w:rsid w:val="00F12C64"/>
    <w:rsid w:val="00F134C6"/>
    <w:rsid w:val="00F151AE"/>
    <w:rsid w:val="00F1549A"/>
    <w:rsid w:val="00F20EC5"/>
    <w:rsid w:val="00F22D87"/>
    <w:rsid w:val="00F24AF8"/>
    <w:rsid w:val="00F24FC4"/>
    <w:rsid w:val="00F30090"/>
    <w:rsid w:val="00F30880"/>
    <w:rsid w:val="00F3145B"/>
    <w:rsid w:val="00F34DBF"/>
    <w:rsid w:val="00F36D91"/>
    <w:rsid w:val="00F36E62"/>
    <w:rsid w:val="00F37DBA"/>
    <w:rsid w:val="00F41258"/>
    <w:rsid w:val="00F417F7"/>
    <w:rsid w:val="00F42B82"/>
    <w:rsid w:val="00F42E4D"/>
    <w:rsid w:val="00F44933"/>
    <w:rsid w:val="00F45D66"/>
    <w:rsid w:val="00F507C3"/>
    <w:rsid w:val="00F5193A"/>
    <w:rsid w:val="00F519DA"/>
    <w:rsid w:val="00F53516"/>
    <w:rsid w:val="00F60C26"/>
    <w:rsid w:val="00F62CFD"/>
    <w:rsid w:val="00F63466"/>
    <w:rsid w:val="00F664D4"/>
    <w:rsid w:val="00F70943"/>
    <w:rsid w:val="00F72F4D"/>
    <w:rsid w:val="00F73F41"/>
    <w:rsid w:val="00F75DC7"/>
    <w:rsid w:val="00F81225"/>
    <w:rsid w:val="00F84698"/>
    <w:rsid w:val="00F85EC8"/>
    <w:rsid w:val="00F9072B"/>
    <w:rsid w:val="00F91366"/>
    <w:rsid w:val="00F94DF4"/>
    <w:rsid w:val="00F9600C"/>
    <w:rsid w:val="00F97338"/>
    <w:rsid w:val="00FA051B"/>
    <w:rsid w:val="00FA18E2"/>
    <w:rsid w:val="00FA1D70"/>
    <w:rsid w:val="00FA2F58"/>
    <w:rsid w:val="00FA38BA"/>
    <w:rsid w:val="00FA59AE"/>
    <w:rsid w:val="00FA6A50"/>
    <w:rsid w:val="00FA6F12"/>
    <w:rsid w:val="00FB0D43"/>
    <w:rsid w:val="00FB207F"/>
    <w:rsid w:val="00FB37AB"/>
    <w:rsid w:val="00FB4B63"/>
    <w:rsid w:val="00FB5A31"/>
    <w:rsid w:val="00FB5AC1"/>
    <w:rsid w:val="00FB6857"/>
    <w:rsid w:val="00FC04FC"/>
    <w:rsid w:val="00FC0EAA"/>
    <w:rsid w:val="00FC3873"/>
    <w:rsid w:val="00FC408B"/>
    <w:rsid w:val="00FC6F58"/>
    <w:rsid w:val="00FC7082"/>
    <w:rsid w:val="00FC78A0"/>
    <w:rsid w:val="00FD02B3"/>
    <w:rsid w:val="00FD162D"/>
    <w:rsid w:val="00FD1688"/>
    <w:rsid w:val="00FD24E8"/>
    <w:rsid w:val="00FD31D4"/>
    <w:rsid w:val="00FD4F77"/>
    <w:rsid w:val="00FE17FD"/>
    <w:rsid w:val="00FE28DD"/>
    <w:rsid w:val="00FE40A2"/>
    <w:rsid w:val="00FF63D7"/>
    <w:rsid w:val="00FF7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98849"/>
  <w15:chartTrackingRefBased/>
  <w15:docId w15:val="{5175E1D3-DA11-428C-B29C-1D61E8D9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2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2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BCC"/>
    <w:rPr>
      <w:rFonts w:eastAsiaTheme="majorEastAsia" w:cstheme="majorBidi"/>
      <w:color w:val="272727" w:themeColor="text1" w:themeTint="D8"/>
    </w:rPr>
  </w:style>
  <w:style w:type="paragraph" w:styleId="Title">
    <w:name w:val="Title"/>
    <w:basedOn w:val="Normal"/>
    <w:next w:val="Normal"/>
    <w:link w:val="TitleChar"/>
    <w:uiPriority w:val="10"/>
    <w:qFormat/>
    <w:rsid w:val="00852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BCC"/>
    <w:pPr>
      <w:spacing w:before="160"/>
      <w:jc w:val="center"/>
    </w:pPr>
    <w:rPr>
      <w:i/>
      <w:iCs/>
      <w:color w:val="404040" w:themeColor="text1" w:themeTint="BF"/>
    </w:rPr>
  </w:style>
  <w:style w:type="character" w:customStyle="1" w:styleId="QuoteChar">
    <w:name w:val="Quote Char"/>
    <w:basedOn w:val="DefaultParagraphFont"/>
    <w:link w:val="Quote"/>
    <w:uiPriority w:val="29"/>
    <w:rsid w:val="00852BCC"/>
    <w:rPr>
      <w:i/>
      <w:iCs/>
      <w:color w:val="404040" w:themeColor="text1" w:themeTint="BF"/>
    </w:rPr>
  </w:style>
  <w:style w:type="paragraph" w:styleId="ListParagraph">
    <w:name w:val="List Paragraph"/>
    <w:basedOn w:val="Normal"/>
    <w:uiPriority w:val="34"/>
    <w:qFormat/>
    <w:rsid w:val="00852BCC"/>
    <w:pPr>
      <w:ind w:left="720"/>
      <w:contextualSpacing/>
    </w:pPr>
  </w:style>
  <w:style w:type="character" w:styleId="IntenseEmphasis">
    <w:name w:val="Intense Emphasis"/>
    <w:basedOn w:val="DefaultParagraphFont"/>
    <w:uiPriority w:val="21"/>
    <w:qFormat/>
    <w:rsid w:val="00852BCC"/>
    <w:rPr>
      <w:i/>
      <w:iCs/>
      <w:color w:val="0F4761" w:themeColor="accent1" w:themeShade="BF"/>
    </w:rPr>
  </w:style>
  <w:style w:type="paragraph" w:styleId="IntenseQuote">
    <w:name w:val="Intense Quote"/>
    <w:basedOn w:val="Normal"/>
    <w:next w:val="Normal"/>
    <w:link w:val="IntenseQuoteChar"/>
    <w:uiPriority w:val="30"/>
    <w:qFormat/>
    <w:rsid w:val="00852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BCC"/>
    <w:rPr>
      <w:i/>
      <w:iCs/>
      <w:color w:val="0F4761" w:themeColor="accent1" w:themeShade="BF"/>
    </w:rPr>
  </w:style>
  <w:style w:type="character" w:styleId="IntenseReference">
    <w:name w:val="Intense Reference"/>
    <w:basedOn w:val="DefaultParagraphFont"/>
    <w:uiPriority w:val="32"/>
    <w:qFormat/>
    <w:rsid w:val="00852BCC"/>
    <w:rPr>
      <w:b/>
      <w:bCs/>
      <w:smallCaps/>
      <w:color w:val="0F4761" w:themeColor="accent1" w:themeShade="BF"/>
      <w:spacing w:val="5"/>
    </w:rPr>
  </w:style>
  <w:style w:type="character" w:customStyle="1" w:styleId="s1">
    <w:name w:val="s1"/>
    <w:basedOn w:val="DefaultParagraphFont"/>
    <w:rsid w:val="00852BCC"/>
  </w:style>
  <w:style w:type="paragraph" w:customStyle="1" w:styleId="p2">
    <w:name w:val="p2"/>
    <w:basedOn w:val="Normal"/>
    <w:rsid w:val="00852BCC"/>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852BC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778EA"/>
  </w:style>
  <w:style w:type="character" w:styleId="Hyperlink">
    <w:name w:val="Hyperlink"/>
    <w:basedOn w:val="DefaultParagraphFont"/>
    <w:uiPriority w:val="99"/>
    <w:unhideWhenUsed/>
    <w:rsid w:val="009778EA"/>
    <w:rPr>
      <w:color w:val="0000FF"/>
      <w:u w:val="single"/>
    </w:rPr>
  </w:style>
  <w:style w:type="paragraph" w:styleId="Header">
    <w:name w:val="header"/>
    <w:basedOn w:val="Normal"/>
    <w:link w:val="HeaderChar"/>
    <w:uiPriority w:val="99"/>
    <w:unhideWhenUsed/>
    <w:rsid w:val="001C4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3D9"/>
  </w:style>
  <w:style w:type="paragraph" w:styleId="Footer">
    <w:name w:val="footer"/>
    <w:basedOn w:val="Normal"/>
    <w:link w:val="FooterChar"/>
    <w:uiPriority w:val="99"/>
    <w:unhideWhenUsed/>
    <w:rsid w:val="001C4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3D9"/>
  </w:style>
  <w:style w:type="paragraph" w:customStyle="1" w:styleId="p1">
    <w:name w:val="p1"/>
    <w:basedOn w:val="Normal"/>
    <w:rsid w:val="005D52A6"/>
    <w:pPr>
      <w:spacing w:before="100" w:beforeAutospacing="1" w:after="100" w:afterAutospacing="1" w:line="240" w:lineRule="auto"/>
    </w:pPr>
    <w:rPr>
      <w:rFonts w:ascii="Times New Roman" w:hAnsi="Times New Roman" w:cs="Times New Roman"/>
      <w:kern w:val="0"/>
      <w14:ligatures w14:val="none"/>
    </w:rPr>
  </w:style>
  <w:style w:type="character" w:styleId="UnresolvedMention">
    <w:name w:val="Unresolved Mention"/>
    <w:basedOn w:val="DefaultParagraphFont"/>
    <w:uiPriority w:val="99"/>
    <w:semiHidden/>
    <w:unhideWhenUsed/>
    <w:rsid w:val="000F13CE"/>
    <w:rPr>
      <w:color w:val="605E5C"/>
      <w:shd w:val="clear" w:color="auto" w:fill="E1DFDD"/>
    </w:rPr>
  </w:style>
  <w:style w:type="table" w:styleId="TableGrid">
    <w:name w:val="Table Grid"/>
    <w:basedOn w:val="TableNormal"/>
    <w:uiPriority w:val="39"/>
    <w:rsid w:val="006A5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E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0612">
      <w:bodyDiv w:val="1"/>
      <w:marLeft w:val="0"/>
      <w:marRight w:val="0"/>
      <w:marTop w:val="0"/>
      <w:marBottom w:val="0"/>
      <w:divBdr>
        <w:top w:val="none" w:sz="0" w:space="0" w:color="auto"/>
        <w:left w:val="none" w:sz="0" w:space="0" w:color="auto"/>
        <w:bottom w:val="none" w:sz="0" w:space="0" w:color="auto"/>
        <w:right w:val="none" w:sz="0" w:space="0" w:color="auto"/>
      </w:divBdr>
    </w:div>
    <w:div w:id="194469034">
      <w:marLeft w:val="0"/>
      <w:marRight w:val="0"/>
      <w:marTop w:val="0"/>
      <w:marBottom w:val="0"/>
      <w:divBdr>
        <w:top w:val="none" w:sz="0" w:space="0" w:color="auto"/>
        <w:left w:val="none" w:sz="0" w:space="0" w:color="auto"/>
        <w:bottom w:val="none" w:sz="0" w:space="0" w:color="auto"/>
        <w:right w:val="none" w:sz="0" w:space="0" w:color="auto"/>
      </w:divBdr>
      <w:divsChild>
        <w:div w:id="571156423">
          <w:marLeft w:val="0"/>
          <w:marRight w:val="0"/>
          <w:marTop w:val="0"/>
          <w:marBottom w:val="0"/>
          <w:divBdr>
            <w:top w:val="none" w:sz="0" w:space="0" w:color="auto"/>
            <w:left w:val="none" w:sz="0" w:space="0" w:color="auto"/>
            <w:bottom w:val="none" w:sz="0" w:space="0" w:color="auto"/>
            <w:right w:val="none" w:sz="0" w:space="0" w:color="auto"/>
          </w:divBdr>
        </w:div>
      </w:divsChild>
    </w:div>
    <w:div w:id="396900198">
      <w:bodyDiv w:val="1"/>
      <w:marLeft w:val="0"/>
      <w:marRight w:val="0"/>
      <w:marTop w:val="0"/>
      <w:marBottom w:val="0"/>
      <w:divBdr>
        <w:top w:val="none" w:sz="0" w:space="0" w:color="auto"/>
        <w:left w:val="none" w:sz="0" w:space="0" w:color="auto"/>
        <w:bottom w:val="none" w:sz="0" w:space="0" w:color="auto"/>
        <w:right w:val="none" w:sz="0" w:space="0" w:color="auto"/>
      </w:divBdr>
    </w:div>
    <w:div w:id="421222130">
      <w:marLeft w:val="0"/>
      <w:marRight w:val="0"/>
      <w:marTop w:val="0"/>
      <w:marBottom w:val="0"/>
      <w:divBdr>
        <w:top w:val="none" w:sz="0" w:space="0" w:color="auto"/>
        <w:left w:val="none" w:sz="0" w:space="0" w:color="auto"/>
        <w:bottom w:val="none" w:sz="0" w:space="0" w:color="auto"/>
        <w:right w:val="none" w:sz="0" w:space="0" w:color="auto"/>
      </w:divBdr>
    </w:div>
    <w:div w:id="528838485">
      <w:bodyDiv w:val="1"/>
      <w:marLeft w:val="0"/>
      <w:marRight w:val="0"/>
      <w:marTop w:val="0"/>
      <w:marBottom w:val="0"/>
      <w:divBdr>
        <w:top w:val="none" w:sz="0" w:space="0" w:color="auto"/>
        <w:left w:val="none" w:sz="0" w:space="0" w:color="auto"/>
        <w:bottom w:val="none" w:sz="0" w:space="0" w:color="auto"/>
        <w:right w:val="none" w:sz="0" w:space="0" w:color="auto"/>
      </w:divBdr>
      <w:divsChild>
        <w:div w:id="1218514819">
          <w:marLeft w:val="0"/>
          <w:marRight w:val="0"/>
          <w:marTop w:val="0"/>
          <w:marBottom w:val="0"/>
          <w:divBdr>
            <w:top w:val="none" w:sz="0" w:space="0" w:color="auto"/>
            <w:left w:val="none" w:sz="0" w:space="0" w:color="auto"/>
            <w:bottom w:val="none" w:sz="0" w:space="0" w:color="auto"/>
            <w:right w:val="none" w:sz="0" w:space="0" w:color="auto"/>
          </w:divBdr>
        </w:div>
        <w:div w:id="1766489967">
          <w:marLeft w:val="0"/>
          <w:marRight w:val="0"/>
          <w:marTop w:val="0"/>
          <w:marBottom w:val="0"/>
          <w:divBdr>
            <w:top w:val="none" w:sz="0" w:space="0" w:color="auto"/>
            <w:left w:val="none" w:sz="0" w:space="0" w:color="auto"/>
            <w:bottom w:val="none" w:sz="0" w:space="0" w:color="auto"/>
            <w:right w:val="none" w:sz="0" w:space="0" w:color="auto"/>
          </w:divBdr>
          <w:divsChild>
            <w:div w:id="11104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7626">
      <w:bodyDiv w:val="1"/>
      <w:marLeft w:val="0"/>
      <w:marRight w:val="0"/>
      <w:marTop w:val="0"/>
      <w:marBottom w:val="0"/>
      <w:divBdr>
        <w:top w:val="none" w:sz="0" w:space="0" w:color="auto"/>
        <w:left w:val="none" w:sz="0" w:space="0" w:color="auto"/>
        <w:bottom w:val="none" w:sz="0" w:space="0" w:color="auto"/>
        <w:right w:val="none" w:sz="0" w:space="0" w:color="auto"/>
      </w:divBdr>
    </w:div>
    <w:div w:id="773284977">
      <w:bodyDiv w:val="1"/>
      <w:marLeft w:val="0"/>
      <w:marRight w:val="0"/>
      <w:marTop w:val="0"/>
      <w:marBottom w:val="0"/>
      <w:divBdr>
        <w:top w:val="none" w:sz="0" w:space="0" w:color="auto"/>
        <w:left w:val="none" w:sz="0" w:space="0" w:color="auto"/>
        <w:bottom w:val="none" w:sz="0" w:space="0" w:color="auto"/>
        <w:right w:val="none" w:sz="0" w:space="0" w:color="auto"/>
      </w:divBdr>
    </w:div>
    <w:div w:id="799691672">
      <w:bodyDiv w:val="1"/>
      <w:marLeft w:val="0"/>
      <w:marRight w:val="0"/>
      <w:marTop w:val="0"/>
      <w:marBottom w:val="0"/>
      <w:divBdr>
        <w:top w:val="none" w:sz="0" w:space="0" w:color="auto"/>
        <w:left w:val="none" w:sz="0" w:space="0" w:color="auto"/>
        <w:bottom w:val="none" w:sz="0" w:space="0" w:color="auto"/>
        <w:right w:val="none" w:sz="0" w:space="0" w:color="auto"/>
      </w:divBdr>
    </w:div>
    <w:div w:id="832725228">
      <w:marLeft w:val="0"/>
      <w:marRight w:val="0"/>
      <w:marTop w:val="0"/>
      <w:marBottom w:val="0"/>
      <w:divBdr>
        <w:top w:val="none" w:sz="0" w:space="0" w:color="auto"/>
        <w:left w:val="none" w:sz="0" w:space="0" w:color="auto"/>
        <w:bottom w:val="none" w:sz="0" w:space="0" w:color="auto"/>
        <w:right w:val="none" w:sz="0" w:space="0" w:color="auto"/>
      </w:divBdr>
    </w:div>
    <w:div w:id="930545968">
      <w:bodyDiv w:val="1"/>
      <w:marLeft w:val="0"/>
      <w:marRight w:val="0"/>
      <w:marTop w:val="0"/>
      <w:marBottom w:val="0"/>
      <w:divBdr>
        <w:top w:val="none" w:sz="0" w:space="0" w:color="auto"/>
        <w:left w:val="none" w:sz="0" w:space="0" w:color="auto"/>
        <w:bottom w:val="none" w:sz="0" w:space="0" w:color="auto"/>
        <w:right w:val="none" w:sz="0" w:space="0" w:color="auto"/>
      </w:divBdr>
    </w:div>
    <w:div w:id="1097025092">
      <w:bodyDiv w:val="1"/>
      <w:marLeft w:val="0"/>
      <w:marRight w:val="0"/>
      <w:marTop w:val="0"/>
      <w:marBottom w:val="0"/>
      <w:divBdr>
        <w:top w:val="none" w:sz="0" w:space="0" w:color="auto"/>
        <w:left w:val="none" w:sz="0" w:space="0" w:color="auto"/>
        <w:bottom w:val="none" w:sz="0" w:space="0" w:color="auto"/>
        <w:right w:val="none" w:sz="0" w:space="0" w:color="auto"/>
      </w:divBdr>
    </w:div>
    <w:div w:id="1376270312">
      <w:bodyDiv w:val="1"/>
      <w:marLeft w:val="0"/>
      <w:marRight w:val="0"/>
      <w:marTop w:val="0"/>
      <w:marBottom w:val="0"/>
      <w:divBdr>
        <w:top w:val="none" w:sz="0" w:space="0" w:color="auto"/>
        <w:left w:val="none" w:sz="0" w:space="0" w:color="auto"/>
        <w:bottom w:val="none" w:sz="0" w:space="0" w:color="auto"/>
        <w:right w:val="none" w:sz="0" w:space="0" w:color="auto"/>
      </w:divBdr>
      <w:divsChild>
        <w:div w:id="1149126089">
          <w:marLeft w:val="0"/>
          <w:marRight w:val="0"/>
          <w:marTop w:val="0"/>
          <w:marBottom w:val="0"/>
          <w:divBdr>
            <w:top w:val="none" w:sz="0" w:space="0" w:color="auto"/>
            <w:left w:val="none" w:sz="0" w:space="0" w:color="auto"/>
            <w:bottom w:val="none" w:sz="0" w:space="0" w:color="auto"/>
            <w:right w:val="none" w:sz="0" w:space="0" w:color="auto"/>
          </w:divBdr>
        </w:div>
      </w:divsChild>
    </w:div>
    <w:div w:id="1421607329">
      <w:marLeft w:val="0"/>
      <w:marRight w:val="0"/>
      <w:marTop w:val="0"/>
      <w:marBottom w:val="0"/>
      <w:divBdr>
        <w:top w:val="none" w:sz="0" w:space="0" w:color="auto"/>
        <w:left w:val="none" w:sz="0" w:space="0" w:color="auto"/>
        <w:bottom w:val="none" w:sz="0" w:space="0" w:color="auto"/>
        <w:right w:val="none" w:sz="0" w:space="0" w:color="auto"/>
      </w:divBdr>
      <w:divsChild>
        <w:div w:id="114371166">
          <w:marLeft w:val="0"/>
          <w:marRight w:val="0"/>
          <w:marTop w:val="0"/>
          <w:marBottom w:val="0"/>
          <w:divBdr>
            <w:top w:val="none" w:sz="0" w:space="0" w:color="auto"/>
            <w:left w:val="none" w:sz="0" w:space="0" w:color="auto"/>
            <w:bottom w:val="none" w:sz="0" w:space="0" w:color="auto"/>
            <w:right w:val="none" w:sz="0" w:space="0" w:color="auto"/>
          </w:divBdr>
        </w:div>
        <w:div w:id="980961372">
          <w:marLeft w:val="0"/>
          <w:marRight w:val="0"/>
          <w:marTop w:val="0"/>
          <w:marBottom w:val="0"/>
          <w:divBdr>
            <w:top w:val="none" w:sz="0" w:space="0" w:color="auto"/>
            <w:left w:val="none" w:sz="0" w:space="0" w:color="auto"/>
            <w:bottom w:val="none" w:sz="0" w:space="0" w:color="auto"/>
            <w:right w:val="none" w:sz="0" w:space="0" w:color="auto"/>
          </w:divBdr>
        </w:div>
      </w:divsChild>
    </w:div>
    <w:div w:id="1517118420">
      <w:bodyDiv w:val="1"/>
      <w:marLeft w:val="0"/>
      <w:marRight w:val="0"/>
      <w:marTop w:val="0"/>
      <w:marBottom w:val="0"/>
      <w:divBdr>
        <w:top w:val="none" w:sz="0" w:space="0" w:color="auto"/>
        <w:left w:val="none" w:sz="0" w:space="0" w:color="auto"/>
        <w:bottom w:val="none" w:sz="0" w:space="0" w:color="auto"/>
        <w:right w:val="none" w:sz="0" w:space="0" w:color="auto"/>
      </w:divBdr>
    </w:div>
    <w:div w:id="1549879899">
      <w:bodyDiv w:val="1"/>
      <w:marLeft w:val="0"/>
      <w:marRight w:val="0"/>
      <w:marTop w:val="0"/>
      <w:marBottom w:val="0"/>
      <w:divBdr>
        <w:top w:val="none" w:sz="0" w:space="0" w:color="auto"/>
        <w:left w:val="none" w:sz="0" w:space="0" w:color="auto"/>
        <w:bottom w:val="none" w:sz="0" w:space="0" w:color="auto"/>
        <w:right w:val="none" w:sz="0" w:space="0" w:color="auto"/>
      </w:divBdr>
    </w:div>
    <w:div w:id="1556893499">
      <w:bodyDiv w:val="1"/>
      <w:marLeft w:val="0"/>
      <w:marRight w:val="0"/>
      <w:marTop w:val="0"/>
      <w:marBottom w:val="0"/>
      <w:divBdr>
        <w:top w:val="none" w:sz="0" w:space="0" w:color="auto"/>
        <w:left w:val="none" w:sz="0" w:space="0" w:color="auto"/>
        <w:bottom w:val="none" w:sz="0" w:space="0" w:color="auto"/>
        <w:right w:val="none" w:sz="0" w:space="0" w:color="auto"/>
      </w:divBdr>
    </w:div>
    <w:div w:id="1676377348">
      <w:bodyDiv w:val="1"/>
      <w:marLeft w:val="0"/>
      <w:marRight w:val="0"/>
      <w:marTop w:val="0"/>
      <w:marBottom w:val="0"/>
      <w:divBdr>
        <w:top w:val="none" w:sz="0" w:space="0" w:color="auto"/>
        <w:left w:val="none" w:sz="0" w:space="0" w:color="auto"/>
        <w:bottom w:val="none" w:sz="0" w:space="0" w:color="auto"/>
        <w:right w:val="none" w:sz="0" w:space="0" w:color="auto"/>
      </w:divBdr>
    </w:div>
    <w:div w:id="1678727814">
      <w:bodyDiv w:val="1"/>
      <w:marLeft w:val="0"/>
      <w:marRight w:val="0"/>
      <w:marTop w:val="0"/>
      <w:marBottom w:val="0"/>
      <w:divBdr>
        <w:top w:val="none" w:sz="0" w:space="0" w:color="auto"/>
        <w:left w:val="none" w:sz="0" w:space="0" w:color="auto"/>
        <w:bottom w:val="none" w:sz="0" w:space="0" w:color="auto"/>
        <w:right w:val="none" w:sz="0" w:space="0" w:color="auto"/>
      </w:divBdr>
    </w:div>
    <w:div w:id="1738935819">
      <w:bodyDiv w:val="1"/>
      <w:marLeft w:val="0"/>
      <w:marRight w:val="0"/>
      <w:marTop w:val="0"/>
      <w:marBottom w:val="0"/>
      <w:divBdr>
        <w:top w:val="none" w:sz="0" w:space="0" w:color="auto"/>
        <w:left w:val="none" w:sz="0" w:space="0" w:color="auto"/>
        <w:bottom w:val="none" w:sz="0" w:space="0" w:color="auto"/>
        <w:right w:val="none" w:sz="0" w:space="0" w:color="auto"/>
      </w:divBdr>
    </w:div>
    <w:div w:id="1975670418">
      <w:bodyDiv w:val="1"/>
      <w:marLeft w:val="0"/>
      <w:marRight w:val="0"/>
      <w:marTop w:val="0"/>
      <w:marBottom w:val="0"/>
      <w:divBdr>
        <w:top w:val="none" w:sz="0" w:space="0" w:color="auto"/>
        <w:left w:val="none" w:sz="0" w:space="0" w:color="auto"/>
        <w:bottom w:val="none" w:sz="0" w:space="0" w:color="auto"/>
        <w:right w:val="none" w:sz="0" w:space="0" w:color="auto"/>
      </w:divBdr>
    </w:div>
    <w:div w:id="2050180318">
      <w:marLeft w:val="0"/>
      <w:marRight w:val="0"/>
      <w:marTop w:val="0"/>
      <w:marBottom w:val="0"/>
      <w:divBdr>
        <w:top w:val="none" w:sz="0" w:space="0" w:color="auto"/>
        <w:left w:val="none" w:sz="0" w:space="0" w:color="auto"/>
        <w:bottom w:val="none" w:sz="0" w:space="0" w:color="auto"/>
        <w:right w:val="none" w:sz="0" w:space="0" w:color="auto"/>
      </w:divBdr>
      <w:divsChild>
        <w:div w:id="231426985">
          <w:marLeft w:val="0"/>
          <w:marRight w:val="0"/>
          <w:marTop w:val="0"/>
          <w:marBottom w:val="0"/>
          <w:divBdr>
            <w:top w:val="none" w:sz="0" w:space="0" w:color="auto"/>
            <w:left w:val="none" w:sz="0" w:space="0" w:color="auto"/>
            <w:bottom w:val="none" w:sz="0" w:space="0" w:color="auto"/>
            <w:right w:val="none" w:sz="0" w:space="0" w:color="auto"/>
          </w:divBdr>
          <w:divsChild>
            <w:div w:id="10029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45436">
      <w:bodyDiv w:val="1"/>
      <w:marLeft w:val="0"/>
      <w:marRight w:val="0"/>
      <w:marTop w:val="0"/>
      <w:marBottom w:val="0"/>
      <w:divBdr>
        <w:top w:val="none" w:sz="0" w:space="0" w:color="auto"/>
        <w:left w:val="none" w:sz="0" w:space="0" w:color="auto"/>
        <w:bottom w:val="none" w:sz="0" w:space="0" w:color="auto"/>
        <w:right w:val="none" w:sz="0" w:space="0" w:color="auto"/>
      </w:divBdr>
      <w:divsChild>
        <w:div w:id="338393167">
          <w:marLeft w:val="0"/>
          <w:marRight w:val="0"/>
          <w:marTop w:val="0"/>
          <w:marBottom w:val="0"/>
          <w:divBdr>
            <w:top w:val="none" w:sz="0" w:space="0" w:color="auto"/>
            <w:left w:val="none" w:sz="0" w:space="0" w:color="auto"/>
            <w:bottom w:val="none" w:sz="0" w:space="0" w:color="auto"/>
            <w:right w:val="none" w:sz="0" w:space="0" w:color="auto"/>
          </w:divBdr>
        </w:div>
        <w:div w:id="1213276489">
          <w:marLeft w:val="0"/>
          <w:marRight w:val="0"/>
          <w:marTop w:val="0"/>
          <w:marBottom w:val="0"/>
          <w:divBdr>
            <w:top w:val="none" w:sz="0" w:space="0" w:color="auto"/>
            <w:left w:val="none" w:sz="0" w:space="0" w:color="auto"/>
            <w:bottom w:val="none" w:sz="0" w:space="0" w:color="auto"/>
            <w:right w:val="none" w:sz="0" w:space="0" w:color="auto"/>
          </w:divBdr>
          <w:divsChild>
            <w:div w:id="1344436418">
              <w:marLeft w:val="0"/>
              <w:marRight w:val="0"/>
              <w:marTop w:val="0"/>
              <w:marBottom w:val="0"/>
              <w:divBdr>
                <w:top w:val="none" w:sz="0" w:space="0" w:color="auto"/>
                <w:left w:val="none" w:sz="0" w:space="0" w:color="auto"/>
                <w:bottom w:val="none" w:sz="0" w:space="0" w:color="auto"/>
                <w:right w:val="none" w:sz="0" w:space="0" w:color="auto"/>
              </w:divBdr>
            </w:div>
          </w:divsChild>
        </w:div>
        <w:div w:id="1419444716">
          <w:marLeft w:val="0"/>
          <w:marRight w:val="0"/>
          <w:marTop w:val="0"/>
          <w:marBottom w:val="0"/>
          <w:divBdr>
            <w:top w:val="none" w:sz="0" w:space="0" w:color="auto"/>
            <w:left w:val="none" w:sz="0" w:space="0" w:color="auto"/>
            <w:bottom w:val="none" w:sz="0" w:space="0" w:color="auto"/>
            <w:right w:val="none" w:sz="0" w:space="0" w:color="auto"/>
          </w:divBdr>
        </w:div>
        <w:div w:id="1903521074">
          <w:marLeft w:val="0"/>
          <w:marRight w:val="0"/>
          <w:marTop w:val="0"/>
          <w:marBottom w:val="0"/>
          <w:divBdr>
            <w:top w:val="none" w:sz="0" w:space="0" w:color="auto"/>
            <w:left w:val="none" w:sz="0" w:space="0" w:color="auto"/>
            <w:bottom w:val="none" w:sz="0" w:space="0" w:color="auto"/>
            <w:right w:val="none" w:sz="0" w:space="0" w:color="auto"/>
          </w:divBdr>
        </w:div>
        <w:div w:id="2049866901">
          <w:marLeft w:val="0"/>
          <w:marRight w:val="0"/>
          <w:marTop w:val="0"/>
          <w:marBottom w:val="0"/>
          <w:divBdr>
            <w:top w:val="none" w:sz="0" w:space="0" w:color="auto"/>
            <w:left w:val="none" w:sz="0" w:space="0" w:color="auto"/>
            <w:bottom w:val="none" w:sz="0" w:space="0" w:color="auto"/>
            <w:right w:val="none" w:sz="0" w:space="0" w:color="auto"/>
          </w:divBdr>
        </w:div>
      </w:divsChild>
    </w:div>
    <w:div w:id="2073195510">
      <w:bodyDiv w:val="1"/>
      <w:marLeft w:val="0"/>
      <w:marRight w:val="0"/>
      <w:marTop w:val="0"/>
      <w:marBottom w:val="0"/>
      <w:divBdr>
        <w:top w:val="none" w:sz="0" w:space="0" w:color="auto"/>
        <w:left w:val="none" w:sz="0" w:space="0" w:color="auto"/>
        <w:bottom w:val="none" w:sz="0" w:space="0" w:color="auto"/>
        <w:right w:val="none" w:sz="0" w:space="0" w:color="auto"/>
      </w:divBdr>
    </w:div>
    <w:div w:id="212934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net-zero-strategy" TargetMode="External"/><Relationship Id="rId18" Type="http://schemas.openxmlformats.org/officeDocument/2006/relationships/hyperlink" Target="https://hdr.undp.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irmingham.gov.uk/climatechange" TargetMode="External"/><Relationship Id="rId17" Type="http://schemas.openxmlformats.org/officeDocument/2006/relationships/hyperlink" Target="https://www.adaptation-undp.org/sites/default/files/uploaded-images/module_1_global_policy_context_for_me_of_adaptation.pdf" TargetMode="External"/><Relationship Id="rId2" Type="http://schemas.openxmlformats.org/officeDocument/2006/relationships/numbering" Target="numbering.xml"/><Relationship Id="rId16" Type="http://schemas.openxmlformats.org/officeDocument/2006/relationships/hyperlink" Target="https://sdgs.un.org/goals/goal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dgs.un.org/2030agenda" TargetMode="External"/><Relationship Id="rId23" Type="http://schemas.microsoft.com/office/2020/10/relationships/intelligence" Target="intelligence2.xml"/><Relationship Id="rId10" Type="http://schemas.openxmlformats.org/officeDocument/2006/relationships/image" Target="media/image3.jpeg"/><Relationship Id="rId19" Type="http://schemas.openxmlformats.org/officeDocument/2006/relationships/hyperlink" Target="https://unfccc.i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6B240D-F9CE-4CF2-86E2-627F150076B8}">
  <we:reference id="wa200002513" version="2021.3.29.10" store="en-GB" storeType="OMEX"/>
  <we:alternateReferences>
    <we:reference id="WA200002513" version="2021.3.29.10" store="WA20000251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AAFB-D840-4648-B348-2C06D5C7B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3600</Words>
  <Characters>20520</Characters>
  <Application>Microsoft Office Word</Application>
  <DocSecurity>0</DocSecurity>
  <Lines>171</Lines>
  <Paragraphs>48</Paragraphs>
  <ScaleCrop>false</ScaleCrop>
  <Company/>
  <LinksUpToDate>false</LinksUpToDate>
  <CharactersWithSpaces>24072</CharactersWithSpaces>
  <SharedDoc>false</SharedDoc>
  <HLinks>
    <vt:vector size="48" baseType="variant">
      <vt:variant>
        <vt:i4>6422640</vt:i4>
      </vt:variant>
      <vt:variant>
        <vt:i4>21</vt:i4>
      </vt:variant>
      <vt:variant>
        <vt:i4>0</vt:i4>
      </vt:variant>
      <vt:variant>
        <vt:i4>5</vt:i4>
      </vt:variant>
      <vt:variant>
        <vt:lpwstr>https://unfccc.int/</vt:lpwstr>
      </vt:variant>
      <vt:variant>
        <vt:lpwstr/>
      </vt:variant>
      <vt:variant>
        <vt:i4>5046295</vt:i4>
      </vt:variant>
      <vt:variant>
        <vt:i4>18</vt:i4>
      </vt:variant>
      <vt:variant>
        <vt:i4>0</vt:i4>
      </vt:variant>
      <vt:variant>
        <vt:i4>5</vt:i4>
      </vt:variant>
      <vt:variant>
        <vt:lpwstr>https://hdr.undp.org/</vt:lpwstr>
      </vt:variant>
      <vt:variant>
        <vt:lpwstr/>
      </vt:variant>
      <vt:variant>
        <vt:i4>3932207</vt:i4>
      </vt:variant>
      <vt:variant>
        <vt:i4>15</vt:i4>
      </vt:variant>
      <vt:variant>
        <vt:i4>0</vt:i4>
      </vt:variant>
      <vt:variant>
        <vt:i4>5</vt:i4>
      </vt:variant>
      <vt:variant>
        <vt:lpwstr>https://www.adaptation-undp.org/sites/default/files/uploaded-images/module_1_global_policy_context_for_me_of_adaptation.pdf</vt:lpwstr>
      </vt:variant>
      <vt:variant>
        <vt:lpwstr/>
      </vt:variant>
      <vt:variant>
        <vt:i4>3080303</vt:i4>
      </vt:variant>
      <vt:variant>
        <vt:i4>12</vt:i4>
      </vt:variant>
      <vt:variant>
        <vt:i4>0</vt:i4>
      </vt:variant>
      <vt:variant>
        <vt:i4>5</vt:i4>
      </vt:variant>
      <vt:variant>
        <vt:lpwstr>https://sdgs.un.org/goals/goal3</vt:lpwstr>
      </vt:variant>
      <vt:variant>
        <vt:lpwstr/>
      </vt:variant>
      <vt:variant>
        <vt:i4>6815869</vt:i4>
      </vt:variant>
      <vt:variant>
        <vt:i4>9</vt:i4>
      </vt:variant>
      <vt:variant>
        <vt:i4>0</vt:i4>
      </vt:variant>
      <vt:variant>
        <vt:i4>5</vt:i4>
      </vt:variant>
      <vt:variant>
        <vt:lpwstr>https://sdgs.un.org/2030agenda</vt:lpwstr>
      </vt:variant>
      <vt:variant>
        <vt:lpwstr/>
      </vt:variant>
      <vt:variant>
        <vt:i4>3604538</vt:i4>
      </vt:variant>
      <vt:variant>
        <vt:i4>6</vt:i4>
      </vt:variant>
      <vt:variant>
        <vt:i4>0</vt:i4>
      </vt:variant>
      <vt:variant>
        <vt:i4>5</vt:i4>
      </vt:variant>
      <vt:variant>
        <vt:lpwstr>https://www.legislation.gov.uk/</vt:lpwstr>
      </vt:variant>
      <vt:variant>
        <vt:lpwstr/>
      </vt:variant>
      <vt:variant>
        <vt:i4>589852</vt:i4>
      </vt:variant>
      <vt:variant>
        <vt:i4>3</vt:i4>
      </vt:variant>
      <vt:variant>
        <vt:i4>0</vt:i4>
      </vt:variant>
      <vt:variant>
        <vt:i4>5</vt:i4>
      </vt:variant>
      <vt:variant>
        <vt:lpwstr>https://www.gov.uk/government/publications/net-zero-strategy</vt:lpwstr>
      </vt:variant>
      <vt:variant>
        <vt:lpwstr/>
      </vt:variant>
      <vt:variant>
        <vt:i4>8126515</vt:i4>
      </vt:variant>
      <vt:variant>
        <vt:i4>0</vt:i4>
      </vt:variant>
      <vt:variant>
        <vt:i4>0</vt:i4>
      </vt:variant>
      <vt:variant>
        <vt:i4>5</vt:i4>
      </vt:variant>
      <vt:variant>
        <vt:lpwstr>https://www.birmingham.gov.uk/climatechange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488</cp:revision>
  <dcterms:created xsi:type="dcterms:W3CDTF">2026-06-29T20:37:00Z</dcterms:created>
  <dcterms:modified xsi:type="dcterms:W3CDTF">2026-07-16T14:27:00Z</dcterms:modified>
</cp:coreProperties>
</file>