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F834F8B" w:rsidR="00986B43" w:rsidRPr="00DF3B1F"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DF3B1F">
              <w:rPr>
                <w:rFonts w:ascii="Times New Roman" w:hAnsi="Times New Roman" w:cs="Times New Roman"/>
                <w:b/>
                <w:color w:val="auto"/>
                <w:sz w:val="44"/>
                <w:szCs w:val="18"/>
              </w:rPr>
              <w:t>Learner’s name:</w:t>
            </w:r>
            <w:r w:rsidR="00247265" w:rsidRPr="00DF3B1F">
              <w:rPr>
                <w:rFonts w:ascii="Times New Roman" w:hAnsi="Times New Roman" w:cs="Times New Roman"/>
                <w:b/>
                <w:color w:val="auto"/>
                <w:sz w:val="44"/>
                <w:szCs w:val="18"/>
              </w:rPr>
              <w:t xml:space="preserve"> </w:t>
            </w:r>
            <w:r w:rsidR="00DF3B1F">
              <w:rPr>
                <w:rFonts w:ascii="Times New Roman" w:hAnsi="Times New Roman" w:cs="Times New Roman"/>
                <w:b/>
                <w:color w:val="auto"/>
                <w:sz w:val="44"/>
                <w:szCs w:val="18"/>
              </w:rPr>
              <w:t>Kayleigh Morris</w:t>
            </w:r>
          </w:p>
          <w:p w14:paraId="0B6CD0DB" w14:textId="689515B5" w:rsidR="009C337F" w:rsidRPr="00DF3B1F"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00174866" w14:textId="77777777" w:rsidR="00DF3B1F" w:rsidRPr="00DF3B1F"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DF3B1F">
              <w:rPr>
                <w:rFonts w:ascii="Times New Roman" w:hAnsi="Times New Roman" w:cs="Times New Roman"/>
                <w:b/>
                <w:color w:val="auto"/>
                <w:sz w:val="44"/>
                <w:szCs w:val="18"/>
              </w:rPr>
              <w:t>Email address:</w:t>
            </w:r>
            <w:r w:rsidR="00DF3B1F" w:rsidRPr="00DF3B1F">
              <w:rPr>
                <w:rFonts w:ascii="Times New Roman" w:hAnsi="Times New Roman" w:cs="Times New Roman"/>
                <w:b/>
                <w:color w:val="auto"/>
                <w:sz w:val="44"/>
                <w:szCs w:val="18"/>
              </w:rPr>
              <w:t xml:space="preserve"> </w:t>
            </w:r>
          </w:p>
          <w:p w14:paraId="3A6EAAC7" w14:textId="4D34DD36" w:rsidR="009C337F" w:rsidRPr="00DF3B1F" w:rsidRDefault="00DF3B1F" w:rsidP="005D3F07">
            <w:pPr>
              <w:overflowPunct/>
              <w:autoSpaceDE/>
              <w:autoSpaceDN/>
              <w:adjustRightInd/>
              <w:ind w:right="-957"/>
              <w:textAlignment w:val="auto"/>
              <w:rPr>
                <w:rFonts w:ascii="Times New Roman" w:hAnsi="Times New Roman" w:cs="Times New Roman"/>
                <w:b/>
                <w:color w:val="auto"/>
                <w:sz w:val="44"/>
                <w:szCs w:val="18"/>
              </w:rPr>
            </w:pPr>
            <w:r w:rsidRPr="00DF3B1F">
              <w:rPr>
                <w:rFonts w:ascii="Times New Roman" w:hAnsi="Times New Roman" w:cs="Times New Roman"/>
                <w:b/>
                <w:color w:val="auto"/>
                <w:sz w:val="44"/>
                <w:szCs w:val="18"/>
              </w:rPr>
              <w:t>Kayleigh.morris@wrexham.gov.uk</w:t>
            </w:r>
          </w:p>
          <w:p w14:paraId="22E38809" w14:textId="77777777" w:rsidR="00986B43" w:rsidRPr="00DF3B1F"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209F6BA0" w14:textId="77777777" w:rsidR="00DF3B1F" w:rsidRPr="00DF3B1F" w:rsidRDefault="0085230E" w:rsidP="00DF3B1F">
            <w:pPr>
              <w:ind w:right="-957"/>
              <w:rPr>
                <w:rFonts w:ascii="Times New Roman" w:hAnsi="Times New Roman" w:cs="Times New Roman"/>
                <w:b/>
                <w:color w:val="auto"/>
                <w:sz w:val="44"/>
                <w:szCs w:val="18"/>
              </w:rPr>
            </w:pPr>
            <w:r w:rsidRPr="00DF3B1F">
              <w:rPr>
                <w:rFonts w:ascii="Times New Roman" w:hAnsi="Times New Roman" w:cs="Times New Roman"/>
                <w:b/>
                <w:color w:val="auto"/>
                <w:sz w:val="44"/>
                <w:szCs w:val="18"/>
              </w:rPr>
              <w:t>Learner’s University Registration</w:t>
            </w:r>
            <w:r w:rsidR="00F927A1" w:rsidRPr="00DF3B1F">
              <w:rPr>
                <w:rFonts w:ascii="Times New Roman" w:hAnsi="Times New Roman" w:cs="Times New Roman"/>
                <w:b/>
                <w:color w:val="auto"/>
                <w:sz w:val="44"/>
                <w:szCs w:val="18"/>
              </w:rPr>
              <w:t xml:space="preserve"> Number:</w:t>
            </w:r>
            <w:r w:rsidR="00DF3B1F" w:rsidRPr="00DF3B1F">
              <w:rPr>
                <w:rFonts w:ascii="Times New Roman" w:hAnsi="Times New Roman" w:cs="Times New Roman"/>
                <w:b/>
                <w:color w:val="auto"/>
                <w:sz w:val="44"/>
                <w:szCs w:val="18"/>
              </w:rPr>
              <w:t xml:space="preserve"> </w:t>
            </w:r>
          </w:p>
          <w:p w14:paraId="1DDF8B13" w14:textId="6C234874" w:rsidR="00DF3B1F" w:rsidRPr="00DF3B1F" w:rsidRDefault="00DF3B1F" w:rsidP="00DF3B1F">
            <w:pPr>
              <w:ind w:right="-957"/>
              <w:rPr>
                <w:rFonts w:ascii="Times New Roman" w:hAnsi="Times New Roman" w:cs="Times New Roman"/>
                <w:b/>
                <w:sz w:val="44"/>
                <w:szCs w:val="18"/>
              </w:rPr>
            </w:pPr>
            <w:r w:rsidRPr="00DF3B1F">
              <w:rPr>
                <w:rFonts w:ascii="Times New Roman" w:hAnsi="Times New Roman" w:cs="Times New Roman"/>
                <w:b/>
                <w:sz w:val="44"/>
                <w:szCs w:val="18"/>
              </w:rPr>
              <w:t>2329654</w:t>
            </w:r>
          </w:p>
          <w:p w14:paraId="0DE696B2" w14:textId="23E71AD1" w:rsidR="00F927A1" w:rsidRPr="00DF3B1F" w:rsidRDefault="00F927A1" w:rsidP="005D3F07">
            <w:pPr>
              <w:overflowPunct/>
              <w:autoSpaceDE/>
              <w:autoSpaceDN/>
              <w:adjustRightInd/>
              <w:ind w:right="-957"/>
              <w:textAlignment w:val="auto"/>
              <w:rPr>
                <w:rFonts w:ascii="Times New Roman" w:hAnsi="Times New Roman" w:cs="Times New Roman"/>
                <w:b/>
                <w:color w:val="auto"/>
                <w:sz w:val="44"/>
                <w:szCs w:val="1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F3B1F">
              <w:rPr>
                <w:rFonts w:ascii="Times New Roman" w:hAnsi="Times New Roman" w:cs="Times New Roman"/>
                <w:b/>
                <w:color w:val="auto"/>
                <w:sz w:val="44"/>
                <w:szCs w:val="18"/>
              </w:rPr>
              <w:t xml:space="preserve">Cohort: </w:t>
            </w:r>
            <w:r w:rsidR="00B037B0" w:rsidRPr="00DF3B1F">
              <w:rPr>
                <w:rFonts w:ascii="Times New Roman" w:hAnsi="Times New Roman" w:cs="Times New Roman"/>
                <w:b/>
                <w:color w:val="auto"/>
                <w:sz w:val="44"/>
                <w:szCs w:val="18"/>
              </w:rPr>
              <w:t>21</w:t>
            </w:r>
            <w:r w:rsidR="00AE6231" w:rsidRPr="00DF3B1F">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338C9D53" w14:textId="77777777" w:rsidR="00DF3B1F" w:rsidRDefault="00DF3B1F" w:rsidP="00FF7EBB">
            <w:pPr>
              <w:jc w:val="both"/>
              <w:rPr>
                <w:i/>
                <w:sz w:val="24"/>
                <w:szCs w:val="24"/>
              </w:rPr>
            </w:pPr>
          </w:p>
          <w:p w14:paraId="1EE4FED4" w14:textId="77777777" w:rsidR="00DF3B1F" w:rsidRDefault="00DF3B1F" w:rsidP="00FF7EBB">
            <w:pPr>
              <w:jc w:val="both"/>
              <w:rPr>
                <w:i/>
                <w:sz w:val="24"/>
                <w:szCs w:val="24"/>
              </w:rPr>
            </w:pPr>
          </w:p>
          <w:p w14:paraId="2CE29840" w14:textId="77777777" w:rsidR="00DF3B1F" w:rsidRPr="00DF3B1F" w:rsidRDefault="00DF3B1F" w:rsidP="00DF3B1F">
            <w:pPr>
              <w:spacing w:line="360" w:lineRule="auto"/>
              <w:ind w:firstLine="720"/>
              <w:rPr>
                <w:sz w:val="24"/>
                <w:szCs w:val="24"/>
              </w:rPr>
            </w:pPr>
            <w:r w:rsidRPr="00AB77B2">
              <w:rPr>
                <w:sz w:val="24"/>
                <w:szCs w:val="24"/>
              </w:rPr>
              <w:t>This critically reflective case study concerns “Child 1”, a 12</w:t>
            </w:r>
            <w:r w:rsidRPr="00AB77B2">
              <w:rPr>
                <w:sz w:val="24"/>
                <w:szCs w:val="24"/>
              </w:rPr>
              <w:noBreakHyphen/>
              <w:t>year</w:t>
            </w:r>
            <w:r w:rsidRPr="00AB77B2">
              <w:rPr>
                <w:sz w:val="24"/>
                <w:szCs w:val="24"/>
              </w:rPr>
              <w:noBreakHyphen/>
              <w:t xml:space="preserve">old, diagnosed with </w:t>
            </w:r>
            <w:proofErr w:type="gramStart"/>
            <w:r w:rsidRPr="00AB77B2">
              <w:rPr>
                <w:sz w:val="24"/>
                <w:szCs w:val="24"/>
              </w:rPr>
              <w:t>Autism Spectrum Disorder</w:t>
            </w:r>
            <w:proofErr w:type="gramEnd"/>
            <w:r w:rsidRPr="00AB77B2">
              <w:rPr>
                <w:sz w:val="24"/>
                <w:szCs w:val="24"/>
              </w:rPr>
              <w:t xml:space="preserve"> (ASD) with associated developmental delay and speech, language and communication needs. Child 1 lives with their </w:t>
            </w:r>
            <w:r w:rsidRPr="00DF3B1F">
              <w:rPr>
                <w:sz w:val="24"/>
                <w:szCs w:val="24"/>
              </w:rPr>
              <w:t>father</w:t>
            </w:r>
            <w:r w:rsidRPr="00AB77B2">
              <w:rPr>
                <w:sz w:val="24"/>
                <w:szCs w:val="24"/>
              </w:rPr>
              <w:t xml:space="preserve"> (Mr A) who is of pension age. Mr A has been child 1’s primary caregiver since the mother’s sudden death several years ago. The presenting concerns consisted of Mr A’s alcohol consumption; child 1’s lack of medical and dental care; child 1’s diet and weight; child 1’s accommodation conditions and hygiene needs; Mr A’s lack of awareness surrounding the concerns raised by the Local Authority; and child’s 1’s increasing needs that are dependent upon a caregiver to provide that Mr A could not complete.</w:t>
            </w:r>
          </w:p>
          <w:p w14:paraId="0BF7880D" w14:textId="77777777" w:rsidR="00DF3B1F" w:rsidRPr="00DF3B1F" w:rsidRDefault="00DF3B1F" w:rsidP="00DF3B1F">
            <w:pPr>
              <w:spacing w:line="360" w:lineRule="auto"/>
              <w:ind w:firstLine="720"/>
              <w:rPr>
                <w:sz w:val="24"/>
                <w:szCs w:val="24"/>
              </w:rPr>
            </w:pPr>
            <w:r w:rsidRPr="00AB77B2">
              <w:rPr>
                <w:sz w:val="24"/>
                <w:szCs w:val="24"/>
              </w:rPr>
              <w:t xml:space="preserve">Leading up to the case escalating into Child Protection and subsequently a Full Care Order, child 1 was supported under a Care and Support Plan for twelve months without any improvement to child 1’s health and well-being. Concerns continued to be raised around Mr A’s capacity to safely and consistently parent his child. Various reports from health and </w:t>
            </w:r>
            <w:r w:rsidRPr="00AB77B2">
              <w:rPr>
                <w:sz w:val="24"/>
                <w:szCs w:val="24"/>
              </w:rPr>
              <w:lastRenderedPageBreak/>
              <w:t>education with concerns surrounding child A’s health, diet, behaviours attributed to his ASD, sleeping in class, and concerns were also raised for the safety of child A in the community with Mr A.</w:t>
            </w:r>
          </w:p>
          <w:p w14:paraId="322B0210" w14:textId="1DD7EA01" w:rsidR="00DF3B1F" w:rsidRPr="00DF3B1F" w:rsidRDefault="00DF3B1F" w:rsidP="00DF3B1F">
            <w:pPr>
              <w:spacing w:line="360" w:lineRule="auto"/>
              <w:ind w:firstLine="720"/>
              <w:rPr>
                <w:sz w:val="24"/>
                <w:szCs w:val="24"/>
              </w:rPr>
            </w:pPr>
            <w:r w:rsidRPr="00AB77B2">
              <w:rPr>
                <w:sz w:val="24"/>
                <w:szCs w:val="24"/>
              </w:rPr>
              <w:t>In Wales, children’s safeguarding operates within a legal/policy context led by the Social Services and Well</w:t>
            </w:r>
            <w:r w:rsidRPr="00AB77B2">
              <w:rPr>
                <w:sz w:val="24"/>
                <w:szCs w:val="24"/>
              </w:rPr>
              <w:noBreakHyphen/>
              <w:t xml:space="preserve">being (Wales) Act 2014 (SSWBA), where Part 7 sets out safeguarding duties to report and enquire where a child is or may be at risk. Operational practice is detailed in Working Together to Safeguard People (Welsh statutory guidance under Part 7) and the digital Wales Safeguarding Procedures (2019), which standardise processes across regions for children at risk, from reporting and strategy discussions through to enquiries, conferences and planning. While Welsh guidance governs duties and procedures, child protection investigations themselves </w:t>
            </w:r>
            <w:r w:rsidRPr="00DF3B1F">
              <w:rPr>
                <w:sz w:val="24"/>
                <w:szCs w:val="24"/>
              </w:rPr>
              <w:t>continue</w:t>
            </w:r>
            <w:r w:rsidRPr="00AB77B2">
              <w:rPr>
                <w:sz w:val="24"/>
                <w:szCs w:val="24"/>
              </w:rPr>
              <w:t xml:space="preserve"> and operate under the Children Act </w:t>
            </w:r>
            <w:r>
              <w:rPr>
                <w:sz w:val="24"/>
                <w:szCs w:val="24"/>
              </w:rPr>
              <w:t>(</w:t>
            </w:r>
            <w:r w:rsidRPr="00AB77B2">
              <w:rPr>
                <w:sz w:val="24"/>
                <w:szCs w:val="24"/>
              </w:rPr>
              <w:t>1989</w:t>
            </w:r>
            <w:r>
              <w:rPr>
                <w:sz w:val="24"/>
                <w:szCs w:val="24"/>
              </w:rPr>
              <w:t>)</w:t>
            </w:r>
            <w:r w:rsidRPr="00AB77B2">
              <w:rPr>
                <w:sz w:val="24"/>
                <w:szCs w:val="24"/>
              </w:rPr>
              <w:t>, specifically, section 47 enquiries, despite Wales following further specific guidance in relation to safeguarding children.</w:t>
            </w:r>
          </w:p>
          <w:p w14:paraId="05A42728" w14:textId="77777777" w:rsidR="00DF3B1F" w:rsidRDefault="00DF3B1F" w:rsidP="00DF3B1F">
            <w:pPr>
              <w:spacing w:line="360" w:lineRule="auto"/>
              <w:ind w:firstLine="720"/>
              <w:rPr>
                <w:sz w:val="24"/>
                <w:szCs w:val="24"/>
              </w:rPr>
            </w:pPr>
            <w:r w:rsidRPr="00AB77B2">
              <w:rPr>
                <w:sz w:val="24"/>
                <w:szCs w:val="24"/>
              </w:rPr>
              <w:t>Wales's approach focusses on people’s human rights and providing preventative services. The Well</w:t>
            </w:r>
            <w:r w:rsidRPr="00AB77B2">
              <w:rPr>
                <w:sz w:val="24"/>
                <w:szCs w:val="24"/>
              </w:rPr>
              <w:noBreakHyphen/>
              <w:t>being of Future Generations (Wales) Act 2015 imposes a duty on public bodies to work long</w:t>
            </w:r>
            <w:r w:rsidRPr="00AB77B2">
              <w:rPr>
                <w:sz w:val="24"/>
                <w:szCs w:val="24"/>
              </w:rPr>
              <w:noBreakHyphen/>
              <w:t>term, prevent problems, collaborate and involve people to achieve seven national goals. The Rights of Children and Young Persons (Wales) Measure 2011 focusses on the child’s voice, that access and participation should be central to decision</w:t>
            </w:r>
            <w:r w:rsidRPr="00AB77B2">
              <w:rPr>
                <w:sz w:val="24"/>
                <w:szCs w:val="24"/>
              </w:rPr>
              <w:noBreakHyphen/>
              <w:t>making. This person-centred practice aligns with the ethics of Social Care Wales Codes of Conduct including dignity, rights and involvement.</w:t>
            </w:r>
          </w:p>
          <w:p w14:paraId="519C57A1" w14:textId="4436CEB1" w:rsidR="00DF3B1F" w:rsidRPr="00DF3B1F" w:rsidRDefault="00DF3B1F" w:rsidP="00DF3B1F">
            <w:pPr>
              <w:spacing w:line="360" w:lineRule="auto"/>
              <w:ind w:firstLine="720"/>
              <w:rPr>
                <w:sz w:val="24"/>
                <w:szCs w:val="24"/>
              </w:rPr>
            </w:pPr>
            <w:r w:rsidRPr="00AB77B2">
              <w:rPr>
                <w:sz w:val="24"/>
                <w:szCs w:val="24"/>
              </w:rPr>
              <w:t>The objective of this case study is to demonstrate integrated analysis in assessment, collaborative working across agencies including children’s services, education and specifically special education needs and disabilities (SEND), health, housing, community, and extracurricular activities; and professional judgement in a complex neglect scenario where disability, age</w:t>
            </w:r>
            <w:r w:rsidRPr="00AB77B2">
              <w:rPr>
                <w:sz w:val="24"/>
                <w:szCs w:val="24"/>
              </w:rPr>
              <w:noBreakHyphen/>
              <w:t>related carer vulnerabilities, and limited parental insight intersect. The work describes outcomes and learning and explicitly addresses the Wales, UK, EU and outside the EU interface, data protection, and the Welsh safeguarding boards dimension. All identifiers are pseudonymised.</w:t>
            </w:r>
          </w:p>
          <w:p w14:paraId="75DA99BF" w14:textId="77777777" w:rsidR="00DF3B1F" w:rsidRPr="00DF3B1F" w:rsidRDefault="00DF3B1F" w:rsidP="00DF3B1F">
            <w:pPr>
              <w:spacing w:line="360" w:lineRule="auto"/>
              <w:ind w:firstLine="720"/>
              <w:rPr>
                <w:sz w:val="24"/>
                <w:szCs w:val="24"/>
              </w:rPr>
            </w:pPr>
            <w:r w:rsidRPr="00AB77B2">
              <w:rPr>
                <w:sz w:val="24"/>
                <w:szCs w:val="24"/>
              </w:rPr>
              <w:t xml:space="preserve">This case relates to a history of neglect, with a family that have received extensive and long-term intervention and support from the Local Authority. Child 1 lost their mother several years ago, in a tragic, sudden event that child 1 witnessed. For this </w:t>
            </w:r>
            <w:proofErr w:type="gramStart"/>
            <w:r w:rsidRPr="00AB77B2">
              <w:rPr>
                <w:sz w:val="24"/>
                <w:szCs w:val="24"/>
              </w:rPr>
              <w:t>particular case</w:t>
            </w:r>
            <w:proofErr w:type="gramEnd"/>
            <w:r w:rsidRPr="00AB77B2">
              <w:rPr>
                <w:sz w:val="24"/>
                <w:szCs w:val="24"/>
              </w:rPr>
              <w:t xml:space="preserve">, </w:t>
            </w:r>
            <w:r w:rsidRPr="00AB77B2">
              <w:rPr>
                <w:sz w:val="24"/>
                <w:szCs w:val="24"/>
              </w:rPr>
              <w:lastRenderedPageBreak/>
              <w:t>concerns were raised surrounding Child 1’s physical health and appearance. Child’s 1’s diet consisted of takeaways like McDonalds and Burger King every day, only drinking full fat Pepsi, resulting in Child 1’s weight and BMI to be considered obese for their age and height. Following this, concerns raised regarding Child 1’s basic needs not being met, resulting in them presenting as dirty and unkempt. Further concerns were raised surrounding Child 1’s aggressive behaviour in school and at home despite support from the Learning Disability Team who specialises in behavioural support. Within the household, there was no boundaries or routines in place for Child 1, resulting in inconsistent sleep, which had an impact on their education and all aspects of daily life. Reports were gathered from all professionals involved within a Care and Support meeting to ascertain the risk to Child 1. Professionals consulted the Wales Safeguarding Procedures for Children, and each made a duty to report referral to Children’s Services. All referrals combined identified reasonable cause to suspect neglect, triggering a multi-agency strategy discussion under the Procedures and Working Together to Safeguard Children, Part 7. A Section 47 investigation under the Children Act 1989 was initiated in consultation with health and education services.</w:t>
            </w:r>
          </w:p>
          <w:p w14:paraId="5E49218E" w14:textId="77777777" w:rsidR="00DF3B1F" w:rsidRPr="00DF3B1F" w:rsidRDefault="00DF3B1F" w:rsidP="00DF3B1F">
            <w:pPr>
              <w:spacing w:line="360" w:lineRule="auto"/>
              <w:ind w:firstLine="720"/>
              <w:rPr>
                <w:sz w:val="24"/>
                <w:szCs w:val="24"/>
              </w:rPr>
            </w:pPr>
            <w:r w:rsidRPr="00AB77B2">
              <w:rPr>
                <w:sz w:val="24"/>
                <w:szCs w:val="24"/>
              </w:rPr>
              <w:t>The Wales Safeguarding Procedures and Welsh statutory guidance emphasise that disability can increase vulnerability to abuse and neglect and that practitioners must adapt communication, involvement and planning accordingly by considering alternative communication methods, accessible tools, and advocacy. The strategy discussion and subsequent MDT meetings specifically considered reasonable adjustments for Child 1 given their disability, and Mr A as an older parent with hearing difficulties and health concerns. The meeting agreed the threshold for s47 enquiries under the category of neglect was met, noting the cumulative harm and unmet additional learning needs.</w:t>
            </w:r>
          </w:p>
          <w:p w14:paraId="36993774" w14:textId="77777777" w:rsidR="00DF3B1F" w:rsidRPr="00DF3B1F" w:rsidRDefault="00DF3B1F" w:rsidP="00DF3B1F">
            <w:pPr>
              <w:spacing w:line="360" w:lineRule="auto"/>
              <w:ind w:firstLine="720"/>
              <w:rPr>
                <w:sz w:val="24"/>
                <w:szCs w:val="24"/>
              </w:rPr>
            </w:pPr>
            <w:r w:rsidRPr="00AB77B2">
              <w:rPr>
                <w:sz w:val="24"/>
                <w:szCs w:val="24"/>
              </w:rPr>
              <w:t>Prior to and during the strategy meeting, children’s services, education, health services and third sector services shared proportionate, necessary information lawfully under the UK GDPR/Data Protection Act (2018). The Information Commissioner’s Office (ICO, 2023) makes it clear that data protection law enables appropriate sharing in safeguarding and that not sharing information when a child may be at risk can be more harmful. Information that was recorded was purposeful and necessary</w:t>
            </w:r>
            <w:r w:rsidRPr="00DF3B1F">
              <w:rPr>
                <w:sz w:val="24"/>
                <w:szCs w:val="24"/>
              </w:rPr>
              <w:t xml:space="preserve">, </w:t>
            </w:r>
            <w:r w:rsidRPr="00AB77B2">
              <w:rPr>
                <w:sz w:val="24"/>
                <w:szCs w:val="24"/>
              </w:rPr>
              <w:t>noting who and what information was shared. This supported a coherent picture without over</w:t>
            </w:r>
            <w:r w:rsidRPr="00AB77B2">
              <w:rPr>
                <w:sz w:val="24"/>
                <w:szCs w:val="24"/>
              </w:rPr>
              <w:noBreakHyphen/>
              <w:t>disclosure.</w:t>
            </w:r>
          </w:p>
          <w:p w14:paraId="2EF12213" w14:textId="77777777" w:rsidR="00DF3B1F" w:rsidRPr="00DF3B1F" w:rsidRDefault="00DF3B1F" w:rsidP="00DF3B1F">
            <w:pPr>
              <w:spacing w:line="360" w:lineRule="auto"/>
              <w:ind w:firstLine="720"/>
              <w:rPr>
                <w:sz w:val="24"/>
                <w:szCs w:val="24"/>
              </w:rPr>
            </w:pPr>
            <w:r w:rsidRPr="00AB77B2">
              <w:rPr>
                <w:sz w:val="24"/>
                <w:szCs w:val="24"/>
              </w:rPr>
              <w:lastRenderedPageBreak/>
              <w:t>Given Child 1’s learning needs, it was essential to utilise visual communication methods, including visual cards, communication board, choice boards and social stories to describe the assessment in simple understanding language for Child 1. It was difficult in the initial stages to ascertain Child 1’s views, wishes and feelings due to their behaviour and lack of understanding. It became clear through the later stages that Child 1 had not had the opportunity to develop their skills to be able to have a conversation as they are able to appropriately now. However, it was clear through observations that Child 1 was unkempt, lack of appropriate nutrition and sleep schedules, and unmet learning needs. Under the Rights of Children and Young Persons (Wales) Measure (2011), participation was ensured in line with Article 12, United Nations Convention on Rights of a Child (UNCRC, 2012), and offered bilingual materials (confirming language preferences with Mr A).</w:t>
            </w:r>
          </w:p>
          <w:p w14:paraId="73B510EF" w14:textId="77777777" w:rsidR="00DF3B1F" w:rsidRPr="00DF3B1F" w:rsidRDefault="00DF3B1F" w:rsidP="00DF3B1F">
            <w:pPr>
              <w:spacing w:line="360" w:lineRule="auto"/>
              <w:ind w:firstLine="720"/>
              <w:rPr>
                <w:sz w:val="24"/>
                <w:szCs w:val="24"/>
              </w:rPr>
            </w:pPr>
            <w:r w:rsidRPr="00AB77B2">
              <w:rPr>
                <w:sz w:val="24"/>
                <w:szCs w:val="24"/>
              </w:rPr>
              <w:t>Immediate, protective and support steps initially taken included a S47 enquiry with concerns surrounding neglect; health professionals to assess and support with Child 1’s diet and behaviour; education to support with Child 1’s communication needs; home visits to be completed to assess home conditions; family support worker to support to establish boundaries and routines at home; assessment to be completed with Mr A with consideration surrounding reasonable adjustments. These steps aligned with Wales Safeguarding Procedures and Working Together to Safeguard People inclusive of roles and timescales for all professionals involved, and the Social Services and Well-Being Act (SSWBA, 2014) regarding prevention and collaboration</w:t>
            </w:r>
            <w:r w:rsidRPr="00DF3B1F">
              <w:rPr>
                <w:sz w:val="24"/>
                <w:szCs w:val="24"/>
              </w:rPr>
              <w:t>.</w:t>
            </w:r>
          </w:p>
          <w:p w14:paraId="04579F75" w14:textId="77777777" w:rsidR="00DF3B1F" w:rsidRPr="00DF3B1F" w:rsidRDefault="00DF3B1F" w:rsidP="00DF3B1F">
            <w:pPr>
              <w:spacing w:line="360" w:lineRule="auto"/>
              <w:ind w:firstLine="720"/>
              <w:rPr>
                <w:sz w:val="24"/>
                <w:szCs w:val="24"/>
              </w:rPr>
            </w:pPr>
            <w:r w:rsidRPr="00AB77B2">
              <w:rPr>
                <w:sz w:val="24"/>
                <w:szCs w:val="24"/>
              </w:rPr>
              <w:t>Assessment proceeded within the Part 7 SSWBA (2014) safeguarding duties, operationalised by Working Together to Safeguard People and the Wales Safeguarding Procedures. The Children Act 1989, S47, provides the legal basis for the child protection enquiry, with public law routes, for example, care or supervision orders are available if thresholds are met. The Well</w:t>
            </w:r>
            <w:r w:rsidRPr="00AB77B2">
              <w:rPr>
                <w:sz w:val="24"/>
                <w:szCs w:val="24"/>
              </w:rPr>
              <w:noBreakHyphen/>
              <w:t>being of Future Generations (Wales) Act 2015 shaped the plan through: prevention, long</w:t>
            </w:r>
            <w:r w:rsidRPr="00AB77B2">
              <w:rPr>
                <w:sz w:val="24"/>
                <w:szCs w:val="24"/>
              </w:rPr>
              <w:noBreakHyphen/>
              <w:t xml:space="preserve">term planning, integration (health, education, and social care alignment), collaboration </w:t>
            </w:r>
            <w:r w:rsidRPr="00DF3B1F">
              <w:rPr>
                <w:sz w:val="24"/>
                <w:szCs w:val="24"/>
              </w:rPr>
              <w:t xml:space="preserve">during </w:t>
            </w:r>
            <w:r w:rsidRPr="00AB77B2">
              <w:rPr>
                <w:sz w:val="24"/>
                <w:szCs w:val="24"/>
              </w:rPr>
              <w:t>core group, and involvement (Child 1’s adapted participation; Mr A’s inclusion with adjustments). In parallel, the Rights Measure 2011 embedded UNCRC participation rights. There are several theories informing analysis that have been touched upon during this case.</w:t>
            </w:r>
          </w:p>
          <w:p w14:paraId="308CFE15" w14:textId="77777777" w:rsidR="00DF3B1F" w:rsidRPr="00DF3B1F" w:rsidRDefault="00DF3B1F" w:rsidP="00DF3B1F">
            <w:pPr>
              <w:spacing w:line="360" w:lineRule="auto"/>
              <w:ind w:firstLine="720"/>
              <w:rPr>
                <w:sz w:val="24"/>
                <w:szCs w:val="24"/>
              </w:rPr>
            </w:pPr>
            <w:r w:rsidRPr="00AB77B2">
              <w:rPr>
                <w:sz w:val="24"/>
                <w:szCs w:val="24"/>
              </w:rPr>
              <w:lastRenderedPageBreak/>
              <w:t>Ecological systems theory, informed by Bronfenbrenner’s work (Social Work Graduate, 2024), guided the analysis by showing how the young person’s individual needs, the father’s age, health and family routines within the microsystem, the coordination and communication between home and school within the mesosystem, the wider environmental factors such as housing quality and financial circumstances within the exosystem, and the broader influences of cost</w:t>
            </w:r>
            <w:r w:rsidRPr="00AB77B2">
              <w:rPr>
                <w:sz w:val="24"/>
                <w:szCs w:val="24"/>
              </w:rPr>
              <w:noBreakHyphen/>
              <w:t>of</w:t>
            </w:r>
            <w:r w:rsidRPr="00AB77B2">
              <w:rPr>
                <w:sz w:val="24"/>
                <w:szCs w:val="24"/>
              </w:rPr>
              <w:noBreakHyphen/>
              <w:t>living pressures, service thresholds and Welsh policy at the macrosystem level all interact to shape levels of risk and need. Attachment theory (Bowlby, 1969) was cautiously applied. Child 1 sought predictable adults in school, showed distress with transitions, and used repetitive behaviours to self</w:t>
            </w:r>
            <w:r w:rsidRPr="00AB77B2">
              <w:rPr>
                <w:sz w:val="24"/>
                <w:szCs w:val="24"/>
              </w:rPr>
              <w:noBreakHyphen/>
              <w:t>soothe. Given neurodiversity, we avoided pathologising difference; attachment</w:t>
            </w:r>
            <w:r w:rsidRPr="00AB77B2">
              <w:rPr>
                <w:sz w:val="24"/>
                <w:szCs w:val="24"/>
              </w:rPr>
              <w:noBreakHyphen/>
              <w:t>informed thinking nevertheless helped us consider the impact of inconsistent care such as chaotic mornings and varied responses.</w:t>
            </w:r>
          </w:p>
          <w:p w14:paraId="2BFC3669" w14:textId="77777777" w:rsidR="00DF3B1F" w:rsidRPr="00DF3B1F" w:rsidRDefault="00DF3B1F" w:rsidP="00DF3B1F">
            <w:pPr>
              <w:spacing w:line="360" w:lineRule="auto"/>
              <w:ind w:firstLine="720"/>
              <w:rPr>
                <w:sz w:val="24"/>
                <w:szCs w:val="24"/>
              </w:rPr>
            </w:pPr>
            <w:r w:rsidRPr="00AB77B2">
              <w:rPr>
                <w:sz w:val="24"/>
                <w:szCs w:val="24"/>
              </w:rPr>
              <w:t>Neurodiversity affirming, trauma</w:t>
            </w:r>
            <w:r w:rsidRPr="00AB77B2">
              <w:rPr>
                <w:sz w:val="24"/>
                <w:szCs w:val="24"/>
              </w:rPr>
              <w:noBreakHyphen/>
              <w:t>informed practice recognised that challenging behaviour can be communicative of signalling unmet needs for example, sensory overload or anxiety. “Non</w:t>
            </w:r>
            <w:r w:rsidRPr="00AB77B2">
              <w:rPr>
                <w:sz w:val="24"/>
                <w:szCs w:val="24"/>
              </w:rPr>
              <w:noBreakHyphen/>
              <w:t>compliance” was reframed as a stress response and focused on environmental adaptations such as visual schedules and a quiet space. Strengths</w:t>
            </w:r>
            <w:r w:rsidRPr="00AB77B2">
              <w:rPr>
                <w:sz w:val="24"/>
                <w:szCs w:val="24"/>
              </w:rPr>
              <w:noBreakHyphen/>
              <w:t>based practice was utilised to identify capabilities and child 1’s interest in technology and YouTube videos. This practice was utilised to assess Mr A’s feelings toward his child, supportive family members, although there were none, in order build on them to achieve “what matters” outcomes (SSWBA, 2014).</w:t>
            </w:r>
          </w:p>
          <w:p w14:paraId="05C01844" w14:textId="77777777" w:rsidR="00DF3B1F" w:rsidRPr="00DF3B1F" w:rsidRDefault="00DF3B1F" w:rsidP="00DF3B1F">
            <w:pPr>
              <w:spacing w:line="360" w:lineRule="auto"/>
              <w:ind w:firstLine="720"/>
              <w:rPr>
                <w:sz w:val="24"/>
                <w:szCs w:val="24"/>
              </w:rPr>
            </w:pPr>
            <w:r w:rsidRPr="00AB77B2">
              <w:rPr>
                <w:sz w:val="24"/>
                <w:szCs w:val="24"/>
              </w:rPr>
              <w:t xml:space="preserve">Following on from the investigation, health services confirmed that Mr A was not following their advice surrounding child 1’s dietary requirements, and behaviour management plans. Child 1’s BMI showed as obese and it was essential to change their diet to ensure a healthy diet and no complications arose from such an unhealthy diet. Family support worker from children’s services confirmed that Mr A is not taking on advice and guidance surrounding child 1’s basic needs, and boundary implementation, citing excuse after excuse as to why Mr A would not change his lack of care. Education services also confirmed that there was no change to child 1’s behaviour and presentation despite the ongoing support provided in the home. Home visits completed by the Social Worker also confirmed that dietary needs were not being fulfilled, home conditions were dirty and inappropriate for Child 1, and Mr A lacked the understanding of the concerns being raised by professionals. Mr A continued to state that child 1 was </w:t>
            </w:r>
            <w:r w:rsidRPr="00DF3B1F">
              <w:rPr>
                <w:sz w:val="24"/>
                <w:szCs w:val="24"/>
              </w:rPr>
              <w:t>‘</w:t>
            </w:r>
            <w:r w:rsidRPr="00AB77B2">
              <w:rPr>
                <w:sz w:val="24"/>
                <w:szCs w:val="24"/>
              </w:rPr>
              <w:t>absolutely fine</w:t>
            </w:r>
            <w:r w:rsidRPr="00DF3B1F">
              <w:rPr>
                <w:sz w:val="24"/>
                <w:szCs w:val="24"/>
              </w:rPr>
              <w:t>’</w:t>
            </w:r>
            <w:r w:rsidRPr="00AB77B2">
              <w:rPr>
                <w:sz w:val="24"/>
                <w:szCs w:val="24"/>
              </w:rPr>
              <w:t xml:space="preserve">, there was nothing </w:t>
            </w:r>
            <w:r w:rsidRPr="00AB77B2">
              <w:rPr>
                <w:sz w:val="24"/>
                <w:szCs w:val="24"/>
              </w:rPr>
              <w:lastRenderedPageBreak/>
              <w:t xml:space="preserve">wrong with the care he was providing and continued to cite that ‘in his day’ there was nothing provided for him only </w:t>
            </w:r>
            <w:proofErr w:type="gramStart"/>
            <w:r w:rsidRPr="00AB77B2">
              <w:rPr>
                <w:sz w:val="24"/>
                <w:szCs w:val="24"/>
              </w:rPr>
              <w:t>bare essentials</w:t>
            </w:r>
            <w:proofErr w:type="gramEnd"/>
            <w:r w:rsidRPr="00AB77B2">
              <w:rPr>
                <w:sz w:val="24"/>
                <w:szCs w:val="24"/>
              </w:rPr>
              <w:t xml:space="preserve"> and that child 1 was well looked after.</w:t>
            </w:r>
          </w:p>
          <w:p w14:paraId="356F8C12" w14:textId="77777777" w:rsidR="00DF3B1F" w:rsidRPr="00DF3B1F" w:rsidRDefault="00DF3B1F" w:rsidP="00DF3B1F">
            <w:pPr>
              <w:spacing w:line="360" w:lineRule="auto"/>
              <w:ind w:firstLine="720"/>
              <w:rPr>
                <w:sz w:val="24"/>
                <w:szCs w:val="24"/>
              </w:rPr>
            </w:pPr>
            <w:r w:rsidRPr="00AB77B2">
              <w:rPr>
                <w:sz w:val="24"/>
                <w:szCs w:val="24"/>
              </w:rPr>
              <w:t>Ultimately, there were several hypotheses to unpick surrounding this family. Primary hypothesis was neglect through omission. Not wilful harm, but cumulative, unmet physical and developmental needs arising from Mr A being overwhelmed, limited understanding of disability and carer vulnerabilities i.e. Mr A’s age and related health concerns, and excessive alcohol consumption. Secondly, behaviour as communication. Child 1 demonstrated behaviours that could be considered as stress responses or responses to unpredictable routines and boundaries.</w:t>
            </w:r>
          </w:p>
          <w:p w14:paraId="135D5E31" w14:textId="77777777" w:rsidR="00DF3B1F" w:rsidRPr="00DF3B1F" w:rsidRDefault="00DF3B1F" w:rsidP="00DF3B1F">
            <w:pPr>
              <w:spacing w:line="360" w:lineRule="auto"/>
              <w:ind w:firstLine="720"/>
              <w:rPr>
                <w:sz w:val="24"/>
                <w:szCs w:val="24"/>
              </w:rPr>
            </w:pPr>
            <w:r w:rsidRPr="00AB77B2">
              <w:rPr>
                <w:sz w:val="24"/>
                <w:szCs w:val="24"/>
              </w:rPr>
              <w:t>Applying Working Together to Safeguard People thresholds and Wales Safeguarding Procedures, the strategy meeting concluded that S47 enquiries were appropriate and subsequently recommended a Child Protection Conference under the category of neglect. The plan focused on immediate safety and health, practical help within the home, and education and coaching to build Father’s insight and capacity, reflecting the least intrusive options consistent with necessity and proportionality under Human Rights Act, Article 8 (1998).</w:t>
            </w:r>
          </w:p>
          <w:p w14:paraId="7FF3347F" w14:textId="77777777" w:rsidR="00DF3B1F" w:rsidRPr="00DF3B1F" w:rsidRDefault="00DF3B1F" w:rsidP="00DF3B1F">
            <w:pPr>
              <w:spacing w:line="360" w:lineRule="auto"/>
              <w:ind w:firstLine="720"/>
              <w:rPr>
                <w:sz w:val="24"/>
                <w:szCs w:val="24"/>
              </w:rPr>
            </w:pPr>
            <w:r w:rsidRPr="00AB77B2">
              <w:rPr>
                <w:sz w:val="24"/>
                <w:szCs w:val="24"/>
              </w:rPr>
              <w:t xml:space="preserve">The Initial Child Protection Conference (ICPC) was convened under the Wales Safeguarding Procedures. Agencies presented evidence, Child 1’s views were shared via visuals and an advocate. Mr A attended </w:t>
            </w:r>
            <w:r w:rsidRPr="00DF3B1F">
              <w:rPr>
                <w:sz w:val="24"/>
                <w:szCs w:val="24"/>
              </w:rPr>
              <w:t>ICPC</w:t>
            </w:r>
            <w:r w:rsidRPr="00AB77B2">
              <w:rPr>
                <w:sz w:val="24"/>
                <w:szCs w:val="24"/>
              </w:rPr>
              <w:t xml:space="preserve"> however, declined an independent advocate. The conference concluded that the threshold of significant harm through neglect was met, and Child 1 was made subject to a Child Protection (CP) Plan under the category of Neglect. Children’s services commissioned home support through the family support workers to support with meals, routines, boundaries and to implement health’s behaviour management plan, visiting the home three to four times a week. Mr A was referred for benefits advice, and community third sector services for his own well-being. Education implemented now and next boards and visual prompts to encourage positive communication with Child 1. Health continued to monitor child 1’s dietary needs, weight, and behaviours within the home. This partnership working reflects Welsh expectations of collaboration and integration across public services under the Well</w:t>
            </w:r>
            <w:r w:rsidRPr="00AB77B2">
              <w:rPr>
                <w:sz w:val="24"/>
                <w:szCs w:val="24"/>
              </w:rPr>
              <w:noBreakHyphen/>
              <w:t xml:space="preserve">being Act (2014) and Working Together to Safeguard People. Some partners hesitated to share detailed information or written documents required. We used the ICO safeguarding guidance to evidence lawful sharing </w:t>
            </w:r>
            <w:r w:rsidRPr="00AB77B2">
              <w:rPr>
                <w:sz w:val="24"/>
                <w:szCs w:val="24"/>
              </w:rPr>
              <w:lastRenderedPageBreak/>
              <w:t>and to promote proportionality. Clear logs were kept of what was shared and why. The result was improved timeliness and completeness of multi</w:t>
            </w:r>
            <w:r w:rsidRPr="00AB77B2">
              <w:rPr>
                <w:sz w:val="24"/>
                <w:szCs w:val="24"/>
              </w:rPr>
              <w:noBreakHyphen/>
              <w:t>agency information which is a known weakness in serious case reviews when absent.</w:t>
            </w:r>
          </w:p>
          <w:p w14:paraId="3031DCE8" w14:textId="77777777" w:rsidR="00DF3B1F" w:rsidRPr="00DF3B1F" w:rsidRDefault="00DF3B1F" w:rsidP="00DF3B1F">
            <w:pPr>
              <w:spacing w:line="360" w:lineRule="auto"/>
              <w:ind w:firstLine="720"/>
              <w:rPr>
                <w:sz w:val="24"/>
                <w:szCs w:val="24"/>
              </w:rPr>
            </w:pPr>
            <w:r w:rsidRPr="00AB77B2">
              <w:rPr>
                <w:sz w:val="24"/>
                <w:szCs w:val="24"/>
              </w:rPr>
              <w:t>Balancing child protection with support to an overwhelmed, older carer required careful judgement. Evidence met the significant harm threshold due to cumulative neglect, but the primary drivers appeared to be carer capacity and insight limits and limited disability awareness rather than deliberate harm. Guided by Working Together to Safeguard People and Wales Safeguarding Procedures, a Child Protection Plan with intensive support was implemented rather than immediate court action which is the least intrusive effective measure consistent with HRA Article 8 proportionality. A further tension lay in ensuring meaningful participation from a child with additional learning needs. It is ethically and legally insufficient to “note” a child’s disability as a barrier; the duty, reinforced by the Rights Measure 2011, is to adapt processes so the child can be heard. Over time, this became easier to complete through gaining further understanding of Child 1 and how they communicate. Mr A’s age, health and grief history elicited practitioner empathy; however, compassion cannot dilute safeguarding vigilance. Advocacy and reasonable adjustments were offered, however, maintained clear expectations and review points. This balanced care for the carer with accountability to Child 1’s safety and well</w:t>
            </w:r>
            <w:r w:rsidRPr="00AB77B2">
              <w:rPr>
                <w:sz w:val="24"/>
                <w:szCs w:val="24"/>
              </w:rPr>
              <w:noBreakHyphen/>
              <w:t>being. Professional judgement required confidence to lead with the ICO’s clear position that data protection is not a barrier to justified safeguarding sharing. There is ethical risk in pathologising neurodivergent behaviour or attributing neglect solely to disability. Approaches specifically used for neurodivergence were used, seeing behaviour as communication, prioritising environmental adjustments, and enhancing predictability. The neglect formulation rested on unmet basic needs and cumulative harm, not on disability per se; equally, supports were designed to enable parenting rather than stigmatise.</w:t>
            </w:r>
          </w:p>
          <w:p w14:paraId="03F471FF" w14:textId="77777777" w:rsidR="00DF3B1F" w:rsidRPr="00DF3B1F" w:rsidRDefault="00DF3B1F" w:rsidP="00DF3B1F">
            <w:pPr>
              <w:spacing w:line="360" w:lineRule="auto"/>
              <w:ind w:firstLine="720"/>
              <w:rPr>
                <w:sz w:val="24"/>
                <w:szCs w:val="24"/>
              </w:rPr>
            </w:pPr>
            <w:r w:rsidRPr="00AB77B2">
              <w:rPr>
                <w:sz w:val="24"/>
                <w:szCs w:val="24"/>
              </w:rPr>
              <w:t>However, following on from the CP plan, a review ICPC was convened. At the Review Conference, held in accordance with the Wales Safeguarding Procedures (2019), agencies presented updated assessments on Child 1’s well</w:t>
            </w:r>
            <w:r w:rsidRPr="00AB77B2">
              <w:rPr>
                <w:sz w:val="24"/>
                <w:szCs w:val="24"/>
              </w:rPr>
              <w:noBreakHyphen/>
              <w:t>being, safety and developmental progress. Despite early improvements in school</w:t>
            </w:r>
            <w:r w:rsidRPr="00AB77B2">
              <w:rPr>
                <w:sz w:val="24"/>
                <w:szCs w:val="24"/>
              </w:rPr>
              <w:noBreakHyphen/>
              <w:t xml:space="preserve">based routines and increased professional involvement, the evidence demonstrated insufficient and inconsistent change within the home environment. Essential components of the Child Protection Plan </w:t>
            </w:r>
            <w:r w:rsidRPr="00AB77B2">
              <w:rPr>
                <w:sz w:val="24"/>
                <w:szCs w:val="24"/>
              </w:rPr>
              <w:lastRenderedPageBreak/>
              <w:t>had not been sustained, particularly regarding Mr A’s alcohol consumption, now demonstrating through official tests that consumption was excessive. Child 1’s presentation had not changed, clothes unkempt, dirty fingernails without education involvement. Dietary requirements had not changed, child 1 was still eating takeaway everyday despite Mr A having the knowledge and means to make healthy food for child 1. Child 1’s behaviour, although somewhat better, behaviour was unchanged within the home environment. Mr A lacked insight into the harm that he was inflicting upon child 1 without clear boundaries, routines and guidance within the home. The multi</w:t>
            </w:r>
            <w:r w:rsidRPr="00AB77B2">
              <w:rPr>
                <w:sz w:val="24"/>
                <w:szCs w:val="24"/>
              </w:rPr>
              <w:noBreakHyphen/>
              <w:t>agency judgement was that Child 1 remained at ongoing risk of significant harm due to chronic neglect, exacerbated by father’s health, limited insight, and inability to make changes despite multi</w:t>
            </w:r>
            <w:r w:rsidRPr="00AB77B2">
              <w:rPr>
                <w:sz w:val="24"/>
                <w:szCs w:val="24"/>
              </w:rPr>
              <w:noBreakHyphen/>
              <w:t>agency support. The Conference therefore continued Child 1’s name on the Child Protection Register (Neglect) and recommended that the local authority seek legal advice regarding escalating concerns.</w:t>
            </w:r>
          </w:p>
          <w:p w14:paraId="53C60293" w14:textId="77777777" w:rsidR="00DF3B1F" w:rsidRPr="00DF3B1F" w:rsidRDefault="00DF3B1F" w:rsidP="00DF3B1F">
            <w:pPr>
              <w:spacing w:line="360" w:lineRule="auto"/>
              <w:ind w:firstLine="720"/>
              <w:rPr>
                <w:sz w:val="24"/>
                <w:szCs w:val="24"/>
              </w:rPr>
            </w:pPr>
            <w:r w:rsidRPr="00AB77B2">
              <w:rPr>
                <w:sz w:val="24"/>
                <w:szCs w:val="24"/>
              </w:rPr>
              <w:t>A Legal Planning Meeting (LPM) was convened under local authority procedures, informed by Children Act 1989 thresholds (“the child is suffering, or is likely to suffer, significant harm”). The LPM concluded that while support had been offered, risk was not reducing to a safe level, and Mr A’s capacity to change within the “child’s timescale” was limited. This aligns with the requirement for local authorities in Wales to consider the child’s developmental timescales, not the adult’s ability to change at a slower pace. Under guidance, the local authority initiated the Public Law Outline (PLO) process, issuing a Letter Before Proceedings to Mr A, offering legal representation and setting out clear expectations, including, consistent daily care (hygiene, nutrition, routines), not to be under the influence whilst caring for a minor, engagement with services, and attendance at all meetings. Despite additional support, Mr A was unable to implement or sustain the required changes. His vulnerabilities (age, health, insight) meant the caring role was beyond his capacity.</w:t>
            </w:r>
          </w:p>
          <w:p w14:paraId="6E5DB16B" w14:textId="77777777" w:rsidR="00DF3B1F" w:rsidRPr="00DF3B1F" w:rsidRDefault="00DF3B1F" w:rsidP="00DF3B1F">
            <w:pPr>
              <w:spacing w:line="360" w:lineRule="auto"/>
              <w:ind w:firstLine="720"/>
              <w:rPr>
                <w:sz w:val="24"/>
                <w:szCs w:val="24"/>
              </w:rPr>
            </w:pPr>
            <w:r w:rsidRPr="00AB77B2">
              <w:rPr>
                <w:sz w:val="24"/>
                <w:szCs w:val="24"/>
              </w:rPr>
              <w:t xml:space="preserve">Given ongoing concerns and further deterioration in child 1’s well-being, the local authority issued care proceedings under s.31 of the Children Act 1989, Part 6 of SSWBA (2014) supported by evidence demonstrating ongoing significant harm through neglect. The Children’s Guardian’s assessment also highlighted that Child 1 required a safe, predictable caregiving environment, which Mr A could not reliably provide. At the first hearing, the court granted an Interim Care Order (ICO). Child 1 was placed in local authority foster care. The placement was guided by SSWBA duties to promote well-being and stability, and child 1’s </w:t>
            </w:r>
            <w:r w:rsidRPr="00AB77B2">
              <w:rPr>
                <w:sz w:val="24"/>
                <w:szCs w:val="24"/>
              </w:rPr>
              <w:lastRenderedPageBreak/>
              <w:t>additional needs. Child 1 transitioned into care with a detailed placement plan, social story, updated communication passport and sensory regulation tools.</w:t>
            </w:r>
          </w:p>
          <w:p w14:paraId="1B6C44EB" w14:textId="77777777" w:rsidR="00DF3B1F" w:rsidRPr="00DF3B1F" w:rsidRDefault="00DF3B1F" w:rsidP="00DF3B1F">
            <w:pPr>
              <w:spacing w:line="360" w:lineRule="auto"/>
              <w:ind w:firstLine="720"/>
              <w:rPr>
                <w:sz w:val="24"/>
                <w:szCs w:val="24"/>
              </w:rPr>
            </w:pPr>
            <w:r w:rsidRPr="00AB77B2">
              <w:rPr>
                <w:sz w:val="24"/>
                <w:szCs w:val="24"/>
              </w:rPr>
              <w:t>Within the first six weeks in foster care, professionals noted a marked improvement in hygiene, consistent clothing and nutrition. Reduction in meltdowns, improved sleep, lowered BMI due to healthy eating. Positive attachment behaviours emerging with foster carers. Education reported increased engagement and emotional regulation.</w:t>
            </w:r>
            <w:r w:rsidRPr="00DF3B1F">
              <w:rPr>
                <w:sz w:val="24"/>
                <w:szCs w:val="24"/>
              </w:rPr>
              <w:t xml:space="preserve"> </w:t>
            </w:r>
            <w:r w:rsidRPr="00AB77B2">
              <w:rPr>
                <w:sz w:val="24"/>
                <w:szCs w:val="24"/>
              </w:rPr>
              <w:t>Mr A attended contact sessions consistently but struggled to demonstrate capacity to meet Child 1’s complex needs. A carer’s assessment under SSWBA identified unmet needs and recommended ongoing support for Mr A’s own well</w:t>
            </w:r>
            <w:r w:rsidRPr="00AB77B2">
              <w:rPr>
                <w:sz w:val="24"/>
                <w:szCs w:val="24"/>
              </w:rPr>
              <w:noBreakHyphen/>
              <w:t>being regardless of the court outcome.</w:t>
            </w:r>
          </w:p>
          <w:p w14:paraId="239CA657" w14:textId="77777777" w:rsidR="00DF3B1F" w:rsidRPr="00DF3B1F" w:rsidRDefault="00DF3B1F" w:rsidP="00DF3B1F">
            <w:pPr>
              <w:spacing w:line="360" w:lineRule="auto"/>
              <w:ind w:firstLine="720"/>
              <w:rPr>
                <w:sz w:val="24"/>
                <w:szCs w:val="24"/>
              </w:rPr>
            </w:pPr>
            <w:r w:rsidRPr="00AB77B2">
              <w:rPr>
                <w:sz w:val="24"/>
                <w:szCs w:val="24"/>
              </w:rPr>
              <w:t>This outcome, removal from home under an ICO reflects a lawful, proportionate response where chronic neglect persisted despite extensive support, and aligns with, Children Act 1989 (significant harm threshold); Working Together to Safeguard People (managing individual child cases); Wales Safeguarding Procedures (continued risk → legal remedy); Well</w:t>
            </w:r>
            <w:r w:rsidRPr="00AB77B2">
              <w:rPr>
                <w:sz w:val="24"/>
                <w:szCs w:val="24"/>
              </w:rPr>
              <w:noBreakHyphen/>
              <w:t>being Act (long</w:t>
            </w:r>
            <w:r w:rsidRPr="00AB77B2">
              <w:rPr>
                <w:sz w:val="24"/>
                <w:szCs w:val="24"/>
              </w:rPr>
              <w:noBreakHyphen/>
              <w:t>term safety; prevention of further harm). It demonstrates the difficult professional judgement required when balancing family support with child protection, ensuring decisions are made within the child’s developmental timescale.</w:t>
            </w:r>
          </w:p>
          <w:p w14:paraId="4BA62F92" w14:textId="77777777" w:rsidR="00DF3B1F" w:rsidRPr="00DF3B1F" w:rsidRDefault="00DF3B1F" w:rsidP="00DF3B1F">
            <w:pPr>
              <w:spacing w:line="360" w:lineRule="auto"/>
              <w:ind w:firstLine="720"/>
              <w:rPr>
                <w:sz w:val="24"/>
                <w:szCs w:val="24"/>
              </w:rPr>
            </w:pPr>
            <w:r w:rsidRPr="00AB77B2">
              <w:rPr>
                <w:sz w:val="24"/>
                <w:szCs w:val="24"/>
              </w:rPr>
              <w:t>Wales Safeguarding Procedures and Working Together to Safeguard People gave clarity of pathway, roles and timescales; they also helped maintain focus on the child’s needs rather than service boundaries. Standardisation across agencies facilitated shared thresholds and expectations. A rights</w:t>
            </w:r>
            <w:r w:rsidRPr="00AB77B2">
              <w:rPr>
                <w:sz w:val="24"/>
                <w:szCs w:val="24"/>
              </w:rPr>
              <w:noBreakHyphen/>
              <w:t>led, trauma</w:t>
            </w:r>
            <w:r w:rsidRPr="00AB77B2">
              <w:rPr>
                <w:sz w:val="24"/>
                <w:szCs w:val="24"/>
              </w:rPr>
              <w:noBreakHyphen/>
              <w:t>informed approach with careful consideration of neurodiversity reframed behaviour as communication, prompting environmental and sensory adaptations and predictable routines, rather than compliance demands. This respected Child 1’s autonomy and built co</w:t>
            </w:r>
            <w:r w:rsidRPr="00AB77B2">
              <w:rPr>
                <w:sz w:val="24"/>
                <w:szCs w:val="24"/>
              </w:rPr>
              <w:noBreakHyphen/>
              <w:t>regulation capacity. The Well</w:t>
            </w:r>
            <w:r w:rsidRPr="00AB77B2">
              <w:rPr>
                <w:sz w:val="24"/>
                <w:szCs w:val="24"/>
              </w:rPr>
              <w:noBreakHyphen/>
              <w:t>being Act’s five ways of working were supportive in this case. Prevention of further deterioration within the home was intense support daily was provided. Collaboration was completed during core group and ICPC. Integration, where all services worked together to complete and implement the care plan. Involvement, both child 1 and Mr A were involved in all aspects of child 1’s care. Long</w:t>
            </w:r>
            <w:r w:rsidRPr="00AB77B2">
              <w:rPr>
                <w:sz w:val="24"/>
                <w:szCs w:val="24"/>
              </w:rPr>
              <w:noBreakHyphen/>
              <w:t xml:space="preserve">term care was developed throughout the planning procedures for child 1. Information sharing succeeded as ICO guidance was used to reassure partners about lawfulness and necessity. This addressed a common barrier in safeguarding, which is fear of “getting GDPR wrong (ICO 2023)”. Practical support via the </w:t>
            </w:r>
            <w:r w:rsidRPr="00AB77B2">
              <w:rPr>
                <w:sz w:val="24"/>
                <w:szCs w:val="24"/>
              </w:rPr>
              <w:lastRenderedPageBreak/>
              <w:t>family support worker within the home addressed drivers of neglect as insight building alone did not work.</w:t>
            </w:r>
          </w:p>
          <w:p w14:paraId="417BD752" w14:textId="77777777" w:rsidR="00DF3B1F" w:rsidRPr="00DF3B1F" w:rsidRDefault="00DF3B1F" w:rsidP="00DF3B1F">
            <w:pPr>
              <w:spacing w:line="360" w:lineRule="auto"/>
              <w:ind w:firstLine="720"/>
              <w:rPr>
                <w:sz w:val="24"/>
                <w:szCs w:val="24"/>
              </w:rPr>
            </w:pPr>
            <w:r w:rsidRPr="00AB77B2">
              <w:rPr>
                <w:sz w:val="24"/>
                <w:szCs w:val="24"/>
              </w:rPr>
              <w:t>Once removed under an ICO, the legal framework for the child’s day</w:t>
            </w:r>
            <w:r w:rsidRPr="00AB77B2">
              <w:rPr>
                <w:sz w:val="24"/>
                <w:szCs w:val="24"/>
              </w:rPr>
              <w:noBreakHyphen/>
              <w:t>to</w:t>
            </w:r>
            <w:r w:rsidRPr="00AB77B2">
              <w:rPr>
                <w:sz w:val="24"/>
                <w:szCs w:val="24"/>
              </w:rPr>
              <w:noBreakHyphen/>
              <w:t>day care in Wales is Part 6 of the Social Services and Well</w:t>
            </w:r>
            <w:r w:rsidRPr="00AB77B2">
              <w:rPr>
                <w:sz w:val="24"/>
                <w:szCs w:val="24"/>
              </w:rPr>
              <w:noBreakHyphen/>
              <w:t>being (Wales) Act 2014, not the Children Act. Part 6 sets out duties on care and support planning, placements, reviews and the IRO role, supported by the Part 6 Code of Practice. In Wales, s76 SSWBA is the voluntary accommodation route (the Wales replacement for CA 1989 s.20), whereas compulsory removal flows from court orders under the Children Act and then the looked</w:t>
            </w:r>
            <w:r w:rsidRPr="00AB77B2">
              <w:rPr>
                <w:sz w:val="24"/>
                <w:szCs w:val="24"/>
              </w:rPr>
              <w:noBreakHyphen/>
              <w:t>after regimen is governed by Part 6. Locating the child’s plan within Part 6 ensured health and education continuity, placement suitability and regular reviews by the Independent Reviewing Officer (IRO), all of which are mandatory requirements in Wales.</w:t>
            </w:r>
          </w:p>
          <w:p w14:paraId="4700321D" w14:textId="77777777" w:rsidR="00DF3B1F" w:rsidRPr="00DF3B1F" w:rsidRDefault="00DF3B1F" w:rsidP="00DF3B1F">
            <w:pPr>
              <w:spacing w:line="360" w:lineRule="auto"/>
              <w:ind w:firstLine="720"/>
              <w:rPr>
                <w:sz w:val="24"/>
                <w:szCs w:val="24"/>
              </w:rPr>
            </w:pPr>
            <w:r w:rsidRPr="00AB77B2">
              <w:rPr>
                <w:sz w:val="24"/>
                <w:szCs w:val="24"/>
              </w:rPr>
              <w:t>It was difficult to balance proportionality and risk, and resisted the urge to seek court orders initially, choosing instead an intensive CP plan. This less intrusive option allowed for Mr A to demonstrate whether he had the capacity to sustain change whilst also having the option for legal proceedings in the background. This escalation illustrates calibrated professional judgement, pursuing the least intrusive route first (Child Protection Plan with intensive help) and escalated only when change did not occur in the child’s timescale, aligning with Article 8 ECHR/HRA proportionality and Welsh guidance on managing individual cases. In hindsight, an earlier Legal Planning Meeting could have been convened once the first review indicators showed little change, to test PLO sooner against the child’s developmental timescale.</w:t>
            </w:r>
          </w:p>
          <w:p w14:paraId="6D8F6DC1" w14:textId="77777777" w:rsidR="00DF3B1F" w:rsidRPr="00DF3B1F" w:rsidRDefault="00DF3B1F" w:rsidP="00DF3B1F">
            <w:pPr>
              <w:spacing w:line="360" w:lineRule="auto"/>
              <w:ind w:firstLine="720"/>
              <w:rPr>
                <w:sz w:val="24"/>
                <w:szCs w:val="24"/>
              </w:rPr>
            </w:pPr>
            <w:r w:rsidRPr="00AB77B2">
              <w:rPr>
                <w:sz w:val="24"/>
                <w:szCs w:val="24"/>
              </w:rPr>
              <w:t>It would have been easy to accept “communication difficulties” as a reason not to elicit views from child 1. Instead, methods were adapted by utilising visuals and now and next boards to ascertain child 1’s views, wishes and feelings. Mr A’s love for child 1 and grief for his wife were considered while holding clear boundaries about acceptable care. Advocacy and reasonable adjustments are ethically right and effective, however, they do not lower the standard of safety.</w:t>
            </w:r>
          </w:p>
          <w:p w14:paraId="3272828B" w14:textId="77777777" w:rsidR="00DF3B1F" w:rsidRPr="00DF3B1F" w:rsidRDefault="00DF3B1F" w:rsidP="00DF3B1F">
            <w:pPr>
              <w:spacing w:line="360" w:lineRule="auto"/>
              <w:ind w:firstLine="720"/>
              <w:rPr>
                <w:sz w:val="24"/>
                <w:szCs w:val="24"/>
              </w:rPr>
            </w:pPr>
            <w:r w:rsidRPr="00AB77B2">
              <w:rPr>
                <w:sz w:val="24"/>
                <w:szCs w:val="24"/>
              </w:rPr>
              <w:t xml:space="preserve">Checking language preference and providing plain English plus pictorial resources reflected Social Care Wales expectations of dignity and rights, and the Welsh policy culture of participation (Social Care Wales, 2023). Explicitly tying plan elements to the seven goals (e.g., A Healthier Wales, A More Equal Wales, Cohesive Communities) made it easier to </w:t>
            </w:r>
            <w:r w:rsidRPr="00AB77B2">
              <w:rPr>
                <w:sz w:val="24"/>
                <w:szCs w:val="24"/>
              </w:rPr>
              <w:lastRenderedPageBreak/>
              <w:t>gain housing and carer</w:t>
            </w:r>
            <w:r w:rsidRPr="00AB77B2">
              <w:rPr>
                <w:sz w:val="24"/>
                <w:szCs w:val="24"/>
              </w:rPr>
              <w:noBreakHyphen/>
              <w:t>support cooperation; it positioned the case as part of wider public service objectives, not “just social care (Welsh Government, 2015).”</w:t>
            </w:r>
          </w:p>
          <w:p w14:paraId="6E06EB08" w14:textId="77777777" w:rsidR="00DF3B1F" w:rsidRPr="00DF3B1F" w:rsidRDefault="00DF3B1F" w:rsidP="00DF3B1F">
            <w:pPr>
              <w:spacing w:line="360" w:lineRule="auto"/>
              <w:ind w:firstLine="720"/>
              <w:rPr>
                <w:sz w:val="24"/>
                <w:szCs w:val="24"/>
              </w:rPr>
            </w:pPr>
            <w:r w:rsidRPr="00AB77B2">
              <w:rPr>
                <w:sz w:val="24"/>
                <w:szCs w:val="24"/>
              </w:rPr>
              <w:t>Structured neglect tools need to incorporate and adapted to disabled children to assess risk, in order to complement professional judgement and improve consistency across practitioners. Further improvements to support disabled children are disability specific parenting support. This is something that is not available in this county, and an expansion to assess autism informed parenting programmes with practical home-based support may have greatly increased Mr A’s support and potentially could have been provided whilst child 1 was much younger. Further improvement surrounded Mr A receiving a carer’s assessment under the SSWBA (2014) earlier in the care plan, given the increased caring load when a child has a disability or learning needs.</w:t>
            </w:r>
          </w:p>
          <w:p w14:paraId="1A737843" w14:textId="7A6B3B32" w:rsidR="00DF3B1F" w:rsidRPr="00DF3B1F" w:rsidRDefault="00DF3B1F" w:rsidP="00DF3B1F">
            <w:pPr>
              <w:spacing w:line="360" w:lineRule="auto"/>
              <w:ind w:firstLine="720"/>
              <w:rPr>
                <w:sz w:val="24"/>
                <w:szCs w:val="24"/>
              </w:rPr>
            </w:pPr>
            <w:r w:rsidRPr="00AB77B2">
              <w:rPr>
                <w:sz w:val="24"/>
                <w:szCs w:val="24"/>
              </w:rPr>
              <w:t>Day</w:t>
            </w:r>
            <w:r w:rsidRPr="00AB77B2">
              <w:rPr>
                <w:sz w:val="24"/>
                <w:szCs w:val="24"/>
              </w:rPr>
              <w:noBreakHyphen/>
              <w:t>to</w:t>
            </w:r>
            <w:r w:rsidRPr="00AB77B2">
              <w:rPr>
                <w:sz w:val="24"/>
                <w:szCs w:val="24"/>
              </w:rPr>
              <w:noBreakHyphen/>
              <w:t>day duties for looked</w:t>
            </w:r>
            <w:r w:rsidRPr="00AB77B2">
              <w:rPr>
                <w:sz w:val="24"/>
                <w:szCs w:val="24"/>
              </w:rPr>
              <w:noBreakHyphen/>
              <w:t>after and accommodated children sit in Part 6 SSWBA (care and support planning; placements; contact; IRO reviews; leaving care) and its Code of Practice. These provisions replaced Children Act 1989 Part III in Wales; for example, s.76 SSWBA is the Wales</w:t>
            </w:r>
            <w:r w:rsidRPr="00AB77B2">
              <w:rPr>
                <w:sz w:val="24"/>
                <w:szCs w:val="24"/>
              </w:rPr>
              <w:noBreakHyphen/>
              <w:t>specific route for voluntary accommodation that replaced s.20 CA 1989 in Wales. Authority to remove via care proceedings derives from the Children Act 1989: s.31 (threshold for care/supervision orders) and s.38 (Interim Care Orders). These provisions apply in Wales; once orders are made, the looked</w:t>
            </w:r>
            <w:r w:rsidRPr="00AB77B2">
              <w:rPr>
                <w:sz w:val="24"/>
                <w:szCs w:val="24"/>
              </w:rPr>
              <w:noBreakHyphen/>
              <w:t>after regime switches to SSWBA Part 6 for ongoing care/placement/review. Multi</w:t>
            </w:r>
            <w:r w:rsidRPr="00AB77B2">
              <w:rPr>
                <w:sz w:val="24"/>
                <w:szCs w:val="24"/>
              </w:rPr>
              <w:noBreakHyphen/>
              <w:t>agency safeguarding practice remains under Working Together to Safeguard People (Vol. 5) and the Wales Safeguarding Procedures (2019), overseen by Regional Safeguarding Boards. Human Rights Act 1998/ECHR (especially Article 8) governs proportionality and necessity, the court’s interim and final decisions weigh family life against protection from significant harm. The ECHR is a Council of Europe instrument, not an EU law. It therefore remains applicable post</w:t>
            </w:r>
            <w:r w:rsidRPr="00AB77B2">
              <w:rPr>
                <w:sz w:val="24"/>
                <w:szCs w:val="24"/>
              </w:rPr>
              <w:noBreakHyphen/>
              <w:t xml:space="preserve">Brexit and continues to underpin rights analysis in Welsh children’s cases. Safeguarding law in the EU is largely coordinated through EU civil cooperation instruments such as Brussels </w:t>
            </w:r>
            <w:proofErr w:type="spellStart"/>
            <w:r w:rsidRPr="00AB77B2">
              <w:rPr>
                <w:sz w:val="24"/>
                <w:szCs w:val="24"/>
              </w:rPr>
              <w:t>IIa</w:t>
            </w:r>
            <w:proofErr w:type="spellEnd"/>
            <w:r w:rsidRPr="00AB77B2">
              <w:rPr>
                <w:sz w:val="24"/>
                <w:szCs w:val="24"/>
              </w:rPr>
              <w:t xml:space="preserve"> (now Brussels </w:t>
            </w:r>
            <w:proofErr w:type="spellStart"/>
            <w:r w:rsidRPr="00AB77B2">
              <w:rPr>
                <w:sz w:val="24"/>
                <w:szCs w:val="24"/>
              </w:rPr>
              <w:t>IIter</w:t>
            </w:r>
            <w:proofErr w:type="spellEnd"/>
            <w:r w:rsidRPr="00AB77B2">
              <w:rPr>
                <w:sz w:val="24"/>
                <w:szCs w:val="24"/>
              </w:rPr>
              <w:t>), which harmonise jurisdiction, recognition and enforcement of parental responsibility decisions across member states and promote mutual trust between courts. In Wales, however, safeguarding is governed by devolved legislation — primarily Part 7 of the Social Services and Well</w:t>
            </w:r>
            <w:r w:rsidRPr="00AB77B2">
              <w:rPr>
                <w:sz w:val="24"/>
                <w:szCs w:val="24"/>
              </w:rPr>
              <w:noBreakHyphen/>
              <w:t xml:space="preserve">being (Wales) Act 2014 and the Wales Safeguarding Procedures, supported by UK child protection powers under the Children Act 1989. After Brexit, Wales </w:t>
            </w:r>
            <w:r w:rsidRPr="00AB77B2">
              <w:rPr>
                <w:sz w:val="24"/>
                <w:szCs w:val="24"/>
              </w:rPr>
              <w:lastRenderedPageBreak/>
              <w:t>no longer uses EU regulations for new cases; cross</w:t>
            </w:r>
            <w:r w:rsidRPr="00AB77B2">
              <w:rPr>
                <w:sz w:val="24"/>
                <w:szCs w:val="24"/>
              </w:rPr>
              <w:noBreakHyphen/>
              <w:t>border safeguarding instead relies on the 1996 Hague Convention, guided by Welsh Government’s “Key Steps” framework (Corlett, 2024).</w:t>
            </w:r>
          </w:p>
          <w:p w14:paraId="5AD95A9C" w14:textId="77777777" w:rsidR="00DF3B1F" w:rsidRPr="00DF3B1F" w:rsidRDefault="00DF3B1F" w:rsidP="00DF3B1F">
            <w:pPr>
              <w:spacing w:line="360" w:lineRule="auto"/>
              <w:ind w:firstLine="720"/>
              <w:rPr>
                <w:sz w:val="24"/>
                <w:szCs w:val="24"/>
              </w:rPr>
            </w:pPr>
            <w:r w:rsidRPr="00DF3B1F">
              <w:rPr>
                <w:sz w:val="24"/>
                <w:szCs w:val="24"/>
              </w:rPr>
              <w:t>In conclusion, t</w:t>
            </w:r>
            <w:r w:rsidRPr="00AB77B2">
              <w:rPr>
                <w:sz w:val="24"/>
                <w:szCs w:val="24"/>
              </w:rPr>
              <w:t>his case demonstrates how a rights</w:t>
            </w:r>
            <w:r w:rsidRPr="00AB77B2">
              <w:rPr>
                <w:sz w:val="24"/>
                <w:szCs w:val="24"/>
              </w:rPr>
              <w:noBreakHyphen/>
              <w:t>led, evidence</w:t>
            </w:r>
            <w:r w:rsidRPr="00AB77B2">
              <w:rPr>
                <w:sz w:val="24"/>
                <w:szCs w:val="24"/>
              </w:rPr>
              <w:noBreakHyphen/>
              <w:t>based and procedurally robust approach in Wales progresses from intensive support to court intervention when risk remains high. Early work aligned with Volume 5 and the Wales Safeguarding Procedures and was shaped by the Well</w:t>
            </w:r>
            <w:r w:rsidRPr="00AB77B2">
              <w:rPr>
                <w:sz w:val="24"/>
                <w:szCs w:val="24"/>
              </w:rPr>
              <w:noBreakHyphen/>
              <w:t>being Act’s preventative, collaborative ethos; however, the Review Conference established continuing significant harm, warranting escalation through PLO to care proceedings under the Children Act 1989 and an Interim Care Order.</w:t>
            </w:r>
          </w:p>
          <w:p w14:paraId="5F75FC52" w14:textId="77777777" w:rsidR="00DF3B1F" w:rsidRPr="00DF3B1F" w:rsidRDefault="00DF3B1F" w:rsidP="00DF3B1F">
            <w:pPr>
              <w:spacing w:line="360" w:lineRule="auto"/>
              <w:ind w:firstLine="720"/>
              <w:rPr>
                <w:sz w:val="24"/>
                <w:szCs w:val="24"/>
              </w:rPr>
            </w:pPr>
            <w:r w:rsidRPr="00AB77B2">
              <w:rPr>
                <w:sz w:val="24"/>
                <w:szCs w:val="24"/>
              </w:rPr>
              <w:t>Following removal, the child’s day</w:t>
            </w:r>
            <w:r w:rsidRPr="00AB77B2">
              <w:rPr>
                <w:sz w:val="24"/>
                <w:szCs w:val="24"/>
              </w:rPr>
              <w:noBreakHyphen/>
              <w:t>to</w:t>
            </w:r>
            <w:r w:rsidRPr="00AB77B2">
              <w:rPr>
                <w:sz w:val="24"/>
                <w:szCs w:val="24"/>
              </w:rPr>
              <w:noBreakHyphen/>
              <w:t>day planning moved correctly into SSWBA Part 6 (looked</w:t>
            </w:r>
            <w:r w:rsidRPr="00AB77B2">
              <w:rPr>
                <w:sz w:val="24"/>
                <w:szCs w:val="24"/>
              </w:rPr>
              <w:noBreakHyphen/>
              <w:t>after and accommodated children) and its Code of Practice, addressing placements, health and education, IRO reviews and contact, while the Well</w:t>
            </w:r>
            <w:r w:rsidRPr="00AB77B2">
              <w:rPr>
                <w:sz w:val="24"/>
                <w:szCs w:val="24"/>
              </w:rPr>
              <w:noBreakHyphen/>
              <w:t>being Act continued to influence how agencies worked together for long</w:t>
            </w:r>
            <w:r w:rsidRPr="00AB77B2">
              <w:rPr>
                <w:sz w:val="24"/>
                <w:szCs w:val="24"/>
              </w:rPr>
              <w:noBreakHyphen/>
              <w:t>term stability. Information sharing remained lawful and proportionate under UK GDPR/DPA, supported by ICO guidance.</w:t>
            </w:r>
          </w:p>
          <w:p w14:paraId="4C5DB3F9" w14:textId="77777777" w:rsidR="00DF3B1F" w:rsidRDefault="00DF3B1F" w:rsidP="00DF3B1F">
            <w:pPr>
              <w:spacing w:line="360" w:lineRule="auto"/>
              <w:ind w:firstLine="720"/>
              <w:rPr>
                <w:sz w:val="24"/>
                <w:szCs w:val="24"/>
              </w:rPr>
            </w:pPr>
            <w:r w:rsidRPr="00AB77B2">
              <w:rPr>
                <w:sz w:val="24"/>
                <w:szCs w:val="24"/>
              </w:rPr>
              <w:t>Professional learning includes but is not limited to, earlier legal planning when change stalls; swift translation into Part 6 care planning after removal; and sustained disability</w:t>
            </w:r>
            <w:r w:rsidRPr="00AB77B2">
              <w:rPr>
                <w:sz w:val="24"/>
                <w:szCs w:val="24"/>
              </w:rPr>
              <w:noBreakHyphen/>
              <w:t>informed supports for older carers in similar cases. Above all, decisions were taken within the child’s developmental timescale, applying ECHR Article 8 proportionality and Welsh safeguarding guidance to balance family life with protection from harm.</w:t>
            </w:r>
          </w:p>
          <w:p w14:paraId="49FEA858" w14:textId="77777777" w:rsidR="00DF3B1F" w:rsidRDefault="00DF3B1F" w:rsidP="00DF3B1F">
            <w:pPr>
              <w:spacing w:line="360" w:lineRule="auto"/>
              <w:rPr>
                <w:sz w:val="24"/>
                <w:szCs w:val="24"/>
              </w:rPr>
            </w:pPr>
          </w:p>
          <w:p w14:paraId="475A9F6A" w14:textId="033D2D08" w:rsidR="00DF3B1F" w:rsidRDefault="00DF3B1F" w:rsidP="00D2509D">
            <w:pPr>
              <w:spacing w:line="360" w:lineRule="auto"/>
              <w:rPr>
                <w:i/>
                <w:sz w:val="24"/>
                <w:szCs w:val="24"/>
              </w:rPr>
            </w:pPr>
            <w:r w:rsidRPr="00DF3B1F">
              <w:rPr>
                <w:b/>
                <w:bCs/>
                <w:sz w:val="24"/>
                <w:szCs w:val="24"/>
              </w:rPr>
              <w:t>Word Count- 4161</w:t>
            </w: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0E1F"/>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190A"/>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19BD"/>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509D"/>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3B1F"/>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DF3B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4369</Words>
  <Characters>25744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Kayleigh Morris</cp:lastModifiedBy>
  <cp:revision>3</cp:revision>
  <cp:lastPrinted>2020-02-11T19:20:00Z</cp:lastPrinted>
  <dcterms:created xsi:type="dcterms:W3CDTF">2026-01-08T10:28:00Z</dcterms:created>
  <dcterms:modified xsi:type="dcterms:W3CDTF">2026-02-25T11:40:00Z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