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B28E46" w14:textId="2B627669" w:rsidR="00EC7EE7" w:rsidRDefault="00EC7EE7" w:rsidP="007D398C">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drawing>
          <wp:inline distT="0" distB="0" distL="0" distR="0" wp14:anchorId="7B6570AF" wp14:editId="515AE5DB">
            <wp:extent cx="4272401" cy="1781666"/>
            <wp:effectExtent l="0" t="0" r="0" b="0"/>
            <wp:docPr id="214526830" name="Picture 8"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26830" name="Picture 8" descr="A logo for a university&#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55910" cy="1816491"/>
                    </a:xfrm>
                    <a:prstGeom prst="rect">
                      <a:avLst/>
                    </a:prstGeom>
                  </pic:spPr>
                </pic:pic>
              </a:graphicData>
            </a:graphic>
          </wp:inline>
        </w:drawing>
      </w:r>
    </w:p>
    <w:p w14:paraId="3427F3EB" w14:textId="77777777" w:rsidR="00EC7EE7" w:rsidRDefault="00EC7EE7" w:rsidP="007D398C">
      <w:pPr>
        <w:spacing w:after="0" w:line="240" w:lineRule="auto"/>
        <w:rPr>
          <w:rFonts w:ascii="Times New Roman" w:eastAsia="Times New Roman" w:hAnsi="Times New Roman" w:cs="Times New Roman"/>
          <w:kern w:val="0"/>
          <w14:ligatures w14:val="none"/>
        </w:rPr>
      </w:pPr>
    </w:p>
    <w:p w14:paraId="5AED3746" w14:textId="0AF83E8F" w:rsidR="00EC7EE7" w:rsidRDefault="00EC7EE7" w:rsidP="007D398C">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 </w:t>
      </w:r>
    </w:p>
    <w:p w14:paraId="06AEDEA8" w14:textId="77777777" w:rsidR="00AC3669" w:rsidRPr="00AC3669" w:rsidRDefault="00AC3669" w:rsidP="00AC3669">
      <w:pPr>
        <w:spacing w:after="0" w:line="240" w:lineRule="auto"/>
        <w:rPr>
          <w:rFonts w:ascii="Times New Roman" w:eastAsia="Times New Roman" w:hAnsi="Times New Roman" w:cs="Times New Roman"/>
          <w:kern w:val="0"/>
          <w14:ligatures w14:val="none"/>
        </w:rPr>
      </w:pPr>
      <w:r w:rsidRPr="00AC3669">
        <w:rPr>
          <w:rFonts w:ascii="Times New Roman" w:eastAsia="Times New Roman" w:hAnsi="Times New Roman" w:cs="Times New Roman"/>
          <w:kern w:val="0"/>
          <w14:ligatures w14:val="none"/>
        </w:rPr>
        <w:t>Course: BA Business Management</w:t>
      </w:r>
    </w:p>
    <w:p w14:paraId="7DA08E85" w14:textId="77777777" w:rsidR="00AC3669" w:rsidRPr="00AC3669" w:rsidRDefault="00AC3669" w:rsidP="00AC3669">
      <w:pPr>
        <w:spacing w:after="0" w:line="240" w:lineRule="auto"/>
        <w:rPr>
          <w:rFonts w:ascii="Times New Roman" w:eastAsia="Times New Roman" w:hAnsi="Times New Roman" w:cs="Times New Roman"/>
          <w:kern w:val="0"/>
          <w14:ligatures w14:val="none"/>
        </w:rPr>
      </w:pPr>
      <w:proofErr w:type="gramStart"/>
      <w:r w:rsidRPr="00AC3669">
        <w:rPr>
          <w:rFonts w:ascii="Times New Roman" w:eastAsia="Times New Roman" w:hAnsi="Times New Roman" w:cs="Times New Roman"/>
          <w:kern w:val="0"/>
          <w14:ligatures w14:val="none"/>
        </w:rPr>
        <w:t>Module :</w:t>
      </w:r>
      <w:proofErr w:type="gramEnd"/>
      <w:r w:rsidRPr="00AC3669">
        <w:rPr>
          <w:rFonts w:ascii="Times New Roman" w:eastAsia="Times New Roman" w:hAnsi="Times New Roman" w:cs="Times New Roman"/>
          <w:kern w:val="0"/>
          <w14:ligatures w14:val="none"/>
        </w:rPr>
        <w:t xml:space="preserve"> Management Accounting for Managers</w:t>
      </w:r>
    </w:p>
    <w:p w14:paraId="13888D10" w14:textId="77777777" w:rsidR="00AC3669" w:rsidRPr="00AC3669" w:rsidRDefault="00AC3669" w:rsidP="00AC3669">
      <w:pPr>
        <w:spacing w:after="0" w:line="240" w:lineRule="auto"/>
        <w:rPr>
          <w:rFonts w:ascii="Times New Roman" w:eastAsia="Times New Roman" w:hAnsi="Times New Roman" w:cs="Times New Roman"/>
          <w:kern w:val="0"/>
          <w14:ligatures w14:val="none"/>
        </w:rPr>
      </w:pPr>
      <w:r w:rsidRPr="00AC3669">
        <w:rPr>
          <w:rFonts w:ascii="Times New Roman" w:eastAsia="Times New Roman" w:hAnsi="Times New Roman" w:cs="Times New Roman"/>
          <w:kern w:val="0"/>
          <w14:ligatures w14:val="none"/>
        </w:rPr>
        <w:t xml:space="preserve">Module </w:t>
      </w:r>
      <w:proofErr w:type="gramStart"/>
      <w:r w:rsidRPr="00AC3669">
        <w:rPr>
          <w:rFonts w:ascii="Times New Roman" w:eastAsia="Times New Roman" w:hAnsi="Times New Roman" w:cs="Times New Roman"/>
          <w:kern w:val="0"/>
          <w14:ligatures w14:val="none"/>
        </w:rPr>
        <w:t>code :</w:t>
      </w:r>
      <w:proofErr w:type="gramEnd"/>
      <w:r w:rsidRPr="00AC3669">
        <w:rPr>
          <w:rFonts w:ascii="Times New Roman" w:eastAsia="Times New Roman" w:hAnsi="Times New Roman" w:cs="Times New Roman"/>
          <w:kern w:val="0"/>
          <w14:ligatures w14:val="none"/>
        </w:rPr>
        <w:t xml:space="preserve"> LCBB5010 LON</w:t>
      </w:r>
    </w:p>
    <w:p w14:paraId="78986551" w14:textId="77777777" w:rsidR="00AC3669" w:rsidRPr="00AC3669" w:rsidRDefault="00AC3669" w:rsidP="00AC3669">
      <w:pPr>
        <w:spacing w:after="0" w:line="240" w:lineRule="auto"/>
        <w:rPr>
          <w:rFonts w:ascii="Times New Roman" w:eastAsia="Times New Roman" w:hAnsi="Times New Roman" w:cs="Times New Roman"/>
          <w:kern w:val="0"/>
          <w14:ligatures w14:val="none"/>
        </w:rPr>
      </w:pPr>
      <w:r w:rsidRPr="00AC3669">
        <w:rPr>
          <w:rFonts w:ascii="Times New Roman" w:eastAsia="Times New Roman" w:hAnsi="Times New Roman" w:cs="Times New Roman"/>
          <w:kern w:val="0"/>
          <w14:ligatures w14:val="none"/>
        </w:rPr>
        <w:t xml:space="preserve">Lecture </w:t>
      </w:r>
      <w:proofErr w:type="gramStart"/>
      <w:r w:rsidRPr="00AC3669">
        <w:rPr>
          <w:rFonts w:ascii="Times New Roman" w:eastAsia="Times New Roman" w:hAnsi="Times New Roman" w:cs="Times New Roman"/>
          <w:kern w:val="0"/>
          <w14:ligatures w14:val="none"/>
        </w:rPr>
        <w:t>Name :</w:t>
      </w:r>
      <w:proofErr w:type="gramEnd"/>
      <w:r w:rsidRPr="00AC3669">
        <w:rPr>
          <w:rFonts w:ascii="Times New Roman" w:eastAsia="Times New Roman" w:hAnsi="Times New Roman" w:cs="Times New Roman"/>
          <w:kern w:val="0"/>
          <w14:ligatures w14:val="none"/>
        </w:rPr>
        <w:t xml:space="preserve"> Zainab Atta</w:t>
      </w:r>
    </w:p>
    <w:p w14:paraId="0973D1B6" w14:textId="77777777" w:rsidR="00AC3669" w:rsidRPr="00AC3669" w:rsidRDefault="00AC3669" w:rsidP="00AC3669">
      <w:pPr>
        <w:spacing w:after="0" w:line="240" w:lineRule="auto"/>
        <w:rPr>
          <w:rFonts w:ascii="Times New Roman" w:eastAsia="Times New Roman" w:hAnsi="Times New Roman" w:cs="Times New Roman"/>
          <w:kern w:val="0"/>
          <w14:ligatures w14:val="none"/>
        </w:rPr>
      </w:pPr>
      <w:r w:rsidRPr="00AC3669">
        <w:rPr>
          <w:rFonts w:ascii="Times New Roman" w:eastAsia="Times New Roman" w:hAnsi="Times New Roman" w:cs="Times New Roman"/>
          <w:kern w:val="0"/>
          <w14:ligatures w14:val="none"/>
        </w:rPr>
        <w:t>Task 1 - Coursework: Individual Report</w:t>
      </w:r>
    </w:p>
    <w:p w14:paraId="3B40DB34" w14:textId="44088DFC" w:rsidR="00AC3669" w:rsidRPr="00AC3669" w:rsidRDefault="00AC3669" w:rsidP="00AC3669">
      <w:pPr>
        <w:spacing w:after="0" w:line="240" w:lineRule="auto"/>
        <w:rPr>
          <w:rFonts w:ascii="Times New Roman" w:eastAsia="Times New Roman" w:hAnsi="Times New Roman" w:cs="Times New Roman"/>
          <w:kern w:val="0"/>
          <w14:ligatures w14:val="none"/>
        </w:rPr>
      </w:pPr>
      <w:r w:rsidRPr="00AC3669">
        <w:rPr>
          <w:rFonts w:ascii="Times New Roman" w:eastAsia="Times New Roman" w:hAnsi="Times New Roman" w:cs="Times New Roman"/>
          <w:kern w:val="0"/>
          <w14:ligatures w14:val="none"/>
        </w:rPr>
        <w:t xml:space="preserve">Student Name: </w:t>
      </w:r>
      <w:r>
        <w:rPr>
          <w:rFonts w:ascii="Times New Roman" w:eastAsia="Times New Roman" w:hAnsi="Times New Roman" w:cs="Times New Roman"/>
          <w:kern w:val="0"/>
          <w14:ligatures w14:val="none"/>
        </w:rPr>
        <w:t xml:space="preserve">Kremena </w:t>
      </w:r>
      <w:r w:rsidR="00656EBB">
        <w:rPr>
          <w:rFonts w:ascii="Times New Roman" w:eastAsia="Times New Roman" w:hAnsi="Times New Roman" w:cs="Times New Roman"/>
          <w:kern w:val="0"/>
          <w14:ligatures w14:val="none"/>
        </w:rPr>
        <w:t>Nedelcheva</w:t>
      </w:r>
    </w:p>
    <w:p w14:paraId="2DC9DEBE" w14:textId="63220606" w:rsidR="00EC7EE7" w:rsidRDefault="00AC3669" w:rsidP="00AC3669">
      <w:pPr>
        <w:spacing w:after="0" w:line="240" w:lineRule="auto"/>
        <w:rPr>
          <w:rFonts w:ascii="Times New Roman" w:eastAsia="Times New Roman" w:hAnsi="Times New Roman" w:cs="Times New Roman"/>
          <w:kern w:val="0"/>
          <w14:ligatures w14:val="none"/>
        </w:rPr>
      </w:pPr>
      <w:r w:rsidRPr="00AC3669">
        <w:rPr>
          <w:rFonts w:ascii="Times New Roman" w:eastAsia="Times New Roman" w:hAnsi="Times New Roman" w:cs="Times New Roman"/>
          <w:kern w:val="0"/>
          <w14:ligatures w14:val="none"/>
        </w:rPr>
        <w:t>Student ID: 23</w:t>
      </w:r>
      <w:r w:rsidR="00656EBB">
        <w:rPr>
          <w:rFonts w:ascii="Times New Roman" w:eastAsia="Times New Roman" w:hAnsi="Times New Roman" w:cs="Times New Roman"/>
          <w:kern w:val="0"/>
          <w14:ligatures w14:val="none"/>
        </w:rPr>
        <w:t>36425</w:t>
      </w:r>
    </w:p>
    <w:p w14:paraId="79C6E22E" w14:textId="77777777" w:rsidR="00EC7EE7" w:rsidRDefault="00EC7EE7" w:rsidP="007D398C">
      <w:pPr>
        <w:spacing w:after="0" w:line="240" w:lineRule="auto"/>
        <w:rPr>
          <w:rFonts w:ascii="Times New Roman" w:eastAsia="Times New Roman" w:hAnsi="Times New Roman" w:cs="Times New Roman"/>
          <w:kern w:val="0"/>
          <w14:ligatures w14:val="none"/>
        </w:rPr>
      </w:pPr>
    </w:p>
    <w:p w14:paraId="76A1D8F9" w14:textId="77777777" w:rsidR="00EC7EE7" w:rsidRDefault="00EC7EE7" w:rsidP="007D398C">
      <w:pPr>
        <w:spacing w:after="0" w:line="240" w:lineRule="auto"/>
        <w:rPr>
          <w:rFonts w:ascii="Times New Roman" w:eastAsia="Times New Roman" w:hAnsi="Times New Roman" w:cs="Times New Roman"/>
          <w:kern w:val="0"/>
          <w14:ligatures w14:val="none"/>
        </w:rPr>
      </w:pPr>
    </w:p>
    <w:p w14:paraId="0D720406" w14:textId="77777777" w:rsidR="00EC7EE7" w:rsidRDefault="00EC7EE7" w:rsidP="007D398C">
      <w:pPr>
        <w:spacing w:after="0" w:line="240" w:lineRule="auto"/>
        <w:rPr>
          <w:rFonts w:ascii="Times New Roman" w:eastAsia="Times New Roman" w:hAnsi="Times New Roman" w:cs="Times New Roman"/>
          <w:kern w:val="0"/>
          <w14:ligatures w14:val="none"/>
        </w:rPr>
      </w:pPr>
    </w:p>
    <w:p w14:paraId="35088188" w14:textId="2528131D" w:rsidR="007D398C" w:rsidRDefault="00EC7EE7" w:rsidP="007D398C">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    </w:t>
      </w:r>
    </w:p>
    <w:sdt>
      <w:sdtPr>
        <w:rPr>
          <w:rFonts w:asciiTheme="minorHAnsi" w:eastAsiaTheme="minorEastAsia" w:hAnsiTheme="minorHAnsi" w:cstheme="minorBidi"/>
          <w:b w:val="0"/>
          <w:bCs w:val="0"/>
          <w:color w:val="auto"/>
          <w:kern w:val="2"/>
          <w:sz w:val="24"/>
          <w:szCs w:val="24"/>
          <w:lang w:val="en-GB" w:eastAsia="en-GB"/>
          <w14:ligatures w14:val="standardContextual"/>
        </w:rPr>
        <w:id w:val="-941601941"/>
        <w:docPartObj>
          <w:docPartGallery w:val="Table of Contents"/>
          <w:docPartUnique/>
        </w:docPartObj>
      </w:sdtPr>
      <w:sdtEndPr>
        <w:rPr>
          <w:noProof/>
        </w:rPr>
      </w:sdtEndPr>
      <w:sdtContent>
        <w:p w14:paraId="63153FCF" w14:textId="39AE0489" w:rsidR="00B537A3" w:rsidRDefault="00B537A3">
          <w:pPr>
            <w:pStyle w:val="TOCHeading"/>
          </w:pPr>
          <w:r>
            <w:t>Table of Contents</w:t>
          </w:r>
        </w:p>
        <w:p w14:paraId="7DC83D1C" w14:textId="6EF3A9AE" w:rsidR="00B537A3" w:rsidRDefault="00B537A3">
          <w:pPr>
            <w:pStyle w:val="TOC2"/>
            <w:tabs>
              <w:tab w:val="right" w:leader="dot" w:pos="9016"/>
            </w:tabs>
            <w:rPr>
              <w:b w:val="0"/>
              <w:bCs w:val="0"/>
              <w:noProof/>
              <w:sz w:val="24"/>
              <w:szCs w:val="24"/>
            </w:rPr>
          </w:pPr>
          <w:r>
            <w:rPr>
              <w:b w:val="0"/>
              <w:bCs w:val="0"/>
            </w:rPr>
            <w:fldChar w:fldCharType="begin"/>
          </w:r>
          <w:r>
            <w:instrText xml:space="preserve"> TOC \o "1-3" \h \z \u </w:instrText>
          </w:r>
          <w:r>
            <w:rPr>
              <w:b w:val="0"/>
              <w:bCs w:val="0"/>
            </w:rPr>
            <w:fldChar w:fldCharType="separate"/>
          </w:r>
          <w:hyperlink w:anchor="_Toc223259358" w:history="1">
            <w:r w:rsidRPr="00BB56CA">
              <w:rPr>
                <w:rStyle w:val="Hyperlink"/>
                <w:rFonts w:ascii="Times New Roman" w:eastAsia="Times New Roman" w:hAnsi="Times New Roman" w:cs="Times New Roman"/>
                <w:noProof/>
                <w:kern w:val="0"/>
                <w14:ligatures w14:val="none"/>
              </w:rPr>
              <w:t>Introduction</w:t>
            </w:r>
            <w:r>
              <w:rPr>
                <w:noProof/>
                <w:webHidden/>
              </w:rPr>
              <w:tab/>
            </w:r>
            <w:r>
              <w:rPr>
                <w:noProof/>
                <w:webHidden/>
              </w:rPr>
              <w:fldChar w:fldCharType="begin"/>
            </w:r>
            <w:r>
              <w:rPr>
                <w:noProof/>
                <w:webHidden/>
              </w:rPr>
              <w:instrText xml:space="preserve"> PAGEREF _Toc223259358 \h </w:instrText>
            </w:r>
            <w:r>
              <w:rPr>
                <w:noProof/>
                <w:webHidden/>
              </w:rPr>
            </w:r>
            <w:r>
              <w:rPr>
                <w:noProof/>
                <w:webHidden/>
              </w:rPr>
              <w:fldChar w:fldCharType="separate"/>
            </w:r>
            <w:r>
              <w:rPr>
                <w:noProof/>
                <w:webHidden/>
              </w:rPr>
              <w:t>2</w:t>
            </w:r>
            <w:r>
              <w:rPr>
                <w:noProof/>
                <w:webHidden/>
              </w:rPr>
              <w:fldChar w:fldCharType="end"/>
            </w:r>
          </w:hyperlink>
        </w:p>
        <w:p w14:paraId="05DD59E1" w14:textId="59EDF204" w:rsidR="00B537A3" w:rsidRDefault="00B537A3">
          <w:pPr>
            <w:pStyle w:val="TOC2"/>
            <w:tabs>
              <w:tab w:val="right" w:leader="dot" w:pos="9016"/>
            </w:tabs>
            <w:rPr>
              <w:b w:val="0"/>
              <w:bCs w:val="0"/>
              <w:noProof/>
              <w:sz w:val="24"/>
              <w:szCs w:val="24"/>
            </w:rPr>
          </w:pPr>
          <w:hyperlink w:anchor="_Toc223259359" w:history="1">
            <w:r w:rsidRPr="00BB56CA">
              <w:rPr>
                <w:rStyle w:val="Hyperlink"/>
                <w:rFonts w:ascii="Times New Roman" w:eastAsia="Times New Roman" w:hAnsi="Times New Roman" w:cs="Times New Roman"/>
                <w:noProof/>
                <w:kern w:val="0"/>
                <w14:ligatures w14:val="none"/>
              </w:rPr>
              <w:t>Cost Analysis and Business Model</w:t>
            </w:r>
            <w:r>
              <w:rPr>
                <w:noProof/>
                <w:webHidden/>
              </w:rPr>
              <w:tab/>
            </w:r>
            <w:r>
              <w:rPr>
                <w:noProof/>
                <w:webHidden/>
              </w:rPr>
              <w:fldChar w:fldCharType="begin"/>
            </w:r>
            <w:r>
              <w:rPr>
                <w:noProof/>
                <w:webHidden/>
              </w:rPr>
              <w:instrText xml:space="preserve"> PAGEREF _Toc223259359 \h </w:instrText>
            </w:r>
            <w:r>
              <w:rPr>
                <w:noProof/>
                <w:webHidden/>
              </w:rPr>
            </w:r>
            <w:r>
              <w:rPr>
                <w:noProof/>
                <w:webHidden/>
              </w:rPr>
              <w:fldChar w:fldCharType="separate"/>
            </w:r>
            <w:r>
              <w:rPr>
                <w:noProof/>
                <w:webHidden/>
              </w:rPr>
              <w:t>2</w:t>
            </w:r>
            <w:r>
              <w:rPr>
                <w:noProof/>
                <w:webHidden/>
              </w:rPr>
              <w:fldChar w:fldCharType="end"/>
            </w:r>
          </w:hyperlink>
        </w:p>
        <w:p w14:paraId="17CDC636" w14:textId="46A0545A" w:rsidR="00B537A3" w:rsidRDefault="00B537A3">
          <w:pPr>
            <w:pStyle w:val="TOC2"/>
            <w:tabs>
              <w:tab w:val="right" w:leader="dot" w:pos="9016"/>
            </w:tabs>
            <w:rPr>
              <w:b w:val="0"/>
              <w:bCs w:val="0"/>
              <w:noProof/>
              <w:sz w:val="24"/>
              <w:szCs w:val="24"/>
            </w:rPr>
          </w:pPr>
          <w:hyperlink w:anchor="_Toc223259360" w:history="1">
            <w:r w:rsidRPr="00BB56CA">
              <w:rPr>
                <w:rStyle w:val="Hyperlink"/>
                <w:rFonts w:ascii="Times New Roman" w:eastAsia="Times New Roman" w:hAnsi="Times New Roman" w:cs="Times New Roman"/>
                <w:noProof/>
                <w:kern w:val="0"/>
                <w14:ligatures w14:val="none"/>
              </w:rPr>
              <w:t>Budgeting and Financial Planning</w:t>
            </w:r>
            <w:r>
              <w:rPr>
                <w:noProof/>
                <w:webHidden/>
              </w:rPr>
              <w:tab/>
            </w:r>
            <w:r>
              <w:rPr>
                <w:noProof/>
                <w:webHidden/>
              </w:rPr>
              <w:fldChar w:fldCharType="begin"/>
            </w:r>
            <w:r>
              <w:rPr>
                <w:noProof/>
                <w:webHidden/>
              </w:rPr>
              <w:instrText xml:space="preserve"> PAGEREF _Toc223259360 \h </w:instrText>
            </w:r>
            <w:r>
              <w:rPr>
                <w:noProof/>
                <w:webHidden/>
              </w:rPr>
            </w:r>
            <w:r>
              <w:rPr>
                <w:noProof/>
                <w:webHidden/>
              </w:rPr>
              <w:fldChar w:fldCharType="separate"/>
            </w:r>
            <w:r>
              <w:rPr>
                <w:noProof/>
                <w:webHidden/>
              </w:rPr>
              <w:t>3</w:t>
            </w:r>
            <w:r>
              <w:rPr>
                <w:noProof/>
                <w:webHidden/>
              </w:rPr>
              <w:fldChar w:fldCharType="end"/>
            </w:r>
          </w:hyperlink>
        </w:p>
        <w:p w14:paraId="4C39C54E" w14:textId="5CEECDD3" w:rsidR="00B537A3" w:rsidRDefault="00B537A3">
          <w:pPr>
            <w:pStyle w:val="TOC2"/>
            <w:tabs>
              <w:tab w:val="right" w:leader="dot" w:pos="9016"/>
            </w:tabs>
            <w:rPr>
              <w:b w:val="0"/>
              <w:bCs w:val="0"/>
              <w:noProof/>
              <w:sz w:val="24"/>
              <w:szCs w:val="24"/>
            </w:rPr>
          </w:pPr>
          <w:hyperlink w:anchor="_Toc223259361" w:history="1">
            <w:r w:rsidRPr="00BB56CA">
              <w:rPr>
                <w:rStyle w:val="Hyperlink"/>
                <w:rFonts w:ascii="Times New Roman" w:eastAsia="Times New Roman" w:hAnsi="Times New Roman" w:cs="Times New Roman"/>
                <w:noProof/>
                <w:kern w:val="0"/>
                <w14:ligatures w14:val="none"/>
              </w:rPr>
              <w:t>Performance Measurement and Decision-Making</w:t>
            </w:r>
            <w:r>
              <w:rPr>
                <w:noProof/>
                <w:webHidden/>
              </w:rPr>
              <w:tab/>
            </w:r>
            <w:r>
              <w:rPr>
                <w:noProof/>
                <w:webHidden/>
              </w:rPr>
              <w:fldChar w:fldCharType="begin"/>
            </w:r>
            <w:r>
              <w:rPr>
                <w:noProof/>
                <w:webHidden/>
              </w:rPr>
              <w:instrText xml:space="preserve"> PAGEREF _Toc223259361 \h </w:instrText>
            </w:r>
            <w:r>
              <w:rPr>
                <w:noProof/>
                <w:webHidden/>
              </w:rPr>
            </w:r>
            <w:r>
              <w:rPr>
                <w:noProof/>
                <w:webHidden/>
              </w:rPr>
              <w:fldChar w:fldCharType="separate"/>
            </w:r>
            <w:r>
              <w:rPr>
                <w:noProof/>
                <w:webHidden/>
              </w:rPr>
              <w:t>4</w:t>
            </w:r>
            <w:r>
              <w:rPr>
                <w:noProof/>
                <w:webHidden/>
              </w:rPr>
              <w:fldChar w:fldCharType="end"/>
            </w:r>
          </w:hyperlink>
        </w:p>
        <w:p w14:paraId="5F532A4F" w14:textId="4E2B46B5" w:rsidR="00B537A3" w:rsidRDefault="00B537A3">
          <w:pPr>
            <w:pStyle w:val="TOC2"/>
            <w:tabs>
              <w:tab w:val="right" w:leader="dot" w:pos="9016"/>
            </w:tabs>
            <w:rPr>
              <w:b w:val="0"/>
              <w:bCs w:val="0"/>
              <w:noProof/>
              <w:sz w:val="24"/>
              <w:szCs w:val="24"/>
            </w:rPr>
          </w:pPr>
          <w:hyperlink w:anchor="_Toc223259362" w:history="1">
            <w:r w:rsidRPr="00BB56CA">
              <w:rPr>
                <w:rStyle w:val="Hyperlink"/>
                <w:rFonts w:ascii="Times New Roman" w:eastAsia="Times New Roman" w:hAnsi="Times New Roman" w:cs="Times New Roman"/>
                <w:noProof/>
                <w:kern w:val="0"/>
                <w14:ligatures w14:val="none"/>
              </w:rPr>
              <w:t>Sustainability and Ethical Considerations</w:t>
            </w:r>
            <w:r>
              <w:rPr>
                <w:noProof/>
                <w:webHidden/>
              </w:rPr>
              <w:tab/>
            </w:r>
            <w:r>
              <w:rPr>
                <w:noProof/>
                <w:webHidden/>
              </w:rPr>
              <w:fldChar w:fldCharType="begin"/>
            </w:r>
            <w:r>
              <w:rPr>
                <w:noProof/>
                <w:webHidden/>
              </w:rPr>
              <w:instrText xml:space="preserve"> PAGEREF _Toc223259362 \h </w:instrText>
            </w:r>
            <w:r>
              <w:rPr>
                <w:noProof/>
                <w:webHidden/>
              </w:rPr>
            </w:r>
            <w:r>
              <w:rPr>
                <w:noProof/>
                <w:webHidden/>
              </w:rPr>
              <w:fldChar w:fldCharType="separate"/>
            </w:r>
            <w:r>
              <w:rPr>
                <w:noProof/>
                <w:webHidden/>
              </w:rPr>
              <w:t>5</w:t>
            </w:r>
            <w:r>
              <w:rPr>
                <w:noProof/>
                <w:webHidden/>
              </w:rPr>
              <w:fldChar w:fldCharType="end"/>
            </w:r>
          </w:hyperlink>
        </w:p>
        <w:p w14:paraId="148B04E6" w14:textId="77CABB69" w:rsidR="00B537A3" w:rsidRDefault="00B537A3">
          <w:pPr>
            <w:pStyle w:val="TOC2"/>
            <w:tabs>
              <w:tab w:val="right" w:leader="dot" w:pos="9016"/>
            </w:tabs>
            <w:rPr>
              <w:b w:val="0"/>
              <w:bCs w:val="0"/>
              <w:noProof/>
              <w:sz w:val="24"/>
              <w:szCs w:val="24"/>
            </w:rPr>
          </w:pPr>
          <w:hyperlink w:anchor="_Toc223259363" w:history="1">
            <w:r w:rsidRPr="00BB56CA">
              <w:rPr>
                <w:rStyle w:val="Hyperlink"/>
                <w:rFonts w:ascii="Times New Roman" w:eastAsia="Times New Roman" w:hAnsi="Times New Roman" w:cs="Times New Roman"/>
                <w:noProof/>
                <w:kern w:val="0"/>
                <w14:ligatures w14:val="none"/>
              </w:rPr>
              <w:t>Conclusion and Recommendations</w:t>
            </w:r>
            <w:r>
              <w:rPr>
                <w:noProof/>
                <w:webHidden/>
              </w:rPr>
              <w:tab/>
            </w:r>
            <w:r>
              <w:rPr>
                <w:noProof/>
                <w:webHidden/>
              </w:rPr>
              <w:fldChar w:fldCharType="begin"/>
            </w:r>
            <w:r>
              <w:rPr>
                <w:noProof/>
                <w:webHidden/>
              </w:rPr>
              <w:instrText xml:space="preserve"> PAGEREF _Toc223259363 \h </w:instrText>
            </w:r>
            <w:r>
              <w:rPr>
                <w:noProof/>
                <w:webHidden/>
              </w:rPr>
            </w:r>
            <w:r>
              <w:rPr>
                <w:noProof/>
                <w:webHidden/>
              </w:rPr>
              <w:fldChar w:fldCharType="separate"/>
            </w:r>
            <w:r>
              <w:rPr>
                <w:noProof/>
                <w:webHidden/>
              </w:rPr>
              <w:t>6</w:t>
            </w:r>
            <w:r>
              <w:rPr>
                <w:noProof/>
                <w:webHidden/>
              </w:rPr>
              <w:fldChar w:fldCharType="end"/>
            </w:r>
          </w:hyperlink>
        </w:p>
        <w:p w14:paraId="3447AA1F" w14:textId="740AF0FA" w:rsidR="00B537A3" w:rsidRDefault="00B537A3">
          <w:pPr>
            <w:pStyle w:val="TOC1"/>
            <w:tabs>
              <w:tab w:val="right" w:leader="dot" w:pos="9016"/>
            </w:tabs>
            <w:rPr>
              <w:b w:val="0"/>
              <w:bCs w:val="0"/>
              <w:i w:val="0"/>
              <w:iCs w:val="0"/>
              <w:noProof/>
            </w:rPr>
          </w:pPr>
          <w:hyperlink w:anchor="_Toc223259364" w:history="1">
            <w:r w:rsidRPr="00BB56CA">
              <w:rPr>
                <w:rStyle w:val="Hyperlink"/>
                <w:rFonts w:ascii="Times New Roman" w:eastAsia="Times New Roman" w:hAnsi="Times New Roman" w:cs="Times New Roman"/>
                <w:noProof/>
                <w:kern w:val="36"/>
                <w14:ligatures w14:val="none"/>
              </w:rPr>
              <w:t>Reference</w:t>
            </w:r>
            <w:r>
              <w:rPr>
                <w:noProof/>
                <w:webHidden/>
              </w:rPr>
              <w:tab/>
            </w:r>
            <w:r>
              <w:rPr>
                <w:noProof/>
                <w:webHidden/>
              </w:rPr>
              <w:fldChar w:fldCharType="begin"/>
            </w:r>
            <w:r>
              <w:rPr>
                <w:noProof/>
                <w:webHidden/>
              </w:rPr>
              <w:instrText xml:space="preserve"> PAGEREF _Toc223259364 \h </w:instrText>
            </w:r>
            <w:r>
              <w:rPr>
                <w:noProof/>
                <w:webHidden/>
              </w:rPr>
            </w:r>
            <w:r>
              <w:rPr>
                <w:noProof/>
                <w:webHidden/>
              </w:rPr>
              <w:fldChar w:fldCharType="separate"/>
            </w:r>
            <w:r>
              <w:rPr>
                <w:noProof/>
                <w:webHidden/>
              </w:rPr>
              <w:t>6</w:t>
            </w:r>
            <w:r>
              <w:rPr>
                <w:noProof/>
                <w:webHidden/>
              </w:rPr>
              <w:fldChar w:fldCharType="end"/>
            </w:r>
          </w:hyperlink>
        </w:p>
        <w:p w14:paraId="413DDFB6" w14:textId="62CBA60C" w:rsidR="00B537A3" w:rsidRDefault="00B537A3">
          <w:r>
            <w:rPr>
              <w:b/>
              <w:bCs/>
              <w:noProof/>
            </w:rPr>
            <w:fldChar w:fldCharType="end"/>
          </w:r>
        </w:p>
      </w:sdtContent>
    </w:sdt>
    <w:p w14:paraId="6F565B6B" w14:textId="77777777" w:rsidR="00EC7EE7" w:rsidRDefault="00EC7EE7" w:rsidP="007D398C">
      <w:pPr>
        <w:spacing w:after="0" w:line="240" w:lineRule="auto"/>
        <w:rPr>
          <w:rFonts w:ascii="Times New Roman" w:eastAsia="Times New Roman" w:hAnsi="Times New Roman" w:cs="Times New Roman"/>
          <w:kern w:val="0"/>
          <w14:ligatures w14:val="none"/>
        </w:rPr>
      </w:pPr>
    </w:p>
    <w:p w14:paraId="341342E1" w14:textId="77777777" w:rsidR="00EC7EE7" w:rsidRDefault="00EC7EE7" w:rsidP="007D398C">
      <w:pPr>
        <w:spacing w:after="0" w:line="240" w:lineRule="auto"/>
        <w:rPr>
          <w:rFonts w:ascii="Times New Roman" w:eastAsia="Times New Roman" w:hAnsi="Times New Roman" w:cs="Times New Roman"/>
          <w:kern w:val="0"/>
          <w14:ligatures w14:val="none"/>
        </w:rPr>
      </w:pPr>
    </w:p>
    <w:p w14:paraId="1210A46D" w14:textId="77777777" w:rsidR="00EC7EE7" w:rsidRDefault="00EC7EE7" w:rsidP="007D398C">
      <w:pPr>
        <w:spacing w:after="0" w:line="240" w:lineRule="auto"/>
        <w:rPr>
          <w:rFonts w:ascii="Times New Roman" w:eastAsia="Times New Roman" w:hAnsi="Times New Roman" w:cs="Times New Roman"/>
          <w:kern w:val="0"/>
          <w14:ligatures w14:val="none"/>
        </w:rPr>
      </w:pPr>
    </w:p>
    <w:p w14:paraId="3D66400B" w14:textId="77777777" w:rsidR="00EC7EE7" w:rsidRDefault="00EC7EE7" w:rsidP="007D398C">
      <w:pPr>
        <w:spacing w:after="0" w:line="240" w:lineRule="auto"/>
        <w:rPr>
          <w:rFonts w:ascii="Times New Roman" w:eastAsia="Times New Roman" w:hAnsi="Times New Roman" w:cs="Times New Roman"/>
          <w:kern w:val="0"/>
          <w14:ligatures w14:val="none"/>
        </w:rPr>
      </w:pPr>
    </w:p>
    <w:p w14:paraId="3F985FA6" w14:textId="77777777" w:rsidR="00EC7EE7" w:rsidRDefault="00EC7EE7" w:rsidP="007D398C">
      <w:pPr>
        <w:spacing w:after="0" w:line="240" w:lineRule="auto"/>
        <w:rPr>
          <w:rFonts w:ascii="Times New Roman" w:eastAsia="Times New Roman" w:hAnsi="Times New Roman" w:cs="Times New Roman"/>
          <w:kern w:val="0"/>
          <w14:ligatures w14:val="none"/>
        </w:rPr>
      </w:pPr>
    </w:p>
    <w:p w14:paraId="6B6B5D54" w14:textId="77777777" w:rsidR="00EC7EE7" w:rsidRDefault="00EC7EE7" w:rsidP="007D398C">
      <w:pPr>
        <w:spacing w:after="0" w:line="240" w:lineRule="auto"/>
        <w:rPr>
          <w:rFonts w:ascii="Times New Roman" w:eastAsia="Times New Roman" w:hAnsi="Times New Roman" w:cs="Times New Roman"/>
          <w:kern w:val="0"/>
          <w14:ligatures w14:val="none"/>
        </w:rPr>
      </w:pPr>
    </w:p>
    <w:p w14:paraId="084A6B30" w14:textId="77777777" w:rsidR="00EC7EE7" w:rsidRDefault="00EC7EE7" w:rsidP="007D398C">
      <w:pPr>
        <w:spacing w:after="0" w:line="240" w:lineRule="auto"/>
        <w:rPr>
          <w:rFonts w:ascii="Times New Roman" w:eastAsia="Times New Roman" w:hAnsi="Times New Roman" w:cs="Times New Roman"/>
          <w:kern w:val="0"/>
          <w14:ligatures w14:val="none"/>
        </w:rPr>
      </w:pPr>
    </w:p>
    <w:p w14:paraId="2140C772" w14:textId="77777777" w:rsidR="00EC7EE7" w:rsidRDefault="00EC7EE7" w:rsidP="007D398C">
      <w:pPr>
        <w:spacing w:after="0" w:line="240" w:lineRule="auto"/>
        <w:rPr>
          <w:rFonts w:ascii="Times New Roman" w:eastAsia="Times New Roman" w:hAnsi="Times New Roman" w:cs="Times New Roman"/>
          <w:kern w:val="0"/>
          <w14:ligatures w14:val="none"/>
        </w:rPr>
      </w:pPr>
    </w:p>
    <w:p w14:paraId="58DEFF4C" w14:textId="77777777" w:rsidR="00EC7EE7" w:rsidRDefault="00EC7EE7" w:rsidP="007D398C">
      <w:pPr>
        <w:spacing w:after="0" w:line="240" w:lineRule="auto"/>
        <w:rPr>
          <w:rFonts w:ascii="Times New Roman" w:eastAsia="Times New Roman" w:hAnsi="Times New Roman" w:cs="Times New Roman"/>
          <w:kern w:val="0"/>
          <w14:ligatures w14:val="none"/>
        </w:rPr>
      </w:pPr>
    </w:p>
    <w:p w14:paraId="776428CE" w14:textId="77777777" w:rsidR="00EC7EE7" w:rsidRDefault="00EC7EE7" w:rsidP="007D398C">
      <w:pPr>
        <w:spacing w:after="0" w:line="240" w:lineRule="auto"/>
        <w:rPr>
          <w:rFonts w:ascii="Times New Roman" w:eastAsia="Times New Roman" w:hAnsi="Times New Roman" w:cs="Times New Roman"/>
          <w:kern w:val="0"/>
          <w14:ligatures w14:val="none"/>
        </w:rPr>
      </w:pPr>
    </w:p>
    <w:p w14:paraId="72D4716D" w14:textId="77777777" w:rsidR="00EC7EE7" w:rsidRDefault="00EC7EE7" w:rsidP="007D398C">
      <w:pPr>
        <w:spacing w:after="0" w:line="240" w:lineRule="auto"/>
        <w:rPr>
          <w:rFonts w:ascii="Times New Roman" w:eastAsia="Times New Roman" w:hAnsi="Times New Roman" w:cs="Times New Roman"/>
          <w:kern w:val="0"/>
          <w14:ligatures w14:val="none"/>
        </w:rPr>
      </w:pPr>
    </w:p>
    <w:p w14:paraId="3F236B93" w14:textId="77777777" w:rsidR="00EC7EE7" w:rsidRDefault="00EC7EE7" w:rsidP="007D398C">
      <w:pPr>
        <w:spacing w:after="0" w:line="240" w:lineRule="auto"/>
        <w:rPr>
          <w:rFonts w:ascii="Times New Roman" w:eastAsia="Times New Roman" w:hAnsi="Times New Roman" w:cs="Times New Roman"/>
          <w:kern w:val="0"/>
          <w14:ligatures w14:val="none"/>
        </w:rPr>
      </w:pPr>
    </w:p>
    <w:p w14:paraId="7A8625C1" w14:textId="77777777" w:rsidR="00EC7EE7" w:rsidRDefault="00EC7EE7" w:rsidP="007D398C">
      <w:pPr>
        <w:spacing w:after="0" w:line="240" w:lineRule="auto"/>
        <w:rPr>
          <w:rFonts w:ascii="Times New Roman" w:eastAsia="Times New Roman" w:hAnsi="Times New Roman" w:cs="Times New Roman"/>
          <w:kern w:val="0"/>
          <w14:ligatures w14:val="none"/>
        </w:rPr>
      </w:pPr>
    </w:p>
    <w:p w14:paraId="48FFE0FA" w14:textId="77777777" w:rsidR="00EC7EE7" w:rsidRDefault="00EC7EE7" w:rsidP="007D398C">
      <w:pPr>
        <w:spacing w:after="0" w:line="240" w:lineRule="auto"/>
        <w:rPr>
          <w:rFonts w:ascii="Times New Roman" w:eastAsia="Times New Roman" w:hAnsi="Times New Roman" w:cs="Times New Roman"/>
          <w:kern w:val="0"/>
          <w14:ligatures w14:val="none"/>
        </w:rPr>
      </w:pPr>
    </w:p>
    <w:p w14:paraId="2E85A90B" w14:textId="77777777" w:rsidR="00EC7EE7" w:rsidRDefault="00EC7EE7" w:rsidP="007D398C">
      <w:pPr>
        <w:spacing w:after="0" w:line="240" w:lineRule="auto"/>
        <w:rPr>
          <w:rFonts w:ascii="Times New Roman" w:eastAsia="Times New Roman" w:hAnsi="Times New Roman" w:cs="Times New Roman"/>
          <w:kern w:val="0"/>
          <w14:ligatures w14:val="none"/>
        </w:rPr>
      </w:pPr>
    </w:p>
    <w:p w14:paraId="6C3AB143" w14:textId="77777777" w:rsidR="00EC7EE7" w:rsidRPr="007D398C" w:rsidRDefault="00EC7EE7" w:rsidP="007D398C">
      <w:pPr>
        <w:spacing w:after="0" w:line="240" w:lineRule="auto"/>
        <w:rPr>
          <w:rFonts w:ascii="Times New Roman" w:eastAsia="Times New Roman" w:hAnsi="Times New Roman" w:cs="Times New Roman"/>
          <w:kern w:val="0"/>
          <w14:ligatures w14:val="none"/>
        </w:rPr>
      </w:pPr>
    </w:p>
    <w:p w14:paraId="5BEB13B0" w14:textId="45990F31" w:rsidR="007D398C" w:rsidRPr="00550A12" w:rsidRDefault="007D398C" w:rsidP="00550A1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bookmarkStart w:id="0" w:name="_Toc223258605"/>
      <w:bookmarkStart w:id="1" w:name="_Toc223259358"/>
      <w:r w:rsidRPr="007D398C">
        <w:rPr>
          <w:rFonts w:ascii="Times New Roman" w:eastAsia="Times New Roman" w:hAnsi="Times New Roman" w:cs="Times New Roman"/>
          <w:b/>
          <w:bCs/>
          <w:kern w:val="0"/>
          <w:sz w:val="36"/>
          <w:szCs w:val="36"/>
          <w14:ligatures w14:val="none"/>
        </w:rPr>
        <w:t>Introduction</w:t>
      </w:r>
      <w:bookmarkEnd w:id="0"/>
      <w:bookmarkEnd w:id="1"/>
    </w:p>
    <w:p w14:paraId="645F2160" w14:textId="77777777" w:rsidR="007D398C" w:rsidRPr="007D398C" w:rsidRDefault="007D398C" w:rsidP="007D398C">
      <w:pPr>
        <w:spacing w:before="100" w:beforeAutospacing="1" w:after="100" w:afterAutospacing="1" w:line="240" w:lineRule="auto"/>
        <w:rPr>
          <w:rFonts w:ascii="Times New Roman" w:hAnsi="Times New Roman" w:cs="Times New Roman"/>
          <w:kern w:val="0"/>
          <w14:ligatures w14:val="none"/>
        </w:rPr>
      </w:pPr>
      <w:r w:rsidRPr="007D398C">
        <w:rPr>
          <w:rFonts w:ascii="Times New Roman" w:hAnsi="Times New Roman" w:cs="Times New Roman"/>
          <w:kern w:val="0"/>
          <w14:ligatures w14:val="none"/>
        </w:rPr>
        <w:t xml:space="preserve">Management accounting plays a crucial role in supporting organisational decision-making by providing financial and non-financial information for planning, control and performance evaluation (Drury, 2024; </w:t>
      </w:r>
      <w:proofErr w:type="spellStart"/>
      <w:r w:rsidRPr="007D398C">
        <w:rPr>
          <w:rFonts w:ascii="Times New Roman" w:hAnsi="Times New Roman" w:cs="Times New Roman"/>
          <w:kern w:val="0"/>
          <w14:ligatures w14:val="none"/>
        </w:rPr>
        <w:t>Atrill</w:t>
      </w:r>
      <w:proofErr w:type="spellEnd"/>
      <w:r w:rsidRPr="007D398C">
        <w:rPr>
          <w:rFonts w:ascii="Times New Roman" w:hAnsi="Times New Roman" w:cs="Times New Roman"/>
          <w:kern w:val="0"/>
          <w14:ligatures w14:val="none"/>
        </w:rPr>
        <w:t xml:space="preserve"> and McLaney, 2021). In dynamic and highly competitive industries such as luxury fashion, these tools are particularly important as firms must balance profitability with maintaining brand value and customer perception. Contemporary research highlights that management accounting systems increasingly incorporate strategic and sustainability considerations to support long-term value creation rather than focusing solely on short-term financial outcomes (Nielsen and Lund, 2020).</w:t>
      </w:r>
    </w:p>
    <w:p w14:paraId="2964833F" w14:textId="77777777" w:rsidR="007D398C" w:rsidRPr="007D398C" w:rsidRDefault="007D398C" w:rsidP="007D398C">
      <w:pPr>
        <w:spacing w:before="100" w:beforeAutospacing="1" w:after="100" w:afterAutospacing="1" w:line="240" w:lineRule="auto"/>
        <w:rPr>
          <w:rFonts w:ascii="Times New Roman" w:hAnsi="Times New Roman" w:cs="Times New Roman"/>
          <w:kern w:val="0"/>
          <w14:ligatures w14:val="none"/>
        </w:rPr>
      </w:pPr>
      <w:r w:rsidRPr="007D398C">
        <w:rPr>
          <w:rFonts w:ascii="Times New Roman" w:hAnsi="Times New Roman" w:cs="Times New Roman"/>
          <w:kern w:val="0"/>
          <w14:ligatures w14:val="none"/>
        </w:rPr>
        <w:t>Burberry Group plc is a UK-based global luxury fashion company operating through retail, digital and wholesale channels. The firm’s premium positioning, investment in digital transformation and commitment to sustainability make it a relevant case for examining how management accounting practices support strategic objectives. As the luxury sector faces economic uncertainty and changing consumer behaviour, effective cost management and performance monitoring are essential to maintain competitiveness (Deloitte, 2024).</w:t>
      </w:r>
    </w:p>
    <w:p w14:paraId="3194DD1E" w14:textId="77777777" w:rsidR="007D398C" w:rsidRPr="007D398C" w:rsidRDefault="007D398C" w:rsidP="007D398C">
      <w:pPr>
        <w:spacing w:before="100" w:beforeAutospacing="1" w:after="100" w:afterAutospacing="1" w:line="240" w:lineRule="auto"/>
        <w:rPr>
          <w:rFonts w:ascii="Times New Roman" w:hAnsi="Times New Roman" w:cs="Times New Roman"/>
          <w:kern w:val="0"/>
          <w14:ligatures w14:val="none"/>
        </w:rPr>
      </w:pPr>
      <w:r w:rsidRPr="007D398C">
        <w:rPr>
          <w:rFonts w:ascii="Times New Roman" w:hAnsi="Times New Roman" w:cs="Times New Roman"/>
          <w:kern w:val="0"/>
          <w14:ligatures w14:val="none"/>
        </w:rPr>
        <w:t>This report critically evaluates how Burberry applies management accounting techniques in cost analysis, budgeting, performance measurement and sustainability. By integrating theoretical perspectives with corporate and industry evidence, the report assesses the effectiveness of these practices and considers their limitations in supporting long-term strategic performance.</w:t>
      </w:r>
    </w:p>
    <w:p w14:paraId="36F3887D" w14:textId="6FED3B75" w:rsidR="007D398C" w:rsidRPr="007D398C" w:rsidRDefault="007D398C" w:rsidP="007D398C">
      <w:pPr>
        <w:spacing w:after="0" w:line="240" w:lineRule="auto"/>
        <w:rPr>
          <w:rFonts w:ascii="Times New Roman" w:eastAsia="Times New Roman" w:hAnsi="Times New Roman" w:cs="Times New Roman"/>
          <w:kern w:val="0"/>
          <w14:ligatures w14:val="none"/>
        </w:rPr>
      </w:pPr>
    </w:p>
    <w:p w14:paraId="0BD8AE1E" w14:textId="46A2FA9B" w:rsidR="007D398C" w:rsidRPr="0064706C" w:rsidRDefault="007D398C" w:rsidP="0064706C">
      <w:pPr>
        <w:spacing w:before="100" w:beforeAutospacing="1" w:after="100" w:afterAutospacing="1" w:line="240" w:lineRule="auto"/>
        <w:outlineLvl w:val="1"/>
        <w:rPr>
          <w:rFonts w:ascii="Times New Roman" w:hAnsi="Times New Roman" w:cs="Times New Roman"/>
          <w:b/>
          <w:bCs/>
          <w:kern w:val="0"/>
          <w:sz w:val="36"/>
          <w:szCs w:val="36"/>
          <w14:ligatures w14:val="none"/>
        </w:rPr>
      </w:pPr>
      <w:bookmarkStart w:id="2" w:name="_Toc223258606"/>
      <w:bookmarkStart w:id="3" w:name="_Toc223259359"/>
      <w:r w:rsidRPr="007D398C">
        <w:rPr>
          <w:rFonts w:ascii="Times New Roman" w:eastAsia="Times New Roman" w:hAnsi="Times New Roman" w:cs="Times New Roman"/>
          <w:b/>
          <w:bCs/>
          <w:kern w:val="0"/>
          <w:sz w:val="36"/>
          <w:szCs w:val="36"/>
          <w14:ligatures w14:val="none"/>
        </w:rPr>
        <w:t>Cost Analysis and Business Mode</w:t>
      </w:r>
      <w:r w:rsidR="009F769F">
        <w:rPr>
          <w:rFonts w:ascii="Times New Roman" w:eastAsia="Times New Roman" w:hAnsi="Times New Roman" w:cs="Times New Roman"/>
          <w:b/>
          <w:bCs/>
          <w:kern w:val="0"/>
          <w:sz w:val="36"/>
          <w:szCs w:val="36"/>
          <w14:ligatures w14:val="none"/>
        </w:rPr>
        <w:t>l</w:t>
      </w:r>
      <w:bookmarkEnd w:id="2"/>
      <w:bookmarkEnd w:id="3"/>
    </w:p>
    <w:p w14:paraId="129C77F6" w14:textId="77777777" w:rsidR="007D398C" w:rsidRPr="007D398C" w:rsidRDefault="007D398C" w:rsidP="007D398C">
      <w:pPr>
        <w:spacing w:before="100" w:beforeAutospacing="1" w:after="100" w:afterAutospacing="1" w:line="240" w:lineRule="auto"/>
        <w:rPr>
          <w:rFonts w:ascii="Times New Roman" w:hAnsi="Times New Roman" w:cs="Times New Roman"/>
          <w:kern w:val="0"/>
          <w14:ligatures w14:val="none"/>
        </w:rPr>
      </w:pPr>
      <w:r w:rsidRPr="007D398C">
        <w:rPr>
          <w:rFonts w:ascii="Times New Roman" w:hAnsi="Times New Roman" w:cs="Times New Roman"/>
          <w:kern w:val="0"/>
          <w14:ligatures w14:val="none"/>
        </w:rPr>
        <w:t>Analysing cost structures is fundamental to understanding organisational profitability and strategic positioning, as management accounting frameworks emphasise identifying cost behaviour and value drivers to support decision-making (Drury, 2024). In luxury fashion, cost management is particularly complex because firms must maintain high levels of brand investment while controlling operational efficiency.</w:t>
      </w:r>
    </w:p>
    <w:p w14:paraId="44876982" w14:textId="77777777" w:rsidR="007D398C" w:rsidRPr="007D398C" w:rsidRDefault="007D398C" w:rsidP="007D398C">
      <w:pPr>
        <w:spacing w:before="100" w:beforeAutospacing="1" w:after="100" w:afterAutospacing="1" w:line="240" w:lineRule="auto"/>
        <w:rPr>
          <w:rFonts w:ascii="Times New Roman" w:hAnsi="Times New Roman" w:cs="Times New Roman"/>
          <w:kern w:val="0"/>
          <w14:ligatures w14:val="none"/>
        </w:rPr>
      </w:pPr>
      <w:r w:rsidRPr="007D398C">
        <w:rPr>
          <w:rFonts w:ascii="Times New Roman" w:hAnsi="Times New Roman" w:cs="Times New Roman"/>
          <w:kern w:val="0"/>
          <w14:ligatures w14:val="none"/>
        </w:rPr>
        <w:t>Burberry’s business model is centred on direct-to-consumer retail supported by digital platforms, allowing greater control over customer experience and margins. Industry analysis suggests that luxury brands increasingly prioritise direct channels to enhance profitability and strengthen brand relationships (McKinsey &amp; Company, 2023). From a management accounting perspective, this structure improves visibility over cost drivers and enables more accurate performance analysis across regions and product categories.</w:t>
      </w:r>
    </w:p>
    <w:p w14:paraId="5EB321D3" w14:textId="77777777" w:rsidR="007D398C" w:rsidRPr="007D398C" w:rsidRDefault="007D398C" w:rsidP="007D398C">
      <w:pPr>
        <w:spacing w:before="100" w:beforeAutospacing="1" w:after="100" w:afterAutospacing="1" w:line="240" w:lineRule="auto"/>
        <w:rPr>
          <w:rFonts w:ascii="Times New Roman" w:hAnsi="Times New Roman" w:cs="Times New Roman"/>
          <w:kern w:val="0"/>
          <w14:ligatures w14:val="none"/>
        </w:rPr>
      </w:pPr>
      <w:r w:rsidRPr="007D398C">
        <w:rPr>
          <w:rFonts w:ascii="Times New Roman" w:hAnsi="Times New Roman" w:cs="Times New Roman"/>
          <w:kern w:val="0"/>
          <w14:ligatures w14:val="none"/>
        </w:rPr>
        <w:t xml:space="preserve">The company’s cost structure includes substantial fixed costs, such as store leases, technology infrastructure and marketing expenditure, alongside variable costs related to </w:t>
      </w:r>
      <w:r w:rsidRPr="007D398C">
        <w:rPr>
          <w:rFonts w:ascii="Times New Roman" w:hAnsi="Times New Roman" w:cs="Times New Roman"/>
          <w:kern w:val="0"/>
          <w14:ligatures w14:val="none"/>
        </w:rPr>
        <w:lastRenderedPageBreak/>
        <w:t>production and logistics. Distinguishing between these categories is essential for break-even analysis and resource planning (</w:t>
      </w:r>
      <w:proofErr w:type="spellStart"/>
      <w:r w:rsidRPr="007D398C">
        <w:rPr>
          <w:rFonts w:ascii="Times New Roman" w:hAnsi="Times New Roman" w:cs="Times New Roman"/>
          <w:kern w:val="0"/>
          <w14:ligatures w14:val="none"/>
        </w:rPr>
        <w:t>Atrill</w:t>
      </w:r>
      <w:proofErr w:type="spellEnd"/>
      <w:r w:rsidRPr="007D398C">
        <w:rPr>
          <w:rFonts w:ascii="Times New Roman" w:hAnsi="Times New Roman" w:cs="Times New Roman"/>
          <w:kern w:val="0"/>
          <w14:ligatures w14:val="none"/>
        </w:rPr>
        <w:t xml:space="preserve"> and McLaney, 2021). However, traditional cost classifications may oversimplify the strategic nature of certain expenditures. For example, marketing costs in luxury retail function as long-term investments in brand equity rather than purely operational expenses. Research on strategic cost management emphasises that organisations must evaluate costs in relation to value creation rather than focusing solely on cost reduction (Kaplan and Anderson, 2020).</w:t>
      </w:r>
    </w:p>
    <w:p w14:paraId="4CA359BF" w14:textId="77777777" w:rsidR="007D398C" w:rsidRDefault="007D398C" w:rsidP="007D398C">
      <w:pPr>
        <w:spacing w:before="100" w:beforeAutospacing="1" w:after="100" w:afterAutospacing="1" w:line="240" w:lineRule="auto"/>
        <w:rPr>
          <w:rFonts w:ascii="Times New Roman" w:hAnsi="Times New Roman" w:cs="Times New Roman"/>
          <w:kern w:val="0"/>
          <w:lang w:val="bg-BG"/>
          <w14:ligatures w14:val="none"/>
        </w:rPr>
      </w:pPr>
      <w:r w:rsidRPr="007D398C">
        <w:rPr>
          <w:rFonts w:ascii="Times New Roman" w:hAnsi="Times New Roman" w:cs="Times New Roman"/>
          <w:kern w:val="0"/>
          <w14:ligatures w14:val="none"/>
        </w:rPr>
        <w:t>Burberry’s premium pricing strategy reflects a value-based approach, consistent with the notion that differentiated firms set prices according to perceived customer value rather than production cost alone (Drury, 2024). While this supports high margins, it also increases sensitivity to economic downturns, as demand for luxury goods can fluctuate with consumer confidence (Deloitte, 2024).</w:t>
      </w:r>
    </w:p>
    <w:p w14:paraId="555B66CF" w14:textId="77777777" w:rsidR="00D404C4" w:rsidRDefault="00D404C4">
      <w:pPr>
        <w:pStyle w:val="p1"/>
      </w:pPr>
      <w:r>
        <w:rPr>
          <w:rStyle w:val="s1"/>
        </w:rPr>
        <w:t>Furthermore, strategic cost management in luxury firms extends beyond internal efficiency to include supply chain resilience and sourcing decisions. Global disruptions in logistics and raw material availability have highlighted the importance of integrating supply chain considerations into cost planning (Christopher, 2022). For Burberry, managing supplier relationships and ensuring material quality are essential not only for cost control but also for maintaining brand reputation. This demonstrates that cost analysis in luxury retail must incorporate both operational efficiency and risk management perspectives.</w:t>
      </w:r>
    </w:p>
    <w:p w14:paraId="16FB40DE" w14:textId="77777777" w:rsidR="00D404C4" w:rsidRDefault="00D404C4">
      <w:pPr>
        <w:pStyle w:val="p1"/>
      </w:pPr>
      <w:r>
        <w:rPr>
          <w:rStyle w:val="s1"/>
        </w:rPr>
        <w:t>Additionally, investment in digital infrastructure represents a growing proportion of operating costs across the industry. While these expenditures increase fixed cost commitments, they also create opportunities for data-driven decision-making and improved customer insights. Consequently, evaluating the return on such investments requires a long-term perspective, reinforcing the need for management accounting systems that support strategic rather than purely short-term financial evaluation.</w:t>
      </w:r>
    </w:p>
    <w:p w14:paraId="4F541EBF" w14:textId="77777777" w:rsidR="007D398C" w:rsidRPr="007D398C" w:rsidRDefault="007D398C" w:rsidP="007D398C">
      <w:pPr>
        <w:spacing w:before="100" w:beforeAutospacing="1" w:after="100" w:afterAutospacing="1" w:line="240" w:lineRule="auto"/>
        <w:rPr>
          <w:rFonts w:ascii="Times New Roman" w:hAnsi="Times New Roman" w:cs="Times New Roman"/>
          <w:kern w:val="0"/>
          <w14:ligatures w14:val="none"/>
        </w:rPr>
      </w:pPr>
      <w:r w:rsidRPr="007D398C">
        <w:rPr>
          <w:rFonts w:ascii="Times New Roman" w:hAnsi="Times New Roman" w:cs="Times New Roman"/>
          <w:kern w:val="0"/>
          <w14:ligatures w14:val="none"/>
        </w:rPr>
        <w:t>Overall, Burberry’s cost structure demonstrates the importance of balancing efficiency with strategic brand investment. Although management accounting tools provide useful insights, their effectiveness depends on recognising the role of intangible assets and adapting cost analysis frameworks to reflect the realities of luxury markets.</w:t>
      </w:r>
    </w:p>
    <w:p w14:paraId="692C6E6F" w14:textId="1FEAACE4" w:rsidR="007D398C" w:rsidRPr="007D398C" w:rsidRDefault="007D398C" w:rsidP="007D398C">
      <w:pPr>
        <w:spacing w:after="0" w:line="240" w:lineRule="auto"/>
        <w:rPr>
          <w:rFonts w:ascii="Times New Roman" w:eastAsia="Times New Roman" w:hAnsi="Times New Roman" w:cs="Times New Roman"/>
          <w:kern w:val="0"/>
          <w14:ligatures w14:val="none"/>
        </w:rPr>
      </w:pPr>
    </w:p>
    <w:p w14:paraId="4C151B38" w14:textId="1F63FB14" w:rsidR="007D398C" w:rsidRPr="006F49DB" w:rsidRDefault="007D398C" w:rsidP="006F49DB">
      <w:pPr>
        <w:spacing w:before="100" w:beforeAutospacing="1" w:after="100" w:afterAutospacing="1" w:line="240" w:lineRule="auto"/>
        <w:outlineLvl w:val="1"/>
        <w:rPr>
          <w:rFonts w:ascii="Times New Roman" w:hAnsi="Times New Roman" w:cs="Times New Roman"/>
          <w:b/>
          <w:bCs/>
          <w:kern w:val="0"/>
          <w:sz w:val="36"/>
          <w:szCs w:val="36"/>
          <w14:ligatures w14:val="none"/>
        </w:rPr>
      </w:pPr>
      <w:bookmarkStart w:id="4" w:name="_Toc223258607"/>
      <w:bookmarkStart w:id="5" w:name="_Toc223259360"/>
      <w:r w:rsidRPr="007D398C">
        <w:rPr>
          <w:rFonts w:ascii="Times New Roman" w:eastAsia="Times New Roman" w:hAnsi="Times New Roman" w:cs="Times New Roman"/>
          <w:b/>
          <w:bCs/>
          <w:kern w:val="0"/>
          <w:sz w:val="36"/>
          <w:szCs w:val="36"/>
          <w14:ligatures w14:val="none"/>
        </w:rPr>
        <w:t>Budgeting and Financial Planning</w:t>
      </w:r>
      <w:bookmarkEnd w:id="4"/>
      <w:bookmarkEnd w:id="5"/>
    </w:p>
    <w:p w14:paraId="566C4974" w14:textId="77777777" w:rsidR="0024057B" w:rsidRPr="0024057B" w:rsidRDefault="0024057B" w:rsidP="0024057B">
      <w:pPr>
        <w:spacing w:before="100" w:beforeAutospacing="1" w:after="100" w:afterAutospacing="1" w:line="240" w:lineRule="auto"/>
        <w:rPr>
          <w:rFonts w:ascii="Times New Roman" w:eastAsia="Times New Roman" w:hAnsi="Times New Roman" w:cs="Times New Roman"/>
          <w:kern w:val="0"/>
          <w14:ligatures w14:val="none"/>
        </w:rPr>
      </w:pPr>
      <w:r w:rsidRPr="0024057B">
        <w:rPr>
          <w:rFonts w:ascii="Times New Roman" w:eastAsia="Times New Roman" w:hAnsi="Times New Roman" w:cs="Times New Roman"/>
          <w:kern w:val="0"/>
          <w14:ligatures w14:val="none"/>
        </w:rPr>
        <w:t>Budgeting plays a key role in helping organisations translate strategic goals into practical plans, allowing managers to coordinate activities and control costs across departments (</w:t>
      </w:r>
      <w:proofErr w:type="spellStart"/>
      <w:r w:rsidRPr="0024057B">
        <w:rPr>
          <w:rFonts w:ascii="Times New Roman" w:eastAsia="Times New Roman" w:hAnsi="Times New Roman" w:cs="Times New Roman"/>
          <w:kern w:val="0"/>
          <w14:ligatures w14:val="none"/>
        </w:rPr>
        <w:t>Atrill</w:t>
      </w:r>
      <w:proofErr w:type="spellEnd"/>
      <w:r w:rsidRPr="0024057B">
        <w:rPr>
          <w:rFonts w:ascii="Times New Roman" w:eastAsia="Times New Roman" w:hAnsi="Times New Roman" w:cs="Times New Roman"/>
          <w:kern w:val="0"/>
          <w14:ligatures w14:val="none"/>
        </w:rPr>
        <w:t xml:space="preserve"> and McLaney, 2021). For global luxury companies such as Burberry, budgeting is particularly important because of high operating costs, significant marketing expenditure and exposure to economic uncertainty. By setting financial priorities, the company can ensure that resources are allocated efficiently while still supporting long-term brand development.</w:t>
      </w:r>
    </w:p>
    <w:p w14:paraId="134AD7D6" w14:textId="77777777" w:rsidR="0024057B" w:rsidRPr="0024057B" w:rsidRDefault="0024057B" w:rsidP="0024057B">
      <w:pPr>
        <w:spacing w:before="100" w:beforeAutospacing="1" w:after="100" w:afterAutospacing="1" w:line="240" w:lineRule="auto"/>
        <w:rPr>
          <w:rFonts w:ascii="Times New Roman" w:eastAsia="Times New Roman" w:hAnsi="Times New Roman" w:cs="Times New Roman"/>
          <w:kern w:val="0"/>
          <w14:ligatures w14:val="none"/>
        </w:rPr>
      </w:pPr>
    </w:p>
    <w:p w14:paraId="3946E769" w14:textId="77777777" w:rsidR="0024057B" w:rsidRPr="0024057B" w:rsidRDefault="0024057B" w:rsidP="0024057B">
      <w:pPr>
        <w:spacing w:before="100" w:beforeAutospacing="1" w:after="100" w:afterAutospacing="1" w:line="240" w:lineRule="auto"/>
        <w:rPr>
          <w:rFonts w:ascii="Times New Roman" w:eastAsia="Times New Roman" w:hAnsi="Times New Roman" w:cs="Times New Roman"/>
          <w:kern w:val="0"/>
          <w14:ligatures w14:val="none"/>
        </w:rPr>
      </w:pPr>
      <w:r w:rsidRPr="0024057B">
        <w:rPr>
          <w:rFonts w:ascii="Times New Roman" w:eastAsia="Times New Roman" w:hAnsi="Times New Roman" w:cs="Times New Roman"/>
          <w:kern w:val="0"/>
          <w14:ligatures w14:val="none"/>
        </w:rPr>
        <w:t xml:space="preserve">At Burberry, budgeting supports major investment decisions, particularly in digital innovation and customer experience. Over recent years, the company has increased spending </w:t>
      </w:r>
      <w:r w:rsidRPr="0024057B">
        <w:rPr>
          <w:rFonts w:ascii="Times New Roman" w:eastAsia="Times New Roman" w:hAnsi="Times New Roman" w:cs="Times New Roman"/>
          <w:kern w:val="0"/>
          <w14:ligatures w14:val="none"/>
        </w:rPr>
        <w:lastRenderedPageBreak/>
        <w:t xml:space="preserve">on e-commerce platforms and omnichannel retail, reflecting wider changes in consumer behaviour within the luxury sector (Grewal, Roggeveen and </w:t>
      </w:r>
      <w:proofErr w:type="spellStart"/>
      <w:r w:rsidRPr="0024057B">
        <w:rPr>
          <w:rFonts w:ascii="Times New Roman" w:eastAsia="Times New Roman" w:hAnsi="Times New Roman" w:cs="Times New Roman"/>
          <w:kern w:val="0"/>
          <w14:ligatures w14:val="none"/>
        </w:rPr>
        <w:t>Nordfält</w:t>
      </w:r>
      <w:proofErr w:type="spellEnd"/>
      <w:r w:rsidRPr="0024057B">
        <w:rPr>
          <w:rFonts w:ascii="Times New Roman" w:eastAsia="Times New Roman" w:hAnsi="Times New Roman" w:cs="Times New Roman"/>
          <w:kern w:val="0"/>
          <w14:ligatures w14:val="none"/>
        </w:rPr>
        <w:t>, 2020). This demonstrates that budgeting is not simply about limiting costs but also about enabling strategic initiatives that help maintain competitiveness in a rapidly evolving market.</w:t>
      </w:r>
    </w:p>
    <w:p w14:paraId="5E33A658" w14:textId="77777777" w:rsidR="0024057B" w:rsidRPr="0024057B" w:rsidRDefault="0024057B" w:rsidP="0024057B">
      <w:pPr>
        <w:spacing w:before="100" w:beforeAutospacing="1" w:after="100" w:afterAutospacing="1" w:line="240" w:lineRule="auto"/>
        <w:rPr>
          <w:rFonts w:ascii="Times New Roman" w:eastAsia="Times New Roman" w:hAnsi="Times New Roman" w:cs="Times New Roman"/>
          <w:kern w:val="0"/>
          <w14:ligatures w14:val="none"/>
        </w:rPr>
      </w:pPr>
      <w:r w:rsidRPr="0024057B">
        <w:rPr>
          <w:rFonts w:ascii="Times New Roman" w:eastAsia="Times New Roman" w:hAnsi="Times New Roman" w:cs="Times New Roman"/>
          <w:kern w:val="0"/>
          <w14:ligatures w14:val="none"/>
        </w:rPr>
        <w:t>A review of year-on-year changes in operating expenses shows that both internal management decisions and external economic factors have influenced Burberry’s cost base. Internally, higher expenses have been linked to brand repositioning strategies, store upgrades and investment in technology designed to improve customer engagement. Externally, inflation, supply chain disruption and currency fluctuations have increased production and distribution costs across the industry. These combined pressures highlight the complexity of managing costs in a global business environment.</w:t>
      </w:r>
    </w:p>
    <w:p w14:paraId="46BB87B6" w14:textId="77777777" w:rsidR="0024057B" w:rsidRPr="0024057B" w:rsidRDefault="0024057B" w:rsidP="0024057B">
      <w:pPr>
        <w:spacing w:before="100" w:beforeAutospacing="1" w:after="100" w:afterAutospacing="1" w:line="240" w:lineRule="auto"/>
        <w:rPr>
          <w:rFonts w:ascii="Times New Roman" w:eastAsia="Times New Roman" w:hAnsi="Times New Roman" w:cs="Times New Roman"/>
          <w:kern w:val="0"/>
          <w14:ligatures w14:val="none"/>
        </w:rPr>
      </w:pPr>
      <w:r w:rsidRPr="0024057B">
        <w:rPr>
          <w:rFonts w:ascii="Times New Roman" w:eastAsia="Times New Roman" w:hAnsi="Times New Roman" w:cs="Times New Roman"/>
          <w:kern w:val="0"/>
          <w14:ligatures w14:val="none"/>
        </w:rPr>
        <w:t>Because of this uncertainty, flexible budgeting approaches such as rolling forecasts are increasingly valuable. These tools allow organisations to update financial plans regularly and respond more effectively to changes in demand or cost conditions (Drury, 2024). Research also suggests that companies using more adaptive planning processes are better able to manage volatility and protect profitability during uncertain periods (PwC, 2024). For Burberry, this flexibility helps balance the need for financial discipline with continued investment in brand value.</w:t>
      </w:r>
    </w:p>
    <w:p w14:paraId="2218CCBF" w14:textId="77777777" w:rsidR="0024057B" w:rsidRPr="0024057B" w:rsidRDefault="0024057B" w:rsidP="0024057B">
      <w:pPr>
        <w:spacing w:before="100" w:beforeAutospacing="1" w:after="100" w:afterAutospacing="1" w:line="240" w:lineRule="auto"/>
        <w:rPr>
          <w:rFonts w:ascii="Times New Roman" w:eastAsia="Times New Roman" w:hAnsi="Times New Roman" w:cs="Times New Roman"/>
          <w:kern w:val="0"/>
          <w14:ligatures w14:val="none"/>
        </w:rPr>
      </w:pPr>
      <w:r w:rsidRPr="0024057B">
        <w:rPr>
          <w:rFonts w:ascii="Times New Roman" w:eastAsia="Times New Roman" w:hAnsi="Times New Roman" w:cs="Times New Roman"/>
          <w:kern w:val="0"/>
          <w14:ligatures w14:val="none"/>
        </w:rPr>
        <w:t>However, budgeting also has limitations. Traditional budgeting systems can encourage a short-term focus on meeting financial targets, which may reduce willingness to invest in creative projects or innovation. This is particularly relevant in luxury fashion, where maintaining brand distinctiveness requires continuous experimentation and marketing investment. In addition, forecasting demand remains challenging due to unpredictable consumer trends and global economic shifts, meaning budgets may quickly become outdated.</w:t>
      </w:r>
    </w:p>
    <w:p w14:paraId="056F188D" w14:textId="56DDE296" w:rsidR="007D398C" w:rsidRPr="007D398C" w:rsidRDefault="0024057B" w:rsidP="003C57AA">
      <w:pPr>
        <w:spacing w:before="100" w:beforeAutospacing="1" w:after="100" w:afterAutospacing="1" w:line="240" w:lineRule="auto"/>
        <w:rPr>
          <w:rFonts w:ascii="Times New Roman" w:eastAsia="Times New Roman" w:hAnsi="Times New Roman" w:cs="Times New Roman"/>
          <w:kern w:val="0"/>
          <w14:ligatures w14:val="none"/>
        </w:rPr>
      </w:pPr>
      <w:r w:rsidRPr="0024057B">
        <w:rPr>
          <w:rFonts w:ascii="Times New Roman" w:eastAsia="Times New Roman" w:hAnsi="Times New Roman" w:cs="Times New Roman"/>
          <w:kern w:val="0"/>
          <w14:ligatures w14:val="none"/>
        </w:rPr>
        <w:t>Overall, budgeting remains an essential management tool at Burberry, supporting planning, control and strategic decision-making. Nevertheless, its effectiveness depends on maintaining flexibility and combining financial analysis with strategic judgement to ensure the company can adapt to changing market conditions.</w:t>
      </w:r>
    </w:p>
    <w:p w14:paraId="120D9B50" w14:textId="77777777" w:rsidR="007D398C" w:rsidRPr="007D398C" w:rsidRDefault="007D398C" w:rsidP="007D398C">
      <w:pPr>
        <w:spacing w:before="100" w:beforeAutospacing="1" w:after="100" w:afterAutospacing="1" w:line="240" w:lineRule="auto"/>
        <w:outlineLvl w:val="1"/>
        <w:rPr>
          <w:rFonts w:ascii="Times New Roman" w:hAnsi="Times New Roman" w:cs="Times New Roman"/>
          <w:b/>
          <w:bCs/>
          <w:kern w:val="0"/>
          <w:sz w:val="36"/>
          <w:szCs w:val="36"/>
          <w14:ligatures w14:val="none"/>
        </w:rPr>
      </w:pPr>
      <w:bookmarkStart w:id="6" w:name="_Toc223258608"/>
      <w:bookmarkStart w:id="7" w:name="_Toc223259361"/>
      <w:r w:rsidRPr="007D398C">
        <w:rPr>
          <w:rFonts w:ascii="Times New Roman" w:eastAsia="Times New Roman" w:hAnsi="Times New Roman" w:cs="Times New Roman"/>
          <w:b/>
          <w:bCs/>
          <w:kern w:val="0"/>
          <w:sz w:val="36"/>
          <w:szCs w:val="36"/>
          <w14:ligatures w14:val="none"/>
        </w:rPr>
        <w:t>Performance Measurement and Decision-Making</w:t>
      </w:r>
      <w:bookmarkEnd w:id="6"/>
      <w:bookmarkEnd w:id="7"/>
    </w:p>
    <w:p w14:paraId="7B87D518" w14:textId="77777777" w:rsidR="007D398C" w:rsidRPr="007D398C" w:rsidRDefault="007D398C" w:rsidP="007D398C">
      <w:pPr>
        <w:spacing w:before="100" w:beforeAutospacing="1" w:after="100" w:afterAutospacing="1" w:line="240" w:lineRule="auto"/>
        <w:rPr>
          <w:rFonts w:ascii="Times New Roman" w:hAnsi="Times New Roman" w:cs="Times New Roman"/>
          <w:kern w:val="0"/>
          <w14:ligatures w14:val="none"/>
        </w:rPr>
      </w:pPr>
      <w:r w:rsidRPr="007D398C">
        <w:rPr>
          <w:rFonts w:ascii="Times New Roman" w:hAnsi="Times New Roman" w:cs="Times New Roman"/>
          <w:kern w:val="0"/>
          <w14:ligatures w14:val="none"/>
        </w:rPr>
        <w:t>Performance measurement enables organisations to evaluate strategic progress and guide managerial decisions by monitoring key financial and non-financial indicators (Drury, 2024). Traditional metrics such as revenue growth and operating margin remain essential for assessing profitability, but contemporary frameworks emphasise the importance of integrating broader value drivers (Nielsen and Lund, 2020).</w:t>
      </w:r>
    </w:p>
    <w:p w14:paraId="15643EDE" w14:textId="77777777" w:rsidR="007D398C" w:rsidRPr="007D398C" w:rsidRDefault="007D398C" w:rsidP="007D398C">
      <w:pPr>
        <w:spacing w:before="100" w:beforeAutospacing="1" w:after="100" w:afterAutospacing="1" w:line="240" w:lineRule="auto"/>
        <w:rPr>
          <w:rFonts w:ascii="Times New Roman" w:hAnsi="Times New Roman" w:cs="Times New Roman"/>
          <w:kern w:val="0"/>
          <w14:ligatures w14:val="none"/>
        </w:rPr>
      </w:pPr>
      <w:r w:rsidRPr="007D398C">
        <w:rPr>
          <w:rFonts w:ascii="Times New Roman" w:hAnsi="Times New Roman" w:cs="Times New Roman"/>
          <w:kern w:val="0"/>
          <w14:ligatures w14:val="none"/>
        </w:rPr>
        <w:t>Burberry’s performance evaluation includes financial indicators alongside measures of digital engagement and brand strength. In the luxury sector, intangible assets such as customer loyalty and brand perception significantly influence long-term profitability, supporting the relevance of balanced performance frameworks. Research suggests that organisations combining financial and non-financial metrics achieve more comprehensive performance evaluation and improved strategic alignment (Kaplan and Anderson, 2020).</w:t>
      </w:r>
    </w:p>
    <w:p w14:paraId="5D8AFDBC" w14:textId="77777777" w:rsidR="007D398C" w:rsidRPr="007D398C" w:rsidRDefault="007D398C" w:rsidP="007D398C">
      <w:pPr>
        <w:spacing w:before="100" w:beforeAutospacing="1" w:after="100" w:afterAutospacing="1" w:line="240" w:lineRule="auto"/>
        <w:rPr>
          <w:rFonts w:ascii="Times New Roman" w:hAnsi="Times New Roman" w:cs="Times New Roman"/>
          <w:kern w:val="0"/>
          <w14:ligatures w14:val="none"/>
        </w:rPr>
      </w:pPr>
      <w:r w:rsidRPr="007D398C">
        <w:rPr>
          <w:rFonts w:ascii="Times New Roman" w:hAnsi="Times New Roman" w:cs="Times New Roman"/>
          <w:kern w:val="0"/>
          <w14:ligatures w14:val="none"/>
        </w:rPr>
        <w:lastRenderedPageBreak/>
        <w:t>However, performance measurement systems may create unintended consequences if managers prioritise short-term targets over long-term value creation. Cost reduction initiatives, for example, may improve margins but risk undermining product quality or customer experience. Additionally, non-financial indicators such as brand equity are difficult to quantify, creating challenges in assessing their impact on financial outcomes.</w:t>
      </w:r>
    </w:p>
    <w:p w14:paraId="620F30F5" w14:textId="77777777" w:rsidR="00982540" w:rsidRDefault="00982540">
      <w:pPr>
        <w:pStyle w:val="p1"/>
      </w:pPr>
      <w:r>
        <w:rPr>
          <w:rStyle w:val="s1"/>
        </w:rPr>
        <w:t>Another important consideration is the role of benchmarking in evaluating organisational performance. Comparing financial ratios and operational metrics with industry competitors provides valuable context for assessing relative performance and identifying areas for improvement (Deloitte, 2024). In the luxury sector, where brand differentiation is significant, benchmarking also helps organisations understand whether performance gaps arise from strategic positioning or operational inefficiencies.</w:t>
      </w:r>
    </w:p>
    <w:p w14:paraId="5E32B5E3" w14:textId="77777777" w:rsidR="00982540" w:rsidRDefault="00982540">
      <w:pPr>
        <w:pStyle w:val="p1"/>
      </w:pPr>
      <w:r>
        <w:rPr>
          <w:rStyle w:val="s1"/>
        </w:rPr>
        <w:t>Moreover, advances in data analytics have enhanced the ability of firms to track customer behaviour and predict demand patterns, enabling more proactive decision-making. Integrating these insights into performance measurement systems can improve forecasting accuracy and support more informed strategic planning. However, reliance on large volumes of data also introduces challenges related to data interpretation and managerial judgement, reinforcing the need for balanced evaluation approaches.</w:t>
      </w:r>
    </w:p>
    <w:p w14:paraId="63E62AF1" w14:textId="77777777" w:rsidR="007D398C" w:rsidRPr="007D398C" w:rsidRDefault="007D398C" w:rsidP="007D398C">
      <w:pPr>
        <w:spacing w:before="100" w:beforeAutospacing="1" w:after="100" w:afterAutospacing="1" w:line="240" w:lineRule="auto"/>
        <w:rPr>
          <w:rFonts w:ascii="Times New Roman" w:hAnsi="Times New Roman" w:cs="Times New Roman"/>
          <w:kern w:val="0"/>
          <w14:ligatures w14:val="none"/>
        </w:rPr>
      </w:pPr>
      <w:r w:rsidRPr="007D398C">
        <w:rPr>
          <w:rFonts w:ascii="Times New Roman" w:hAnsi="Times New Roman" w:cs="Times New Roman"/>
          <w:kern w:val="0"/>
          <w14:ligatures w14:val="none"/>
        </w:rPr>
        <w:t>Overall, Burberry’s use of KPIs illustrates how management accounting supports decision-making by providing multidimensional performance insights. Nevertheless, continuous refinement of measurement frameworks is necessary to ensure alignment with long-term strategic objectives.</w:t>
      </w:r>
    </w:p>
    <w:p w14:paraId="100A53B1" w14:textId="36C07A04" w:rsidR="007D398C" w:rsidRPr="007D398C" w:rsidRDefault="007D398C" w:rsidP="007D398C">
      <w:pPr>
        <w:spacing w:after="0" w:line="240" w:lineRule="auto"/>
        <w:rPr>
          <w:rFonts w:ascii="Times New Roman" w:eastAsia="Times New Roman" w:hAnsi="Times New Roman" w:cs="Times New Roman"/>
          <w:kern w:val="0"/>
          <w14:ligatures w14:val="none"/>
        </w:rPr>
      </w:pPr>
    </w:p>
    <w:p w14:paraId="7739759B" w14:textId="77777777" w:rsidR="007D398C" w:rsidRPr="007D398C" w:rsidRDefault="007D398C" w:rsidP="007D398C">
      <w:pPr>
        <w:spacing w:before="100" w:beforeAutospacing="1" w:after="100" w:afterAutospacing="1" w:line="240" w:lineRule="auto"/>
        <w:outlineLvl w:val="1"/>
        <w:rPr>
          <w:rFonts w:ascii="Times New Roman" w:hAnsi="Times New Roman" w:cs="Times New Roman"/>
          <w:b/>
          <w:bCs/>
          <w:kern w:val="0"/>
          <w:sz w:val="36"/>
          <w:szCs w:val="36"/>
          <w14:ligatures w14:val="none"/>
        </w:rPr>
      </w:pPr>
      <w:bookmarkStart w:id="8" w:name="_Toc223258609"/>
      <w:bookmarkStart w:id="9" w:name="_Toc223259362"/>
      <w:r w:rsidRPr="007D398C">
        <w:rPr>
          <w:rFonts w:ascii="Times New Roman" w:eastAsia="Times New Roman" w:hAnsi="Times New Roman" w:cs="Times New Roman"/>
          <w:b/>
          <w:bCs/>
          <w:kern w:val="0"/>
          <w:sz w:val="36"/>
          <w:szCs w:val="36"/>
          <w14:ligatures w14:val="none"/>
        </w:rPr>
        <w:t>Sustainability and Ethical Considerations</w:t>
      </w:r>
      <w:bookmarkEnd w:id="8"/>
      <w:bookmarkEnd w:id="9"/>
    </w:p>
    <w:p w14:paraId="264471BA" w14:textId="77777777" w:rsidR="007D398C" w:rsidRPr="007D398C" w:rsidRDefault="007D398C" w:rsidP="007D398C">
      <w:pPr>
        <w:spacing w:before="100" w:beforeAutospacing="1" w:after="100" w:afterAutospacing="1" w:line="240" w:lineRule="auto"/>
        <w:rPr>
          <w:rFonts w:ascii="Times New Roman" w:hAnsi="Times New Roman" w:cs="Times New Roman"/>
          <w:kern w:val="0"/>
          <w14:ligatures w14:val="none"/>
        </w:rPr>
      </w:pPr>
      <w:r w:rsidRPr="007D398C">
        <w:rPr>
          <w:rFonts w:ascii="Times New Roman" w:hAnsi="Times New Roman" w:cs="Times New Roman"/>
          <w:kern w:val="0"/>
          <w14:ligatures w14:val="none"/>
        </w:rPr>
        <w:t>Sustainability accounting has become increasingly important as organisations seek to integrate environmental and social considerations into strategic decision-making (Eccles, Ioannou and Serafeim, 2020). In the fashion industry, sustainability initiatives are particularly relevant due to environmental concerns associated with production and supply chains.</w:t>
      </w:r>
    </w:p>
    <w:p w14:paraId="6329229D" w14:textId="77777777" w:rsidR="007D398C" w:rsidRPr="007D398C" w:rsidRDefault="007D398C" w:rsidP="007D398C">
      <w:pPr>
        <w:spacing w:before="100" w:beforeAutospacing="1" w:after="100" w:afterAutospacing="1" w:line="240" w:lineRule="auto"/>
        <w:rPr>
          <w:rFonts w:ascii="Times New Roman" w:hAnsi="Times New Roman" w:cs="Times New Roman"/>
          <w:kern w:val="0"/>
          <w14:ligatures w14:val="none"/>
        </w:rPr>
      </w:pPr>
      <w:r w:rsidRPr="007D398C">
        <w:rPr>
          <w:rFonts w:ascii="Times New Roman" w:hAnsi="Times New Roman" w:cs="Times New Roman"/>
          <w:kern w:val="0"/>
          <w14:ligatures w14:val="none"/>
        </w:rPr>
        <w:t>Burberry’s sustainability strategy includes commitments to reducing emissions, increasing sustainable sourcing and improving supply chain transparency. Incorporating sustainability KPIs enables the firm to monitor progress and align environmental objectives with operational performance. Industry research highlights that strong sustainability performance can enhance reputation and stakeholder trust, contributing to long-term competitive advantage (KPMG, 2023).</w:t>
      </w:r>
    </w:p>
    <w:p w14:paraId="764726D1" w14:textId="77777777" w:rsidR="007D398C" w:rsidRPr="007D398C" w:rsidRDefault="007D398C" w:rsidP="007D398C">
      <w:pPr>
        <w:spacing w:before="100" w:beforeAutospacing="1" w:after="100" w:afterAutospacing="1" w:line="240" w:lineRule="auto"/>
        <w:rPr>
          <w:rFonts w:ascii="Times New Roman" w:hAnsi="Times New Roman" w:cs="Times New Roman"/>
          <w:kern w:val="0"/>
          <w14:ligatures w14:val="none"/>
        </w:rPr>
      </w:pPr>
      <w:r w:rsidRPr="007D398C">
        <w:rPr>
          <w:rFonts w:ascii="Times New Roman" w:hAnsi="Times New Roman" w:cs="Times New Roman"/>
          <w:kern w:val="0"/>
          <w14:ligatures w14:val="none"/>
        </w:rPr>
        <w:t>However, sustainability initiatives often involve significant investment, creating trade-offs between financial performance and ethical commitments. Measuring environmental performance also presents challenges due to the lack of standardised metrics, increasing the risk of inconsistent reporting. These limitations emphasise the need for robust governance and transparent disclosure practices.</w:t>
      </w:r>
    </w:p>
    <w:p w14:paraId="20B01A45" w14:textId="77777777" w:rsidR="00006C27" w:rsidRDefault="00006C27">
      <w:pPr>
        <w:pStyle w:val="p1"/>
      </w:pPr>
      <w:r>
        <w:rPr>
          <w:rStyle w:val="s1"/>
        </w:rPr>
        <w:t xml:space="preserve">Looking ahead, sustainability is likely to become increasingly embedded in strategic decision-making as regulatory requirements and stakeholder expectations continue to evolve. </w:t>
      </w:r>
      <w:r>
        <w:rPr>
          <w:rStyle w:val="s1"/>
        </w:rPr>
        <w:lastRenderedPageBreak/>
        <w:t>Firms that integrate environmental considerations into core business models rather than treating them as separate initiatives are more likely to achieve long-term competitive advantage (Eccles, Ioannou and Serafeim, 2020). For Burberry, this may involve expanding circular business models, investing in sustainable innovation and strengthening supplier engagement.</w:t>
      </w:r>
    </w:p>
    <w:p w14:paraId="71057714" w14:textId="77777777" w:rsidR="00006C27" w:rsidRDefault="00006C27">
      <w:pPr>
        <w:pStyle w:val="p1"/>
      </w:pPr>
      <w:r>
        <w:rPr>
          <w:rStyle w:val="s1"/>
        </w:rPr>
        <w:t>Nevertheless, the transition towards more sustainable operations requires significant organisational change and may create short-term financial pressures. Management accounting therefore plays a key role in evaluating the financial implications of sustainability investments and ensuring that environmental initiatives align with overall strategic objectives.</w:t>
      </w:r>
    </w:p>
    <w:p w14:paraId="4E3F585B" w14:textId="77777777" w:rsidR="007D398C" w:rsidRPr="007D398C" w:rsidRDefault="007D398C" w:rsidP="007D398C">
      <w:pPr>
        <w:spacing w:before="100" w:beforeAutospacing="1" w:after="100" w:afterAutospacing="1" w:line="240" w:lineRule="auto"/>
        <w:rPr>
          <w:rFonts w:ascii="Times New Roman" w:hAnsi="Times New Roman" w:cs="Times New Roman"/>
          <w:kern w:val="0"/>
          <w14:ligatures w14:val="none"/>
        </w:rPr>
      </w:pPr>
      <w:r w:rsidRPr="007D398C">
        <w:rPr>
          <w:rFonts w:ascii="Times New Roman" w:hAnsi="Times New Roman" w:cs="Times New Roman"/>
          <w:kern w:val="0"/>
          <w14:ligatures w14:val="none"/>
        </w:rPr>
        <w:t>Ultimately, Burberry’s sustainability efforts demonstrate how management accounting can support responsible decision-making. Achieving a balance between profitability and sustainability remains complex, requiring continuous monitoring and integration of financial and non-financial performance measures.</w:t>
      </w:r>
    </w:p>
    <w:p w14:paraId="6F2D6A08" w14:textId="01E06F8E" w:rsidR="007D398C" w:rsidRPr="007D398C" w:rsidRDefault="007D398C" w:rsidP="007D398C">
      <w:pPr>
        <w:spacing w:after="0" w:line="240" w:lineRule="auto"/>
        <w:rPr>
          <w:rFonts w:ascii="Times New Roman" w:eastAsia="Times New Roman" w:hAnsi="Times New Roman" w:cs="Times New Roman"/>
          <w:kern w:val="0"/>
          <w14:ligatures w14:val="none"/>
        </w:rPr>
      </w:pPr>
    </w:p>
    <w:p w14:paraId="3C499FFB" w14:textId="77777777" w:rsidR="007D398C" w:rsidRPr="007D398C" w:rsidRDefault="007D398C" w:rsidP="007D398C">
      <w:pPr>
        <w:spacing w:before="100" w:beforeAutospacing="1" w:after="100" w:afterAutospacing="1" w:line="240" w:lineRule="auto"/>
        <w:outlineLvl w:val="1"/>
        <w:rPr>
          <w:rFonts w:ascii="Times New Roman" w:hAnsi="Times New Roman" w:cs="Times New Roman"/>
          <w:b/>
          <w:bCs/>
          <w:kern w:val="0"/>
          <w:sz w:val="36"/>
          <w:szCs w:val="36"/>
          <w14:ligatures w14:val="none"/>
        </w:rPr>
      </w:pPr>
      <w:bookmarkStart w:id="10" w:name="_Toc223258610"/>
      <w:bookmarkStart w:id="11" w:name="_Toc223259363"/>
      <w:r w:rsidRPr="007D398C">
        <w:rPr>
          <w:rFonts w:ascii="Times New Roman" w:eastAsia="Times New Roman" w:hAnsi="Times New Roman" w:cs="Times New Roman"/>
          <w:b/>
          <w:bCs/>
          <w:kern w:val="0"/>
          <w:sz w:val="36"/>
          <w:szCs w:val="36"/>
          <w14:ligatures w14:val="none"/>
        </w:rPr>
        <w:t>Conclusion and Recommendations</w:t>
      </w:r>
      <w:bookmarkEnd w:id="10"/>
      <w:bookmarkEnd w:id="11"/>
    </w:p>
    <w:p w14:paraId="48BFA690" w14:textId="77777777" w:rsidR="007D398C" w:rsidRPr="007D398C" w:rsidRDefault="007D398C" w:rsidP="007D398C">
      <w:pPr>
        <w:spacing w:before="100" w:beforeAutospacing="1" w:after="100" w:afterAutospacing="1" w:line="240" w:lineRule="auto"/>
        <w:rPr>
          <w:rFonts w:ascii="Times New Roman" w:hAnsi="Times New Roman" w:cs="Times New Roman"/>
          <w:kern w:val="0"/>
          <w14:ligatures w14:val="none"/>
        </w:rPr>
      </w:pPr>
      <w:r w:rsidRPr="007D398C">
        <w:rPr>
          <w:rFonts w:ascii="Times New Roman" w:hAnsi="Times New Roman" w:cs="Times New Roman"/>
          <w:kern w:val="0"/>
          <w14:ligatures w14:val="none"/>
        </w:rPr>
        <w:t>The analysis demonstrates that management accounting plays a vital role in supporting Burberry’s strategic and operational decisions. Cost analysis, budgeting and performance measurement systems provide valuable insights that enable the company to manage profitability while maintaining its premium brand positioning.</w:t>
      </w:r>
    </w:p>
    <w:p w14:paraId="07FE80B5" w14:textId="77777777" w:rsidR="007D398C" w:rsidRPr="007D398C" w:rsidRDefault="007D398C" w:rsidP="007D398C">
      <w:pPr>
        <w:spacing w:before="100" w:beforeAutospacing="1" w:after="100" w:afterAutospacing="1" w:line="240" w:lineRule="auto"/>
        <w:rPr>
          <w:rFonts w:ascii="Times New Roman" w:hAnsi="Times New Roman" w:cs="Times New Roman"/>
          <w:kern w:val="0"/>
          <w14:ligatures w14:val="none"/>
        </w:rPr>
      </w:pPr>
      <w:r w:rsidRPr="007D398C">
        <w:rPr>
          <w:rFonts w:ascii="Times New Roman" w:hAnsi="Times New Roman" w:cs="Times New Roman"/>
          <w:kern w:val="0"/>
          <w14:ligatures w14:val="none"/>
        </w:rPr>
        <w:t>Nevertheless, the report highlights several challenges, including exposure to demand volatility, limitations of traditional budgeting and difficulties in measuring intangible value drivers. Sustainability initiatives further illustrate the need to balance financial objectives with broader stakeholder expectations.</w:t>
      </w:r>
    </w:p>
    <w:p w14:paraId="0D430F55" w14:textId="17804603" w:rsidR="007D398C" w:rsidRDefault="007D398C" w:rsidP="007D398C">
      <w:pPr>
        <w:spacing w:before="100" w:beforeAutospacing="1" w:after="100" w:afterAutospacing="1" w:line="240" w:lineRule="auto"/>
        <w:rPr>
          <w:rFonts w:ascii="Times New Roman" w:hAnsi="Times New Roman" w:cs="Times New Roman"/>
          <w:kern w:val="0"/>
          <w:lang w:val="bg-BG"/>
          <w14:ligatures w14:val="none"/>
        </w:rPr>
      </w:pPr>
      <w:r w:rsidRPr="007D398C">
        <w:rPr>
          <w:rFonts w:ascii="Times New Roman" w:hAnsi="Times New Roman" w:cs="Times New Roman"/>
          <w:kern w:val="0"/>
          <w14:ligatures w14:val="none"/>
        </w:rPr>
        <w:t>To enhance decision-making, it is recommended that Burberry adopt more adaptive planning techniques, expand the use of forward-looking non-financial KPIs and continue strengthening transparency in sustainability reporting. These measures would support long-term strategic resilience and ensure alignment between financial performance and brand value creation.</w:t>
      </w:r>
      <w:r w:rsidR="004853E4">
        <w:rPr>
          <w:rFonts w:ascii="Times New Roman" w:hAnsi="Times New Roman" w:cs="Times New Roman"/>
          <w:kern w:val="0"/>
          <w:lang w:val="bg-BG"/>
          <w14:ligatures w14:val="none"/>
        </w:rPr>
        <w:t xml:space="preserve"> </w:t>
      </w:r>
    </w:p>
    <w:p w14:paraId="01A85584" w14:textId="77777777" w:rsidR="004853E4" w:rsidRDefault="004853E4">
      <w:pPr>
        <w:pStyle w:val="p1"/>
      </w:pPr>
      <w:r>
        <w:rPr>
          <w:rStyle w:val="s1"/>
        </w:rPr>
        <w:t>Overall, the findings highlight that effective management accounting is not only operationally necessary but strategically critical in sustaining competitive advantage within the luxury sector.</w:t>
      </w:r>
    </w:p>
    <w:p w14:paraId="4303BB15" w14:textId="77777777" w:rsidR="004853E4" w:rsidRPr="007D398C" w:rsidRDefault="004853E4" w:rsidP="007D398C">
      <w:pPr>
        <w:spacing w:before="100" w:beforeAutospacing="1" w:after="100" w:afterAutospacing="1" w:line="240" w:lineRule="auto"/>
        <w:rPr>
          <w:rFonts w:ascii="Times New Roman" w:hAnsi="Times New Roman" w:cs="Times New Roman"/>
          <w:kern w:val="0"/>
          <w:lang w:val="bg-BG"/>
          <w14:ligatures w14:val="none"/>
        </w:rPr>
      </w:pPr>
    </w:p>
    <w:p w14:paraId="60AFF08A" w14:textId="49C89864" w:rsidR="007D398C" w:rsidRPr="007D398C" w:rsidRDefault="007D398C" w:rsidP="007D398C">
      <w:pPr>
        <w:spacing w:after="0" w:line="240" w:lineRule="auto"/>
        <w:rPr>
          <w:rFonts w:ascii="Times New Roman" w:eastAsia="Times New Roman" w:hAnsi="Times New Roman" w:cs="Times New Roman"/>
          <w:kern w:val="0"/>
          <w14:ligatures w14:val="none"/>
        </w:rPr>
      </w:pPr>
    </w:p>
    <w:p w14:paraId="7C687F4F" w14:textId="77777777" w:rsidR="00A300BE" w:rsidRDefault="00854ED1">
      <w:pPr>
        <w:pStyle w:val="Heading1"/>
        <w:rPr>
          <w:rFonts w:ascii="Apple Color Emoji" w:hAnsi="Apple Color Emoji" w:cs="Apple Color Emoji"/>
          <w:kern w:val="0"/>
          <w14:ligatures w14:val="none"/>
        </w:rPr>
      </w:pPr>
      <w:r>
        <w:rPr>
          <w:rFonts w:ascii="Apple Color Emoji" w:hAnsi="Apple Color Emoji" w:cs="Apple Color Emoji"/>
          <w:kern w:val="0"/>
          <w14:ligatures w14:val="none"/>
        </w:rPr>
        <w:lastRenderedPageBreak/>
        <w:t xml:space="preserve"> </w:t>
      </w:r>
      <w:bookmarkStart w:id="12" w:name="_Toc223258611"/>
      <w:bookmarkStart w:id="13" w:name="_Toc223259364"/>
    </w:p>
    <w:p w14:paraId="24F59BB4" w14:textId="1429E12F" w:rsidR="00F83DFE" w:rsidRPr="00A300BE" w:rsidRDefault="00F83DFE" w:rsidP="00A300BE">
      <w:pPr>
        <w:pStyle w:val="Heading1"/>
        <w:rPr>
          <w:rFonts w:ascii="Times New Roman" w:eastAsia="Times New Roman" w:hAnsi="Times New Roman" w:cs="Times New Roman"/>
          <w:b/>
          <w:bCs/>
          <w:color w:val="auto"/>
          <w:kern w:val="36"/>
          <w:sz w:val="48"/>
          <w:szCs w:val="48"/>
          <w14:ligatures w14:val="none"/>
        </w:rPr>
      </w:pPr>
      <w:r w:rsidRPr="00F83DFE">
        <w:rPr>
          <w:rFonts w:ascii="Times New Roman" w:eastAsia="Times New Roman" w:hAnsi="Times New Roman" w:cs="Times New Roman"/>
          <w:b/>
          <w:bCs/>
          <w:color w:val="auto"/>
          <w:kern w:val="36"/>
          <w:sz w:val="48"/>
          <w:szCs w:val="48"/>
          <w14:ligatures w14:val="none"/>
        </w:rPr>
        <w:t>Reference</w:t>
      </w:r>
      <w:bookmarkEnd w:id="12"/>
      <w:bookmarkEnd w:id="13"/>
      <w:r w:rsidRPr="00F83DFE">
        <w:rPr>
          <w:rFonts w:ascii="Times New Roman" w:eastAsia="Times New Roman" w:hAnsi="Times New Roman" w:cs="Times New Roman"/>
          <w:b/>
          <w:bCs/>
          <w:color w:val="auto"/>
          <w:kern w:val="36"/>
          <w:sz w:val="48"/>
          <w:szCs w:val="48"/>
          <w14:ligatures w14:val="none"/>
        </w:rPr>
        <w:t xml:space="preserve"> </w:t>
      </w:r>
    </w:p>
    <w:p w14:paraId="5A67F9AE" w14:textId="029AEA6A" w:rsidR="00F83DFE" w:rsidRPr="00F83DFE" w:rsidRDefault="00F83DFE" w:rsidP="00F83DFE">
      <w:pPr>
        <w:spacing w:before="100" w:beforeAutospacing="1" w:after="100" w:afterAutospacing="1" w:line="240" w:lineRule="auto"/>
        <w:rPr>
          <w:rFonts w:ascii="Times New Roman" w:hAnsi="Times New Roman" w:cs="Times New Roman"/>
          <w:kern w:val="0"/>
          <w14:ligatures w14:val="none"/>
        </w:rPr>
      </w:pPr>
      <w:proofErr w:type="spellStart"/>
      <w:r w:rsidRPr="00F83DFE">
        <w:rPr>
          <w:rFonts w:ascii="Times New Roman" w:hAnsi="Times New Roman" w:cs="Times New Roman"/>
          <w:kern w:val="0"/>
          <w14:ligatures w14:val="none"/>
        </w:rPr>
        <w:t>Atrill</w:t>
      </w:r>
      <w:proofErr w:type="spellEnd"/>
      <w:r w:rsidRPr="00F83DFE">
        <w:rPr>
          <w:rFonts w:ascii="Times New Roman" w:hAnsi="Times New Roman" w:cs="Times New Roman"/>
          <w:kern w:val="0"/>
          <w14:ligatures w14:val="none"/>
        </w:rPr>
        <w:t xml:space="preserve">, P. and McLaney, E. (2021) Management Accounting for Decision Makers. 9th </w:t>
      </w:r>
      <w:proofErr w:type="spellStart"/>
      <w:r w:rsidRPr="00F83DFE">
        <w:rPr>
          <w:rFonts w:ascii="Times New Roman" w:hAnsi="Times New Roman" w:cs="Times New Roman"/>
          <w:kern w:val="0"/>
          <w14:ligatures w14:val="none"/>
        </w:rPr>
        <w:t>edn</w:t>
      </w:r>
      <w:proofErr w:type="spellEnd"/>
      <w:r w:rsidRPr="00F83DFE">
        <w:rPr>
          <w:rFonts w:ascii="Times New Roman" w:hAnsi="Times New Roman" w:cs="Times New Roman"/>
          <w:kern w:val="0"/>
          <w14:ligatures w14:val="none"/>
        </w:rPr>
        <w:t>. Harlow: Pearson.</w:t>
      </w:r>
    </w:p>
    <w:p w14:paraId="46AFC92F" w14:textId="59C02EA8" w:rsidR="00F83DFE" w:rsidRPr="00F83DFE" w:rsidRDefault="00F83DFE" w:rsidP="00F83DFE">
      <w:pPr>
        <w:spacing w:before="100" w:beforeAutospacing="1" w:after="100" w:afterAutospacing="1" w:line="240" w:lineRule="auto"/>
        <w:rPr>
          <w:rFonts w:ascii="Times New Roman" w:hAnsi="Times New Roman" w:cs="Times New Roman"/>
          <w:kern w:val="0"/>
          <w14:ligatures w14:val="none"/>
        </w:rPr>
      </w:pPr>
      <w:proofErr w:type="spellStart"/>
      <w:r w:rsidRPr="00F83DFE">
        <w:rPr>
          <w:rFonts w:ascii="Times New Roman" w:hAnsi="Times New Roman" w:cs="Times New Roman"/>
          <w:kern w:val="0"/>
          <w14:ligatures w14:val="none"/>
        </w:rPr>
        <w:t>Atrill</w:t>
      </w:r>
      <w:proofErr w:type="spellEnd"/>
      <w:r w:rsidRPr="00F83DFE">
        <w:rPr>
          <w:rFonts w:ascii="Times New Roman" w:hAnsi="Times New Roman" w:cs="Times New Roman"/>
          <w:kern w:val="0"/>
          <w14:ligatures w14:val="none"/>
        </w:rPr>
        <w:t xml:space="preserve">, P. and McLaney, E. (2022) Accounting and Finance for Non-Specialists. 12th </w:t>
      </w:r>
      <w:proofErr w:type="spellStart"/>
      <w:r w:rsidRPr="00F83DFE">
        <w:rPr>
          <w:rFonts w:ascii="Times New Roman" w:hAnsi="Times New Roman" w:cs="Times New Roman"/>
          <w:kern w:val="0"/>
          <w14:ligatures w14:val="none"/>
        </w:rPr>
        <w:t>edn</w:t>
      </w:r>
      <w:proofErr w:type="spellEnd"/>
      <w:r w:rsidRPr="00F83DFE">
        <w:rPr>
          <w:rFonts w:ascii="Times New Roman" w:hAnsi="Times New Roman" w:cs="Times New Roman"/>
          <w:kern w:val="0"/>
          <w14:ligatures w14:val="none"/>
        </w:rPr>
        <w:t>. Harlow: Pearson.</w:t>
      </w:r>
    </w:p>
    <w:p w14:paraId="25CDAF1C" w14:textId="35D96358" w:rsidR="00F83DFE" w:rsidRPr="00F83DFE" w:rsidRDefault="00F83DFE" w:rsidP="00F83DFE">
      <w:pPr>
        <w:spacing w:before="100" w:beforeAutospacing="1" w:after="100" w:afterAutospacing="1" w:line="240" w:lineRule="auto"/>
        <w:rPr>
          <w:rFonts w:ascii="Times New Roman" w:hAnsi="Times New Roman" w:cs="Times New Roman"/>
          <w:kern w:val="0"/>
          <w14:ligatures w14:val="none"/>
        </w:rPr>
      </w:pPr>
      <w:r w:rsidRPr="00F83DFE">
        <w:rPr>
          <w:rFonts w:ascii="Times New Roman" w:hAnsi="Times New Roman" w:cs="Times New Roman"/>
          <w:kern w:val="0"/>
          <w14:ligatures w14:val="none"/>
        </w:rPr>
        <w:t>Burberry Group plc (2025) Annual Report and Accounts 2024/25. London: Burberry Group plc. Available at: https://www.burberryplc.com (Accessed:</w:t>
      </w:r>
      <w:r w:rsidR="00861998">
        <w:rPr>
          <w:rFonts w:ascii="Times New Roman" w:hAnsi="Times New Roman" w:cs="Times New Roman"/>
          <w:kern w:val="0"/>
          <w14:ligatures w14:val="none"/>
        </w:rPr>
        <w:t>1</w:t>
      </w:r>
      <w:r w:rsidR="00B70C84">
        <w:rPr>
          <w:rFonts w:ascii="Times New Roman" w:hAnsi="Times New Roman" w:cs="Times New Roman"/>
          <w:kern w:val="0"/>
          <w14:ligatures w14:val="none"/>
        </w:rPr>
        <w:t>6 March</w:t>
      </w:r>
      <w:r w:rsidRPr="00F83DFE">
        <w:rPr>
          <w:rFonts w:ascii="Times New Roman" w:hAnsi="Times New Roman" w:cs="Times New Roman"/>
          <w:kern w:val="0"/>
          <w14:ligatures w14:val="none"/>
        </w:rPr>
        <w:t xml:space="preserve"> 2026).</w:t>
      </w:r>
    </w:p>
    <w:p w14:paraId="0F4B23B3" w14:textId="32C8250E" w:rsidR="00F83DFE" w:rsidRPr="00F83DFE" w:rsidRDefault="00F83DFE" w:rsidP="00F83DFE">
      <w:pPr>
        <w:spacing w:before="100" w:beforeAutospacing="1" w:after="100" w:afterAutospacing="1" w:line="240" w:lineRule="auto"/>
        <w:rPr>
          <w:rFonts w:ascii="Times New Roman" w:hAnsi="Times New Roman" w:cs="Times New Roman"/>
          <w:kern w:val="0"/>
          <w14:ligatures w14:val="none"/>
        </w:rPr>
      </w:pPr>
      <w:r w:rsidRPr="00F83DFE">
        <w:rPr>
          <w:rFonts w:ascii="Times New Roman" w:hAnsi="Times New Roman" w:cs="Times New Roman"/>
          <w:kern w:val="0"/>
          <w14:ligatures w14:val="none"/>
        </w:rPr>
        <w:t xml:space="preserve">Christopher, M. (2022) Logistics and Supply Chain Management. 6th </w:t>
      </w:r>
      <w:proofErr w:type="spellStart"/>
      <w:r w:rsidRPr="00F83DFE">
        <w:rPr>
          <w:rFonts w:ascii="Times New Roman" w:hAnsi="Times New Roman" w:cs="Times New Roman"/>
          <w:kern w:val="0"/>
          <w14:ligatures w14:val="none"/>
        </w:rPr>
        <w:t>edn</w:t>
      </w:r>
      <w:proofErr w:type="spellEnd"/>
      <w:r w:rsidRPr="00F83DFE">
        <w:rPr>
          <w:rFonts w:ascii="Times New Roman" w:hAnsi="Times New Roman" w:cs="Times New Roman"/>
          <w:kern w:val="0"/>
          <w14:ligatures w14:val="none"/>
        </w:rPr>
        <w:t>. Harlow: Pearson.</w:t>
      </w:r>
    </w:p>
    <w:p w14:paraId="6F4F02DC" w14:textId="4A7BF8B9" w:rsidR="00F83DFE" w:rsidRPr="00F83DFE" w:rsidRDefault="00F83DFE" w:rsidP="00F83DFE">
      <w:pPr>
        <w:spacing w:before="100" w:beforeAutospacing="1" w:after="100" w:afterAutospacing="1" w:line="240" w:lineRule="auto"/>
        <w:rPr>
          <w:rFonts w:ascii="Times New Roman" w:hAnsi="Times New Roman" w:cs="Times New Roman"/>
          <w:kern w:val="0"/>
          <w14:ligatures w14:val="none"/>
        </w:rPr>
      </w:pPr>
      <w:r w:rsidRPr="00F83DFE">
        <w:rPr>
          <w:rFonts w:ascii="Times New Roman" w:hAnsi="Times New Roman" w:cs="Times New Roman"/>
          <w:kern w:val="0"/>
          <w14:ligatures w14:val="none"/>
        </w:rPr>
        <w:t>Deloitte (2024) Global Powers of Luxury Goods 2024. London: Deloitte Insights.</w:t>
      </w:r>
    </w:p>
    <w:p w14:paraId="01FDEB12" w14:textId="72B2AD27" w:rsidR="00F83DFE" w:rsidRPr="00F83DFE" w:rsidRDefault="00F83DFE" w:rsidP="00F83DFE">
      <w:pPr>
        <w:spacing w:before="100" w:beforeAutospacing="1" w:after="100" w:afterAutospacing="1" w:line="240" w:lineRule="auto"/>
        <w:rPr>
          <w:rFonts w:ascii="Times New Roman" w:hAnsi="Times New Roman" w:cs="Times New Roman"/>
          <w:kern w:val="0"/>
          <w14:ligatures w14:val="none"/>
        </w:rPr>
      </w:pPr>
      <w:r w:rsidRPr="00F83DFE">
        <w:rPr>
          <w:rFonts w:ascii="Times New Roman" w:hAnsi="Times New Roman" w:cs="Times New Roman"/>
          <w:kern w:val="0"/>
          <w14:ligatures w14:val="none"/>
        </w:rPr>
        <w:t xml:space="preserve">Drury, C. (2024) Management and Cost Accounting. 12th </w:t>
      </w:r>
      <w:proofErr w:type="spellStart"/>
      <w:r w:rsidRPr="00F83DFE">
        <w:rPr>
          <w:rFonts w:ascii="Times New Roman" w:hAnsi="Times New Roman" w:cs="Times New Roman"/>
          <w:kern w:val="0"/>
          <w14:ligatures w14:val="none"/>
        </w:rPr>
        <w:t>edn</w:t>
      </w:r>
      <w:proofErr w:type="spellEnd"/>
      <w:r w:rsidRPr="00F83DFE">
        <w:rPr>
          <w:rFonts w:ascii="Times New Roman" w:hAnsi="Times New Roman" w:cs="Times New Roman"/>
          <w:kern w:val="0"/>
          <w14:ligatures w14:val="none"/>
        </w:rPr>
        <w:t>. Andover: Cengage Learning.</w:t>
      </w:r>
    </w:p>
    <w:p w14:paraId="139AA828" w14:textId="54E48D93" w:rsidR="00F83DFE" w:rsidRPr="00F83DFE" w:rsidRDefault="00F83DFE" w:rsidP="00F83DFE">
      <w:pPr>
        <w:spacing w:before="100" w:beforeAutospacing="1" w:after="100" w:afterAutospacing="1" w:line="240" w:lineRule="auto"/>
        <w:rPr>
          <w:rFonts w:ascii="Times New Roman" w:hAnsi="Times New Roman" w:cs="Times New Roman"/>
          <w:kern w:val="0"/>
          <w14:ligatures w14:val="none"/>
        </w:rPr>
      </w:pPr>
      <w:r w:rsidRPr="00F83DFE">
        <w:rPr>
          <w:rFonts w:ascii="Times New Roman" w:hAnsi="Times New Roman" w:cs="Times New Roman"/>
          <w:kern w:val="0"/>
          <w14:ligatures w14:val="none"/>
        </w:rPr>
        <w:t>Eccles, R.G., Ioannou, I. and Serafeim, G. (2020) ‘The impact of corporate sustainability on organisational performance’, Management Science, 66(5), pp. 1960–1984.</w:t>
      </w:r>
    </w:p>
    <w:p w14:paraId="250C5C22" w14:textId="6F7AADCE" w:rsidR="00F83DFE" w:rsidRPr="00F83DFE" w:rsidRDefault="00F83DFE" w:rsidP="00F83DFE">
      <w:pPr>
        <w:spacing w:before="100" w:beforeAutospacing="1" w:after="100" w:afterAutospacing="1" w:line="240" w:lineRule="auto"/>
        <w:rPr>
          <w:rFonts w:ascii="Times New Roman" w:hAnsi="Times New Roman" w:cs="Times New Roman"/>
          <w:kern w:val="0"/>
          <w14:ligatures w14:val="none"/>
        </w:rPr>
      </w:pPr>
      <w:r w:rsidRPr="00F83DFE">
        <w:rPr>
          <w:rFonts w:ascii="Times New Roman" w:hAnsi="Times New Roman" w:cs="Times New Roman"/>
          <w:kern w:val="0"/>
          <w14:ligatures w14:val="none"/>
        </w:rPr>
        <w:t xml:space="preserve">Grewal, D., Roggeveen, A.L. and </w:t>
      </w:r>
      <w:proofErr w:type="spellStart"/>
      <w:r w:rsidRPr="00F83DFE">
        <w:rPr>
          <w:rFonts w:ascii="Times New Roman" w:hAnsi="Times New Roman" w:cs="Times New Roman"/>
          <w:kern w:val="0"/>
          <w14:ligatures w14:val="none"/>
        </w:rPr>
        <w:t>Nordfält</w:t>
      </w:r>
      <w:proofErr w:type="spellEnd"/>
      <w:r w:rsidRPr="00F83DFE">
        <w:rPr>
          <w:rFonts w:ascii="Times New Roman" w:hAnsi="Times New Roman" w:cs="Times New Roman"/>
          <w:kern w:val="0"/>
          <w14:ligatures w14:val="none"/>
        </w:rPr>
        <w:t>, J. (2020) ‘The future of retailing’, Journal of Retailing, 96(1), pp. 1–6.</w:t>
      </w:r>
    </w:p>
    <w:p w14:paraId="720A833A" w14:textId="15BA92CE" w:rsidR="00F83DFE" w:rsidRPr="00F83DFE" w:rsidRDefault="00F83DFE" w:rsidP="00F83DFE">
      <w:pPr>
        <w:spacing w:before="100" w:beforeAutospacing="1" w:after="100" w:afterAutospacing="1" w:line="240" w:lineRule="auto"/>
        <w:rPr>
          <w:rFonts w:ascii="Times New Roman" w:hAnsi="Times New Roman" w:cs="Times New Roman"/>
          <w:kern w:val="0"/>
          <w14:ligatures w14:val="none"/>
        </w:rPr>
      </w:pPr>
      <w:r w:rsidRPr="00F83DFE">
        <w:rPr>
          <w:rFonts w:ascii="Times New Roman" w:hAnsi="Times New Roman" w:cs="Times New Roman"/>
          <w:kern w:val="0"/>
          <w14:ligatures w14:val="none"/>
        </w:rPr>
        <w:t>Kaplan, R.S. and Anderson, S.R. (2020) ‘Time-driven activity-based costing’, Harvard Business Review, 98(5), pp. 131–138.</w:t>
      </w:r>
    </w:p>
    <w:p w14:paraId="35502A81" w14:textId="6E5286AF" w:rsidR="00F83DFE" w:rsidRPr="00F83DFE" w:rsidRDefault="00F83DFE" w:rsidP="00F83DFE">
      <w:pPr>
        <w:spacing w:before="100" w:beforeAutospacing="1" w:after="100" w:afterAutospacing="1" w:line="240" w:lineRule="auto"/>
        <w:rPr>
          <w:rFonts w:ascii="Times New Roman" w:hAnsi="Times New Roman" w:cs="Times New Roman"/>
          <w:kern w:val="0"/>
          <w14:ligatures w14:val="none"/>
        </w:rPr>
      </w:pPr>
      <w:r w:rsidRPr="00F83DFE">
        <w:rPr>
          <w:rFonts w:ascii="Times New Roman" w:hAnsi="Times New Roman" w:cs="Times New Roman"/>
          <w:kern w:val="0"/>
          <w14:ligatures w14:val="none"/>
        </w:rPr>
        <w:t>KPMG (2023) ESG Reporting Trends in the Consumer Sector. London: KPMG.</w:t>
      </w:r>
    </w:p>
    <w:p w14:paraId="1B9172BB" w14:textId="6F7B67E2" w:rsidR="00F83DFE" w:rsidRPr="00F83DFE" w:rsidRDefault="00F83DFE" w:rsidP="00F83DFE">
      <w:pPr>
        <w:spacing w:before="100" w:beforeAutospacing="1" w:after="100" w:afterAutospacing="1" w:line="240" w:lineRule="auto"/>
        <w:rPr>
          <w:rFonts w:ascii="Times New Roman" w:hAnsi="Times New Roman" w:cs="Times New Roman"/>
          <w:kern w:val="0"/>
          <w14:ligatures w14:val="none"/>
        </w:rPr>
      </w:pPr>
      <w:r w:rsidRPr="00F83DFE">
        <w:rPr>
          <w:rFonts w:ascii="Times New Roman" w:hAnsi="Times New Roman" w:cs="Times New Roman"/>
          <w:kern w:val="0"/>
          <w14:ligatures w14:val="none"/>
        </w:rPr>
        <w:t xml:space="preserve">McKinsey &amp; Company (2023) The State of Fashion 2024. Available at: https://www.mckinsey.com (Accessed: </w:t>
      </w:r>
      <w:r w:rsidR="00861998">
        <w:rPr>
          <w:rFonts w:ascii="Times New Roman" w:hAnsi="Times New Roman" w:cs="Times New Roman"/>
          <w:kern w:val="0"/>
          <w14:ligatures w14:val="none"/>
        </w:rPr>
        <w:t>1</w:t>
      </w:r>
      <w:r w:rsidR="00B70C84">
        <w:rPr>
          <w:rFonts w:ascii="Times New Roman" w:hAnsi="Times New Roman" w:cs="Times New Roman"/>
          <w:kern w:val="0"/>
          <w14:ligatures w14:val="none"/>
        </w:rPr>
        <w:t>6 March</w:t>
      </w:r>
      <w:r w:rsidRPr="00F83DFE">
        <w:rPr>
          <w:rFonts w:ascii="Times New Roman" w:hAnsi="Times New Roman" w:cs="Times New Roman"/>
          <w:kern w:val="0"/>
          <w14:ligatures w14:val="none"/>
        </w:rPr>
        <w:t xml:space="preserve"> 2026).</w:t>
      </w:r>
    </w:p>
    <w:p w14:paraId="1C71BA03" w14:textId="4E7D24E5" w:rsidR="00F83DFE" w:rsidRPr="00F83DFE" w:rsidRDefault="00F83DFE" w:rsidP="00F83DFE">
      <w:pPr>
        <w:spacing w:before="100" w:beforeAutospacing="1" w:after="100" w:afterAutospacing="1" w:line="240" w:lineRule="auto"/>
        <w:rPr>
          <w:rFonts w:ascii="Times New Roman" w:hAnsi="Times New Roman" w:cs="Times New Roman"/>
          <w:kern w:val="0"/>
          <w14:ligatures w14:val="none"/>
        </w:rPr>
      </w:pPr>
      <w:r w:rsidRPr="00F83DFE">
        <w:rPr>
          <w:rFonts w:ascii="Times New Roman" w:hAnsi="Times New Roman" w:cs="Times New Roman"/>
          <w:kern w:val="0"/>
          <w14:ligatures w14:val="none"/>
        </w:rPr>
        <w:t>Nielsen, C. and Lund, M. (2020) ‘The balanced scorecard and strategy implementation’, Journal of Accounting &amp; Organizational Change, 16(3), pp. 381–402.</w:t>
      </w:r>
    </w:p>
    <w:p w14:paraId="76A5A7C3" w14:textId="146E8962" w:rsidR="00F83DFE" w:rsidRPr="00F83DFE" w:rsidRDefault="00F83DFE" w:rsidP="00F83DFE">
      <w:pPr>
        <w:spacing w:before="100" w:beforeAutospacing="1" w:after="100" w:afterAutospacing="1" w:line="240" w:lineRule="auto"/>
        <w:rPr>
          <w:rFonts w:ascii="Times New Roman" w:hAnsi="Times New Roman" w:cs="Times New Roman"/>
          <w:kern w:val="0"/>
          <w14:ligatures w14:val="none"/>
        </w:rPr>
      </w:pPr>
      <w:r w:rsidRPr="00F83DFE">
        <w:rPr>
          <w:rFonts w:ascii="Times New Roman" w:hAnsi="Times New Roman" w:cs="Times New Roman"/>
          <w:kern w:val="0"/>
          <w14:ligatures w14:val="none"/>
        </w:rPr>
        <w:t>Porter, M.E. and Kramer, M.R. (2020) ‘Creating shared value’, Harvard Business Review, 98(1), pp. 62–77.</w:t>
      </w:r>
    </w:p>
    <w:p w14:paraId="4CA35B3E" w14:textId="3A6ED7B6" w:rsidR="00F83DFE" w:rsidRPr="00F83DFE" w:rsidRDefault="00F83DFE" w:rsidP="00F83DFE">
      <w:pPr>
        <w:spacing w:before="100" w:beforeAutospacing="1" w:after="100" w:afterAutospacing="1" w:line="240" w:lineRule="auto"/>
        <w:rPr>
          <w:rFonts w:ascii="Times New Roman" w:hAnsi="Times New Roman" w:cs="Times New Roman"/>
          <w:kern w:val="0"/>
          <w14:ligatures w14:val="none"/>
        </w:rPr>
      </w:pPr>
      <w:r w:rsidRPr="00F83DFE">
        <w:rPr>
          <w:rFonts w:ascii="Times New Roman" w:hAnsi="Times New Roman" w:cs="Times New Roman"/>
          <w:kern w:val="0"/>
          <w14:ligatures w14:val="none"/>
        </w:rPr>
        <w:t>PwC (2024) Global Consumer Insights Survey. London: PwC.</w:t>
      </w:r>
    </w:p>
    <w:p w14:paraId="31F040A0" w14:textId="6A4D1ABD" w:rsidR="00F83DFE" w:rsidRPr="00F83DFE" w:rsidRDefault="00F83DFE" w:rsidP="00F83DFE">
      <w:pPr>
        <w:spacing w:before="100" w:beforeAutospacing="1" w:after="100" w:afterAutospacing="1" w:line="240" w:lineRule="auto"/>
        <w:rPr>
          <w:rFonts w:ascii="Times New Roman" w:hAnsi="Times New Roman" w:cs="Times New Roman"/>
          <w:kern w:val="0"/>
          <w14:ligatures w14:val="none"/>
        </w:rPr>
      </w:pPr>
      <w:r w:rsidRPr="00F83DFE">
        <w:rPr>
          <w:rFonts w:ascii="Times New Roman" w:hAnsi="Times New Roman" w:cs="Times New Roman"/>
          <w:kern w:val="0"/>
          <w14:ligatures w14:val="none"/>
        </w:rPr>
        <w:t xml:space="preserve">Statista (2024) Luxury Fashion Market Revenue Worldwide. Available at: https://www.statista.com (Accessed: </w:t>
      </w:r>
      <w:r w:rsidR="00861998">
        <w:rPr>
          <w:rFonts w:ascii="Times New Roman" w:hAnsi="Times New Roman" w:cs="Times New Roman"/>
          <w:kern w:val="0"/>
          <w14:ligatures w14:val="none"/>
        </w:rPr>
        <w:t>1</w:t>
      </w:r>
      <w:r w:rsidR="00B70C84">
        <w:rPr>
          <w:rFonts w:ascii="Times New Roman" w:hAnsi="Times New Roman" w:cs="Times New Roman"/>
          <w:kern w:val="0"/>
          <w14:ligatures w14:val="none"/>
        </w:rPr>
        <w:t>6</w:t>
      </w:r>
      <w:r w:rsidRPr="00F83DFE">
        <w:rPr>
          <w:rFonts w:ascii="Times New Roman" w:hAnsi="Times New Roman" w:cs="Times New Roman"/>
          <w:kern w:val="0"/>
          <w14:ligatures w14:val="none"/>
        </w:rPr>
        <w:t xml:space="preserve"> </w:t>
      </w:r>
      <w:r w:rsidR="00B70C84">
        <w:rPr>
          <w:rFonts w:ascii="Times New Roman" w:hAnsi="Times New Roman" w:cs="Times New Roman"/>
          <w:kern w:val="0"/>
          <w14:ligatures w14:val="none"/>
        </w:rPr>
        <w:t>March</w:t>
      </w:r>
      <w:r w:rsidRPr="00F83DFE">
        <w:rPr>
          <w:rFonts w:ascii="Times New Roman" w:hAnsi="Times New Roman" w:cs="Times New Roman"/>
          <w:kern w:val="0"/>
          <w14:ligatures w14:val="none"/>
        </w:rPr>
        <w:t xml:space="preserve"> 2026).</w:t>
      </w:r>
    </w:p>
    <w:p w14:paraId="1574A5B8" w14:textId="68EC1190" w:rsidR="00F70DE4" w:rsidRPr="007D398C" w:rsidRDefault="00F70DE4" w:rsidP="007D398C"/>
    <w:sectPr w:rsidR="00F70DE4" w:rsidRPr="007D398C">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7E3C2E" w14:textId="77777777" w:rsidR="00855BC8" w:rsidRDefault="00855BC8" w:rsidP="00D209DA">
      <w:pPr>
        <w:spacing w:after="0" w:line="240" w:lineRule="auto"/>
      </w:pPr>
      <w:r>
        <w:separator/>
      </w:r>
    </w:p>
  </w:endnote>
  <w:endnote w:type="continuationSeparator" w:id="0">
    <w:p w14:paraId="0B1BD4D4" w14:textId="77777777" w:rsidR="00855BC8" w:rsidRDefault="00855BC8" w:rsidP="00D20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 Color Emoji">
    <w:panose1 w:val="00000000000000000000"/>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77134333"/>
      <w:docPartObj>
        <w:docPartGallery w:val="Page Numbers (Bottom of Page)"/>
        <w:docPartUnique/>
      </w:docPartObj>
    </w:sdtPr>
    <w:sdtEndPr>
      <w:rPr>
        <w:rStyle w:val="PageNumber"/>
      </w:rPr>
    </w:sdtEndPr>
    <w:sdtContent>
      <w:p w14:paraId="00FFC64F" w14:textId="6EDC0F22" w:rsidR="00D209DA" w:rsidRDefault="00D209DA" w:rsidP="00183B4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0EDB4C" w14:textId="77777777" w:rsidR="00D209DA" w:rsidRDefault="00D209DA" w:rsidP="00D209D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04853150"/>
      <w:docPartObj>
        <w:docPartGallery w:val="Page Numbers (Bottom of Page)"/>
        <w:docPartUnique/>
      </w:docPartObj>
    </w:sdtPr>
    <w:sdtEndPr>
      <w:rPr>
        <w:rStyle w:val="PageNumber"/>
      </w:rPr>
    </w:sdtEndPr>
    <w:sdtContent>
      <w:p w14:paraId="71EB13CD" w14:textId="56859743" w:rsidR="00D209DA" w:rsidRDefault="00D209DA" w:rsidP="00183B4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0E73BB9" w14:textId="77777777" w:rsidR="00D209DA" w:rsidRDefault="00D209DA" w:rsidP="00D209D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AEC230" w14:textId="77777777" w:rsidR="00855BC8" w:rsidRDefault="00855BC8" w:rsidP="00D209DA">
      <w:pPr>
        <w:spacing w:after="0" w:line="240" w:lineRule="auto"/>
      </w:pPr>
      <w:r>
        <w:separator/>
      </w:r>
    </w:p>
  </w:footnote>
  <w:footnote w:type="continuationSeparator" w:id="0">
    <w:p w14:paraId="663AFD69" w14:textId="77777777" w:rsidR="00855BC8" w:rsidRDefault="00855BC8" w:rsidP="00D209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F9116C"/>
    <w:multiLevelType w:val="multilevel"/>
    <w:tmpl w:val="FF4810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9F04D8F"/>
    <w:multiLevelType w:val="multilevel"/>
    <w:tmpl w:val="4D4600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63582710">
    <w:abstractNumId w:val="0"/>
  </w:num>
  <w:num w:numId="2" w16cid:durableId="1469474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DE4"/>
    <w:rsid w:val="00006C27"/>
    <w:rsid w:val="000336A4"/>
    <w:rsid w:val="000365B6"/>
    <w:rsid w:val="000417DB"/>
    <w:rsid w:val="00066F5B"/>
    <w:rsid w:val="00070D4F"/>
    <w:rsid w:val="00074070"/>
    <w:rsid w:val="00091553"/>
    <w:rsid w:val="000C2B7D"/>
    <w:rsid w:val="000D0484"/>
    <w:rsid w:val="000D704A"/>
    <w:rsid w:val="000D7F48"/>
    <w:rsid w:val="00124B66"/>
    <w:rsid w:val="0015078F"/>
    <w:rsid w:val="001523E7"/>
    <w:rsid w:val="00170263"/>
    <w:rsid w:val="00173665"/>
    <w:rsid w:val="00173C1D"/>
    <w:rsid w:val="001A01CE"/>
    <w:rsid w:val="0024057B"/>
    <w:rsid w:val="00247B4B"/>
    <w:rsid w:val="00284F78"/>
    <w:rsid w:val="002C0494"/>
    <w:rsid w:val="003544AF"/>
    <w:rsid w:val="0035551F"/>
    <w:rsid w:val="00370C3F"/>
    <w:rsid w:val="003C57AA"/>
    <w:rsid w:val="003F26BE"/>
    <w:rsid w:val="0042085C"/>
    <w:rsid w:val="00442907"/>
    <w:rsid w:val="00442F55"/>
    <w:rsid w:val="00443A3A"/>
    <w:rsid w:val="00443FA0"/>
    <w:rsid w:val="00470B0E"/>
    <w:rsid w:val="004853E4"/>
    <w:rsid w:val="004939BA"/>
    <w:rsid w:val="004A24E2"/>
    <w:rsid w:val="004A5A59"/>
    <w:rsid w:val="005114C6"/>
    <w:rsid w:val="00550A12"/>
    <w:rsid w:val="0059572F"/>
    <w:rsid w:val="005B1802"/>
    <w:rsid w:val="005D110B"/>
    <w:rsid w:val="005F3657"/>
    <w:rsid w:val="00604A51"/>
    <w:rsid w:val="0064706C"/>
    <w:rsid w:val="00656EBB"/>
    <w:rsid w:val="00692842"/>
    <w:rsid w:val="006A6356"/>
    <w:rsid w:val="006A7BB3"/>
    <w:rsid w:val="006F49DB"/>
    <w:rsid w:val="00700CB5"/>
    <w:rsid w:val="00731F3D"/>
    <w:rsid w:val="007554FA"/>
    <w:rsid w:val="00761A15"/>
    <w:rsid w:val="007729F0"/>
    <w:rsid w:val="007C6C73"/>
    <w:rsid w:val="007D398C"/>
    <w:rsid w:val="007F0EC9"/>
    <w:rsid w:val="00805DDA"/>
    <w:rsid w:val="00825BFF"/>
    <w:rsid w:val="00826850"/>
    <w:rsid w:val="0083013B"/>
    <w:rsid w:val="00837097"/>
    <w:rsid w:val="00852C8A"/>
    <w:rsid w:val="00854ED1"/>
    <w:rsid w:val="00855BC8"/>
    <w:rsid w:val="00861998"/>
    <w:rsid w:val="008773EA"/>
    <w:rsid w:val="00884B12"/>
    <w:rsid w:val="008A024F"/>
    <w:rsid w:val="008B3339"/>
    <w:rsid w:val="008D7116"/>
    <w:rsid w:val="00914B2A"/>
    <w:rsid w:val="00932461"/>
    <w:rsid w:val="00937A08"/>
    <w:rsid w:val="00982540"/>
    <w:rsid w:val="009930B5"/>
    <w:rsid w:val="009A1D80"/>
    <w:rsid w:val="009A4CAE"/>
    <w:rsid w:val="009C4C6A"/>
    <w:rsid w:val="009E0FAC"/>
    <w:rsid w:val="009E2FD0"/>
    <w:rsid w:val="009F7237"/>
    <w:rsid w:val="009F769F"/>
    <w:rsid w:val="00A07505"/>
    <w:rsid w:val="00A158E9"/>
    <w:rsid w:val="00A300BE"/>
    <w:rsid w:val="00A30256"/>
    <w:rsid w:val="00A42E7F"/>
    <w:rsid w:val="00A77B47"/>
    <w:rsid w:val="00A92C2C"/>
    <w:rsid w:val="00AC3669"/>
    <w:rsid w:val="00B1544A"/>
    <w:rsid w:val="00B537A3"/>
    <w:rsid w:val="00B70C84"/>
    <w:rsid w:val="00B87D93"/>
    <w:rsid w:val="00BA0753"/>
    <w:rsid w:val="00BC1F74"/>
    <w:rsid w:val="00BF2F27"/>
    <w:rsid w:val="00BF3677"/>
    <w:rsid w:val="00BF6682"/>
    <w:rsid w:val="00C26B2A"/>
    <w:rsid w:val="00C45169"/>
    <w:rsid w:val="00C91F45"/>
    <w:rsid w:val="00CA4B63"/>
    <w:rsid w:val="00CA63CC"/>
    <w:rsid w:val="00D11F06"/>
    <w:rsid w:val="00D209DA"/>
    <w:rsid w:val="00D404C4"/>
    <w:rsid w:val="00D4367E"/>
    <w:rsid w:val="00DE4BE9"/>
    <w:rsid w:val="00DE57F0"/>
    <w:rsid w:val="00DF4AC8"/>
    <w:rsid w:val="00E26119"/>
    <w:rsid w:val="00E84698"/>
    <w:rsid w:val="00E84AEA"/>
    <w:rsid w:val="00E940A9"/>
    <w:rsid w:val="00EC486C"/>
    <w:rsid w:val="00EC7EE7"/>
    <w:rsid w:val="00F4249F"/>
    <w:rsid w:val="00F70DE4"/>
    <w:rsid w:val="00F71602"/>
    <w:rsid w:val="00F83DFE"/>
    <w:rsid w:val="00F967DA"/>
    <w:rsid w:val="00FB1E8D"/>
    <w:rsid w:val="00FC41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1A929"/>
  <w15:chartTrackingRefBased/>
  <w15:docId w15:val="{EE2CC8A1-181C-5847-896D-D4667F683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0D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70D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0D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0D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0D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0D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0D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0D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0D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0D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0D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0D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0D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0D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0D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0D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0D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0DE4"/>
    <w:rPr>
      <w:rFonts w:eastAsiaTheme="majorEastAsia" w:cstheme="majorBidi"/>
      <w:color w:val="272727" w:themeColor="text1" w:themeTint="D8"/>
    </w:rPr>
  </w:style>
  <w:style w:type="paragraph" w:styleId="Title">
    <w:name w:val="Title"/>
    <w:basedOn w:val="Normal"/>
    <w:next w:val="Normal"/>
    <w:link w:val="TitleChar"/>
    <w:uiPriority w:val="10"/>
    <w:qFormat/>
    <w:rsid w:val="00F70D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0D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0D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0D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0DE4"/>
    <w:pPr>
      <w:spacing w:before="160"/>
      <w:jc w:val="center"/>
    </w:pPr>
    <w:rPr>
      <w:i/>
      <w:iCs/>
      <w:color w:val="404040" w:themeColor="text1" w:themeTint="BF"/>
    </w:rPr>
  </w:style>
  <w:style w:type="character" w:customStyle="1" w:styleId="QuoteChar">
    <w:name w:val="Quote Char"/>
    <w:basedOn w:val="DefaultParagraphFont"/>
    <w:link w:val="Quote"/>
    <w:uiPriority w:val="29"/>
    <w:rsid w:val="00F70DE4"/>
    <w:rPr>
      <w:i/>
      <w:iCs/>
      <w:color w:val="404040" w:themeColor="text1" w:themeTint="BF"/>
    </w:rPr>
  </w:style>
  <w:style w:type="paragraph" w:styleId="ListParagraph">
    <w:name w:val="List Paragraph"/>
    <w:basedOn w:val="Normal"/>
    <w:uiPriority w:val="34"/>
    <w:qFormat/>
    <w:rsid w:val="00F70DE4"/>
    <w:pPr>
      <w:ind w:left="720"/>
      <w:contextualSpacing/>
    </w:pPr>
  </w:style>
  <w:style w:type="character" w:styleId="IntenseEmphasis">
    <w:name w:val="Intense Emphasis"/>
    <w:basedOn w:val="DefaultParagraphFont"/>
    <w:uiPriority w:val="21"/>
    <w:qFormat/>
    <w:rsid w:val="00F70DE4"/>
    <w:rPr>
      <w:i/>
      <w:iCs/>
      <w:color w:val="0F4761" w:themeColor="accent1" w:themeShade="BF"/>
    </w:rPr>
  </w:style>
  <w:style w:type="paragraph" w:styleId="IntenseQuote">
    <w:name w:val="Intense Quote"/>
    <w:basedOn w:val="Normal"/>
    <w:next w:val="Normal"/>
    <w:link w:val="IntenseQuoteChar"/>
    <w:uiPriority w:val="30"/>
    <w:qFormat/>
    <w:rsid w:val="00F70D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0DE4"/>
    <w:rPr>
      <w:i/>
      <w:iCs/>
      <w:color w:val="0F4761" w:themeColor="accent1" w:themeShade="BF"/>
    </w:rPr>
  </w:style>
  <w:style w:type="character" w:styleId="IntenseReference">
    <w:name w:val="Intense Reference"/>
    <w:basedOn w:val="DefaultParagraphFont"/>
    <w:uiPriority w:val="32"/>
    <w:qFormat/>
    <w:rsid w:val="00F70DE4"/>
    <w:rPr>
      <w:b/>
      <w:bCs/>
      <w:smallCaps/>
      <w:color w:val="0F4761" w:themeColor="accent1" w:themeShade="BF"/>
      <w:spacing w:val="5"/>
    </w:rPr>
  </w:style>
  <w:style w:type="character" w:customStyle="1" w:styleId="s1">
    <w:name w:val="s1"/>
    <w:basedOn w:val="DefaultParagraphFont"/>
    <w:rsid w:val="00F70DE4"/>
  </w:style>
  <w:style w:type="paragraph" w:customStyle="1" w:styleId="p2">
    <w:name w:val="p2"/>
    <w:basedOn w:val="Normal"/>
    <w:rsid w:val="00F70DE4"/>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F70DE4"/>
  </w:style>
  <w:style w:type="paragraph" w:customStyle="1" w:styleId="p3">
    <w:name w:val="p3"/>
    <w:basedOn w:val="Normal"/>
    <w:rsid w:val="00F70DE4"/>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7D398C"/>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7D398C"/>
  </w:style>
  <w:style w:type="paragraph" w:styleId="TOCHeading">
    <w:name w:val="TOC Heading"/>
    <w:basedOn w:val="Heading1"/>
    <w:next w:val="Normal"/>
    <w:uiPriority w:val="39"/>
    <w:unhideWhenUsed/>
    <w:qFormat/>
    <w:rsid w:val="009E0FAC"/>
    <w:pPr>
      <w:spacing w:before="480" w:after="0" w:line="276" w:lineRule="auto"/>
      <w:outlineLvl w:val="9"/>
    </w:pPr>
    <w:rPr>
      <w:b/>
      <w:bCs/>
      <w:kern w:val="0"/>
      <w:sz w:val="28"/>
      <w:szCs w:val="28"/>
      <w:lang w:val="en-US" w:eastAsia="en-US"/>
      <w14:ligatures w14:val="none"/>
    </w:rPr>
  </w:style>
  <w:style w:type="paragraph" w:styleId="TOC2">
    <w:name w:val="toc 2"/>
    <w:basedOn w:val="Normal"/>
    <w:next w:val="Normal"/>
    <w:autoRedefine/>
    <w:uiPriority w:val="39"/>
    <w:unhideWhenUsed/>
    <w:rsid w:val="009E0FAC"/>
    <w:pPr>
      <w:spacing w:before="120" w:after="0"/>
      <w:ind w:left="240"/>
    </w:pPr>
    <w:rPr>
      <w:b/>
      <w:bCs/>
      <w:sz w:val="22"/>
      <w:szCs w:val="22"/>
    </w:rPr>
  </w:style>
  <w:style w:type="paragraph" w:styleId="TOC1">
    <w:name w:val="toc 1"/>
    <w:basedOn w:val="Normal"/>
    <w:next w:val="Normal"/>
    <w:autoRedefine/>
    <w:uiPriority w:val="39"/>
    <w:unhideWhenUsed/>
    <w:rsid w:val="009E0FAC"/>
    <w:pPr>
      <w:spacing w:before="120" w:after="0"/>
    </w:pPr>
    <w:rPr>
      <w:b/>
      <w:bCs/>
      <w:i/>
      <w:iCs/>
    </w:rPr>
  </w:style>
  <w:style w:type="character" w:styleId="Hyperlink">
    <w:name w:val="Hyperlink"/>
    <w:basedOn w:val="DefaultParagraphFont"/>
    <w:uiPriority w:val="99"/>
    <w:unhideWhenUsed/>
    <w:rsid w:val="009E0FAC"/>
    <w:rPr>
      <w:color w:val="467886" w:themeColor="hyperlink"/>
      <w:u w:val="single"/>
    </w:rPr>
  </w:style>
  <w:style w:type="paragraph" w:styleId="TOC3">
    <w:name w:val="toc 3"/>
    <w:basedOn w:val="Normal"/>
    <w:next w:val="Normal"/>
    <w:autoRedefine/>
    <w:uiPriority w:val="39"/>
    <w:semiHidden/>
    <w:unhideWhenUsed/>
    <w:rsid w:val="009E0FAC"/>
    <w:pPr>
      <w:spacing w:after="0"/>
      <w:ind w:left="480"/>
    </w:pPr>
    <w:rPr>
      <w:sz w:val="20"/>
      <w:szCs w:val="20"/>
    </w:rPr>
  </w:style>
  <w:style w:type="paragraph" w:styleId="TOC4">
    <w:name w:val="toc 4"/>
    <w:basedOn w:val="Normal"/>
    <w:next w:val="Normal"/>
    <w:autoRedefine/>
    <w:uiPriority w:val="39"/>
    <w:semiHidden/>
    <w:unhideWhenUsed/>
    <w:rsid w:val="009E0FAC"/>
    <w:pPr>
      <w:spacing w:after="0"/>
      <w:ind w:left="720"/>
    </w:pPr>
    <w:rPr>
      <w:sz w:val="20"/>
      <w:szCs w:val="20"/>
    </w:rPr>
  </w:style>
  <w:style w:type="paragraph" w:styleId="TOC5">
    <w:name w:val="toc 5"/>
    <w:basedOn w:val="Normal"/>
    <w:next w:val="Normal"/>
    <w:autoRedefine/>
    <w:uiPriority w:val="39"/>
    <w:semiHidden/>
    <w:unhideWhenUsed/>
    <w:rsid w:val="009E0FAC"/>
    <w:pPr>
      <w:spacing w:after="0"/>
      <w:ind w:left="960"/>
    </w:pPr>
    <w:rPr>
      <w:sz w:val="20"/>
      <w:szCs w:val="20"/>
    </w:rPr>
  </w:style>
  <w:style w:type="paragraph" w:styleId="TOC6">
    <w:name w:val="toc 6"/>
    <w:basedOn w:val="Normal"/>
    <w:next w:val="Normal"/>
    <w:autoRedefine/>
    <w:uiPriority w:val="39"/>
    <w:semiHidden/>
    <w:unhideWhenUsed/>
    <w:rsid w:val="009E0FAC"/>
    <w:pPr>
      <w:spacing w:after="0"/>
      <w:ind w:left="1200"/>
    </w:pPr>
    <w:rPr>
      <w:sz w:val="20"/>
      <w:szCs w:val="20"/>
    </w:rPr>
  </w:style>
  <w:style w:type="paragraph" w:styleId="TOC7">
    <w:name w:val="toc 7"/>
    <w:basedOn w:val="Normal"/>
    <w:next w:val="Normal"/>
    <w:autoRedefine/>
    <w:uiPriority w:val="39"/>
    <w:semiHidden/>
    <w:unhideWhenUsed/>
    <w:rsid w:val="009E0FAC"/>
    <w:pPr>
      <w:spacing w:after="0"/>
      <w:ind w:left="1440"/>
    </w:pPr>
    <w:rPr>
      <w:sz w:val="20"/>
      <w:szCs w:val="20"/>
    </w:rPr>
  </w:style>
  <w:style w:type="paragraph" w:styleId="TOC8">
    <w:name w:val="toc 8"/>
    <w:basedOn w:val="Normal"/>
    <w:next w:val="Normal"/>
    <w:autoRedefine/>
    <w:uiPriority w:val="39"/>
    <w:semiHidden/>
    <w:unhideWhenUsed/>
    <w:rsid w:val="009E0FAC"/>
    <w:pPr>
      <w:spacing w:after="0"/>
      <w:ind w:left="1680"/>
    </w:pPr>
    <w:rPr>
      <w:sz w:val="20"/>
      <w:szCs w:val="20"/>
    </w:rPr>
  </w:style>
  <w:style w:type="paragraph" w:styleId="TOC9">
    <w:name w:val="toc 9"/>
    <w:basedOn w:val="Normal"/>
    <w:next w:val="Normal"/>
    <w:autoRedefine/>
    <w:uiPriority w:val="39"/>
    <w:semiHidden/>
    <w:unhideWhenUsed/>
    <w:rsid w:val="009E0FAC"/>
    <w:pPr>
      <w:spacing w:after="0"/>
      <w:ind w:left="1920"/>
    </w:pPr>
    <w:rPr>
      <w:sz w:val="20"/>
      <w:szCs w:val="20"/>
    </w:rPr>
  </w:style>
  <w:style w:type="paragraph" w:styleId="Footer">
    <w:name w:val="footer"/>
    <w:basedOn w:val="Normal"/>
    <w:link w:val="FooterChar"/>
    <w:uiPriority w:val="99"/>
    <w:unhideWhenUsed/>
    <w:rsid w:val="00D209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09DA"/>
  </w:style>
  <w:style w:type="character" w:styleId="PageNumber">
    <w:name w:val="page number"/>
    <w:basedOn w:val="DefaultParagraphFont"/>
    <w:uiPriority w:val="99"/>
    <w:semiHidden/>
    <w:unhideWhenUsed/>
    <w:rsid w:val="00D209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0A5506-5E75-C948-9465-F56B021DE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7</Pages>
  <Words>2097</Words>
  <Characters>14609</Characters>
  <Application>Microsoft Office Word</Application>
  <DocSecurity>0</DocSecurity>
  <Lines>254</Lines>
  <Paragraphs>69</Paragraphs>
  <ScaleCrop>false</ScaleCrop>
  <Company/>
  <LinksUpToDate>false</LinksUpToDate>
  <CharactersWithSpaces>16640</CharactersWithSpaces>
  <SharedDoc>false</SharedDoc>
  <HLinks>
    <vt:vector size="42" baseType="variant">
      <vt:variant>
        <vt:i4>1966130</vt:i4>
      </vt:variant>
      <vt:variant>
        <vt:i4>38</vt:i4>
      </vt:variant>
      <vt:variant>
        <vt:i4>0</vt:i4>
      </vt:variant>
      <vt:variant>
        <vt:i4>5</vt:i4>
      </vt:variant>
      <vt:variant>
        <vt:lpwstr/>
      </vt:variant>
      <vt:variant>
        <vt:lpwstr>_Toc223258611</vt:lpwstr>
      </vt:variant>
      <vt:variant>
        <vt:i4>1966130</vt:i4>
      </vt:variant>
      <vt:variant>
        <vt:i4>32</vt:i4>
      </vt:variant>
      <vt:variant>
        <vt:i4>0</vt:i4>
      </vt:variant>
      <vt:variant>
        <vt:i4>5</vt:i4>
      </vt:variant>
      <vt:variant>
        <vt:lpwstr/>
      </vt:variant>
      <vt:variant>
        <vt:lpwstr>_Toc223258610</vt:lpwstr>
      </vt:variant>
      <vt:variant>
        <vt:i4>2031666</vt:i4>
      </vt:variant>
      <vt:variant>
        <vt:i4>26</vt:i4>
      </vt:variant>
      <vt:variant>
        <vt:i4>0</vt:i4>
      </vt:variant>
      <vt:variant>
        <vt:i4>5</vt:i4>
      </vt:variant>
      <vt:variant>
        <vt:lpwstr/>
      </vt:variant>
      <vt:variant>
        <vt:lpwstr>_Toc223258609</vt:lpwstr>
      </vt:variant>
      <vt:variant>
        <vt:i4>2031666</vt:i4>
      </vt:variant>
      <vt:variant>
        <vt:i4>20</vt:i4>
      </vt:variant>
      <vt:variant>
        <vt:i4>0</vt:i4>
      </vt:variant>
      <vt:variant>
        <vt:i4>5</vt:i4>
      </vt:variant>
      <vt:variant>
        <vt:lpwstr/>
      </vt:variant>
      <vt:variant>
        <vt:lpwstr>_Toc223258608</vt:lpwstr>
      </vt:variant>
      <vt:variant>
        <vt:i4>2031666</vt:i4>
      </vt:variant>
      <vt:variant>
        <vt:i4>14</vt:i4>
      </vt:variant>
      <vt:variant>
        <vt:i4>0</vt:i4>
      </vt:variant>
      <vt:variant>
        <vt:i4>5</vt:i4>
      </vt:variant>
      <vt:variant>
        <vt:lpwstr/>
      </vt:variant>
      <vt:variant>
        <vt:lpwstr>_Toc223258607</vt:lpwstr>
      </vt:variant>
      <vt:variant>
        <vt:i4>2031666</vt:i4>
      </vt:variant>
      <vt:variant>
        <vt:i4>8</vt:i4>
      </vt:variant>
      <vt:variant>
        <vt:i4>0</vt:i4>
      </vt:variant>
      <vt:variant>
        <vt:i4>5</vt:i4>
      </vt:variant>
      <vt:variant>
        <vt:lpwstr/>
      </vt:variant>
      <vt:variant>
        <vt:lpwstr>_Toc223258606</vt:lpwstr>
      </vt:variant>
      <vt:variant>
        <vt:i4>2031666</vt:i4>
      </vt:variant>
      <vt:variant>
        <vt:i4>2</vt:i4>
      </vt:variant>
      <vt:variant>
        <vt:i4>0</vt:i4>
      </vt:variant>
      <vt:variant>
        <vt:i4>5</vt:i4>
      </vt:variant>
      <vt:variant>
        <vt:lpwstr/>
      </vt:variant>
      <vt:variant>
        <vt:lpwstr>_Toc223258605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Kremena Petrova Nedelcheva (2336425)</dc:creator>
  <cp:keywords/>
  <dc:description/>
  <cp:lastModifiedBy>Kremena Petrova Nedelcheva (2336425)</cp:lastModifiedBy>
  <cp:revision>109</cp:revision>
  <dcterms:created xsi:type="dcterms:W3CDTF">2026-02-28T05:50:00Z</dcterms:created>
  <dcterms:modified xsi:type="dcterms:W3CDTF">2026-03-15T12:00:00Z</dcterms:modified>
</cp:coreProperties>
</file>