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79424" w14:textId="50153A55" w:rsidR="00732E52" w:rsidRDefault="00732E52" w:rsidP="00103C24">
      <w:pPr>
        <w:spacing w:line="720" w:lineRule="auto"/>
        <w:jc w:val="center"/>
        <w:rPr>
          <w:b/>
          <w:bCs/>
          <w:sz w:val="48"/>
          <w:szCs w:val="48"/>
        </w:rPr>
      </w:pPr>
      <w:r w:rsidRPr="006E6767">
        <w:rPr>
          <w:b/>
          <w:bCs/>
          <w:sz w:val="48"/>
          <w:szCs w:val="48"/>
        </w:rPr>
        <w:t>Student: Ahmed Metwaly</w:t>
      </w:r>
    </w:p>
    <w:p w14:paraId="4ADAFA26" w14:textId="77777777" w:rsidR="00732E52" w:rsidRDefault="00732E52" w:rsidP="00732E52">
      <w:pPr>
        <w:spacing w:line="720" w:lineRule="auto"/>
        <w:jc w:val="center"/>
        <w:rPr>
          <w:b/>
          <w:bCs/>
          <w:sz w:val="48"/>
          <w:szCs w:val="48"/>
        </w:rPr>
      </w:pPr>
      <w:r>
        <w:rPr>
          <w:b/>
          <w:bCs/>
          <w:sz w:val="48"/>
          <w:szCs w:val="48"/>
        </w:rPr>
        <w:t xml:space="preserve">Student number: </w:t>
      </w:r>
      <w:r w:rsidRPr="00EC6886">
        <w:rPr>
          <w:b/>
          <w:bCs/>
          <w:sz w:val="48"/>
          <w:szCs w:val="48"/>
        </w:rPr>
        <w:t>2022375</w:t>
      </w:r>
    </w:p>
    <w:p w14:paraId="4DBB722C" w14:textId="0A055A28" w:rsidR="00732E52" w:rsidRDefault="00732E52" w:rsidP="00732E52">
      <w:pPr>
        <w:spacing w:line="720" w:lineRule="auto"/>
        <w:jc w:val="center"/>
        <w:rPr>
          <w:b/>
          <w:bCs/>
          <w:sz w:val="48"/>
          <w:szCs w:val="48"/>
        </w:rPr>
      </w:pPr>
      <w:r>
        <w:rPr>
          <w:b/>
          <w:bCs/>
          <w:sz w:val="48"/>
          <w:szCs w:val="48"/>
        </w:rPr>
        <w:t xml:space="preserve">Module: </w:t>
      </w:r>
      <w:r w:rsidR="009734E4" w:rsidRPr="009734E4">
        <w:rPr>
          <w:b/>
          <w:bCs/>
          <w:sz w:val="48"/>
          <w:szCs w:val="48"/>
        </w:rPr>
        <w:t>Global Business Challenges</w:t>
      </w:r>
    </w:p>
    <w:p w14:paraId="3A7C8B3A" w14:textId="06E7D9A6" w:rsidR="00D22F94" w:rsidRDefault="0009547F" w:rsidP="00732E52">
      <w:pPr>
        <w:spacing w:line="720" w:lineRule="auto"/>
        <w:jc w:val="center"/>
        <w:rPr>
          <w:b/>
          <w:bCs/>
          <w:sz w:val="48"/>
          <w:szCs w:val="48"/>
        </w:rPr>
      </w:pPr>
      <w:r>
        <w:rPr>
          <w:b/>
          <w:bCs/>
          <w:sz w:val="48"/>
          <w:szCs w:val="48"/>
        </w:rPr>
        <w:t>Title</w:t>
      </w:r>
      <w:r w:rsidR="003D5492">
        <w:rPr>
          <w:b/>
          <w:bCs/>
          <w:sz w:val="48"/>
          <w:szCs w:val="48"/>
        </w:rPr>
        <w:t xml:space="preserve">: </w:t>
      </w:r>
      <w:r w:rsidR="00DB0A03">
        <w:rPr>
          <w:b/>
          <w:bCs/>
          <w:sz w:val="48"/>
          <w:szCs w:val="48"/>
        </w:rPr>
        <w:t xml:space="preserve">Operose Health </w:t>
      </w:r>
      <w:r w:rsidR="00DB0A03" w:rsidRPr="00DB0A03">
        <w:rPr>
          <w:b/>
          <w:bCs/>
          <w:sz w:val="48"/>
          <w:szCs w:val="48"/>
        </w:rPr>
        <w:t xml:space="preserve">business environment </w:t>
      </w:r>
      <w:r w:rsidR="003A1F31">
        <w:rPr>
          <w:b/>
          <w:bCs/>
          <w:sz w:val="48"/>
          <w:szCs w:val="48"/>
        </w:rPr>
        <w:t xml:space="preserve">and the </w:t>
      </w:r>
      <w:r w:rsidR="00DB0A03" w:rsidRPr="00DB0A03">
        <w:rPr>
          <w:b/>
          <w:bCs/>
          <w:sz w:val="48"/>
          <w:szCs w:val="48"/>
        </w:rPr>
        <w:t>implications of the various factors on the organisation</w:t>
      </w:r>
      <w:r>
        <w:rPr>
          <w:b/>
          <w:bCs/>
          <w:sz w:val="48"/>
          <w:szCs w:val="48"/>
        </w:rPr>
        <w:t xml:space="preserve"> report</w:t>
      </w:r>
    </w:p>
    <w:p w14:paraId="75260EDD" w14:textId="77777777" w:rsidR="00103C24" w:rsidRDefault="00103C24">
      <w:pPr>
        <w:rPr>
          <w:rFonts w:asciiTheme="majorHAnsi" w:eastAsiaTheme="majorEastAsia" w:hAnsiTheme="majorHAnsi" w:cstheme="majorBidi"/>
          <w:color w:val="2F5496" w:themeColor="accent1" w:themeShade="BF"/>
          <w:sz w:val="32"/>
          <w:szCs w:val="32"/>
        </w:rPr>
      </w:pPr>
      <w:r>
        <w:br w:type="page"/>
      </w:r>
    </w:p>
    <w:p w14:paraId="6D5DEB72" w14:textId="0CB0C945" w:rsidR="009771BC" w:rsidRPr="00031B14" w:rsidRDefault="009771BC" w:rsidP="009771BC">
      <w:pPr>
        <w:pStyle w:val="Heading1"/>
        <w:spacing w:line="360" w:lineRule="auto"/>
        <w:jc w:val="both"/>
      </w:pPr>
      <w:r w:rsidRPr="00031B14">
        <w:lastRenderedPageBreak/>
        <w:t>Executive Summary:</w:t>
      </w:r>
    </w:p>
    <w:p w14:paraId="471E6435" w14:textId="77777777" w:rsidR="009771BC" w:rsidRPr="000B7321" w:rsidRDefault="009771BC" w:rsidP="009771BC">
      <w:pPr>
        <w:spacing w:after="0" w:line="360" w:lineRule="auto"/>
        <w:jc w:val="both"/>
        <w:rPr>
          <w:rFonts w:ascii="Times New Roman" w:hAnsi="Times New Roman" w:cs="Times New Roman"/>
          <w:sz w:val="24"/>
          <w:szCs w:val="24"/>
        </w:rPr>
      </w:pPr>
      <w:r w:rsidRPr="000B7321">
        <w:rPr>
          <w:rFonts w:ascii="Times New Roman" w:hAnsi="Times New Roman" w:cs="Times New Roman"/>
          <w:sz w:val="24"/>
          <w:szCs w:val="24"/>
        </w:rPr>
        <w:t>Operose Health is a subsidiary of Centene Corporation, a US-based multinational healthcare company that provides primary healthcare services in the UK. The company faces several environmental forces affecting its operations and profitability. These forces include demographic changes, technological advancements, legal and regulatory changes, economic factors, and environmental issues.</w:t>
      </w:r>
    </w:p>
    <w:p w14:paraId="73F71F64" w14:textId="77777777" w:rsidR="009771BC" w:rsidRPr="000B7321" w:rsidRDefault="009771BC" w:rsidP="009771BC">
      <w:pPr>
        <w:spacing w:after="0" w:line="360" w:lineRule="auto"/>
        <w:jc w:val="both"/>
        <w:rPr>
          <w:rFonts w:ascii="Times New Roman" w:hAnsi="Times New Roman" w:cs="Times New Roman"/>
          <w:sz w:val="24"/>
          <w:szCs w:val="24"/>
        </w:rPr>
      </w:pPr>
      <w:r w:rsidRPr="000B7321">
        <w:rPr>
          <w:rFonts w:ascii="Times New Roman" w:hAnsi="Times New Roman" w:cs="Times New Roman"/>
          <w:sz w:val="24"/>
          <w:szCs w:val="24"/>
        </w:rPr>
        <w:t>Demographic changes, such as an ageing population, increasing multiculturalism, and changing consumer preferences, affect the demand for primary healthcare services. Technological advancements, such as telemedicine and wearable devices, are transforming the way healthcare services are delivered and creating new opportunities for providers.</w:t>
      </w:r>
    </w:p>
    <w:p w14:paraId="6A7C2CDF" w14:textId="77777777" w:rsidR="009771BC" w:rsidRPr="000B7321" w:rsidRDefault="009771BC" w:rsidP="009771BC">
      <w:pPr>
        <w:spacing w:after="0" w:line="360" w:lineRule="auto"/>
        <w:jc w:val="both"/>
        <w:rPr>
          <w:rFonts w:ascii="Times New Roman" w:hAnsi="Times New Roman" w:cs="Times New Roman"/>
          <w:sz w:val="24"/>
          <w:szCs w:val="24"/>
        </w:rPr>
      </w:pPr>
      <w:r w:rsidRPr="000B7321">
        <w:rPr>
          <w:rFonts w:ascii="Times New Roman" w:hAnsi="Times New Roman" w:cs="Times New Roman"/>
          <w:sz w:val="24"/>
          <w:szCs w:val="24"/>
        </w:rPr>
        <w:t>Legal and regulatory changes, such as changes to healthcare policies and regulations, affect healthcare providers' operating environment. Economic factors, such as inflation and currency fluctuations, impact the cost of healthcare services and the affordability of healthcare for consumers.</w:t>
      </w:r>
    </w:p>
    <w:p w14:paraId="38D2566E" w14:textId="77777777" w:rsidR="009771BC" w:rsidRPr="000B7321" w:rsidRDefault="009771BC" w:rsidP="009771BC">
      <w:pPr>
        <w:spacing w:after="0" w:line="360" w:lineRule="auto"/>
        <w:jc w:val="both"/>
        <w:rPr>
          <w:rFonts w:ascii="Times New Roman" w:hAnsi="Times New Roman" w:cs="Times New Roman"/>
          <w:sz w:val="24"/>
          <w:szCs w:val="24"/>
        </w:rPr>
      </w:pPr>
      <w:r w:rsidRPr="000B7321">
        <w:rPr>
          <w:rFonts w:ascii="Times New Roman" w:hAnsi="Times New Roman" w:cs="Times New Roman"/>
          <w:sz w:val="24"/>
          <w:szCs w:val="24"/>
        </w:rPr>
        <w:t>Finally, environmental issues, such as climate change and the environmental impact of healthcare services, are becoming increasingly important considerations for healthcare providers and their customers.</w:t>
      </w:r>
    </w:p>
    <w:p w14:paraId="784A979E" w14:textId="77777777" w:rsidR="009771BC" w:rsidRDefault="009771BC" w:rsidP="009771BC">
      <w:pPr>
        <w:spacing w:after="0" w:line="360" w:lineRule="auto"/>
        <w:jc w:val="both"/>
        <w:rPr>
          <w:rFonts w:ascii="Times New Roman" w:hAnsi="Times New Roman" w:cs="Times New Roman"/>
          <w:sz w:val="24"/>
          <w:szCs w:val="24"/>
        </w:rPr>
      </w:pPr>
      <w:r w:rsidRPr="000B7321">
        <w:rPr>
          <w:rFonts w:ascii="Times New Roman" w:hAnsi="Times New Roman" w:cs="Times New Roman"/>
          <w:sz w:val="24"/>
          <w:szCs w:val="24"/>
        </w:rPr>
        <w:t>Operose Health must adapt to these environmental forces to remain competitive and profitable in the UK healthcare market.</w:t>
      </w:r>
    </w:p>
    <w:p w14:paraId="60A78A8C" w14:textId="77777777" w:rsidR="009771BC" w:rsidRDefault="009771BC" w:rsidP="009771BC">
      <w:pPr>
        <w:spacing w:after="0" w:line="360" w:lineRule="auto"/>
        <w:jc w:val="both"/>
        <w:rPr>
          <w:rFonts w:ascii="Times New Roman" w:hAnsi="Times New Roman" w:cs="Times New Roman"/>
          <w:sz w:val="24"/>
          <w:szCs w:val="24"/>
        </w:rPr>
      </w:pPr>
    </w:p>
    <w:p w14:paraId="090DD5B8" w14:textId="5148EB3F" w:rsidR="00B600C8" w:rsidRPr="00B600C8" w:rsidRDefault="00B600C8" w:rsidP="009771BC">
      <w:pPr>
        <w:spacing w:after="0" w:line="360" w:lineRule="auto"/>
        <w:jc w:val="both"/>
        <w:rPr>
          <w:rFonts w:ascii="Times New Roman" w:hAnsi="Times New Roman" w:cs="Times New Roman"/>
          <w:b/>
          <w:bCs/>
          <w:sz w:val="24"/>
          <w:szCs w:val="24"/>
          <w:u w:val="single"/>
        </w:rPr>
      </w:pPr>
      <w:r w:rsidRPr="00B600C8">
        <w:rPr>
          <w:rFonts w:ascii="Times New Roman" w:hAnsi="Times New Roman" w:cs="Times New Roman"/>
          <w:b/>
          <w:bCs/>
          <w:sz w:val="24"/>
          <w:szCs w:val="24"/>
          <w:u w:val="single"/>
        </w:rPr>
        <w:t>Contents</w:t>
      </w:r>
    </w:p>
    <w:tbl>
      <w:tblPr>
        <w:tblStyle w:val="TableGrid"/>
        <w:tblW w:w="0" w:type="auto"/>
        <w:tblInd w:w="720" w:type="dxa"/>
        <w:tblLook w:val="04A0" w:firstRow="1" w:lastRow="0" w:firstColumn="1" w:lastColumn="0" w:noHBand="0" w:noVBand="1"/>
      </w:tblPr>
      <w:tblGrid>
        <w:gridCol w:w="6788"/>
        <w:gridCol w:w="1508"/>
      </w:tblGrid>
      <w:tr w:rsidR="00195CBB" w:rsidRPr="0009547F" w14:paraId="31E5A994" w14:textId="1D48E5B8" w:rsidTr="00685EFA">
        <w:tc>
          <w:tcPr>
            <w:tcW w:w="6788" w:type="dxa"/>
          </w:tcPr>
          <w:p w14:paraId="1494F773" w14:textId="77777777" w:rsidR="00195CBB" w:rsidRPr="0009547F" w:rsidRDefault="00195CBB" w:rsidP="00396356">
            <w:pPr>
              <w:pStyle w:val="ListParagraph"/>
              <w:numPr>
                <w:ilvl w:val="0"/>
                <w:numId w:val="5"/>
              </w:numPr>
              <w:spacing w:line="360" w:lineRule="auto"/>
              <w:jc w:val="both"/>
              <w:rPr>
                <w:rFonts w:ascii="Times New Roman" w:hAnsi="Times New Roman" w:cs="Times New Roman"/>
                <w:sz w:val="24"/>
                <w:szCs w:val="24"/>
              </w:rPr>
            </w:pPr>
            <w:r w:rsidRPr="0009547F">
              <w:rPr>
                <w:rFonts w:ascii="Times New Roman" w:hAnsi="Times New Roman" w:cs="Times New Roman"/>
                <w:sz w:val="24"/>
                <w:szCs w:val="24"/>
              </w:rPr>
              <w:t>Introduction</w:t>
            </w:r>
          </w:p>
        </w:tc>
        <w:tc>
          <w:tcPr>
            <w:tcW w:w="1508" w:type="dxa"/>
          </w:tcPr>
          <w:p w14:paraId="10A18ACE" w14:textId="6549F5F8" w:rsidR="00195CBB" w:rsidRPr="0009547F" w:rsidRDefault="00685EFA" w:rsidP="00B600C8">
            <w:pPr>
              <w:pStyle w:val="ListParagraph"/>
              <w:spacing w:line="360" w:lineRule="auto"/>
              <w:jc w:val="right"/>
              <w:rPr>
                <w:rFonts w:ascii="Times New Roman" w:hAnsi="Times New Roman" w:cs="Times New Roman"/>
                <w:sz w:val="24"/>
                <w:szCs w:val="24"/>
              </w:rPr>
            </w:pPr>
            <w:r>
              <w:rPr>
                <w:rFonts w:ascii="Times New Roman" w:hAnsi="Times New Roman" w:cs="Times New Roman"/>
                <w:sz w:val="24"/>
                <w:szCs w:val="24"/>
              </w:rPr>
              <w:t>3</w:t>
            </w:r>
          </w:p>
        </w:tc>
      </w:tr>
      <w:tr w:rsidR="00195CBB" w:rsidRPr="0009547F" w14:paraId="7CDE7DE4" w14:textId="58A414EB" w:rsidTr="00685EFA">
        <w:tc>
          <w:tcPr>
            <w:tcW w:w="6788" w:type="dxa"/>
          </w:tcPr>
          <w:p w14:paraId="52A77273" w14:textId="77777777" w:rsidR="00195CBB" w:rsidRPr="0009547F" w:rsidRDefault="00195CBB" w:rsidP="00396356">
            <w:pPr>
              <w:pStyle w:val="ListParagraph"/>
              <w:numPr>
                <w:ilvl w:val="0"/>
                <w:numId w:val="5"/>
              </w:numPr>
              <w:spacing w:line="360" w:lineRule="auto"/>
              <w:jc w:val="both"/>
              <w:rPr>
                <w:rFonts w:ascii="Times New Roman" w:hAnsi="Times New Roman" w:cs="Times New Roman"/>
                <w:sz w:val="24"/>
                <w:szCs w:val="24"/>
              </w:rPr>
            </w:pPr>
            <w:r w:rsidRPr="0009547F">
              <w:rPr>
                <w:rFonts w:ascii="Times New Roman" w:hAnsi="Times New Roman" w:cs="Times New Roman"/>
                <w:sz w:val="24"/>
                <w:szCs w:val="24"/>
              </w:rPr>
              <w:t>PESTEL Analysis</w:t>
            </w:r>
          </w:p>
        </w:tc>
        <w:tc>
          <w:tcPr>
            <w:tcW w:w="1508" w:type="dxa"/>
          </w:tcPr>
          <w:p w14:paraId="29C37295" w14:textId="616E2467" w:rsidR="00195CBB" w:rsidRPr="0009547F" w:rsidRDefault="00685EFA" w:rsidP="00B600C8">
            <w:pPr>
              <w:pStyle w:val="ListParagraph"/>
              <w:spacing w:line="360" w:lineRule="auto"/>
              <w:jc w:val="right"/>
              <w:rPr>
                <w:rFonts w:ascii="Times New Roman" w:hAnsi="Times New Roman" w:cs="Times New Roman"/>
                <w:sz w:val="24"/>
                <w:szCs w:val="24"/>
              </w:rPr>
            </w:pPr>
            <w:r>
              <w:rPr>
                <w:rFonts w:ascii="Times New Roman" w:hAnsi="Times New Roman" w:cs="Times New Roman"/>
                <w:sz w:val="24"/>
                <w:szCs w:val="24"/>
              </w:rPr>
              <w:t>4</w:t>
            </w:r>
          </w:p>
        </w:tc>
      </w:tr>
      <w:tr w:rsidR="00195CBB" w:rsidRPr="0009547F" w14:paraId="094CE286" w14:textId="11ECE524" w:rsidTr="00685EFA">
        <w:tc>
          <w:tcPr>
            <w:tcW w:w="6788" w:type="dxa"/>
          </w:tcPr>
          <w:p w14:paraId="7E90850B" w14:textId="77777777" w:rsidR="00195CBB" w:rsidRPr="0009547F" w:rsidRDefault="00195CBB" w:rsidP="00396356">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2.1 Political Factors</w:t>
            </w:r>
          </w:p>
        </w:tc>
        <w:tc>
          <w:tcPr>
            <w:tcW w:w="1508" w:type="dxa"/>
          </w:tcPr>
          <w:p w14:paraId="481F626E" w14:textId="5977602E" w:rsidR="00195CBB" w:rsidRPr="0009547F" w:rsidRDefault="00685EFA"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4</w:t>
            </w:r>
          </w:p>
        </w:tc>
      </w:tr>
      <w:tr w:rsidR="00195CBB" w:rsidRPr="0009547F" w14:paraId="7FE900F6" w14:textId="3F429EC4" w:rsidTr="00685EFA">
        <w:tc>
          <w:tcPr>
            <w:tcW w:w="6788" w:type="dxa"/>
          </w:tcPr>
          <w:p w14:paraId="659AD4F7" w14:textId="77777777" w:rsidR="00195CBB" w:rsidRPr="0009547F" w:rsidRDefault="00195CBB" w:rsidP="00396356">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2.2 Economic Factors</w:t>
            </w:r>
          </w:p>
        </w:tc>
        <w:tc>
          <w:tcPr>
            <w:tcW w:w="1508" w:type="dxa"/>
          </w:tcPr>
          <w:p w14:paraId="79D1AC00" w14:textId="53B1999B" w:rsidR="00195CBB" w:rsidRPr="0009547F" w:rsidRDefault="00685EFA"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5</w:t>
            </w:r>
          </w:p>
        </w:tc>
      </w:tr>
      <w:tr w:rsidR="00195CBB" w:rsidRPr="0009547F" w14:paraId="5563C2C5" w14:textId="502C01D7" w:rsidTr="00685EFA">
        <w:tc>
          <w:tcPr>
            <w:tcW w:w="6788" w:type="dxa"/>
          </w:tcPr>
          <w:p w14:paraId="28D6D986" w14:textId="77777777" w:rsidR="00195CBB" w:rsidRPr="0009547F" w:rsidRDefault="00195CBB" w:rsidP="00396356">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2.3 Sociocultural Factors</w:t>
            </w:r>
          </w:p>
        </w:tc>
        <w:tc>
          <w:tcPr>
            <w:tcW w:w="1508" w:type="dxa"/>
          </w:tcPr>
          <w:p w14:paraId="434F6847" w14:textId="4A34DA3E" w:rsidR="00195CBB" w:rsidRPr="0009547F" w:rsidRDefault="00A91A6C"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7</w:t>
            </w:r>
          </w:p>
        </w:tc>
      </w:tr>
      <w:tr w:rsidR="00195CBB" w:rsidRPr="0009547F" w14:paraId="32FD1E65" w14:textId="59559447" w:rsidTr="00685EFA">
        <w:tc>
          <w:tcPr>
            <w:tcW w:w="6788" w:type="dxa"/>
          </w:tcPr>
          <w:p w14:paraId="6F33D847" w14:textId="77777777" w:rsidR="00195CBB" w:rsidRPr="0009547F" w:rsidRDefault="00195CBB" w:rsidP="00396356">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2.4 Technological Factors</w:t>
            </w:r>
          </w:p>
        </w:tc>
        <w:tc>
          <w:tcPr>
            <w:tcW w:w="1508" w:type="dxa"/>
          </w:tcPr>
          <w:p w14:paraId="43266081" w14:textId="68A54B92" w:rsidR="00195CBB" w:rsidRPr="0009547F" w:rsidRDefault="00A91A6C"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7</w:t>
            </w:r>
          </w:p>
        </w:tc>
      </w:tr>
      <w:tr w:rsidR="00195CBB" w:rsidRPr="0009547F" w14:paraId="634BE775" w14:textId="088A274F" w:rsidTr="00685EFA">
        <w:tc>
          <w:tcPr>
            <w:tcW w:w="6788" w:type="dxa"/>
          </w:tcPr>
          <w:p w14:paraId="3383D33F" w14:textId="77777777" w:rsidR="00195CBB" w:rsidRPr="0009547F" w:rsidRDefault="00195CBB" w:rsidP="00396356">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2.5 Environmental Factors</w:t>
            </w:r>
          </w:p>
        </w:tc>
        <w:tc>
          <w:tcPr>
            <w:tcW w:w="1508" w:type="dxa"/>
          </w:tcPr>
          <w:p w14:paraId="3712ADFC" w14:textId="28511215" w:rsidR="00195CBB" w:rsidRPr="0009547F" w:rsidRDefault="00A91A6C"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9</w:t>
            </w:r>
          </w:p>
        </w:tc>
      </w:tr>
      <w:tr w:rsidR="00195CBB" w:rsidRPr="0009547F" w14:paraId="5602FEE4" w14:textId="3A8EDA04" w:rsidTr="00685EFA">
        <w:tc>
          <w:tcPr>
            <w:tcW w:w="6788" w:type="dxa"/>
          </w:tcPr>
          <w:p w14:paraId="71FB6FF5" w14:textId="77777777" w:rsidR="00195CBB" w:rsidRPr="0009547F" w:rsidRDefault="00195CBB" w:rsidP="00396356">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2.6 Legal Factors</w:t>
            </w:r>
          </w:p>
        </w:tc>
        <w:tc>
          <w:tcPr>
            <w:tcW w:w="1508" w:type="dxa"/>
          </w:tcPr>
          <w:p w14:paraId="154E9004" w14:textId="3C9A7638" w:rsidR="00195CBB" w:rsidRPr="0009547F" w:rsidRDefault="00A91A6C"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10</w:t>
            </w:r>
          </w:p>
        </w:tc>
      </w:tr>
      <w:tr w:rsidR="00F12203" w:rsidRPr="0009547F" w14:paraId="57B9EFC3" w14:textId="77777777" w:rsidTr="00685EFA">
        <w:tc>
          <w:tcPr>
            <w:tcW w:w="6788" w:type="dxa"/>
          </w:tcPr>
          <w:p w14:paraId="3977D00B" w14:textId="6D004B73" w:rsidR="00F12203" w:rsidRPr="0009547F" w:rsidRDefault="00F12203" w:rsidP="00F12203">
            <w:pPr>
              <w:pStyle w:val="ListParagraph"/>
              <w:numPr>
                <w:ilvl w:val="0"/>
                <w:numId w:val="5"/>
              </w:numPr>
              <w:spacing w:line="360" w:lineRule="auto"/>
              <w:jc w:val="both"/>
              <w:rPr>
                <w:rFonts w:ascii="Times New Roman" w:hAnsi="Times New Roman" w:cs="Times New Roman"/>
                <w:sz w:val="24"/>
                <w:szCs w:val="24"/>
              </w:rPr>
            </w:pPr>
            <w:r w:rsidRPr="00F12203">
              <w:rPr>
                <w:rFonts w:ascii="Times New Roman" w:hAnsi="Times New Roman" w:cs="Times New Roman"/>
                <w:sz w:val="24"/>
                <w:szCs w:val="24"/>
              </w:rPr>
              <w:t>Porter's Five Forces</w:t>
            </w:r>
          </w:p>
        </w:tc>
        <w:tc>
          <w:tcPr>
            <w:tcW w:w="1508" w:type="dxa"/>
          </w:tcPr>
          <w:p w14:paraId="44750126" w14:textId="23DD8708" w:rsidR="00F12203" w:rsidRDefault="00F12203" w:rsidP="00B600C8">
            <w:pPr>
              <w:pStyle w:val="ListParagraph"/>
              <w:spacing w:line="360" w:lineRule="auto"/>
              <w:jc w:val="right"/>
              <w:rPr>
                <w:rFonts w:ascii="Times New Roman" w:hAnsi="Times New Roman" w:cs="Times New Roman"/>
                <w:sz w:val="24"/>
                <w:szCs w:val="24"/>
              </w:rPr>
            </w:pPr>
            <w:r>
              <w:rPr>
                <w:rFonts w:ascii="Times New Roman" w:hAnsi="Times New Roman" w:cs="Times New Roman"/>
                <w:sz w:val="24"/>
                <w:szCs w:val="24"/>
              </w:rPr>
              <w:t>11</w:t>
            </w:r>
          </w:p>
        </w:tc>
      </w:tr>
      <w:tr w:rsidR="00F12203" w:rsidRPr="0009547F" w14:paraId="37C33BFF" w14:textId="4A01147B" w:rsidTr="00685EFA">
        <w:tc>
          <w:tcPr>
            <w:tcW w:w="6788" w:type="dxa"/>
          </w:tcPr>
          <w:p w14:paraId="4BF95874" w14:textId="77777777" w:rsidR="00F12203" w:rsidRPr="0009547F" w:rsidRDefault="00F12203" w:rsidP="00F12203">
            <w:pPr>
              <w:pStyle w:val="ListParagraph"/>
              <w:numPr>
                <w:ilvl w:val="0"/>
                <w:numId w:val="5"/>
              </w:numPr>
              <w:spacing w:line="360" w:lineRule="auto"/>
              <w:jc w:val="both"/>
              <w:rPr>
                <w:rFonts w:ascii="Times New Roman" w:hAnsi="Times New Roman" w:cs="Times New Roman"/>
                <w:sz w:val="24"/>
                <w:szCs w:val="24"/>
              </w:rPr>
            </w:pPr>
            <w:r w:rsidRPr="0009547F">
              <w:rPr>
                <w:rFonts w:ascii="Times New Roman" w:hAnsi="Times New Roman" w:cs="Times New Roman"/>
                <w:sz w:val="24"/>
                <w:szCs w:val="24"/>
              </w:rPr>
              <w:t xml:space="preserve">SWOT Analysis </w:t>
            </w:r>
          </w:p>
        </w:tc>
        <w:tc>
          <w:tcPr>
            <w:tcW w:w="1508" w:type="dxa"/>
          </w:tcPr>
          <w:p w14:paraId="267B9823" w14:textId="70391380" w:rsidR="00F12203" w:rsidRPr="0009547F" w:rsidRDefault="00F12203" w:rsidP="00B600C8">
            <w:pPr>
              <w:pStyle w:val="ListParagraph"/>
              <w:spacing w:line="360" w:lineRule="auto"/>
              <w:jc w:val="right"/>
              <w:rPr>
                <w:rFonts w:ascii="Times New Roman" w:hAnsi="Times New Roman" w:cs="Times New Roman"/>
                <w:sz w:val="24"/>
                <w:szCs w:val="24"/>
              </w:rPr>
            </w:pPr>
            <w:r>
              <w:rPr>
                <w:rFonts w:ascii="Times New Roman" w:hAnsi="Times New Roman" w:cs="Times New Roman"/>
                <w:sz w:val="24"/>
                <w:szCs w:val="24"/>
              </w:rPr>
              <w:t>12</w:t>
            </w:r>
          </w:p>
        </w:tc>
      </w:tr>
      <w:tr w:rsidR="00F12203" w:rsidRPr="0009547F" w14:paraId="022BEE41" w14:textId="360639A6" w:rsidTr="00685EFA">
        <w:tc>
          <w:tcPr>
            <w:tcW w:w="6788" w:type="dxa"/>
          </w:tcPr>
          <w:p w14:paraId="57E18804" w14:textId="77777777" w:rsidR="00F12203" w:rsidRPr="0009547F" w:rsidRDefault="00F12203" w:rsidP="00F12203">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4.1 Strengths</w:t>
            </w:r>
          </w:p>
        </w:tc>
        <w:tc>
          <w:tcPr>
            <w:tcW w:w="1508" w:type="dxa"/>
          </w:tcPr>
          <w:p w14:paraId="27DE585E" w14:textId="619D03A7" w:rsidR="00F12203" w:rsidRPr="0009547F" w:rsidRDefault="005652BB"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12</w:t>
            </w:r>
          </w:p>
        </w:tc>
      </w:tr>
      <w:tr w:rsidR="00F12203" w:rsidRPr="0009547F" w14:paraId="7AB5C019" w14:textId="513A11AE" w:rsidTr="00685EFA">
        <w:tc>
          <w:tcPr>
            <w:tcW w:w="6788" w:type="dxa"/>
          </w:tcPr>
          <w:p w14:paraId="6A5FDD32" w14:textId="77777777" w:rsidR="00F12203" w:rsidRPr="0009547F" w:rsidRDefault="00F12203" w:rsidP="00F12203">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lastRenderedPageBreak/>
              <w:t>4.2 Weaknesses</w:t>
            </w:r>
          </w:p>
        </w:tc>
        <w:tc>
          <w:tcPr>
            <w:tcW w:w="1508" w:type="dxa"/>
          </w:tcPr>
          <w:p w14:paraId="3BC52EBB" w14:textId="6408833E" w:rsidR="00F12203" w:rsidRPr="0009547F" w:rsidRDefault="005652BB"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13</w:t>
            </w:r>
          </w:p>
        </w:tc>
      </w:tr>
      <w:tr w:rsidR="00F12203" w:rsidRPr="0009547F" w14:paraId="32A4D495" w14:textId="205E5DD2" w:rsidTr="00685EFA">
        <w:tc>
          <w:tcPr>
            <w:tcW w:w="6788" w:type="dxa"/>
          </w:tcPr>
          <w:p w14:paraId="2997765F" w14:textId="77777777" w:rsidR="00F12203" w:rsidRPr="0009547F" w:rsidRDefault="00F12203" w:rsidP="00F12203">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4.3 Opportunities</w:t>
            </w:r>
          </w:p>
        </w:tc>
        <w:tc>
          <w:tcPr>
            <w:tcW w:w="1508" w:type="dxa"/>
          </w:tcPr>
          <w:p w14:paraId="5F420027" w14:textId="42CEF8FD" w:rsidR="00F12203" w:rsidRPr="0009547F" w:rsidRDefault="005652BB"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14</w:t>
            </w:r>
          </w:p>
        </w:tc>
      </w:tr>
      <w:tr w:rsidR="00F12203" w:rsidRPr="0009547F" w14:paraId="4E4577E5" w14:textId="1C8BC241" w:rsidTr="00685EFA">
        <w:tc>
          <w:tcPr>
            <w:tcW w:w="6788" w:type="dxa"/>
          </w:tcPr>
          <w:p w14:paraId="787C2933" w14:textId="77777777" w:rsidR="00F12203" w:rsidRPr="0009547F" w:rsidRDefault="00F12203" w:rsidP="00F12203">
            <w:pPr>
              <w:pStyle w:val="ListParagraph"/>
              <w:spacing w:line="360" w:lineRule="auto"/>
              <w:ind w:left="0"/>
              <w:jc w:val="both"/>
              <w:rPr>
                <w:rFonts w:ascii="Times New Roman" w:hAnsi="Times New Roman" w:cs="Times New Roman"/>
                <w:sz w:val="24"/>
                <w:szCs w:val="24"/>
              </w:rPr>
            </w:pPr>
            <w:r w:rsidRPr="0009547F">
              <w:rPr>
                <w:rFonts w:ascii="Times New Roman" w:hAnsi="Times New Roman" w:cs="Times New Roman"/>
                <w:sz w:val="24"/>
                <w:szCs w:val="24"/>
              </w:rPr>
              <w:t>4.4 Threats</w:t>
            </w:r>
          </w:p>
        </w:tc>
        <w:tc>
          <w:tcPr>
            <w:tcW w:w="1508" w:type="dxa"/>
          </w:tcPr>
          <w:p w14:paraId="38A7F5CE" w14:textId="4ECEEA4D" w:rsidR="00F12203" w:rsidRPr="0009547F" w:rsidRDefault="005652BB" w:rsidP="00B600C8">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14</w:t>
            </w:r>
          </w:p>
        </w:tc>
      </w:tr>
      <w:tr w:rsidR="00F12203" w:rsidRPr="0009547F" w14:paraId="25AD2E12" w14:textId="03E586D4" w:rsidTr="00685EFA">
        <w:tc>
          <w:tcPr>
            <w:tcW w:w="6788" w:type="dxa"/>
          </w:tcPr>
          <w:p w14:paraId="4F73B9D6" w14:textId="77777777" w:rsidR="00F12203" w:rsidRPr="0009547F" w:rsidRDefault="00F12203" w:rsidP="00F12203">
            <w:pPr>
              <w:pStyle w:val="ListParagraph"/>
              <w:numPr>
                <w:ilvl w:val="0"/>
                <w:numId w:val="5"/>
              </w:numPr>
              <w:spacing w:line="360" w:lineRule="auto"/>
              <w:jc w:val="both"/>
              <w:rPr>
                <w:rFonts w:ascii="Times New Roman" w:hAnsi="Times New Roman" w:cs="Times New Roman"/>
                <w:sz w:val="24"/>
                <w:szCs w:val="24"/>
              </w:rPr>
            </w:pPr>
            <w:r w:rsidRPr="0009547F">
              <w:rPr>
                <w:rFonts w:ascii="Times New Roman" w:hAnsi="Times New Roman" w:cs="Times New Roman"/>
                <w:sz w:val="24"/>
                <w:szCs w:val="24"/>
              </w:rPr>
              <w:t>Recommendations</w:t>
            </w:r>
          </w:p>
        </w:tc>
        <w:tc>
          <w:tcPr>
            <w:tcW w:w="1508" w:type="dxa"/>
          </w:tcPr>
          <w:p w14:paraId="17721F14" w14:textId="439E4975" w:rsidR="00F12203" w:rsidRPr="0009547F" w:rsidRDefault="00735DA7" w:rsidP="00B600C8">
            <w:pPr>
              <w:pStyle w:val="ListParagraph"/>
              <w:spacing w:line="360" w:lineRule="auto"/>
              <w:jc w:val="right"/>
              <w:rPr>
                <w:rFonts w:ascii="Times New Roman" w:hAnsi="Times New Roman" w:cs="Times New Roman"/>
                <w:sz w:val="24"/>
                <w:szCs w:val="24"/>
              </w:rPr>
            </w:pPr>
            <w:r>
              <w:rPr>
                <w:rFonts w:ascii="Times New Roman" w:hAnsi="Times New Roman" w:cs="Times New Roman"/>
                <w:sz w:val="24"/>
                <w:szCs w:val="24"/>
              </w:rPr>
              <w:t>1</w:t>
            </w:r>
            <w:r w:rsidR="006A13F8">
              <w:rPr>
                <w:rFonts w:ascii="Times New Roman" w:hAnsi="Times New Roman" w:cs="Times New Roman"/>
                <w:sz w:val="24"/>
                <w:szCs w:val="24"/>
              </w:rPr>
              <w:t>5</w:t>
            </w:r>
          </w:p>
        </w:tc>
      </w:tr>
      <w:tr w:rsidR="00F12203" w:rsidRPr="0009547F" w14:paraId="7D7E972E" w14:textId="0579F32C" w:rsidTr="00685EFA">
        <w:tc>
          <w:tcPr>
            <w:tcW w:w="6788" w:type="dxa"/>
          </w:tcPr>
          <w:p w14:paraId="7FCD2E85" w14:textId="77777777" w:rsidR="00F12203" w:rsidRPr="0009547F" w:rsidRDefault="00F12203" w:rsidP="00F12203">
            <w:pPr>
              <w:pStyle w:val="ListParagraph"/>
              <w:numPr>
                <w:ilvl w:val="0"/>
                <w:numId w:val="5"/>
              </w:numPr>
              <w:spacing w:line="360" w:lineRule="auto"/>
              <w:jc w:val="both"/>
              <w:rPr>
                <w:rFonts w:ascii="Times New Roman" w:hAnsi="Times New Roman" w:cs="Times New Roman"/>
                <w:sz w:val="24"/>
                <w:szCs w:val="24"/>
              </w:rPr>
            </w:pPr>
            <w:r w:rsidRPr="0009547F">
              <w:rPr>
                <w:rFonts w:ascii="Times New Roman" w:hAnsi="Times New Roman" w:cs="Times New Roman"/>
                <w:sz w:val="24"/>
                <w:szCs w:val="24"/>
              </w:rPr>
              <w:t>Conclusion</w:t>
            </w:r>
          </w:p>
        </w:tc>
        <w:tc>
          <w:tcPr>
            <w:tcW w:w="1508" w:type="dxa"/>
          </w:tcPr>
          <w:p w14:paraId="3272957F" w14:textId="4C8E3A71" w:rsidR="00F12203" w:rsidRPr="0009547F" w:rsidRDefault="00735DA7" w:rsidP="00B600C8">
            <w:pPr>
              <w:pStyle w:val="ListParagraph"/>
              <w:spacing w:line="360" w:lineRule="auto"/>
              <w:jc w:val="right"/>
              <w:rPr>
                <w:rFonts w:ascii="Times New Roman" w:hAnsi="Times New Roman" w:cs="Times New Roman"/>
                <w:sz w:val="24"/>
                <w:szCs w:val="24"/>
              </w:rPr>
            </w:pPr>
            <w:r>
              <w:rPr>
                <w:rFonts w:ascii="Times New Roman" w:hAnsi="Times New Roman" w:cs="Times New Roman"/>
                <w:sz w:val="24"/>
                <w:szCs w:val="24"/>
              </w:rPr>
              <w:t>1</w:t>
            </w:r>
            <w:r w:rsidR="006A13F8">
              <w:rPr>
                <w:rFonts w:ascii="Times New Roman" w:hAnsi="Times New Roman" w:cs="Times New Roman"/>
                <w:sz w:val="24"/>
                <w:szCs w:val="24"/>
              </w:rPr>
              <w:t>6</w:t>
            </w:r>
          </w:p>
        </w:tc>
      </w:tr>
      <w:tr w:rsidR="00F12203" w:rsidRPr="0009547F" w14:paraId="090229B6" w14:textId="59AAF827" w:rsidTr="00685EFA">
        <w:tc>
          <w:tcPr>
            <w:tcW w:w="6788" w:type="dxa"/>
          </w:tcPr>
          <w:p w14:paraId="7C7AAB14" w14:textId="77777777" w:rsidR="00F12203" w:rsidRPr="0009547F" w:rsidRDefault="00F12203" w:rsidP="00F12203">
            <w:pPr>
              <w:pStyle w:val="ListParagraph"/>
              <w:numPr>
                <w:ilvl w:val="0"/>
                <w:numId w:val="5"/>
              </w:numPr>
              <w:spacing w:line="360" w:lineRule="auto"/>
              <w:jc w:val="both"/>
              <w:rPr>
                <w:rFonts w:ascii="Times New Roman" w:hAnsi="Times New Roman" w:cs="Times New Roman"/>
                <w:sz w:val="24"/>
                <w:szCs w:val="24"/>
              </w:rPr>
            </w:pPr>
            <w:r w:rsidRPr="0009547F">
              <w:rPr>
                <w:rFonts w:ascii="Times New Roman" w:hAnsi="Times New Roman" w:cs="Times New Roman"/>
                <w:sz w:val="24"/>
                <w:szCs w:val="24"/>
              </w:rPr>
              <w:t>References</w:t>
            </w:r>
          </w:p>
        </w:tc>
        <w:tc>
          <w:tcPr>
            <w:tcW w:w="1508" w:type="dxa"/>
          </w:tcPr>
          <w:p w14:paraId="0EFEDD6B" w14:textId="79C5F833" w:rsidR="00F12203" w:rsidRPr="0009547F" w:rsidRDefault="006A13F8" w:rsidP="00B600C8">
            <w:pPr>
              <w:pStyle w:val="ListParagraph"/>
              <w:spacing w:line="360" w:lineRule="auto"/>
              <w:jc w:val="right"/>
              <w:rPr>
                <w:rFonts w:ascii="Times New Roman" w:hAnsi="Times New Roman" w:cs="Times New Roman"/>
                <w:sz w:val="24"/>
                <w:szCs w:val="24"/>
              </w:rPr>
            </w:pPr>
            <w:r>
              <w:rPr>
                <w:rFonts w:ascii="Times New Roman" w:hAnsi="Times New Roman" w:cs="Times New Roman"/>
                <w:sz w:val="24"/>
                <w:szCs w:val="24"/>
              </w:rPr>
              <w:t>17</w:t>
            </w:r>
          </w:p>
        </w:tc>
      </w:tr>
    </w:tbl>
    <w:p w14:paraId="78ED1E07" w14:textId="77777777" w:rsidR="009771BC" w:rsidRPr="000B7321" w:rsidRDefault="009771BC" w:rsidP="009771BC">
      <w:pPr>
        <w:spacing w:after="0" w:line="360" w:lineRule="auto"/>
        <w:jc w:val="both"/>
        <w:rPr>
          <w:rFonts w:ascii="Times New Roman" w:hAnsi="Times New Roman" w:cs="Times New Roman"/>
          <w:sz w:val="24"/>
          <w:szCs w:val="24"/>
        </w:rPr>
      </w:pPr>
    </w:p>
    <w:p w14:paraId="3BA5FDFC" w14:textId="77777777" w:rsidR="009771BC" w:rsidRPr="000B7321" w:rsidRDefault="009771BC" w:rsidP="009771BC">
      <w:pPr>
        <w:spacing w:after="0" w:line="360" w:lineRule="auto"/>
        <w:jc w:val="both"/>
        <w:rPr>
          <w:rFonts w:ascii="Times New Roman" w:hAnsi="Times New Roman" w:cs="Times New Roman"/>
          <w:sz w:val="24"/>
          <w:szCs w:val="24"/>
        </w:rPr>
      </w:pPr>
    </w:p>
    <w:p w14:paraId="6A0D87BB" w14:textId="77777777" w:rsidR="009771BC" w:rsidRDefault="009771BC" w:rsidP="009771BC">
      <w:pPr>
        <w:spacing w:after="0" w:line="360" w:lineRule="auto"/>
        <w:jc w:val="both"/>
        <w:rPr>
          <w:rFonts w:ascii="Times New Roman" w:hAnsi="Times New Roman" w:cs="Times New Roman"/>
          <w:sz w:val="24"/>
          <w:szCs w:val="24"/>
        </w:rPr>
      </w:pPr>
    </w:p>
    <w:p w14:paraId="241D1350" w14:textId="77777777" w:rsidR="009771BC" w:rsidRPr="000B7321" w:rsidRDefault="009771BC" w:rsidP="009771BC">
      <w:pPr>
        <w:pStyle w:val="Heading1"/>
        <w:numPr>
          <w:ilvl w:val="0"/>
          <w:numId w:val="6"/>
        </w:numPr>
        <w:spacing w:line="360" w:lineRule="auto"/>
        <w:jc w:val="both"/>
        <w:rPr>
          <w:rFonts w:ascii="Times New Roman" w:eastAsia="Times New Roman" w:hAnsi="Times New Roman" w:cs="Times New Roman"/>
          <w:b/>
          <w:bCs/>
          <w:sz w:val="36"/>
          <w:szCs w:val="36"/>
          <w:lang w:eastAsia="en-GB"/>
        </w:rPr>
      </w:pPr>
      <w:r w:rsidRPr="000B7321">
        <w:rPr>
          <w:rFonts w:ascii="Times New Roman" w:eastAsia="Times New Roman" w:hAnsi="Times New Roman" w:cs="Times New Roman"/>
          <w:b/>
          <w:bCs/>
          <w:sz w:val="36"/>
          <w:szCs w:val="36"/>
          <w:lang w:eastAsia="en-GB"/>
        </w:rPr>
        <w:t>Introduction:</w:t>
      </w:r>
    </w:p>
    <w:p w14:paraId="0A7A99A4" w14:textId="77777777" w:rsidR="009771BC" w:rsidRPr="00F04D70"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1C64D730" w14:textId="77777777" w:rsidR="009771BC" w:rsidRPr="00F04D70"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F04D70">
        <w:rPr>
          <w:rFonts w:ascii="Times New Roman" w:eastAsia="Times New Roman" w:hAnsi="Times New Roman" w:cs="Times New Roman"/>
          <w:color w:val="0E101A"/>
          <w:sz w:val="24"/>
          <w:szCs w:val="24"/>
          <w:lang w:eastAsia="en-GB"/>
        </w:rPr>
        <w:t>Operose Health is a subsidiary of Centene Corporation, a US-based multinational healthcare company that provides primary healthcare services in the UK. The company operates in a dynamic and rapidly changing environment characterised by various environmental forces that significantly impact its operations and profitability. This report aims to critically assess the current environmental forces and their impact on Operose Health. The report will examine demographic changes, technological advancements, legal and regulatory changes, economic factors, and environmental issues affecting the UK healthcare market.</w:t>
      </w:r>
    </w:p>
    <w:p w14:paraId="639FFF2A" w14:textId="77777777" w:rsidR="009771BC" w:rsidRPr="00F04D70"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0C0CC6FA" w14:textId="646C91D9" w:rsidR="009771BC" w:rsidRPr="00F04D70"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3B6E5A">
        <w:rPr>
          <w:rFonts w:ascii="Times New Roman" w:eastAsia="Times New Roman" w:hAnsi="Times New Roman" w:cs="Times New Roman"/>
          <w:color w:val="0E101A"/>
          <w:sz w:val="24"/>
          <w:szCs w:val="24"/>
          <w:lang w:eastAsia="en-GB"/>
        </w:rPr>
        <w:t>The UK healthcare market is a highly regulated and complex sector that is influenced by several factors. Demographic changes, such as an aging population and a rise in chronic diseases, are putting pressure on the healthcare system, leading to increased demand for primary healthcare services (</w:t>
      </w:r>
      <w:r w:rsidRPr="003B6E5A">
        <w:rPr>
          <w:rFonts w:ascii="Times New Roman" w:hAnsi="Times New Roman" w:cs="Times New Roman"/>
          <w:sz w:val="24"/>
          <w:szCs w:val="24"/>
        </w:rPr>
        <w:t>The King's Fund, 2023</w:t>
      </w:r>
      <w:r w:rsidRPr="003B6E5A">
        <w:rPr>
          <w:rFonts w:ascii="Times New Roman" w:eastAsia="Times New Roman" w:hAnsi="Times New Roman" w:cs="Times New Roman"/>
          <w:color w:val="0E101A"/>
          <w:sz w:val="24"/>
          <w:szCs w:val="24"/>
          <w:lang w:eastAsia="en-GB"/>
        </w:rPr>
        <w:t>). Technological advancements, such as telemedicine and</w:t>
      </w:r>
      <w:r w:rsidRPr="00F04D70">
        <w:rPr>
          <w:rFonts w:ascii="Times New Roman" w:eastAsia="Times New Roman" w:hAnsi="Times New Roman" w:cs="Times New Roman"/>
          <w:color w:val="0E101A"/>
          <w:sz w:val="24"/>
          <w:szCs w:val="24"/>
          <w:lang w:eastAsia="en-GB"/>
        </w:rPr>
        <w:t xml:space="preserve"> electronic health records, are changing the way healthcare is delivered, creating opportunities for companies that can adapt to new technologies (</w:t>
      </w:r>
      <w:proofErr w:type="spellStart"/>
      <w:r w:rsidR="00351BEF" w:rsidRPr="00351BEF">
        <w:rPr>
          <w:rFonts w:ascii="Times New Roman" w:eastAsia="Times New Roman" w:hAnsi="Times New Roman" w:cs="Times New Roman"/>
          <w:color w:val="0E101A"/>
          <w:sz w:val="24"/>
          <w:szCs w:val="24"/>
          <w:lang w:eastAsia="en-GB"/>
        </w:rPr>
        <w:t>Abugabah</w:t>
      </w:r>
      <w:proofErr w:type="spellEnd"/>
      <w:r w:rsidR="00351BEF" w:rsidRPr="00351BEF">
        <w:rPr>
          <w:rFonts w:ascii="Times New Roman" w:eastAsia="Times New Roman" w:hAnsi="Times New Roman" w:cs="Times New Roman"/>
          <w:color w:val="0E101A"/>
          <w:sz w:val="24"/>
          <w:szCs w:val="24"/>
          <w:lang w:eastAsia="en-GB"/>
        </w:rPr>
        <w:t xml:space="preserve"> et al, 2020</w:t>
      </w:r>
      <w:r w:rsidRPr="00F04D70">
        <w:rPr>
          <w:rFonts w:ascii="Times New Roman" w:eastAsia="Times New Roman" w:hAnsi="Times New Roman" w:cs="Times New Roman"/>
          <w:color w:val="0E101A"/>
          <w:sz w:val="24"/>
          <w:szCs w:val="24"/>
          <w:lang w:eastAsia="en-GB"/>
        </w:rPr>
        <w:t>). Legal and regulatory changes, such as Brexit and changes in government policies, can impact the operations of healthcare providers like Operose Health (</w:t>
      </w:r>
      <w:r w:rsidR="00215060" w:rsidRPr="00215060">
        <w:rPr>
          <w:rFonts w:ascii="Times New Roman" w:eastAsia="Times New Roman" w:hAnsi="Times New Roman" w:cs="Times New Roman"/>
          <w:color w:val="0E101A"/>
          <w:sz w:val="24"/>
          <w:szCs w:val="24"/>
          <w:lang w:eastAsia="en-GB"/>
        </w:rPr>
        <w:t>Fahy et al, 2017</w:t>
      </w:r>
      <w:r w:rsidRPr="00F04D70">
        <w:rPr>
          <w:rFonts w:ascii="Times New Roman" w:eastAsia="Times New Roman" w:hAnsi="Times New Roman" w:cs="Times New Roman"/>
          <w:color w:val="0E101A"/>
          <w:sz w:val="24"/>
          <w:szCs w:val="24"/>
          <w:lang w:eastAsia="en-GB"/>
        </w:rPr>
        <w:t>). Economic factors, such as inflation and recession, can impact the affordability of healthcare services and the purchasing power of consumers (</w:t>
      </w:r>
      <w:r w:rsidR="00453A78" w:rsidRPr="00453A78">
        <w:rPr>
          <w:rFonts w:ascii="Times New Roman" w:eastAsia="Times New Roman" w:hAnsi="Times New Roman" w:cs="Times New Roman"/>
          <w:color w:val="0E101A"/>
          <w:sz w:val="24"/>
          <w:szCs w:val="24"/>
          <w:lang w:eastAsia="en-GB"/>
        </w:rPr>
        <w:t>Agri et al, 2017</w:t>
      </w:r>
      <w:r w:rsidRPr="00F04D70">
        <w:rPr>
          <w:rFonts w:ascii="Times New Roman" w:eastAsia="Times New Roman" w:hAnsi="Times New Roman" w:cs="Times New Roman"/>
          <w:color w:val="0E101A"/>
          <w:sz w:val="24"/>
          <w:szCs w:val="24"/>
          <w:lang w:eastAsia="en-GB"/>
        </w:rPr>
        <w:t>). Environmental issues, such as climate change and pollution, can also impact the health of individuals and communities, leading to increased demand for healthcare services (</w:t>
      </w:r>
      <w:proofErr w:type="spellStart"/>
      <w:r w:rsidR="00D3520C" w:rsidRPr="00D3520C">
        <w:rPr>
          <w:rFonts w:ascii="Times New Roman" w:eastAsia="Times New Roman" w:hAnsi="Times New Roman" w:cs="Times New Roman"/>
          <w:color w:val="0E101A"/>
          <w:sz w:val="24"/>
          <w:szCs w:val="24"/>
          <w:lang w:eastAsia="en-GB"/>
        </w:rPr>
        <w:t>Corvalan</w:t>
      </w:r>
      <w:proofErr w:type="spellEnd"/>
      <w:r w:rsidR="00D3520C" w:rsidRPr="00D3520C">
        <w:rPr>
          <w:rFonts w:ascii="Times New Roman" w:eastAsia="Times New Roman" w:hAnsi="Times New Roman" w:cs="Times New Roman"/>
          <w:color w:val="0E101A"/>
          <w:sz w:val="24"/>
          <w:szCs w:val="24"/>
          <w:lang w:eastAsia="en-GB"/>
        </w:rPr>
        <w:t xml:space="preserve"> et al, 2020</w:t>
      </w:r>
      <w:r w:rsidRPr="00F04D70">
        <w:rPr>
          <w:rFonts w:ascii="Times New Roman" w:eastAsia="Times New Roman" w:hAnsi="Times New Roman" w:cs="Times New Roman"/>
          <w:color w:val="0E101A"/>
          <w:sz w:val="24"/>
          <w:szCs w:val="24"/>
          <w:lang w:eastAsia="en-GB"/>
        </w:rPr>
        <w:t>).</w:t>
      </w:r>
    </w:p>
    <w:p w14:paraId="613A1AB1" w14:textId="77777777" w:rsidR="009771BC" w:rsidRPr="00F04D70"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0D1EE925"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F04D70">
        <w:rPr>
          <w:rFonts w:ascii="Times New Roman" w:eastAsia="Times New Roman" w:hAnsi="Times New Roman" w:cs="Times New Roman"/>
          <w:color w:val="0E101A"/>
          <w:sz w:val="24"/>
          <w:szCs w:val="24"/>
          <w:lang w:eastAsia="en-GB"/>
        </w:rPr>
        <w:lastRenderedPageBreak/>
        <w:t>Therefore, it is important for Operose Health to study the effect of these environmental forces and to take the measures to manage them. In this report I will analyse these forces and provide recommendations on how Operose Health can adapt and remain competitive in the dynamic healthcare market.</w:t>
      </w:r>
    </w:p>
    <w:p w14:paraId="75E2F90B" w14:textId="77777777" w:rsidR="009771BC" w:rsidRPr="00031B14"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1F791B93" w14:textId="77777777" w:rsidR="009771BC" w:rsidRPr="000B7321" w:rsidRDefault="009771BC" w:rsidP="009771BC">
      <w:pPr>
        <w:pStyle w:val="Heading1"/>
        <w:numPr>
          <w:ilvl w:val="0"/>
          <w:numId w:val="6"/>
        </w:numPr>
        <w:spacing w:line="360" w:lineRule="auto"/>
        <w:jc w:val="both"/>
        <w:rPr>
          <w:rFonts w:ascii="Times New Roman" w:eastAsia="Times New Roman" w:hAnsi="Times New Roman" w:cs="Times New Roman"/>
          <w:b/>
          <w:bCs/>
          <w:sz w:val="36"/>
          <w:szCs w:val="36"/>
          <w:lang w:eastAsia="en-GB"/>
        </w:rPr>
      </w:pPr>
      <w:r w:rsidRPr="000B7321">
        <w:rPr>
          <w:rFonts w:ascii="Times New Roman" w:eastAsia="Times New Roman" w:hAnsi="Times New Roman" w:cs="Times New Roman"/>
          <w:b/>
          <w:bCs/>
          <w:sz w:val="36"/>
          <w:szCs w:val="36"/>
          <w:lang w:eastAsia="en-GB"/>
        </w:rPr>
        <w:t>PESTEL analysis</w:t>
      </w:r>
    </w:p>
    <w:p w14:paraId="0423A48E" w14:textId="77777777" w:rsidR="009771BC" w:rsidRPr="00031B14"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666CA05E" w14:textId="77777777" w:rsidR="009771BC" w:rsidRPr="00094C2D"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094C2D">
        <w:rPr>
          <w:rFonts w:ascii="Times New Roman" w:eastAsia="Times New Roman" w:hAnsi="Times New Roman" w:cs="Times New Roman"/>
          <w:color w:val="0E101A"/>
          <w:sz w:val="24"/>
          <w:szCs w:val="24"/>
          <w:lang w:eastAsia="en-GB"/>
        </w:rPr>
        <w:t xml:space="preserve">PESTEL analysis is an important tool that can help businesses like Operose Health to remain competitive and successful in the ever-changing healthcare landscape. It can help the company to identify potential threats and opportunities in the external environment and develop effective strategies to manage them. </w:t>
      </w:r>
    </w:p>
    <w:p w14:paraId="70512C9C" w14:textId="77777777" w:rsidR="009771BC" w:rsidRPr="00094C2D"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75293D2D" w14:textId="77777777" w:rsidR="009771BC" w:rsidRPr="00031B14"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4A1CE5C0" w14:textId="77777777" w:rsidR="009771BC" w:rsidRPr="000B7321" w:rsidRDefault="009771BC" w:rsidP="009771BC">
      <w:pPr>
        <w:pStyle w:val="Heading2"/>
        <w:rPr>
          <w:rFonts w:ascii="Times New Roman" w:hAnsi="Times New Roman" w:cs="Times New Roman"/>
          <w:b/>
          <w:bCs/>
          <w:color w:val="auto"/>
          <w:sz w:val="28"/>
          <w:szCs w:val="28"/>
          <w:u w:val="single"/>
        </w:rPr>
      </w:pPr>
      <w:r w:rsidRPr="000B7321">
        <w:rPr>
          <w:rFonts w:ascii="Times New Roman" w:hAnsi="Times New Roman" w:cs="Times New Roman"/>
          <w:b/>
          <w:bCs/>
          <w:color w:val="auto"/>
          <w:sz w:val="28"/>
          <w:szCs w:val="28"/>
          <w:u w:val="single"/>
        </w:rPr>
        <w:t>2.1 Political Factors:</w:t>
      </w:r>
    </w:p>
    <w:p w14:paraId="51A6E113" w14:textId="77777777" w:rsidR="009771BC" w:rsidRPr="0063432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0A156614" w14:textId="57176D97"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The healthcare industry is highly regulated, and changes in government policies and regulations can significantly impact the company's operations and profitability. The National Health Service (NHS), which is publicly funded and free at the point of delivery, is the primary provider of healthcare services in the UK (</w:t>
      </w:r>
      <w:r w:rsidR="005F0718" w:rsidRPr="005F0718">
        <w:rPr>
          <w:rFonts w:ascii="Times New Roman" w:eastAsia="Times New Roman" w:hAnsi="Times New Roman" w:cs="Times New Roman"/>
          <w:color w:val="0E101A"/>
          <w:sz w:val="24"/>
          <w:szCs w:val="24"/>
          <w:lang w:eastAsia="en-GB"/>
        </w:rPr>
        <w:t>Roderick and Pollock, 2022</w:t>
      </w:r>
      <w:r w:rsidRPr="00634323">
        <w:rPr>
          <w:rFonts w:ascii="Times New Roman" w:eastAsia="Times New Roman" w:hAnsi="Times New Roman" w:cs="Times New Roman"/>
          <w:color w:val="0E101A"/>
          <w:sz w:val="24"/>
          <w:szCs w:val="24"/>
          <w:lang w:eastAsia="en-GB"/>
        </w:rPr>
        <w:t>). The government's healthcare policies and funding decisions can have a significant impact on the healthcare industry, including the primary healthcare services that Operose Health provides.</w:t>
      </w:r>
    </w:p>
    <w:p w14:paraId="71F9CE60" w14:textId="77777777" w:rsidR="009771BC" w:rsidRPr="0063432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176F3329" w14:textId="33C17429" w:rsidR="009771BC" w:rsidRPr="009552D6"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 xml:space="preserve">One example of a recent political factor that has affected the healthcare industry in the UK is Brexit. </w:t>
      </w:r>
      <w:r w:rsidRPr="009552D6">
        <w:rPr>
          <w:rFonts w:ascii="Times New Roman" w:eastAsia="Times New Roman" w:hAnsi="Times New Roman" w:cs="Times New Roman"/>
          <w:color w:val="0E101A"/>
          <w:sz w:val="24"/>
          <w:szCs w:val="24"/>
          <w:lang w:eastAsia="en-GB"/>
        </w:rPr>
        <w:t>Brexit has had a significant impact on Operose Health as a healthcare provider operating in the UK. The healthcare industry relies heavily on staff from the EU, and the uncertainty surrounding Brexit has resulted in a significant decrease in the number of EU healthcare workers coming to the UK. This has caused staffing shortages in the healthcare industry, which has affected the quality of care provided to patients (</w:t>
      </w:r>
      <w:proofErr w:type="spellStart"/>
      <w:r w:rsidR="007C1542" w:rsidRPr="007C1542">
        <w:rPr>
          <w:rFonts w:ascii="Times New Roman" w:eastAsia="Times New Roman" w:hAnsi="Times New Roman" w:cs="Times New Roman"/>
          <w:color w:val="0E101A"/>
          <w:sz w:val="24"/>
          <w:szCs w:val="24"/>
          <w:lang w:eastAsia="en-GB"/>
        </w:rPr>
        <w:t>Gillin</w:t>
      </w:r>
      <w:proofErr w:type="spellEnd"/>
      <w:r w:rsidR="007C1542" w:rsidRPr="007C1542">
        <w:rPr>
          <w:rFonts w:ascii="Times New Roman" w:eastAsia="Times New Roman" w:hAnsi="Times New Roman" w:cs="Times New Roman"/>
          <w:color w:val="0E101A"/>
          <w:sz w:val="24"/>
          <w:szCs w:val="24"/>
          <w:lang w:eastAsia="en-GB"/>
        </w:rPr>
        <w:t xml:space="preserve"> and Smith, 2020</w:t>
      </w:r>
      <w:r w:rsidRPr="009552D6">
        <w:rPr>
          <w:rFonts w:ascii="Times New Roman" w:eastAsia="Times New Roman" w:hAnsi="Times New Roman" w:cs="Times New Roman"/>
          <w:color w:val="0E101A"/>
          <w:sz w:val="24"/>
          <w:szCs w:val="24"/>
          <w:lang w:eastAsia="en-GB"/>
        </w:rPr>
        <w:t>).</w:t>
      </w:r>
    </w:p>
    <w:p w14:paraId="200A7028" w14:textId="77777777" w:rsidR="009771BC" w:rsidRPr="009552D6"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4B7D7437" w14:textId="1D842689"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9552D6">
        <w:rPr>
          <w:rFonts w:ascii="Times New Roman" w:eastAsia="Times New Roman" w:hAnsi="Times New Roman" w:cs="Times New Roman"/>
          <w:color w:val="0E101A"/>
          <w:sz w:val="24"/>
          <w:szCs w:val="24"/>
          <w:lang w:eastAsia="en-GB"/>
        </w:rPr>
        <w:t xml:space="preserve">In addition, Brexit has created regulatory challenges for Operose Health. The UK has had to renegotiate trade deals and regulations with the EU and other countries, which has resulted in a complex and uncertain regulatory environment for the healthcare industry. For example, the </w:t>
      </w:r>
      <w:r w:rsidRPr="009552D6">
        <w:rPr>
          <w:rFonts w:ascii="Times New Roman" w:eastAsia="Times New Roman" w:hAnsi="Times New Roman" w:cs="Times New Roman"/>
          <w:color w:val="0E101A"/>
          <w:sz w:val="24"/>
          <w:szCs w:val="24"/>
          <w:lang w:eastAsia="en-GB"/>
        </w:rPr>
        <w:lastRenderedPageBreak/>
        <w:t>UK may have to replicate the drug regulations of the EU, which could result in delays in accessing new drugs and treatments for patients (</w:t>
      </w:r>
      <w:r w:rsidR="005B10E7" w:rsidRPr="005B10E7">
        <w:rPr>
          <w:rFonts w:ascii="Times New Roman" w:eastAsia="Times New Roman" w:hAnsi="Times New Roman" w:cs="Times New Roman"/>
          <w:color w:val="0E101A"/>
          <w:sz w:val="24"/>
          <w:szCs w:val="24"/>
          <w:lang w:eastAsia="en-GB"/>
        </w:rPr>
        <w:t xml:space="preserve">Breckenridge and </w:t>
      </w:r>
      <w:proofErr w:type="spellStart"/>
      <w:r w:rsidR="005B10E7" w:rsidRPr="005B10E7">
        <w:rPr>
          <w:rFonts w:ascii="Times New Roman" w:eastAsia="Times New Roman" w:hAnsi="Times New Roman" w:cs="Times New Roman"/>
          <w:color w:val="0E101A"/>
          <w:sz w:val="24"/>
          <w:szCs w:val="24"/>
          <w:lang w:eastAsia="en-GB"/>
        </w:rPr>
        <w:t>Feldschreiber</w:t>
      </w:r>
      <w:proofErr w:type="spellEnd"/>
      <w:r w:rsidR="005B10E7" w:rsidRPr="005B10E7">
        <w:rPr>
          <w:rFonts w:ascii="Times New Roman" w:eastAsia="Times New Roman" w:hAnsi="Times New Roman" w:cs="Times New Roman"/>
          <w:color w:val="0E101A"/>
          <w:sz w:val="24"/>
          <w:szCs w:val="24"/>
          <w:lang w:eastAsia="en-GB"/>
        </w:rPr>
        <w:t>, 2019</w:t>
      </w:r>
      <w:r w:rsidRPr="009552D6">
        <w:rPr>
          <w:rFonts w:ascii="Times New Roman" w:eastAsia="Times New Roman" w:hAnsi="Times New Roman" w:cs="Times New Roman"/>
          <w:color w:val="0E101A"/>
          <w:sz w:val="24"/>
          <w:szCs w:val="24"/>
          <w:lang w:eastAsia="en-GB"/>
        </w:rPr>
        <w:t>).</w:t>
      </w:r>
    </w:p>
    <w:p w14:paraId="26E038F9" w14:textId="77777777" w:rsidR="009771BC" w:rsidRPr="0063432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02F67DE1" w14:textId="680F1593"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9552D6">
        <w:rPr>
          <w:rFonts w:ascii="Times New Roman" w:eastAsia="Times New Roman" w:hAnsi="Times New Roman" w:cs="Times New Roman"/>
          <w:color w:val="0E101A"/>
          <w:sz w:val="24"/>
          <w:szCs w:val="24"/>
          <w:lang w:eastAsia="en-GB"/>
        </w:rPr>
        <w:t>Another political factor affecting Operose Health is the government's healthcare funding decisions. The UK government has faced financial pressures in recent years, and healthcare spending has been a contentious issue (</w:t>
      </w:r>
      <w:r w:rsidR="005D2C7B" w:rsidRPr="005D2C7B">
        <w:rPr>
          <w:rFonts w:ascii="Times New Roman" w:eastAsia="Times New Roman" w:hAnsi="Times New Roman" w:cs="Times New Roman"/>
          <w:color w:val="0E101A"/>
          <w:sz w:val="24"/>
          <w:szCs w:val="24"/>
          <w:lang w:eastAsia="en-GB"/>
        </w:rPr>
        <w:t>Glasby et al, 2021</w:t>
      </w:r>
      <w:r w:rsidRPr="009552D6">
        <w:rPr>
          <w:rFonts w:ascii="Times New Roman" w:eastAsia="Times New Roman" w:hAnsi="Times New Roman" w:cs="Times New Roman"/>
          <w:color w:val="0E101A"/>
          <w:sz w:val="24"/>
          <w:szCs w:val="24"/>
          <w:lang w:eastAsia="en-GB"/>
        </w:rPr>
        <w:t>). In 2021, the government announced a funding increase for the NHS, which included a focus on primary healthcare services (</w:t>
      </w:r>
      <w:r w:rsidR="00CB01C1" w:rsidRPr="00CB01C1">
        <w:rPr>
          <w:rFonts w:ascii="Times New Roman" w:eastAsia="Times New Roman" w:hAnsi="Times New Roman" w:cs="Times New Roman"/>
          <w:color w:val="0E101A"/>
          <w:sz w:val="24"/>
          <w:szCs w:val="24"/>
          <w:lang w:eastAsia="en-GB"/>
        </w:rPr>
        <w:t>The King's Fund, 2022</w:t>
      </w:r>
      <w:r w:rsidRPr="009552D6">
        <w:rPr>
          <w:rFonts w:ascii="Times New Roman" w:eastAsia="Times New Roman" w:hAnsi="Times New Roman" w:cs="Times New Roman"/>
          <w:color w:val="0E101A"/>
          <w:sz w:val="24"/>
          <w:szCs w:val="24"/>
          <w:lang w:eastAsia="en-GB"/>
        </w:rPr>
        <w:t>). This funding decision could have a positive impact on Operose Health's operations and growth. As a primary healthcare provider, Operose Health could benefit from increased funding and resources to expand its services and improve patient care. However, it is important to note that the government's funding decisions can be unpredictable and subject to change based on various factors, such as political priorities and economic conditions (</w:t>
      </w:r>
      <w:r w:rsidR="0075210E" w:rsidRPr="0075210E">
        <w:rPr>
          <w:rFonts w:ascii="Times New Roman" w:eastAsia="Times New Roman" w:hAnsi="Times New Roman" w:cs="Times New Roman"/>
          <w:color w:val="0E101A"/>
          <w:sz w:val="24"/>
          <w:szCs w:val="24"/>
          <w:lang w:eastAsia="en-GB"/>
        </w:rPr>
        <w:t>Ahrens and Ferry, 2021.</w:t>
      </w:r>
      <w:r w:rsidRPr="009552D6">
        <w:rPr>
          <w:rFonts w:ascii="Times New Roman" w:eastAsia="Times New Roman" w:hAnsi="Times New Roman" w:cs="Times New Roman"/>
          <w:color w:val="0E101A"/>
          <w:sz w:val="24"/>
          <w:szCs w:val="24"/>
          <w:lang w:eastAsia="en-GB"/>
        </w:rPr>
        <w:t>). Therefore, Operose Health should continuously monitor and evaluate the government's funding decisions and adjust its strategies accordingly.</w:t>
      </w:r>
    </w:p>
    <w:p w14:paraId="4547D6E9" w14:textId="77777777" w:rsidR="009771BC"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700C8EFF" w14:textId="77777777" w:rsidR="009771BC" w:rsidRPr="000B7321" w:rsidRDefault="009771BC" w:rsidP="009771BC">
      <w:pPr>
        <w:pStyle w:val="Heading2"/>
        <w:rPr>
          <w:rFonts w:ascii="Times New Roman" w:hAnsi="Times New Roman" w:cs="Times New Roman"/>
          <w:b/>
          <w:bCs/>
          <w:color w:val="auto"/>
          <w:sz w:val="28"/>
          <w:szCs w:val="28"/>
          <w:u w:val="single"/>
        </w:rPr>
      </w:pPr>
      <w:r>
        <w:rPr>
          <w:rFonts w:ascii="Times New Roman" w:hAnsi="Times New Roman" w:cs="Times New Roman"/>
          <w:b/>
          <w:bCs/>
          <w:color w:val="auto"/>
          <w:sz w:val="28"/>
          <w:szCs w:val="28"/>
          <w:u w:val="single"/>
        </w:rPr>
        <w:t xml:space="preserve">2.2 </w:t>
      </w:r>
      <w:r w:rsidRPr="000B7321">
        <w:rPr>
          <w:rFonts w:ascii="Times New Roman" w:hAnsi="Times New Roman" w:cs="Times New Roman"/>
          <w:b/>
          <w:bCs/>
          <w:color w:val="auto"/>
          <w:sz w:val="28"/>
          <w:szCs w:val="28"/>
          <w:u w:val="single"/>
        </w:rPr>
        <w:t>Economic Factors:</w:t>
      </w:r>
    </w:p>
    <w:p w14:paraId="2CD6C220"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45E21845"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National and international macroeconomic indicators can have a significant impact on Operose Health's operations and overall performance, especially during times of economic slowdown. Changes in interest rates and inflation rates can affect the cost of borrowing and the purchasing power of consumers, respectively, which can have a ripple effect on the healthcare industry.</w:t>
      </w:r>
    </w:p>
    <w:p w14:paraId="0DC9F652"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17FB66CE" w14:textId="4E00E7C0"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The </w:t>
      </w:r>
      <w:r w:rsidRPr="008359B3">
        <w:rPr>
          <w:rFonts w:ascii="Times New Roman" w:eastAsia="Times New Roman" w:hAnsi="Times New Roman" w:cs="Times New Roman"/>
          <w:color w:val="0E101A"/>
          <w:sz w:val="24"/>
          <w:szCs w:val="24"/>
          <w:lang w:eastAsia="en-GB"/>
        </w:rPr>
        <w:t>rising inflation rates due to various factors, including supply chain disruptions and increased demand following the easing of COVID-19 restrictions, also impacted the UK's economy (</w:t>
      </w:r>
      <w:proofErr w:type="spellStart"/>
      <w:r w:rsidR="009904BF" w:rsidRPr="009904BF">
        <w:rPr>
          <w:rFonts w:ascii="Times New Roman" w:eastAsia="Times New Roman" w:hAnsi="Times New Roman" w:cs="Times New Roman"/>
          <w:color w:val="0E101A"/>
          <w:sz w:val="24"/>
          <w:szCs w:val="24"/>
          <w:lang w:eastAsia="en-GB"/>
        </w:rPr>
        <w:t>Delardas</w:t>
      </w:r>
      <w:proofErr w:type="spellEnd"/>
      <w:r w:rsidR="009904BF" w:rsidRPr="009904BF">
        <w:rPr>
          <w:rFonts w:ascii="Times New Roman" w:eastAsia="Times New Roman" w:hAnsi="Times New Roman" w:cs="Times New Roman"/>
          <w:color w:val="0E101A"/>
          <w:sz w:val="24"/>
          <w:szCs w:val="24"/>
          <w:lang w:eastAsia="en-GB"/>
        </w:rPr>
        <w:t xml:space="preserve"> et al, 2022</w:t>
      </w:r>
      <w:r w:rsidRPr="008359B3">
        <w:rPr>
          <w:rFonts w:ascii="Times New Roman" w:eastAsia="Times New Roman" w:hAnsi="Times New Roman" w:cs="Times New Roman"/>
          <w:color w:val="0E101A"/>
          <w:sz w:val="24"/>
          <w:szCs w:val="24"/>
          <w:lang w:eastAsia="en-GB"/>
        </w:rPr>
        <w:t xml:space="preserve">). </w:t>
      </w:r>
      <w:r>
        <w:rPr>
          <w:rFonts w:ascii="Times New Roman" w:eastAsia="Times New Roman" w:hAnsi="Times New Roman" w:cs="Times New Roman"/>
          <w:color w:val="0E101A"/>
          <w:sz w:val="24"/>
          <w:szCs w:val="24"/>
          <w:lang w:eastAsia="en-GB"/>
        </w:rPr>
        <w:t>I</w:t>
      </w:r>
      <w:r w:rsidRPr="008359B3">
        <w:rPr>
          <w:rFonts w:ascii="Times New Roman" w:eastAsia="Times New Roman" w:hAnsi="Times New Roman" w:cs="Times New Roman"/>
          <w:color w:val="0E101A"/>
          <w:sz w:val="24"/>
          <w:szCs w:val="24"/>
          <w:lang w:eastAsia="en-GB"/>
        </w:rPr>
        <w:t xml:space="preserve">n 2022, the UK inflation rate reached a nine-year high of </w:t>
      </w:r>
      <w:r w:rsidR="00C77831">
        <w:rPr>
          <w:rFonts w:ascii="Times New Roman" w:eastAsia="Times New Roman" w:hAnsi="Times New Roman" w:cs="Times New Roman"/>
          <w:color w:val="0E101A"/>
          <w:sz w:val="24"/>
          <w:szCs w:val="24"/>
          <w:lang w:eastAsia="en-GB"/>
        </w:rPr>
        <w:t>10.</w:t>
      </w:r>
      <w:r w:rsidRPr="008359B3">
        <w:rPr>
          <w:rFonts w:ascii="Times New Roman" w:eastAsia="Times New Roman" w:hAnsi="Times New Roman" w:cs="Times New Roman"/>
          <w:color w:val="0E101A"/>
          <w:sz w:val="24"/>
          <w:szCs w:val="24"/>
          <w:lang w:eastAsia="en-GB"/>
        </w:rPr>
        <w:t>5% in December (</w:t>
      </w:r>
      <w:r w:rsidR="00F45763">
        <w:rPr>
          <w:rFonts w:ascii="Times New Roman" w:eastAsia="Times New Roman" w:hAnsi="Times New Roman" w:cs="Times New Roman"/>
          <w:color w:val="0E101A"/>
          <w:sz w:val="24"/>
          <w:szCs w:val="24"/>
          <w:lang w:eastAsia="en-GB"/>
        </w:rPr>
        <w:t>ONS</w:t>
      </w:r>
      <w:r w:rsidR="006A2F98" w:rsidRPr="006A2F98">
        <w:rPr>
          <w:rFonts w:ascii="Times New Roman" w:eastAsia="Times New Roman" w:hAnsi="Times New Roman" w:cs="Times New Roman"/>
          <w:color w:val="0E101A"/>
          <w:sz w:val="24"/>
          <w:szCs w:val="24"/>
          <w:lang w:eastAsia="en-GB"/>
        </w:rPr>
        <w:t>, 2023</w:t>
      </w:r>
      <w:r w:rsidRPr="008359B3">
        <w:rPr>
          <w:rFonts w:ascii="Times New Roman" w:eastAsia="Times New Roman" w:hAnsi="Times New Roman" w:cs="Times New Roman"/>
          <w:color w:val="0E101A"/>
          <w:sz w:val="24"/>
          <w:szCs w:val="24"/>
          <w:lang w:eastAsia="en-GB"/>
        </w:rPr>
        <w:t xml:space="preserve">). </w:t>
      </w:r>
    </w:p>
    <w:p w14:paraId="22A3BD76" w14:textId="77777777" w:rsidR="009771BC" w:rsidRPr="008359B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7EA81C6C"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This inflationary pressure led to higher prices for goods and services, including healthcare services. As a result, Operose Health may have experienced higher costs for medical supplies, equipment, and labour, which could impact its profitability.</w:t>
      </w:r>
      <w:r>
        <w:rPr>
          <w:rFonts w:ascii="Times New Roman" w:eastAsia="Times New Roman" w:hAnsi="Times New Roman" w:cs="Times New Roman"/>
          <w:color w:val="0E101A"/>
          <w:sz w:val="24"/>
          <w:szCs w:val="24"/>
          <w:lang w:eastAsia="en-GB"/>
        </w:rPr>
        <w:t xml:space="preserve"> In the other hand, t</w:t>
      </w:r>
      <w:r w:rsidRPr="008359B3">
        <w:rPr>
          <w:rFonts w:ascii="Times New Roman" w:eastAsia="Times New Roman" w:hAnsi="Times New Roman" w:cs="Times New Roman"/>
          <w:color w:val="0E101A"/>
          <w:sz w:val="24"/>
          <w:szCs w:val="24"/>
          <w:lang w:eastAsia="en-GB"/>
        </w:rPr>
        <w:t>he rising inflation rate increases the cost of living, which, in turn, affects consumer spending power and the purchasing power of healthcare providers. This could result in reduced demand for healthcare services and, consequently, affect Operose Health's revenue and profitability.</w:t>
      </w:r>
      <w:r>
        <w:rPr>
          <w:rFonts w:ascii="Times New Roman" w:eastAsia="Times New Roman" w:hAnsi="Times New Roman" w:cs="Times New Roman"/>
          <w:color w:val="0E101A"/>
          <w:sz w:val="24"/>
          <w:szCs w:val="24"/>
          <w:lang w:eastAsia="en-GB"/>
        </w:rPr>
        <w:t xml:space="preserve"> </w:t>
      </w:r>
    </w:p>
    <w:p w14:paraId="12576328" w14:textId="77777777" w:rsidR="009771BC"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3D83BC30" w14:textId="7BFAFE6E"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lastRenderedPageBreak/>
        <w:t>T</w:t>
      </w:r>
      <w:r w:rsidRPr="009552D6">
        <w:rPr>
          <w:rFonts w:ascii="Times New Roman" w:eastAsia="Times New Roman" w:hAnsi="Times New Roman" w:cs="Times New Roman"/>
          <w:color w:val="0E101A"/>
          <w:sz w:val="24"/>
          <w:szCs w:val="24"/>
          <w:lang w:eastAsia="en-GB"/>
        </w:rPr>
        <w:t>he UK economy has experienced a decline in GDP growth due to the ongoing COVID-19 pandemic.</w:t>
      </w:r>
      <w:r>
        <w:rPr>
          <w:rFonts w:ascii="Times New Roman" w:eastAsia="Times New Roman" w:hAnsi="Times New Roman" w:cs="Times New Roman"/>
          <w:color w:val="0E101A"/>
          <w:sz w:val="24"/>
          <w:szCs w:val="24"/>
          <w:lang w:eastAsia="en-GB"/>
        </w:rPr>
        <w:t xml:space="preserve"> </w:t>
      </w:r>
      <w:r w:rsidRPr="008359B3">
        <w:rPr>
          <w:rFonts w:ascii="Times New Roman" w:eastAsia="Times New Roman" w:hAnsi="Times New Roman" w:cs="Times New Roman"/>
          <w:color w:val="0E101A"/>
          <w:sz w:val="24"/>
          <w:szCs w:val="24"/>
          <w:lang w:eastAsia="en-GB"/>
        </w:rPr>
        <w:t>In 2022 and 2023, the UK experienced a slowdown in its economic growth, with GDP growth rates below pre-pandemic levels (</w:t>
      </w:r>
      <w:bookmarkStart w:id="0" w:name="_Hlk134446403"/>
      <w:r w:rsidRPr="008359B3">
        <w:rPr>
          <w:rFonts w:ascii="Times New Roman" w:eastAsia="Times New Roman" w:hAnsi="Times New Roman" w:cs="Times New Roman"/>
          <w:color w:val="0E101A"/>
          <w:sz w:val="24"/>
          <w:szCs w:val="24"/>
          <w:lang w:eastAsia="en-GB"/>
        </w:rPr>
        <w:t>OECD, 202</w:t>
      </w:r>
      <w:bookmarkEnd w:id="0"/>
      <w:r w:rsidR="0075627D">
        <w:rPr>
          <w:rFonts w:ascii="Times New Roman" w:eastAsia="Times New Roman" w:hAnsi="Times New Roman" w:cs="Times New Roman"/>
          <w:color w:val="0E101A"/>
          <w:sz w:val="24"/>
          <w:szCs w:val="24"/>
          <w:lang w:eastAsia="en-GB"/>
        </w:rPr>
        <w:t>3</w:t>
      </w:r>
      <w:r w:rsidR="00033522">
        <w:rPr>
          <w:rFonts w:ascii="Times New Roman" w:eastAsia="Times New Roman" w:hAnsi="Times New Roman" w:cs="Times New Roman"/>
          <w:color w:val="0E101A"/>
          <w:sz w:val="24"/>
          <w:szCs w:val="24"/>
          <w:lang w:eastAsia="en-GB"/>
        </w:rPr>
        <w:t>).</w:t>
      </w:r>
      <w:r w:rsidRPr="009552D6">
        <w:rPr>
          <w:rFonts w:ascii="Times New Roman" w:eastAsia="Times New Roman" w:hAnsi="Times New Roman" w:cs="Times New Roman"/>
          <w:color w:val="0E101A"/>
          <w:sz w:val="24"/>
          <w:szCs w:val="24"/>
          <w:lang w:eastAsia="en-GB"/>
        </w:rPr>
        <w:t xml:space="preserve"> The healthcare sector was not immune to the effects of the pandemic, as healthcare services were disrupted due to the need to redirect resources towards treating COVID-19 patients. The UK government's decision to increase funding for the NHS has provided some relief for the healthcare sector, but it remains to be seen whether this will be sufficient to address the challenges faced by the sector in the post-pandemic period.</w:t>
      </w:r>
    </w:p>
    <w:p w14:paraId="01D7624C"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3EE29D74"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Moreover, global economic indicators such as international trade policies and geopolitical tensions can also affect Operose Health. For example, the ongoing conflict in Ukraine and resulting tensions between Russia and Western nations could potentially lead to disruptions in global supply chains and changes in market dynamics, which could affect Operose Health's operations. Additionally, trade disputes between major economies, such as those between the United States and China, could also impact supply chains and market dynamics, with potential knock-on effects for Operose Health. Furthermore, if there is a slowdown in the global economy due to these geopolitical tensions or other factors, it may result in reduced demand for healthcare services and products, which could impact Operose Health's revenue and profitability.</w:t>
      </w:r>
    </w:p>
    <w:p w14:paraId="16BF4C8D" w14:textId="77777777"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43E88CCC" w14:textId="31259350"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Changes in taxation policies can also have a significant impact on Operose Health. In 2018, the UK government introduced a sugar tax on soft drinks to tackle obesity rates (</w:t>
      </w:r>
      <w:r w:rsidR="00216F2C" w:rsidRPr="00216F2C">
        <w:rPr>
          <w:rFonts w:ascii="Times New Roman" w:eastAsia="Times New Roman" w:hAnsi="Times New Roman" w:cs="Times New Roman"/>
          <w:color w:val="0E101A"/>
          <w:sz w:val="24"/>
          <w:szCs w:val="24"/>
          <w:lang w:eastAsia="en-GB"/>
        </w:rPr>
        <w:t>Buckton et al, 2019</w:t>
      </w:r>
      <w:r w:rsidRPr="00634323">
        <w:rPr>
          <w:rFonts w:ascii="Times New Roman" w:eastAsia="Times New Roman" w:hAnsi="Times New Roman" w:cs="Times New Roman"/>
          <w:color w:val="0E101A"/>
          <w:sz w:val="24"/>
          <w:szCs w:val="24"/>
          <w:lang w:eastAsia="en-GB"/>
        </w:rPr>
        <w:t>). This tax could potentially affect Operose Health's revenue, as it provides primary healthcare services that treat obesity-related health issues.</w:t>
      </w:r>
    </w:p>
    <w:p w14:paraId="4B6E4434" w14:textId="77777777" w:rsidR="009771BC" w:rsidRPr="0063432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603B4D6A" w14:textId="77777777"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Currency exchange rates can also have a significant impact on Operose Health, as it is a subsidiary of a US-based company. Changes in currency exchange rates can affect the company's profitability when repatriating profits to its parent company or when importing medical equipment and supplies from the US.</w:t>
      </w:r>
    </w:p>
    <w:p w14:paraId="5E15C322"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03EBD136"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9552D6">
        <w:rPr>
          <w:rFonts w:ascii="Times New Roman" w:eastAsia="Times New Roman" w:hAnsi="Times New Roman" w:cs="Times New Roman"/>
          <w:color w:val="0E101A"/>
          <w:sz w:val="24"/>
          <w:szCs w:val="24"/>
          <w:lang w:eastAsia="en-GB"/>
        </w:rPr>
        <w:t xml:space="preserve">It is important for Operose Health to closely monitor these macroeconomic factors and adapt its strategies accordingly. For example, the company may need to explore cost-saving measures to manage rising healthcare </w:t>
      </w:r>
      <w:proofErr w:type="gramStart"/>
      <w:r w:rsidRPr="009552D6">
        <w:rPr>
          <w:rFonts w:ascii="Times New Roman" w:eastAsia="Times New Roman" w:hAnsi="Times New Roman" w:cs="Times New Roman"/>
          <w:color w:val="0E101A"/>
          <w:sz w:val="24"/>
          <w:szCs w:val="24"/>
          <w:lang w:eastAsia="en-GB"/>
        </w:rPr>
        <w:t>costs, or</w:t>
      </w:r>
      <w:proofErr w:type="gramEnd"/>
      <w:r w:rsidRPr="009552D6">
        <w:rPr>
          <w:rFonts w:ascii="Times New Roman" w:eastAsia="Times New Roman" w:hAnsi="Times New Roman" w:cs="Times New Roman"/>
          <w:color w:val="0E101A"/>
          <w:sz w:val="24"/>
          <w:szCs w:val="24"/>
          <w:lang w:eastAsia="en-GB"/>
        </w:rPr>
        <w:t xml:space="preserve"> expand its operations in developing countries to meet the increasing demand for healthcare services. By staying abreast of national and international </w:t>
      </w:r>
      <w:r w:rsidRPr="009552D6">
        <w:rPr>
          <w:rFonts w:ascii="Times New Roman" w:eastAsia="Times New Roman" w:hAnsi="Times New Roman" w:cs="Times New Roman"/>
          <w:color w:val="0E101A"/>
          <w:sz w:val="24"/>
          <w:szCs w:val="24"/>
          <w:lang w:eastAsia="en-GB"/>
        </w:rPr>
        <w:lastRenderedPageBreak/>
        <w:t>macroeconomic performance indicators, Operose Health can position itself for long-term success in the healthcare market.</w:t>
      </w:r>
    </w:p>
    <w:p w14:paraId="08C5C0A3"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257BF3A6" w14:textId="77777777" w:rsidR="009771BC" w:rsidRPr="000B7321" w:rsidRDefault="009771BC" w:rsidP="009771BC">
      <w:pPr>
        <w:pStyle w:val="Heading2"/>
        <w:numPr>
          <w:ilvl w:val="1"/>
          <w:numId w:val="9"/>
        </w:numPr>
        <w:rPr>
          <w:rFonts w:ascii="Times New Roman" w:hAnsi="Times New Roman" w:cs="Times New Roman"/>
          <w:b/>
          <w:bCs/>
          <w:color w:val="auto"/>
          <w:sz w:val="28"/>
          <w:szCs w:val="28"/>
          <w:u w:val="single"/>
        </w:rPr>
      </w:pPr>
      <w:r>
        <w:rPr>
          <w:rFonts w:ascii="Times New Roman" w:hAnsi="Times New Roman" w:cs="Times New Roman"/>
          <w:b/>
          <w:bCs/>
          <w:color w:val="auto"/>
          <w:sz w:val="28"/>
          <w:szCs w:val="28"/>
          <w:u w:val="single"/>
        </w:rPr>
        <w:t xml:space="preserve"> </w:t>
      </w:r>
      <w:bookmarkStart w:id="1" w:name="_Hlk134447958"/>
      <w:r w:rsidRPr="000B7321">
        <w:rPr>
          <w:rFonts w:ascii="Times New Roman" w:hAnsi="Times New Roman" w:cs="Times New Roman"/>
          <w:b/>
          <w:bCs/>
          <w:color w:val="auto"/>
          <w:sz w:val="28"/>
          <w:szCs w:val="28"/>
          <w:u w:val="single"/>
        </w:rPr>
        <w:t xml:space="preserve">Sociocultural </w:t>
      </w:r>
      <w:bookmarkEnd w:id="1"/>
      <w:r w:rsidRPr="000B7321">
        <w:rPr>
          <w:rFonts w:ascii="Times New Roman" w:hAnsi="Times New Roman" w:cs="Times New Roman"/>
          <w:b/>
          <w:bCs/>
          <w:color w:val="auto"/>
          <w:sz w:val="28"/>
          <w:szCs w:val="28"/>
          <w:u w:val="single"/>
        </w:rPr>
        <w:t>Factors:</w:t>
      </w:r>
    </w:p>
    <w:p w14:paraId="1F3EF741" w14:textId="77777777"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4DA04B2F" w14:textId="2CA71DE1"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The sociocultural factors that impact Operose Health relate to demographic changes, cultural attitudes towards health, and lifestyle trends. The UK's aging population and rising levels of obesity, for instance, present challenges for healthcare providers like Operose Health (</w:t>
      </w:r>
      <w:proofErr w:type="spellStart"/>
      <w:r w:rsidR="00195790" w:rsidRPr="00195790">
        <w:rPr>
          <w:rFonts w:ascii="Times New Roman" w:eastAsia="Times New Roman" w:hAnsi="Times New Roman" w:cs="Times New Roman"/>
          <w:color w:val="0E101A"/>
          <w:sz w:val="24"/>
          <w:szCs w:val="24"/>
          <w:lang w:eastAsia="en-GB"/>
        </w:rPr>
        <w:t>Mahmoudi</w:t>
      </w:r>
      <w:proofErr w:type="spellEnd"/>
      <w:r w:rsidR="00195790" w:rsidRPr="00195790">
        <w:rPr>
          <w:rFonts w:ascii="Times New Roman" w:eastAsia="Times New Roman" w:hAnsi="Times New Roman" w:cs="Times New Roman"/>
          <w:color w:val="0E101A"/>
          <w:sz w:val="24"/>
          <w:szCs w:val="24"/>
          <w:lang w:eastAsia="en-GB"/>
        </w:rPr>
        <w:t xml:space="preserve"> and Gould, 2020</w:t>
      </w:r>
      <w:r w:rsidRPr="00634323">
        <w:rPr>
          <w:rFonts w:ascii="Times New Roman" w:eastAsia="Times New Roman" w:hAnsi="Times New Roman" w:cs="Times New Roman"/>
          <w:color w:val="0E101A"/>
          <w:sz w:val="24"/>
          <w:szCs w:val="24"/>
          <w:lang w:eastAsia="en-GB"/>
        </w:rPr>
        <w:t>). The cultural attitudes towards health can also influence the demand for healthcare services. For example, research shows that cultural beliefs can impact the utilization of healthcare services, with some ethnic minority groups being less likely to use primary healthcare services (</w:t>
      </w:r>
      <w:r w:rsidR="00253E1F" w:rsidRPr="00253E1F">
        <w:rPr>
          <w:rFonts w:ascii="Times New Roman" w:eastAsia="Times New Roman" w:hAnsi="Times New Roman" w:cs="Times New Roman"/>
          <w:color w:val="0E101A"/>
          <w:sz w:val="24"/>
          <w:szCs w:val="24"/>
          <w:lang w:eastAsia="en-GB"/>
        </w:rPr>
        <w:t>Watson et al, 2020</w:t>
      </w:r>
      <w:r w:rsidRPr="00634323">
        <w:rPr>
          <w:rFonts w:ascii="Times New Roman" w:eastAsia="Times New Roman" w:hAnsi="Times New Roman" w:cs="Times New Roman"/>
          <w:color w:val="0E101A"/>
          <w:sz w:val="24"/>
          <w:szCs w:val="24"/>
          <w:lang w:eastAsia="en-GB"/>
        </w:rPr>
        <w:t>).</w:t>
      </w:r>
    </w:p>
    <w:p w14:paraId="19712A5C" w14:textId="77777777"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2572CE8F" w14:textId="3B40573A"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Moreover, lifestyle trends also play a significant role in shaping healthcare demands. The rise in popularity of veganism and other dietary trends can impact the types of services that Operose Health needs to provide. Additionally, there is increasing demand for personalized and patient-centred care, which requires healthcare providers to consider patients' cultural and social backgrounds (</w:t>
      </w:r>
      <w:proofErr w:type="spellStart"/>
      <w:r w:rsidR="00922651" w:rsidRPr="00922651">
        <w:rPr>
          <w:rFonts w:ascii="Times New Roman" w:eastAsia="Times New Roman" w:hAnsi="Times New Roman" w:cs="Times New Roman"/>
          <w:color w:val="0E101A"/>
          <w:sz w:val="24"/>
          <w:szCs w:val="24"/>
          <w:lang w:eastAsia="en-GB"/>
        </w:rPr>
        <w:t>Puaschunder</w:t>
      </w:r>
      <w:proofErr w:type="spellEnd"/>
      <w:r w:rsidR="00922651" w:rsidRPr="00922651">
        <w:rPr>
          <w:rFonts w:ascii="Times New Roman" w:eastAsia="Times New Roman" w:hAnsi="Times New Roman" w:cs="Times New Roman"/>
          <w:color w:val="0E101A"/>
          <w:sz w:val="24"/>
          <w:szCs w:val="24"/>
          <w:lang w:eastAsia="en-GB"/>
        </w:rPr>
        <w:t>, 2023</w:t>
      </w:r>
      <w:r w:rsidRPr="00634323">
        <w:rPr>
          <w:rFonts w:ascii="Times New Roman" w:eastAsia="Times New Roman" w:hAnsi="Times New Roman" w:cs="Times New Roman"/>
          <w:color w:val="0E101A"/>
          <w:sz w:val="24"/>
          <w:szCs w:val="24"/>
          <w:lang w:eastAsia="en-GB"/>
        </w:rPr>
        <w:t>).</w:t>
      </w:r>
    </w:p>
    <w:p w14:paraId="406B1433" w14:textId="77777777"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66F2B09B"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These sociocultural factors are important for Operose Health to consider when developing its services and making strategic decisions. By understanding the cultural beliefs and lifestyle trends of the communities it serves, Operose Health can tailor its services to better meet the needs of its patients.</w:t>
      </w:r>
    </w:p>
    <w:p w14:paraId="076E2079" w14:textId="77777777" w:rsidR="009771BC" w:rsidRPr="00031B14"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26E08698" w14:textId="77777777" w:rsidR="009771BC" w:rsidRPr="000B7321" w:rsidRDefault="009771BC" w:rsidP="009771BC">
      <w:pPr>
        <w:pStyle w:val="Heading2"/>
        <w:numPr>
          <w:ilvl w:val="1"/>
          <w:numId w:val="9"/>
        </w:numPr>
        <w:rPr>
          <w:rFonts w:ascii="Times New Roman" w:hAnsi="Times New Roman" w:cs="Times New Roman"/>
          <w:b/>
          <w:bCs/>
          <w:color w:val="auto"/>
          <w:sz w:val="28"/>
          <w:szCs w:val="28"/>
          <w:u w:val="single"/>
        </w:rPr>
      </w:pPr>
      <w:r>
        <w:rPr>
          <w:rFonts w:ascii="Times New Roman" w:hAnsi="Times New Roman" w:cs="Times New Roman"/>
          <w:b/>
          <w:bCs/>
          <w:color w:val="auto"/>
          <w:sz w:val="28"/>
          <w:szCs w:val="28"/>
          <w:u w:val="single"/>
        </w:rPr>
        <w:t xml:space="preserve"> </w:t>
      </w:r>
      <w:bookmarkStart w:id="2" w:name="_Hlk134447988"/>
      <w:r w:rsidRPr="000B7321">
        <w:rPr>
          <w:rFonts w:ascii="Times New Roman" w:hAnsi="Times New Roman" w:cs="Times New Roman"/>
          <w:b/>
          <w:bCs/>
          <w:color w:val="auto"/>
          <w:sz w:val="28"/>
          <w:szCs w:val="28"/>
          <w:u w:val="single"/>
        </w:rPr>
        <w:t xml:space="preserve">Technological </w:t>
      </w:r>
      <w:bookmarkEnd w:id="2"/>
      <w:r w:rsidRPr="000B7321">
        <w:rPr>
          <w:rFonts w:ascii="Times New Roman" w:hAnsi="Times New Roman" w:cs="Times New Roman"/>
          <w:b/>
          <w:bCs/>
          <w:color w:val="auto"/>
          <w:sz w:val="28"/>
          <w:szCs w:val="28"/>
          <w:u w:val="single"/>
        </w:rPr>
        <w:t xml:space="preserve">Factors: </w:t>
      </w:r>
    </w:p>
    <w:p w14:paraId="0E983762" w14:textId="77777777" w:rsidR="009771BC"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00916CFE"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Technological factors play a critical role in shaping Operose Health's operations and services. The healthcare sector has seen rapid technological advancements in recent years, which have led to significant changes in how healthcare providers deliver care and engage with patients. For Operose Health, technological factors can affect the way it delivers services, manages operations, and interacts with patients.</w:t>
      </w:r>
    </w:p>
    <w:p w14:paraId="660EFD33" w14:textId="77777777" w:rsidR="009771BC"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68147ED1" w14:textId="39274895"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 xml:space="preserve">One of the most significant technological factors affecting Operose Health is the adoption of electronic health records (EHRs). EHRs enable healthcare providers to store and access patient </w:t>
      </w:r>
      <w:r w:rsidRPr="008359B3">
        <w:rPr>
          <w:rFonts w:ascii="Times New Roman" w:eastAsia="Times New Roman" w:hAnsi="Times New Roman" w:cs="Times New Roman"/>
          <w:color w:val="0E101A"/>
          <w:sz w:val="24"/>
          <w:szCs w:val="24"/>
          <w:lang w:eastAsia="en-GB"/>
        </w:rPr>
        <w:lastRenderedPageBreak/>
        <w:t>health information electronically, streamlining communication and coordination among healthcare providers. This technology can improve the quality and efficiency of care delivery while reducing costs and minimizing errors (</w:t>
      </w:r>
      <w:proofErr w:type="spellStart"/>
      <w:r w:rsidR="007D2AC7" w:rsidRPr="007D2AC7">
        <w:rPr>
          <w:rFonts w:ascii="Times New Roman" w:eastAsia="Times New Roman" w:hAnsi="Times New Roman" w:cs="Times New Roman"/>
          <w:color w:val="0E101A"/>
          <w:sz w:val="24"/>
          <w:szCs w:val="24"/>
          <w:lang w:eastAsia="en-GB"/>
        </w:rPr>
        <w:t>Usak</w:t>
      </w:r>
      <w:proofErr w:type="spellEnd"/>
      <w:r w:rsidR="007D2AC7" w:rsidRPr="007D2AC7">
        <w:rPr>
          <w:rFonts w:ascii="Times New Roman" w:eastAsia="Times New Roman" w:hAnsi="Times New Roman" w:cs="Times New Roman"/>
          <w:color w:val="0E101A"/>
          <w:sz w:val="24"/>
          <w:szCs w:val="24"/>
          <w:lang w:eastAsia="en-GB"/>
        </w:rPr>
        <w:t xml:space="preserve"> et al, 2020</w:t>
      </w:r>
      <w:r w:rsidRPr="008359B3">
        <w:rPr>
          <w:rFonts w:ascii="Times New Roman" w:eastAsia="Times New Roman" w:hAnsi="Times New Roman" w:cs="Times New Roman"/>
          <w:color w:val="0E101A"/>
          <w:sz w:val="24"/>
          <w:szCs w:val="24"/>
          <w:lang w:eastAsia="en-GB"/>
        </w:rPr>
        <w:t>).</w:t>
      </w:r>
    </w:p>
    <w:p w14:paraId="755215CD" w14:textId="77777777" w:rsidR="009771BC" w:rsidRPr="008359B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691B5FAB" w14:textId="2A7442D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Other </w:t>
      </w:r>
      <w:r w:rsidRPr="008359B3">
        <w:rPr>
          <w:rFonts w:ascii="Times New Roman" w:eastAsia="Times New Roman" w:hAnsi="Times New Roman" w:cs="Times New Roman"/>
          <w:color w:val="0E101A"/>
          <w:sz w:val="24"/>
          <w:szCs w:val="24"/>
          <w:lang w:eastAsia="en-GB"/>
        </w:rPr>
        <w:t>significant technological factors affecting Operose Health is the increasing use of artificial intelligence (AI) and machine learning (ML) in healthcare. These technologies can help healthcare providers to analyse large amounts of patient data, improve diagnostic accuracy, and develop personalized treatment plans. Additionally, AI and ML can help healthcare providers to identify and respond to health trends and outbreaks more quickly, improving public health outcomes (</w:t>
      </w:r>
      <w:r w:rsidR="004A76BA" w:rsidRPr="004A76BA">
        <w:rPr>
          <w:rFonts w:ascii="Times New Roman" w:eastAsia="Times New Roman" w:hAnsi="Times New Roman" w:cs="Times New Roman"/>
          <w:color w:val="0E101A"/>
          <w:sz w:val="24"/>
          <w:szCs w:val="24"/>
          <w:lang w:eastAsia="en-GB"/>
        </w:rPr>
        <w:t>Lee and Yoon, 2021</w:t>
      </w:r>
      <w:r w:rsidRPr="008359B3">
        <w:rPr>
          <w:rFonts w:ascii="Times New Roman" w:eastAsia="Times New Roman" w:hAnsi="Times New Roman" w:cs="Times New Roman"/>
          <w:color w:val="0E101A"/>
          <w:sz w:val="24"/>
          <w:szCs w:val="24"/>
          <w:lang w:eastAsia="en-GB"/>
        </w:rPr>
        <w:t>).</w:t>
      </w:r>
    </w:p>
    <w:p w14:paraId="5A32093F" w14:textId="77777777" w:rsidR="009771BC" w:rsidRPr="008359B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4C99A5D4" w14:textId="0F9AAF00"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Further</w:t>
      </w:r>
      <w:r w:rsidRPr="008359B3">
        <w:rPr>
          <w:rFonts w:ascii="Times New Roman" w:eastAsia="Times New Roman" w:hAnsi="Times New Roman" w:cs="Times New Roman"/>
          <w:color w:val="0E101A"/>
          <w:sz w:val="24"/>
          <w:szCs w:val="24"/>
          <w:lang w:eastAsia="en-GB"/>
        </w:rPr>
        <w:t xml:space="preserve"> technological factor that impacts Operose Health is the increasing use of wearables and remote monitoring technologies. Wearables can enable patients to track and monitor their health and wellness, while remote monitoring technologies can help healthcare providers to monitor patients' health status and intervene as needed. These technologies can improve patient outcomes and reduce healthcare costs by enabling early intervention and preventing the need for hospitalization (</w:t>
      </w:r>
      <w:r w:rsidR="00373EA9" w:rsidRPr="00373EA9">
        <w:rPr>
          <w:rFonts w:ascii="Times New Roman" w:eastAsia="Times New Roman" w:hAnsi="Times New Roman" w:cs="Times New Roman"/>
          <w:color w:val="0E101A"/>
          <w:sz w:val="24"/>
          <w:szCs w:val="24"/>
          <w:lang w:eastAsia="en-GB"/>
        </w:rPr>
        <w:t>Ullah et al, 2023</w:t>
      </w:r>
      <w:r w:rsidRPr="008359B3">
        <w:rPr>
          <w:rFonts w:ascii="Times New Roman" w:eastAsia="Times New Roman" w:hAnsi="Times New Roman" w:cs="Times New Roman"/>
          <w:color w:val="0E101A"/>
          <w:sz w:val="24"/>
          <w:szCs w:val="24"/>
          <w:lang w:eastAsia="en-GB"/>
        </w:rPr>
        <w:t>).</w:t>
      </w:r>
    </w:p>
    <w:p w14:paraId="3D7B9E17" w14:textId="77777777" w:rsidR="009771BC" w:rsidRPr="008359B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4A6CBDA9" w14:textId="46D63B94"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Lastly, the COVID-19 pandemic has accelerated the adoption of telemedicine and virtual care technologies. These technologies enable patients to receive care remotely and have become essential in providing care during times of social distancing and lockdowns. Telemedicine can improve access to care, reduce healthcare costs, and improve patient outcomes (</w:t>
      </w:r>
      <w:proofErr w:type="spellStart"/>
      <w:r w:rsidR="00034331" w:rsidRPr="00034331">
        <w:rPr>
          <w:rFonts w:ascii="Times New Roman" w:eastAsia="Times New Roman" w:hAnsi="Times New Roman" w:cs="Times New Roman"/>
          <w:color w:val="0E101A"/>
          <w:sz w:val="24"/>
          <w:szCs w:val="24"/>
          <w:lang w:eastAsia="en-GB"/>
        </w:rPr>
        <w:t>Snoswell</w:t>
      </w:r>
      <w:proofErr w:type="spellEnd"/>
      <w:r w:rsidR="00034331" w:rsidRPr="00034331">
        <w:rPr>
          <w:rFonts w:ascii="Times New Roman" w:eastAsia="Times New Roman" w:hAnsi="Times New Roman" w:cs="Times New Roman"/>
          <w:color w:val="0E101A"/>
          <w:sz w:val="24"/>
          <w:szCs w:val="24"/>
          <w:lang w:eastAsia="en-GB"/>
        </w:rPr>
        <w:t xml:space="preserve"> et al, 2020</w:t>
      </w:r>
      <w:r w:rsidRPr="008359B3">
        <w:rPr>
          <w:rFonts w:ascii="Times New Roman" w:eastAsia="Times New Roman" w:hAnsi="Times New Roman" w:cs="Times New Roman"/>
          <w:color w:val="0E101A"/>
          <w:sz w:val="24"/>
          <w:szCs w:val="24"/>
          <w:lang w:eastAsia="en-GB"/>
        </w:rPr>
        <w:t>).</w:t>
      </w:r>
    </w:p>
    <w:p w14:paraId="48B4C60D" w14:textId="77777777" w:rsidR="009771BC" w:rsidRPr="008359B3"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5A1EA967"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The adoption of these new technologies can help Operose Health to remain competitive and provide high-quality care to its patients. However, the company must also consider the potential risks and challenges associated with these technologies, such as data privacy and security concerns. As such, it is crucial for Operose Health to monitor and adopt new technologies carefully and thoughtfully.</w:t>
      </w:r>
    </w:p>
    <w:p w14:paraId="6555B599" w14:textId="77777777" w:rsidR="009771BC"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24249EFA" w14:textId="77777777" w:rsidR="009771BC" w:rsidRPr="000B7321" w:rsidRDefault="009771BC" w:rsidP="009771BC">
      <w:pPr>
        <w:pStyle w:val="Heading2"/>
        <w:numPr>
          <w:ilvl w:val="1"/>
          <w:numId w:val="9"/>
        </w:numPr>
        <w:rPr>
          <w:rFonts w:ascii="Times New Roman" w:hAnsi="Times New Roman" w:cs="Times New Roman"/>
          <w:b/>
          <w:bCs/>
          <w:color w:val="auto"/>
          <w:sz w:val="28"/>
          <w:szCs w:val="28"/>
          <w:u w:val="single"/>
        </w:rPr>
      </w:pPr>
      <w:r>
        <w:rPr>
          <w:rFonts w:ascii="Times New Roman" w:hAnsi="Times New Roman" w:cs="Times New Roman"/>
          <w:b/>
          <w:bCs/>
          <w:color w:val="auto"/>
          <w:sz w:val="28"/>
          <w:szCs w:val="28"/>
          <w:u w:val="single"/>
        </w:rPr>
        <w:t xml:space="preserve"> </w:t>
      </w:r>
      <w:r w:rsidRPr="000B7321">
        <w:rPr>
          <w:rFonts w:ascii="Times New Roman" w:hAnsi="Times New Roman" w:cs="Times New Roman"/>
          <w:b/>
          <w:bCs/>
          <w:color w:val="auto"/>
          <w:sz w:val="28"/>
          <w:szCs w:val="28"/>
          <w:u w:val="single"/>
        </w:rPr>
        <w:t xml:space="preserve">Environmental Factors: </w:t>
      </w:r>
    </w:p>
    <w:p w14:paraId="2BF3A1FB"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3C99E6C3" w14:textId="6B2EBB04"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D3E6C">
        <w:rPr>
          <w:rFonts w:ascii="Times New Roman" w:eastAsia="Times New Roman" w:hAnsi="Times New Roman" w:cs="Times New Roman"/>
          <w:color w:val="0E101A"/>
          <w:sz w:val="24"/>
          <w:szCs w:val="24"/>
          <w:lang w:eastAsia="en-GB"/>
        </w:rPr>
        <w:t>The environmental factors that affect Operose Health are related to the physical environment</w:t>
      </w:r>
      <w:r w:rsidRPr="00634323">
        <w:rPr>
          <w:rFonts w:ascii="Times New Roman" w:eastAsia="Times New Roman" w:hAnsi="Times New Roman" w:cs="Times New Roman"/>
          <w:color w:val="0E101A"/>
          <w:sz w:val="24"/>
          <w:szCs w:val="24"/>
          <w:lang w:eastAsia="en-GB"/>
        </w:rPr>
        <w:t xml:space="preserve"> and natural resources. These factors have a significant impact on the healthcare industry as it </w:t>
      </w:r>
      <w:r w:rsidRPr="00634323">
        <w:rPr>
          <w:rFonts w:ascii="Times New Roman" w:eastAsia="Times New Roman" w:hAnsi="Times New Roman" w:cs="Times New Roman"/>
          <w:color w:val="0E101A"/>
          <w:sz w:val="24"/>
          <w:szCs w:val="24"/>
          <w:lang w:eastAsia="en-GB"/>
        </w:rPr>
        <w:lastRenderedPageBreak/>
        <w:t xml:space="preserve">is closely related to environmental health. The environmental factors include climate change, pollution, waste management, and sustainability. The healthcare industry is a major contributor to environmental pollution, and therefore, the industry needs to take measures to reduce its impact on the environment </w:t>
      </w:r>
      <w:r w:rsidR="00100968">
        <w:rPr>
          <w:rFonts w:ascii="Times New Roman" w:eastAsia="Times New Roman" w:hAnsi="Times New Roman" w:cs="Times New Roman"/>
          <w:color w:val="0E101A"/>
          <w:sz w:val="24"/>
          <w:szCs w:val="24"/>
          <w:lang w:eastAsia="en-GB"/>
        </w:rPr>
        <w:t>(</w:t>
      </w:r>
      <w:r w:rsidR="00100968" w:rsidRPr="00100968">
        <w:rPr>
          <w:rFonts w:ascii="Times New Roman" w:eastAsia="Times New Roman" w:hAnsi="Times New Roman" w:cs="Times New Roman"/>
          <w:color w:val="0E101A"/>
          <w:sz w:val="24"/>
          <w:szCs w:val="24"/>
          <w:lang w:eastAsia="en-GB"/>
        </w:rPr>
        <w:t>Sherman et al, 2019</w:t>
      </w:r>
      <w:r w:rsidRPr="00634323">
        <w:rPr>
          <w:rFonts w:ascii="Times New Roman" w:eastAsia="Times New Roman" w:hAnsi="Times New Roman" w:cs="Times New Roman"/>
          <w:color w:val="0E101A"/>
          <w:sz w:val="24"/>
          <w:szCs w:val="24"/>
          <w:lang w:eastAsia="en-GB"/>
        </w:rPr>
        <w:t>).</w:t>
      </w:r>
    </w:p>
    <w:p w14:paraId="773692BD"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03A85CF1" w14:textId="76E4ED66"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Climate change is one of the major environmental factors affecting the healthcare industry. Climate change has led to an increase in temperature, extreme weather conditions, and the spread of infectious diseases. The healthcare industry needs to take measures to adapt to the changing climate and mitigate the impact of climate change on public health. The industry can reduce its carbon footprint by adopting sustainable practices such as using renewable energy sources and reducing waste (</w:t>
      </w:r>
      <w:r w:rsidR="00EF6920" w:rsidRPr="00EF6920">
        <w:rPr>
          <w:rFonts w:ascii="Times New Roman" w:eastAsia="Times New Roman" w:hAnsi="Times New Roman" w:cs="Times New Roman"/>
          <w:color w:val="0E101A"/>
          <w:sz w:val="24"/>
          <w:szCs w:val="24"/>
          <w:lang w:eastAsia="en-GB"/>
        </w:rPr>
        <w:t>Salas et al, 2020</w:t>
      </w:r>
      <w:r w:rsidRPr="00634323">
        <w:rPr>
          <w:rFonts w:ascii="Times New Roman" w:eastAsia="Times New Roman" w:hAnsi="Times New Roman" w:cs="Times New Roman"/>
          <w:color w:val="0E101A"/>
          <w:sz w:val="24"/>
          <w:szCs w:val="24"/>
          <w:lang w:eastAsia="en-GB"/>
        </w:rPr>
        <w:t>).</w:t>
      </w:r>
    </w:p>
    <w:p w14:paraId="6D023BD3"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09BE094A" w14:textId="1E4DBEC3"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Pollution is another environmental factor affecting the healthcare industry. The industry contributes to air pollution, water pollution, and hazardous waste. The healthcare industry can reduce pollution by implementing green practices such as reducing the use of harmful chemicals, using energy-efficient equipment, and adopting sustainable waste management practices (</w:t>
      </w:r>
      <w:proofErr w:type="spellStart"/>
      <w:r w:rsidR="00711A6E" w:rsidRPr="00711A6E">
        <w:rPr>
          <w:rFonts w:ascii="Times New Roman" w:eastAsia="Times New Roman" w:hAnsi="Times New Roman" w:cs="Times New Roman"/>
          <w:color w:val="0E101A"/>
          <w:sz w:val="24"/>
          <w:szCs w:val="24"/>
          <w:lang w:eastAsia="en-GB"/>
        </w:rPr>
        <w:t>Corvalan</w:t>
      </w:r>
      <w:proofErr w:type="spellEnd"/>
      <w:r w:rsidR="00711A6E" w:rsidRPr="00711A6E">
        <w:rPr>
          <w:rFonts w:ascii="Times New Roman" w:eastAsia="Times New Roman" w:hAnsi="Times New Roman" w:cs="Times New Roman"/>
          <w:color w:val="0E101A"/>
          <w:sz w:val="24"/>
          <w:szCs w:val="24"/>
          <w:lang w:eastAsia="en-GB"/>
        </w:rPr>
        <w:t xml:space="preserve"> et al, 2020</w:t>
      </w:r>
      <w:r w:rsidRPr="00634323">
        <w:rPr>
          <w:rFonts w:ascii="Times New Roman" w:eastAsia="Times New Roman" w:hAnsi="Times New Roman" w:cs="Times New Roman"/>
          <w:color w:val="0E101A"/>
          <w:sz w:val="24"/>
          <w:szCs w:val="24"/>
          <w:lang w:eastAsia="en-GB"/>
        </w:rPr>
        <w:t>).</w:t>
      </w:r>
    </w:p>
    <w:p w14:paraId="5A770445"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22EBA13C" w14:textId="53165ACC"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Waste management is another environmental factor affecting the healthcare industry. The industry generates a large amount of waste, including hazardous waste, medical waste, and electronic waste. The healthcare industry can reduce its waste by adopting sustainable waste management practices such as recycling, reusing, and reducing waste (</w:t>
      </w:r>
      <w:r w:rsidR="00910211" w:rsidRPr="00910211">
        <w:rPr>
          <w:rFonts w:ascii="Times New Roman" w:eastAsia="Times New Roman" w:hAnsi="Times New Roman" w:cs="Times New Roman"/>
          <w:color w:val="0E101A"/>
          <w:sz w:val="24"/>
          <w:szCs w:val="24"/>
          <w:lang w:eastAsia="en-GB"/>
        </w:rPr>
        <w:t>Salas et al, 2020</w:t>
      </w:r>
      <w:r w:rsidRPr="00634323">
        <w:rPr>
          <w:rFonts w:ascii="Times New Roman" w:eastAsia="Times New Roman" w:hAnsi="Times New Roman" w:cs="Times New Roman"/>
          <w:color w:val="0E101A"/>
          <w:sz w:val="24"/>
          <w:szCs w:val="24"/>
          <w:lang w:eastAsia="en-GB"/>
        </w:rPr>
        <w:t>).</w:t>
      </w:r>
    </w:p>
    <w:p w14:paraId="4495504A"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2F360A64" w14:textId="325EEC2C" w:rsidR="009771BC" w:rsidRPr="0063432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634323">
        <w:rPr>
          <w:rFonts w:ascii="Times New Roman" w:eastAsia="Times New Roman" w:hAnsi="Times New Roman" w:cs="Times New Roman"/>
          <w:color w:val="0E101A"/>
          <w:sz w:val="24"/>
          <w:szCs w:val="24"/>
          <w:lang w:eastAsia="en-GB"/>
        </w:rPr>
        <w:t>Sustainability is an important environmental factor affecting the healthcare industry. The industry needs to adopt sustainable practices to reduce its impact on the environment and promote public health. The industry can adopt sustainable practices such as using renewable energy sources, reducing waste, and promoting sustainable transportation (</w:t>
      </w:r>
      <w:proofErr w:type="spellStart"/>
      <w:r w:rsidR="007D0A4A" w:rsidRPr="007D0A4A">
        <w:rPr>
          <w:rFonts w:ascii="Times New Roman" w:eastAsia="Times New Roman" w:hAnsi="Times New Roman" w:cs="Times New Roman"/>
          <w:color w:val="0E101A"/>
          <w:sz w:val="24"/>
          <w:szCs w:val="24"/>
          <w:lang w:eastAsia="en-GB"/>
        </w:rPr>
        <w:t>Abdussalam</w:t>
      </w:r>
      <w:proofErr w:type="spellEnd"/>
      <w:r w:rsidR="007D0A4A" w:rsidRPr="007D0A4A">
        <w:rPr>
          <w:rFonts w:ascii="Times New Roman" w:eastAsia="Times New Roman" w:hAnsi="Times New Roman" w:cs="Times New Roman"/>
          <w:color w:val="0E101A"/>
          <w:sz w:val="24"/>
          <w:szCs w:val="24"/>
          <w:lang w:eastAsia="en-GB"/>
        </w:rPr>
        <w:t>-Mohammed et al, 2020</w:t>
      </w:r>
      <w:r w:rsidRPr="00634323">
        <w:rPr>
          <w:rFonts w:ascii="Times New Roman" w:eastAsia="Times New Roman" w:hAnsi="Times New Roman" w:cs="Times New Roman"/>
          <w:color w:val="0E101A"/>
          <w:sz w:val="24"/>
          <w:szCs w:val="24"/>
          <w:lang w:eastAsia="en-GB"/>
        </w:rPr>
        <w:t>).</w:t>
      </w:r>
    </w:p>
    <w:p w14:paraId="47395A32"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7E460F05" w14:textId="77777777" w:rsidR="009771BC" w:rsidRPr="000B7321" w:rsidRDefault="009771BC" w:rsidP="009771BC">
      <w:pPr>
        <w:pStyle w:val="Heading2"/>
        <w:numPr>
          <w:ilvl w:val="1"/>
          <w:numId w:val="9"/>
        </w:numPr>
        <w:rPr>
          <w:rFonts w:ascii="Times New Roman" w:hAnsi="Times New Roman" w:cs="Times New Roman"/>
          <w:b/>
          <w:bCs/>
          <w:color w:val="auto"/>
          <w:sz w:val="28"/>
          <w:szCs w:val="28"/>
          <w:u w:val="single"/>
        </w:rPr>
      </w:pPr>
      <w:r w:rsidRPr="000B7321">
        <w:rPr>
          <w:rFonts w:ascii="Times New Roman" w:hAnsi="Times New Roman" w:cs="Times New Roman"/>
          <w:b/>
          <w:bCs/>
          <w:color w:val="auto"/>
          <w:sz w:val="28"/>
          <w:szCs w:val="28"/>
          <w:u w:val="single"/>
        </w:rPr>
        <w:t xml:space="preserve">Legal Factors: </w:t>
      </w:r>
    </w:p>
    <w:p w14:paraId="60BB315E" w14:textId="77777777" w:rsidR="009771BC" w:rsidRDefault="009771BC" w:rsidP="009771BC">
      <w:pPr>
        <w:spacing w:after="0" w:line="360" w:lineRule="auto"/>
        <w:ind w:left="360"/>
        <w:jc w:val="both"/>
        <w:rPr>
          <w:rFonts w:ascii="Times New Roman" w:eastAsia="Times New Roman" w:hAnsi="Times New Roman" w:cs="Times New Roman"/>
          <w:color w:val="0E101A"/>
          <w:sz w:val="24"/>
          <w:szCs w:val="24"/>
          <w:lang w:eastAsia="en-GB"/>
        </w:rPr>
      </w:pPr>
    </w:p>
    <w:p w14:paraId="0861DB69"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 xml:space="preserve">The legal factors in the PESTEL analysis refer to the laws and regulations that affect the operations of a company. In the case of Operose Health, legal factors play a significant role in shaping the company's operations and success. One of the primary legal factors affecting the </w:t>
      </w:r>
      <w:r w:rsidRPr="008359B3">
        <w:rPr>
          <w:rFonts w:ascii="Times New Roman" w:eastAsia="Times New Roman" w:hAnsi="Times New Roman" w:cs="Times New Roman"/>
          <w:color w:val="0E101A"/>
          <w:sz w:val="24"/>
          <w:szCs w:val="24"/>
          <w:lang w:eastAsia="en-GB"/>
        </w:rPr>
        <w:lastRenderedPageBreak/>
        <w:t>company is healthcare regulations. The healthcare industry is one of the most regulated industries in the world, with regulations governing every aspect of healthcare provision, from patient care to drug development and approval.</w:t>
      </w:r>
    </w:p>
    <w:p w14:paraId="2D2B1314"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6887A820"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Operose Health must comply with various healthcare regulations to ensure that it delivers quality healthcare services to its patients. The UK healthcare system is governed by several laws, including the National Health Service Act 2006, the Health and Social Care Act 2012, and the Care Act 2014 (</w:t>
      </w:r>
      <w:bookmarkStart w:id="3" w:name="_Hlk134448149"/>
      <w:r w:rsidRPr="008359B3">
        <w:rPr>
          <w:rFonts w:ascii="Times New Roman" w:eastAsia="Times New Roman" w:hAnsi="Times New Roman" w:cs="Times New Roman"/>
          <w:color w:val="0E101A"/>
          <w:sz w:val="24"/>
          <w:szCs w:val="24"/>
          <w:lang w:eastAsia="en-GB"/>
        </w:rPr>
        <w:t>UK Government, 2012; UK Government, 2014; UK Government, 2006</w:t>
      </w:r>
      <w:bookmarkEnd w:id="3"/>
      <w:r w:rsidRPr="008359B3">
        <w:rPr>
          <w:rFonts w:ascii="Times New Roman" w:eastAsia="Times New Roman" w:hAnsi="Times New Roman" w:cs="Times New Roman"/>
          <w:color w:val="0E101A"/>
          <w:sz w:val="24"/>
          <w:szCs w:val="24"/>
          <w:lang w:eastAsia="en-GB"/>
        </w:rPr>
        <w:t>). These laws set out the legal framework for the provision of healthcare services in the UK and ensure that all healthcare providers, including Operose Health, operate within a legally defined framework.</w:t>
      </w:r>
    </w:p>
    <w:p w14:paraId="3749C6DE"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245EF410"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Another legal factor affecting Operose Health is data protection regulations. As a healthcare provider, Operose Health deals with a vast amount of sensitive patient data, including medical histories, test results, and personal information. The company must comply with data protection laws such as the General Data Protection Regulation (GDPR) (</w:t>
      </w:r>
      <w:bookmarkStart w:id="4" w:name="_Hlk134448202"/>
      <w:r w:rsidRPr="008359B3">
        <w:rPr>
          <w:rFonts w:ascii="Times New Roman" w:eastAsia="Times New Roman" w:hAnsi="Times New Roman" w:cs="Times New Roman"/>
          <w:color w:val="0E101A"/>
          <w:sz w:val="24"/>
          <w:szCs w:val="24"/>
          <w:lang w:eastAsia="en-GB"/>
        </w:rPr>
        <w:t>European Union, 2016</w:t>
      </w:r>
      <w:bookmarkEnd w:id="4"/>
      <w:r w:rsidRPr="008359B3">
        <w:rPr>
          <w:rFonts w:ascii="Times New Roman" w:eastAsia="Times New Roman" w:hAnsi="Times New Roman" w:cs="Times New Roman"/>
          <w:color w:val="0E101A"/>
          <w:sz w:val="24"/>
          <w:szCs w:val="24"/>
          <w:lang w:eastAsia="en-GB"/>
        </w:rPr>
        <w:t>) and the Data Protection Act 2018 (</w:t>
      </w:r>
      <w:bookmarkStart w:id="5" w:name="_Hlk134448213"/>
      <w:r w:rsidRPr="008359B3">
        <w:rPr>
          <w:rFonts w:ascii="Times New Roman" w:eastAsia="Times New Roman" w:hAnsi="Times New Roman" w:cs="Times New Roman"/>
          <w:color w:val="0E101A"/>
          <w:sz w:val="24"/>
          <w:szCs w:val="24"/>
          <w:lang w:eastAsia="en-GB"/>
        </w:rPr>
        <w:t>UK Government, 2018</w:t>
      </w:r>
      <w:bookmarkEnd w:id="5"/>
      <w:r w:rsidRPr="008359B3">
        <w:rPr>
          <w:rFonts w:ascii="Times New Roman" w:eastAsia="Times New Roman" w:hAnsi="Times New Roman" w:cs="Times New Roman"/>
          <w:color w:val="0E101A"/>
          <w:sz w:val="24"/>
          <w:szCs w:val="24"/>
          <w:lang w:eastAsia="en-GB"/>
        </w:rPr>
        <w:t>). These regulations set out strict rules for the collection, storage, and use of personal data and require healthcare providers to ensure the security and confidentiality of patient information.</w:t>
      </w:r>
    </w:p>
    <w:p w14:paraId="69C5D33D" w14:textId="77777777" w:rsidR="009771BC" w:rsidRPr="008359B3"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6545CBA9"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359B3">
        <w:rPr>
          <w:rFonts w:ascii="Times New Roman" w:eastAsia="Times New Roman" w:hAnsi="Times New Roman" w:cs="Times New Roman"/>
          <w:color w:val="0E101A"/>
          <w:sz w:val="24"/>
          <w:szCs w:val="24"/>
          <w:lang w:eastAsia="en-GB"/>
        </w:rPr>
        <w:t>Operose Health must also comply with employment law regulations. As an employer, the company must comply with laws such as the Equality Act 2010 (</w:t>
      </w:r>
      <w:bookmarkStart w:id="6" w:name="_Hlk134448234"/>
      <w:r w:rsidRPr="008359B3">
        <w:rPr>
          <w:rFonts w:ascii="Times New Roman" w:eastAsia="Times New Roman" w:hAnsi="Times New Roman" w:cs="Times New Roman"/>
          <w:color w:val="0E101A"/>
          <w:sz w:val="24"/>
          <w:szCs w:val="24"/>
          <w:lang w:eastAsia="en-GB"/>
        </w:rPr>
        <w:t>UK Government, 2010</w:t>
      </w:r>
      <w:bookmarkEnd w:id="6"/>
      <w:r w:rsidRPr="008359B3">
        <w:rPr>
          <w:rFonts w:ascii="Times New Roman" w:eastAsia="Times New Roman" w:hAnsi="Times New Roman" w:cs="Times New Roman"/>
          <w:color w:val="0E101A"/>
          <w:sz w:val="24"/>
          <w:szCs w:val="24"/>
          <w:lang w:eastAsia="en-GB"/>
        </w:rPr>
        <w:t>), which prohibits discrimination based on protected characteristics such as age, gender, and race. The company must also comply with health and safety regulations, which set out the legal requirements for ensuring the safety and well-being of its employees (</w:t>
      </w:r>
      <w:bookmarkStart w:id="7" w:name="_Hlk134448252"/>
      <w:r w:rsidRPr="008359B3">
        <w:rPr>
          <w:rFonts w:ascii="Times New Roman" w:eastAsia="Times New Roman" w:hAnsi="Times New Roman" w:cs="Times New Roman"/>
          <w:color w:val="0E101A"/>
          <w:sz w:val="24"/>
          <w:szCs w:val="24"/>
          <w:lang w:eastAsia="en-GB"/>
        </w:rPr>
        <w:t>Health and Safety Executive, 2015</w:t>
      </w:r>
      <w:bookmarkEnd w:id="7"/>
      <w:r w:rsidRPr="008359B3">
        <w:rPr>
          <w:rFonts w:ascii="Times New Roman" w:eastAsia="Times New Roman" w:hAnsi="Times New Roman" w:cs="Times New Roman"/>
          <w:color w:val="0E101A"/>
          <w:sz w:val="24"/>
          <w:szCs w:val="24"/>
          <w:lang w:eastAsia="en-GB"/>
        </w:rPr>
        <w:t>).</w:t>
      </w:r>
    </w:p>
    <w:p w14:paraId="41A2FFF1"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25418975" w14:textId="77777777" w:rsidR="009771BC" w:rsidRPr="000B7321" w:rsidRDefault="009771BC" w:rsidP="009771BC">
      <w:pPr>
        <w:pStyle w:val="Heading1"/>
        <w:numPr>
          <w:ilvl w:val="0"/>
          <w:numId w:val="6"/>
        </w:numPr>
        <w:spacing w:line="360" w:lineRule="auto"/>
        <w:jc w:val="both"/>
        <w:rPr>
          <w:rFonts w:ascii="Times New Roman" w:eastAsia="Times New Roman" w:hAnsi="Times New Roman" w:cs="Times New Roman"/>
          <w:b/>
          <w:bCs/>
          <w:sz w:val="36"/>
          <w:szCs w:val="36"/>
          <w:lang w:eastAsia="en-GB"/>
        </w:rPr>
      </w:pPr>
      <w:r w:rsidRPr="000B7321">
        <w:rPr>
          <w:rFonts w:ascii="Times New Roman" w:eastAsia="Times New Roman" w:hAnsi="Times New Roman" w:cs="Times New Roman"/>
          <w:b/>
          <w:bCs/>
          <w:sz w:val="36"/>
          <w:szCs w:val="36"/>
          <w:lang w:eastAsia="en-GB"/>
        </w:rPr>
        <w:t>Porter's Five Forces:</w:t>
      </w:r>
    </w:p>
    <w:p w14:paraId="5E431D3A"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4FC51E19" w14:textId="77777777"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B1DE9">
        <w:rPr>
          <w:rFonts w:ascii="Times New Roman" w:eastAsia="Times New Roman" w:hAnsi="Times New Roman" w:cs="Times New Roman"/>
          <w:color w:val="0E101A"/>
          <w:sz w:val="24"/>
          <w:szCs w:val="24"/>
          <w:lang w:eastAsia="en-GB"/>
        </w:rPr>
        <w:t>Porter's Five Forces is a framework that can be used to analyse the competitive forces in an industry. Here is an application of the framework to Operose Health:</w:t>
      </w:r>
    </w:p>
    <w:p w14:paraId="582091BA" w14:textId="77777777"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748374F1" w14:textId="77777777" w:rsidR="009771BC" w:rsidRPr="000B7321" w:rsidRDefault="009771BC" w:rsidP="009771BC">
      <w:pPr>
        <w:spacing w:after="0" w:line="360" w:lineRule="auto"/>
        <w:jc w:val="both"/>
        <w:rPr>
          <w:rFonts w:ascii="Times New Roman" w:eastAsia="Times New Roman" w:hAnsi="Times New Roman" w:cs="Times New Roman"/>
          <w:b/>
          <w:bCs/>
          <w:color w:val="0E101A"/>
          <w:sz w:val="24"/>
          <w:szCs w:val="24"/>
          <w:lang w:eastAsia="en-GB"/>
        </w:rPr>
      </w:pPr>
      <w:r w:rsidRPr="000B7321">
        <w:rPr>
          <w:rFonts w:ascii="Times New Roman" w:eastAsia="Times New Roman" w:hAnsi="Times New Roman" w:cs="Times New Roman"/>
          <w:b/>
          <w:bCs/>
          <w:color w:val="0E101A"/>
          <w:sz w:val="24"/>
          <w:szCs w:val="24"/>
          <w:lang w:eastAsia="en-GB"/>
        </w:rPr>
        <w:lastRenderedPageBreak/>
        <w:t xml:space="preserve">3.1 Threat of new entrants: </w:t>
      </w:r>
    </w:p>
    <w:p w14:paraId="722A42B9" w14:textId="0F698603"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B1DE9">
        <w:rPr>
          <w:rFonts w:ascii="Times New Roman" w:eastAsia="Times New Roman" w:hAnsi="Times New Roman" w:cs="Times New Roman"/>
          <w:color w:val="0E101A"/>
          <w:sz w:val="24"/>
          <w:szCs w:val="24"/>
          <w:lang w:eastAsia="en-GB"/>
        </w:rPr>
        <w:t>The healthcare industry is highly regulated and capital-intensive, which acts as a barrier to entry for new competitors. However, with the rise of telemedicine and other digital health solutions, new entrants with innovative business models and technologies could disrupt the traditional healthcare market. For example, Amazon's entry into the healthcare industry with its telemedicine platform Amazon Care is a potential threat to established players like Operose Health (</w:t>
      </w:r>
      <w:r w:rsidR="001F647F" w:rsidRPr="001F647F">
        <w:rPr>
          <w:rFonts w:ascii="Times New Roman" w:eastAsia="Times New Roman" w:hAnsi="Times New Roman" w:cs="Times New Roman"/>
          <w:color w:val="0E101A"/>
          <w:sz w:val="24"/>
          <w:szCs w:val="24"/>
          <w:lang w:eastAsia="en-GB"/>
        </w:rPr>
        <w:t>Bedoya Reina et al, 2021</w:t>
      </w:r>
      <w:r w:rsidRPr="008B1DE9">
        <w:rPr>
          <w:rFonts w:ascii="Times New Roman" w:eastAsia="Times New Roman" w:hAnsi="Times New Roman" w:cs="Times New Roman"/>
          <w:color w:val="0E101A"/>
          <w:sz w:val="24"/>
          <w:szCs w:val="24"/>
          <w:lang w:eastAsia="en-GB"/>
        </w:rPr>
        <w:t>).</w:t>
      </w:r>
    </w:p>
    <w:p w14:paraId="5A4EB91A" w14:textId="77777777"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19200B11" w14:textId="77777777" w:rsidR="009771BC" w:rsidRPr="000B7321"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0B7321">
        <w:rPr>
          <w:rFonts w:ascii="Times New Roman" w:eastAsia="Times New Roman" w:hAnsi="Times New Roman" w:cs="Times New Roman"/>
          <w:b/>
          <w:bCs/>
          <w:color w:val="0E101A"/>
          <w:sz w:val="24"/>
          <w:szCs w:val="24"/>
          <w:lang w:eastAsia="en-GB"/>
        </w:rPr>
        <w:t>3.2 Bargaining power of suppliers:</w:t>
      </w:r>
      <w:r w:rsidRPr="000B7321">
        <w:rPr>
          <w:rFonts w:ascii="Times New Roman" w:eastAsia="Times New Roman" w:hAnsi="Times New Roman" w:cs="Times New Roman"/>
          <w:color w:val="0E101A"/>
          <w:sz w:val="24"/>
          <w:szCs w:val="24"/>
          <w:lang w:eastAsia="en-GB"/>
        </w:rPr>
        <w:t xml:space="preserve"> </w:t>
      </w:r>
    </w:p>
    <w:p w14:paraId="7D553EDF" w14:textId="77777777"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B1DE9">
        <w:rPr>
          <w:rFonts w:ascii="Times New Roman" w:eastAsia="Times New Roman" w:hAnsi="Times New Roman" w:cs="Times New Roman"/>
          <w:color w:val="0E101A"/>
          <w:sz w:val="24"/>
          <w:szCs w:val="24"/>
          <w:lang w:eastAsia="en-GB"/>
        </w:rPr>
        <w:t>Operose Health sources a wide range of supplies and services, including medical equipment, pharmaceuticals, and staff. The bargaining power of suppliers can vary depending on the availability and uniqueness of the product or service</w:t>
      </w:r>
      <w:r>
        <w:rPr>
          <w:rFonts w:ascii="Times New Roman" w:eastAsia="Times New Roman" w:hAnsi="Times New Roman" w:cs="Times New Roman"/>
          <w:color w:val="0E101A"/>
          <w:sz w:val="24"/>
          <w:szCs w:val="24"/>
          <w:lang w:eastAsia="en-GB"/>
        </w:rPr>
        <w:t>.</w:t>
      </w:r>
    </w:p>
    <w:p w14:paraId="4A59FDF4" w14:textId="77777777"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797046BD" w14:textId="77777777" w:rsidR="009771BC" w:rsidRPr="000B7321" w:rsidRDefault="009771BC" w:rsidP="009771BC">
      <w:pPr>
        <w:spacing w:after="0" w:line="360" w:lineRule="auto"/>
        <w:jc w:val="both"/>
        <w:rPr>
          <w:rFonts w:ascii="Times New Roman" w:eastAsia="Times New Roman" w:hAnsi="Times New Roman" w:cs="Times New Roman"/>
          <w:b/>
          <w:bCs/>
          <w:color w:val="0E101A"/>
          <w:sz w:val="24"/>
          <w:szCs w:val="24"/>
          <w:lang w:eastAsia="en-GB"/>
        </w:rPr>
      </w:pPr>
      <w:r w:rsidRPr="000B7321">
        <w:rPr>
          <w:rFonts w:ascii="Times New Roman" w:eastAsia="Times New Roman" w:hAnsi="Times New Roman" w:cs="Times New Roman"/>
          <w:b/>
          <w:bCs/>
          <w:color w:val="0E101A"/>
          <w:sz w:val="24"/>
          <w:szCs w:val="24"/>
          <w:lang w:eastAsia="en-GB"/>
        </w:rPr>
        <w:t xml:space="preserve">3.3 Bargaining power of buyers: </w:t>
      </w:r>
    </w:p>
    <w:p w14:paraId="6356BD57" w14:textId="5E988D36"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B1DE9">
        <w:rPr>
          <w:rFonts w:ascii="Times New Roman" w:eastAsia="Times New Roman" w:hAnsi="Times New Roman" w:cs="Times New Roman"/>
          <w:color w:val="0E101A"/>
          <w:sz w:val="24"/>
          <w:szCs w:val="24"/>
          <w:lang w:eastAsia="en-GB"/>
        </w:rPr>
        <w:t xml:space="preserve">Patients and healthcare payers have a significant bargaining power in the healthcare industry, as they are the primary source of revenue for healthcare providers. In the UK, the National Health Service (NHS) is the largest healthcare payer, which limits the bargaining power of </w:t>
      </w:r>
      <w:r>
        <w:rPr>
          <w:rFonts w:ascii="Times New Roman" w:eastAsia="Times New Roman" w:hAnsi="Times New Roman" w:cs="Times New Roman"/>
          <w:color w:val="0E101A"/>
          <w:sz w:val="24"/>
          <w:szCs w:val="24"/>
          <w:lang w:eastAsia="en-GB"/>
        </w:rPr>
        <w:t>the health care</w:t>
      </w:r>
      <w:r w:rsidRPr="008B1DE9">
        <w:rPr>
          <w:rFonts w:ascii="Times New Roman" w:eastAsia="Times New Roman" w:hAnsi="Times New Roman" w:cs="Times New Roman"/>
          <w:color w:val="0E101A"/>
          <w:sz w:val="24"/>
          <w:szCs w:val="24"/>
          <w:lang w:eastAsia="en-GB"/>
        </w:rPr>
        <w:t xml:space="preserve"> providers. However, the rise of consumerism in healthcare and the adoption of digital health solutions could increase </w:t>
      </w:r>
      <w:r>
        <w:rPr>
          <w:rFonts w:ascii="Times New Roman" w:eastAsia="Times New Roman" w:hAnsi="Times New Roman" w:cs="Times New Roman"/>
          <w:color w:val="0E101A"/>
          <w:sz w:val="24"/>
          <w:szCs w:val="24"/>
          <w:lang w:eastAsia="en-GB"/>
        </w:rPr>
        <w:t>the patients’</w:t>
      </w:r>
      <w:r w:rsidRPr="008B1DE9">
        <w:rPr>
          <w:rFonts w:ascii="Times New Roman" w:eastAsia="Times New Roman" w:hAnsi="Times New Roman" w:cs="Times New Roman"/>
          <w:color w:val="0E101A"/>
          <w:sz w:val="24"/>
          <w:szCs w:val="24"/>
          <w:lang w:eastAsia="en-GB"/>
        </w:rPr>
        <w:t xml:space="preserve"> </w:t>
      </w:r>
      <w:r>
        <w:rPr>
          <w:rFonts w:ascii="Times New Roman" w:eastAsia="Times New Roman" w:hAnsi="Times New Roman" w:cs="Times New Roman"/>
          <w:color w:val="0E101A"/>
          <w:sz w:val="24"/>
          <w:szCs w:val="24"/>
          <w:lang w:eastAsia="en-GB"/>
        </w:rPr>
        <w:t xml:space="preserve">private health care usage. However, </w:t>
      </w:r>
      <w:r w:rsidRPr="008B1DE9">
        <w:rPr>
          <w:rFonts w:ascii="Times New Roman" w:eastAsia="Times New Roman" w:hAnsi="Times New Roman" w:cs="Times New Roman"/>
          <w:color w:val="0E101A"/>
          <w:sz w:val="24"/>
          <w:szCs w:val="24"/>
          <w:lang w:eastAsia="en-GB"/>
        </w:rPr>
        <w:t>patients can use telemedicine platforms to access care from providers outside of their geographic area (</w:t>
      </w:r>
      <w:proofErr w:type="spellStart"/>
      <w:r w:rsidR="00CB4746" w:rsidRPr="00CB4746">
        <w:rPr>
          <w:rFonts w:ascii="Times New Roman" w:eastAsia="Times New Roman" w:hAnsi="Times New Roman" w:cs="Times New Roman"/>
          <w:color w:val="0E101A"/>
          <w:sz w:val="24"/>
          <w:szCs w:val="24"/>
          <w:lang w:eastAsia="en-GB"/>
        </w:rPr>
        <w:t>Jin</w:t>
      </w:r>
      <w:proofErr w:type="spellEnd"/>
      <w:r w:rsidR="00CB4746" w:rsidRPr="00CB4746">
        <w:rPr>
          <w:rFonts w:ascii="Times New Roman" w:eastAsia="Times New Roman" w:hAnsi="Times New Roman" w:cs="Times New Roman"/>
          <w:color w:val="0E101A"/>
          <w:sz w:val="24"/>
          <w:szCs w:val="24"/>
          <w:lang w:eastAsia="en-GB"/>
        </w:rPr>
        <w:t xml:space="preserve"> et al, 2020</w:t>
      </w:r>
      <w:r w:rsidRPr="008B1DE9">
        <w:rPr>
          <w:rFonts w:ascii="Times New Roman" w:eastAsia="Times New Roman" w:hAnsi="Times New Roman" w:cs="Times New Roman"/>
          <w:color w:val="0E101A"/>
          <w:sz w:val="24"/>
          <w:szCs w:val="24"/>
          <w:lang w:eastAsia="en-GB"/>
        </w:rPr>
        <w:t>).</w:t>
      </w:r>
    </w:p>
    <w:p w14:paraId="11AA960A" w14:textId="77777777"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584AB288" w14:textId="77777777" w:rsidR="009771BC" w:rsidRPr="000B7321" w:rsidRDefault="009771BC" w:rsidP="009771BC">
      <w:pPr>
        <w:spacing w:after="0" w:line="360" w:lineRule="auto"/>
        <w:jc w:val="both"/>
        <w:rPr>
          <w:rFonts w:ascii="Times New Roman" w:eastAsia="Times New Roman" w:hAnsi="Times New Roman" w:cs="Times New Roman"/>
          <w:b/>
          <w:bCs/>
          <w:color w:val="0E101A"/>
          <w:sz w:val="24"/>
          <w:szCs w:val="24"/>
          <w:lang w:eastAsia="en-GB"/>
        </w:rPr>
      </w:pPr>
      <w:r w:rsidRPr="000B7321">
        <w:rPr>
          <w:rFonts w:ascii="Times New Roman" w:eastAsia="Times New Roman" w:hAnsi="Times New Roman" w:cs="Times New Roman"/>
          <w:b/>
          <w:bCs/>
          <w:color w:val="0E101A"/>
          <w:sz w:val="24"/>
          <w:szCs w:val="24"/>
          <w:lang w:eastAsia="en-GB"/>
        </w:rPr>
        <w:t xml:space="preserve">3.4 Threat of substitutes: </w:t>
      </w:r>
    </w:p>
    <w:p w14:paraId="44AFEE63" w14:textId="4DD1E7EA"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B1DE9">
        <w:rPr>
          <w:rFonts w:ascii="Times New Roman" w:eastAsia="Times New Roman" w:hAnsi="Times New Roman" w:cs="Times New Roman"/>
          <w:color w:val="0E101A"/>
          <w:sz w:val="24"/>
          <w:szCs w:val="24"/>
          <w:lang w:eastAsia="en-GB"/>
        </w:rPr>
        <w:t xml:space="preserve">The healthcare industry has a wide range of substitutes, including over-the-counter medications, alternative therapies, and self-care. However, for more complex medical conditions, there are limited substitutes for traditional healthcare services. The rise of telemedicine and other digital health solutions could be seen as a substitute for some healthcare services, but it is unlikely to replace all traditional healthcare services </w:t>
      </w:r>
      <w:proofErr w:type="gramStart"/>
      <w:r w:rsidRPr="008B1DE9">
        <w:rPr>
          <w:rFonts w:ascii="Times New Roman" w:eastAsia="Times New Roman" w:hAnsi="Times New Roman" w:cs="Times New Roman"/>
          <w:color w:val="0E101A"/>
          <w:sz w:val="24"/>
          <w:szCs w:val="24"/>
          <w:lang w:eastAsia="en-GB"/>
        </w:rPr>
        <w:t>in the near future</w:t>
      </w:r>
      <w:proofErr w:type="gramEnd"/>
      <w:r w:rsidRPr="008B1DE9">
        <w:rPr>
          <w:rFonts w:ascii="Times New Roman" w:eastAsia="Times New Roman" w:hAnsi="Times New Roman" w:cs="Times New Roman"/>
          <w:color w:val="0E101A"/>
          <w:sz w:val="24"/>
          <w:szCs w:val="24"/>
          <w:lang w:eastAsia="en-GB"/>
        </w:rPr>
        <w:t xml:space="preserve"> (</w:t>
      </w:r>
      <w:r w:rsidR="00F3776E" w:rsidRPr="00F3776E">
        <w:rPr>
          <w:rFonts w:ascii="Times New Roman" w:eastAsia="Times New Roman" w:hAnsi="Times New Roman" w:cs="Times New Roman"/>
          <w:color w:val="0E101A"/>
          <w:sz w:val="24"/>
          <w:szCs w:val="24"/>
          <w:lang w:eastAsia="en-GB"/>
        </w:rPr>
        <w:t>Lee et al, 2021</w:t>
      </w:r>
      <w:r w:rsidRPr="008B1DE9">
        <w:rPr>
          <w:rFonts w:ascii="Times New Roman" w:eastAsia="Times New Roman" w:hAnsi="Times New Roman" w:cs="Times New Roman"/>
          <w:color w:val="0E101A"/>
          <w:sz w:val="24"/>
          <w:szCs w:val="24"/>
          <w:lang w:eastAsia="en-GB"/>
        </w:rPr>
        <w:t>).</w:t>
      </w:r>
    </w:p>
    <w:p w14:paraId="2C5923C8" w14:textId="77777777"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72BE84FF" w14:textId="77777777" w:rsidR="009771BC" w:rsidRPr="000B7321" w:rsidRDefault="009771BC" w:rsidP="009771BC">
      <w:pPr>
        <w:spacing w:after="0" w:line="360" w:lineRule="auto"/>
        <w:jc w:val="both"/>
        <w:rPr>
          <w:rFonts w:ascii="Times New Roman" w:eastAsia="Times New Roman" w:hAnsi="Times New Roman" w:cs="Times New Roman"/>
          <w:b/>
          <w:bCs/>
          <w:color w:val="0E101A"/>
          <w:sz w:val="24"/>
          <w:szCs w:val="24"/>
          <w:lang w:eastAsia="en-GB"/>
        </w:rPr>
      </w:pPr>
      <w:r w:rsidRPr="000B7321">
        <w:rPr>
          <w:rFonts w:ascii="Times New Roman" w:eastAsia="Times New Roman" w:hAnsi="Times New Roman" w:cs="Times New Roman"/>
          <w:b/>
          <w:bCs/>
          <w:color w:val="0E101A"/>
          <w:sz w:val="24"/>
          <w:szCs w:val="24"/>
          <w:lang w:eastAsia="en-GB"/>
        </w:rPr>
        <w:t xml:space="preserve">3.5 Intensity of competitive rivalry: </w:t>
      </w:r>
    </w:p>
    <w:p w14:paraId="12012692" w14:textId="6DAF1F50" w:rsidR="009771BC" w:rsidRPr="008B1DE9" w:rsidRDefault="009771BC" w:rsidP="009771BC">
      <w:pPr>
        <w:spacing w:after="0" w:line="360" w:lineRule="auto"/>
        <w:jc w:val="both"/>
        <w:rPr>
          <w:rFonts w:ascii="Times New Roman" w:eastAsia="Times New Roman" w:hAnsi="Times New Roman" w:cs="Times New Roman"/>
          <w:color w:val="0E101A"/>
          <w:sz w:val="24"/>
          <w:szCs w:val="24"/>
          <w:lang w:eastAsia="en-GB"/>
        </w:rPr>
      </w:pPr>
      <w:r w:rsidRPr="008B1DE9">
        <w:rPr>
          <w:rFonts w:ascii="Times New Roman" w:eastAsia="Times New Roman" w:hAnsi="Times New Roman" w:cs="Times New Roman"/>
          <w:color w:val="0E101A"/>
          <w:sz w:val="24"/>
          <w:szCs w:val="24"/>
          <w:lang w:eastAsia="en-GB"/>
        </w:rPr>
        <w:t xml:space="preserve">The healthcare industry is highly competitive, with </w:t>
      </w:r>
      <w:proofErr w:type="gramStart"/>
      <w:r w:rsidRPr="008B1DE9">
        <w:rPr>
          <w:rFonts w:ascii="Times New Roman" w:eastAsia="Times New Roman" w:hAnsi="Times New Roman" w:cs="Times New Roman"/>
          <w:color w:val="0E101A"/>
          <w:sz w:val="24"/>
          <w:szCs w:val="24"/>
          <w:lang w:eastAsia="en-GB"/>
        </w:rPr>
        <w:t>a large number of</w:t>
      </w:r>
      <w:proofErr w:type="gramEnd"/>
      <w:r w:rsidRPr="008B1DE9">
        <w:rPr>
          <w:rFonts w:ascii="Times New Roman" w:eastAsia="Times New Roman" w:hAnsi="Times New Roman" w:cs="Times New Roman"/>
          <w:color w:val="0E101A"/>
          <w:sz w:val="24"/>
          <w:szCs w:val="24"/>
          <w:lang w:eastAsia="en-GB"/>
        </w:rPr>
        <w:t xml:space="preserve"> providers competing for market share. Operose Health faces competition from other private healthcare providers as well as NHS hospitals and clinics. The competition is intensified by the regulatory environment, </w:t>
      </w:r>
      <w:r w:rsidRPr="008B1DE9">
        <w:rPr>
          <w:rFonts w:ascii="Times New Roman" w:eastAsia="Times New Roman" w:hAnsi="Times New Roman" w:cs="Times New Roman"/>
          <w:color w:val="0E101A"/>
          <w:sz w:val="24"/>
          <w:szCs w:val="24"/>
          <w:lang w:eastAsia="en-GB"/>
        </w:rPr>
        <w:lastRenderedPageBreak/>
        <w:t>which places limits on pricing and advertising. However, the rise of consumerism in healthcare and the adoption of telemedicine platforms could increase competition by enabling patients to access care from a wider range of providers (</w:t>
      </w:r>
      <w:proofErr w:type="spellStart"/>
      <w:r w:rsidR="00F3776E" w:rsidRPr="00CB4746">
        <w:rPr>
          <w:rFonts w:ascii="Times New Roman" w:eastAsia="Times New Roman" w:hAnsi="Times New Roman" w:cs="Times New Roman"/>
          <w:color w:val="0E101A"/>
          <w:sz w:val="24"/>
          <w:szCs w:val="24"/>
          <w:lang w:eastAsia="en-GB"/>
        </w:rPr>
        <w:t>Jin</w:t>
      </w:r>
      <w:proofErr w:type="spellEnd"/>
      <w:r w:rsidR="00F3776E" w:rsidRPr="00CB4746">
        <w:rPr>
          <w:rFonts w:ascii="Times New Roman" w:eastAsia="Times New Roman" w:hAnsi="Times New Roman" w:cs="Times New Roman"/>
          <w:color w:val="0E101A"/>
          <w:sz w:val="24"/>
          <w:szCs w:val="24"/>
          <w:lang w:eastAsia="en-GB"/>
        </w:rPr>
        <w:t xml:space="preserve"> et al, 2020</w:t>
      </w:r>
      <w:r w:rsidRPr="008B1DE9">
        <w:rPr>
          <w:rFonts w:ascii="Times New Roman" w:eastAsia="Times New Roman" w:hAnsi="Times New Roman" w:cs="Times New Roman"/>
          <w:color w:val="0E101A"/>
          <w:sz w:val="24"/>
          <w:szCs w:val="24"/>
          <w:lang w:eastAsia="en-GB"/>
        </w:rPr>
        <w:t>).</w:t>
      </w:r>
    </w:p>
    <w:p w14:paraId="5131734C" w14:textId="77777777" w:rsidR="009771BC" w:rsidRDefault="009771BC" w:rsidP="009771BC">
      <w:pPr>
        <w:spacing w:after="0" w:line="360" w:lineRule="auto"/>
        <w:jc w:val="both"/>
        <w:rPr>
          <w:rFonts w:ascii="Times New Roman" w:eastAsia="Times New Roman" w:hAnsi="Times New Roman" w:cs="Times New Roman"/>
          <w:color w:val="0E101A"/>
          <w:sz w:val="24"/>
          <w:szCs w:val="24"/>
          <w:lang w:eastAsia="en-GB"/>
        </w:rPr>
      </w:pPr>
    </w:p>
    <w:p w14:paraId="712116A7" w14:textId="77777777" w:rsidR="009771BC" w:rsidRPr="000B7321" w:rsidRDefault="009771BC" w:rsidP="009771BC">
      <w:pPr>
        <w:pStyle w:val="Heading1"/>
        <w:numPr>
          <w:ilvl w:val="0"/>
          <w:numId w:val="6"/>
        </w:numPr>
        <w:spacing w:line="360" w:lineRule="auto"/>
        <w:jc w:val="both"/>
        <w:rPr>
          <w:rFonts w:ascii="Times New Roman" w:eastAsia="Times New Roman" w:hAnsi="Times New Roman" w:cs="Times New Roman"/>
          <w:b/>
          <w:bCs/>
          <w:sz w:val="36"/>
          <w:szCs w:val="36"/>
          <w:lang w:eastAsia="en-GB"/>
        </w:rPr>
      </w:pPr>
      <w:r w:rsidRPr="000B7321">
        <w:rPr>
          <w:rFonts w:ascii="Times New Roman" w:eastAsia="Times New Roman" w:hAnsi="Times New Roman" w:cs="Times New Roman"/>
          <w:b/>
          <w:bCs/>
          <w:sz w:val="36"/>
          <w:szCs w:val="36"/>
          <w:lang w:eastAsia="en-GB"/>
        </w:rPr>
        <w:t>SWOT analysis</w:t>
      </w:r>
    </w:p>
    <w:p w14:paraId="1D6F0207" w14:textId="77777777" w:rsidR="009771BC" w:rsidRDefault="009771BC" w:rsidP="009771BC">
      <w:pPr>
        <w:spacing w:after="0" w:line="360" w:lineRule="auto"/>
        <w:jc w:val="both"/>
        <w:rPr>
          <w:rFonts w:ascii="Times New Roman" w:hAnsi="Times New Roman" w:cs="Times New Roman"/>
          <w:sz w:val="24"/>
          <w:szCs w:val="24"/>
        </w:rPr>
      </w:pPr>
    </w:p>
    <w:p w14:paraId="46AD75AC" w14:textId="2E1D5235"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SWOT analysis is a commonly used strategic planning tool that helps organizations assess their strengths, weaknesses, opportunities, and threats (</w:t>
      </w:r>
      <w:proofErr w:type="spellStart"/>
      <w:r w:rsidR="00B82A1E" w:rsidRPr="00B82A1E">
        <w:rPr>
          <w:rFonts w:ascii="Times New Roman" w:hAnsi="Times New Roman" w:cs="Times New Roman"/>
          <w:sz w:val="24"/>
          <w:szCs w:val="24"/>
        </w:rPr>
        <w:t>Benzaghta</w:t>
      </w:r>
      <w:proofErr w:type="spellEnd"/>
      <w:r w:rsidR="00B82A1E" w:rsidRPr="00B82A1E">
        <w:rPr>
          <w:rFonts w:ascii="Times New Roman" w:hAnsi="Times New Roman" w:cs="Times New Roman"/>
          <w:sz w:val="24"/>
          <w:szCs w:val="24"/>
        </w:rPr>
        <w:t xml:space="preserve"> et al, 2021</w:t>
      </w:r>
      <w:r w:rsidRPr="00094C2D">
        <w:rPr>
          <w:rFonts w:ascii="Times New Roman" w:hAnsi="Times New Roman" w:cs="Times New Roman"/>
          <w:sz w:val="24"/>
          <w:szCs w:val="24"/>
        </w:rPr>
        <w:t>). The purpose of a SWOT analysis is to provide a comprehensive overview of the internal and external factors that can impact an organization's performance and help the organization develop effective strategies to achieve its goals and objectives (</w:t>
      </w:r>
      <w:r w:rsidR="00C5065F" w:rsidRPr="00C5065F">
        <w:rPr>
          <w:rFonts w:ascii="Times New Roman" w:hAnsi="Times New Roman" w:cs="Times New Roman"/>
          <w:sz w:val="24"/>
          <w:szCs w:val="24"/>
        </w:rPr>
        <w:t>George et al, 2019</w:t>
      </w:r>
      <w:r w:rsidRPr="00094C2D">
        <w:rPr>
          <w:rFonts w:ascii="Times New Roman" w:hAnsi="Times New Roman" w:cs="Times New Roman"/>
          <w:sz w:val="24"/>
          <w:szCs w:val="24"/>
        </w:rPr>
        <w:t>).</w:t>
      </w:r>
    </w:p>
    <w:p w14:paraId="07882AFE" w14:textId="77777777" w:rsidR="009771BC" w:rsidRPr="00094C2D" w:rsidRDefault="009771BC" w:rsidP="009771BC">
      <w:pPr>
        <w:spacing w:after="0" w:line="360" w:lineRule="auto"/>
        <w:jc w:val="both"/>
        <w:rPr>
          <w:rFonts w:ascii="Times New Roman" w:hAnsi="Times New Roman" w:cs="Times New Roman"/>
          <w:sz w:val="24"/>
          <w:szCs w:val="24"/>
        </w:rPr>
      </w:pPr>
    </w:p>
    <w:p w14:paraId="0DE60E25" w14:textId="77777777" w:rsidR="009771BC"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In the case of Operose Health, conducting a SWOT analysis can provide valuable insights into the company's current position in the healthcare market and help identify areas for improvement. By examining the company's strengths, weaknesses, opportunities, and threats, Operose Health can develop effective strategies to leverage its strengths, overcome its weaknesses, capitalize on opportunities, and mitigate threats.</w:t>
      </w:r>
    </w:p>
    <w:p w14:paraId="4DB959F0" w14:textId="77777777" w:rsidR="009771BC" w:rsidRDefault="009771BC" w:rsidP="009771BC">
      <w:pPr>
        <w:spacing w:after="0" w:line="360" w:lineRule="auto"/>
        <w:jc w:val="both"/>
        <w:rPr>
          <w:rFonts w:ascii="Times New Roman" w:hAnsi="Times New Roman" w:cs="Times New Roman"/>
          <w:sz w:val="24"/>
          <w:szCs w:val="24"/>
        </w:rPr>
      </w:pPr>
    </w:p>
    <w:p w14:paraId="5ABC2460" w14:textId="77777777" w:rsidR="009771BC" w:rsidRPr="000B7321" w:rsidRDefault="009771BC" w:rsidP="009771BC">
      <w:pPr>
        <w:spacing w:after="0" w:line="360" w:lineRule="auto"/>
        <w:jc w:val="both"/>
        <w:rPr>
          <w:rFonts w:ascii="Times New Roman" w:hAnsi="Times New Roman" w:cs="Times New Roman"/>
          <w:b/>
          <w:bCs/>
          <w:sz w:val="24"/>
          <w:szCs w:val="24"/>
          <w:u w:val="single"/>
        </w:rPr>
      </w:pPr>
      <w:r w:rsidRPr="000B7321">
        <w:rPr>
          <w:rFonts w:ascii="Times New Roman" w:hAnsi="Times New Roman" w:cs="Times New Roman"/>
          <w:b/>
          <w:bCs/>
          <w:sz w:val="24"/>
          <w:szCs w:val="24"/>
          <w:u w:val="single"/>
        </w:rPr>
        <w:t>4.1 Strengths:</w:t>
      </w:r>
    </w:p>
    <w:p w14:paraId="7ECC6F0E" w14:textId="5FEEE43E"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Operose Health has several strengths that position the company as a leading player in the healthcare industry. One of the strengths is its strong reputation and brand recognition, which is attributed to being a subsidiary of Centene Corporation. Centene Corporation is a multinational healthcare company that has been in the industry for over three decades, and its brand recognition and reputation have made it a trusted healthcare provider in the markets it serves. Being a subsidiary of Centene Corporation, Operose Health benefits from the strong reputation and brand recognition, which gives it a competitive advantage in the healthcare industry.</w:t>
      </w:r>
    </w:p>
    <w:p w14:paraId="03CD79C8" w14:textId="77777777" w:rsidR="009771BC" w:rsidRPr="00094C2D" w:rsidRDefault="009771BC" w:rsidP="009771BC">
      <w:pPr>
        <w:spacing w:after="0" w:line="360" w:lineRule="auto"/>
        <w:jc w:val="both"/>
        <w:rPr>
          <w:rFonts w:ascii="Times New Roman" w:hAnsi="Times New Roman" w:cs="Times New Roman"/>
          <w:sz w:val="24"/>
          <w:szCs w:val="24"/>
        </w:rPr>
      </w:pPr>
    </w:p>
    <w:p w14:paraId="7CC58D59" w14:textId="77777777"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 xml:space="preserve">Another strength of Operose Health is its diversified portfolio of healthcare services. The company offers a range of primary healthcare services, including clinical services, diagnostic services, and management services. This diversified portfolio helps to mitigate the impact of any changes in the healthcare industry and provides a stable revenue stream for the company. </w:t>
      </w:r>
      <w:r w:rsidRPr="00094C2D">
        <w:rPr>
          <w:rFonts w:ascii="Times New Roman" w:hAnsi="Times New Roman" w:cs="Times New Roman"/>
          <w:sz w:val="24"/>
          <w:szCs w:val="24"/>
        </w:rPr>
        <w:lastRenderedPageBreak/>
        <w:t>Furthermore, it enables Operose Health to cater to the varying needs of its customers, making it more attractive to potential clients (</w:t>
      </w:r>
      <w:bookmarkStart w:id="8" w:name="_Hlk134448836"/>
      <w:r w:rsidRPr="00094C2D">
        <w:rPr>
          <w:rFonts w:ascii="Times New Roman" w:hAnsi="Times New Roman" w:cs="Times New Roman"/>
          <w:sz w:val="24"/>
          <w:szCs w:val="24"/>
        </w:rPr>
        <w:t>Centene Corporation, 2021</w:t>
      </w:r>
      <w:bookmarkEnd w:id="8"/>
      <w:r>
        <w:rPr>
          <w:rFonts w:ascii="Times New Roman" w:hAnsi="Times New Roman" w:cs="Times New Roman"/>
          <w:sz w:val="24"/>
          <w:szCs w:val="24"/>
        </w:rPr>
        <w:t>a</w:t>
      </w:r>
      <w:r w:rsidRPr="00094C2D">
        <w:rPr>
          <w:rFonts w:ascii="Times New Roman" w:hAnsi="Times New Roman" w:cs="Times New Roman"/>
          <w:sz w:val="24"/>
          <w:szCs w:val="24"/>
        </w:rPr>
        <w:t>).</w:t>
      </w:r>
    </w:p>
    <w:p w14:paraId="41CC892A" w14:textId="77777777" w:rsidR="009771BC" w:rsidRPr="00094C2D" w:rsidRDefault="009771BC" w:rsidP="009771BC">
      <w:pPr>
        <w:spacing w:after="0" w:line="360" w:lineRule="auto"/>
        <w:jc w:val="both"/>
        <w:rPr>
          <w:rFonts w:ascii="Times New Roman" w:hAnsi="Times New Roman" w:cs="Times New Roman"/>
          <w:sz w:val="24"/>
          <w:szCs w:val="24"/>
        </w:rPr>
      </w:pPr>
    </w:p>
    <w:p w14:paraId="5EB6F795" w14:textId="77777777"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Operose Health also has a strong financial position, which is a significant strength. Centene Corporation, the parent company of Operose Health, had a revenue of $111.1 billion in 2020 and a net income of $1.7 billion. This financial stability provides Operose Health with the financial resources to invest in research and development, expand its operations, and explore new business opportunities (</w:t>
      </w:r>
      <w:bookmarkStart w:id="9" w:name="_Hlk134448868"/>
      <w:r w:rsidRPr="00094C2D">
        <w:rPr>
          <w:rFonts w:ascii="Times New Roman" w:hAnsi="Times New Roman" w:cs="Times New Roman"/>
          <w:sz w:val="24"/>
          <w:szCs w:val="24"/>
        </w:rPr>
        <w:t>Centene Corporation, 2021</w:t>
      </w:r>
      <w:bookmarkEnd w:id="9"/>
      <w:r>
        <w:rPr>
          <w:rFonts w:ascii="Times New Roman" w:hAnsi="Times New Roman" w:cs="Times New Roman"/>
          <w:sz w:val="24"/>
          <w:szCs w:val="24"/>
        </w:rPr>
        <w:t>b</w:t>
      </w:r>
      <w:r w:rsidRPr="00094C2D">
        <w:rPr>
          <w:rFonts w:ascii="Times New Roman" w:hAnsi="Times New Roman" w:cs="Times New Roman"/>
          <w:sz w:val="24"/>
          <w:szCs w:val="24"/>
        </w:rPr>
        <w:t>).</w:t>
      </w:r>
    </w:p>
    <w:p w14:paraId="2C44FB7A" w14:textId="77777777" w:rsidR="009771BC" w:rsidRPr="00094C2D" w:rsidRDefault="009771BC" w:rsidP="009771BC">
      <w:pPr>
        <w:spacing w:after="0" w:line="360" w:lineRule="auto"/>
        <w:jc w:val="both"/>
        <w:rPr>
          <w:rFonts w:ascii="Times New Roman" w:hAnsi="Times New Roman" w:cs="Times New Roman"/>
          <w:sz w:val="24"/>
          <w:szCs w:val="24"/>
        </w:rPr>
      </w:pPr>
    </w:p>
    <w:p w14:paraId="6D7043D2" w14:textId="77777777" w:rsidR="009771BC"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In summary, Operose Health's strengths position it as a strong player in the healthcare industry, with a strong reputation and brand recognition, a diversified portfolio of healthcare services, and a robust financial position. These strengths help the company to maintain its market position, attract new customers, and explore new business opportunities.</w:t>
      </w:r>
    </w:p>
    <w:p w14:paraId="06E6BA97" w14:textId="77777777" w:rsidR="009771BC" w:rsidRDefault="009771BC" w:rsidP="009771BC">
      <w:pPr>
        <w:spacing w:after="0" w:line="360" w:lineRule="auto"/>
        <w:jc w:val="both"/>
        <w:rPr>
          <w:rFonts w:ascii="Times New Roman" w:hAnsi="Times New Roman" w:cs="Times New Roman"/>
          <w:sz w:val="24"/>
          <w:szCs w:val="24"/>
        </w:rPr>
      </w:pPr>
    </w:p>
    <w:p w14:paraId="5C90EA87" w14:textId="77777777" w:rsidR="009771BC" w:rsidRPr="000B7321" w:rsidRDefault="009771BC" w:rsidP="009771BC">
      <w:pPr>
        <w:spacing w:after="0" w:line="360" w:lineRule="auto"/>
        <w:jc w:val="both"/>
        <w:rPr>
          <w:rFonts w:ascii="Times New Roman" w:hAnsi="Times New Roman" w:cs="Times New Roman"/>
          <w:b/>
          <w:bCs/>
          <w:sz w:val="24"/>
          <w:szCs w:val="24"/>
          <w:u w:val="single"/>
        </w:rPr>
      </w:pPr>
      <w:r w:rsidRPr="000B7321">
        <w:rPr>
          <w:rFonts w:ascii="Times New Roman" w:hAnsi="Times New Roman" w:cs="Times New Roman"/>
          <w:b/>
          <w:bCs/>
          <w:sz w:val="24"/>
          <w:szCs w:val="24"/>
          <w:u w:val="single"/>
        </w:rPr>
        <w:t>4.2 Weaknesses:</w:t>
      </w:r>
    </w:p>
    <w:p w14:paraId="3E82154F" w14:textId="6C6CB00E"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Dependence on government contracts: Operose Health is heavily dependent on government contracts for revenue, which exposes it to risks related to changes in government policies and regulations. Any reduction in government funding or changes in healthcare policies can have a significant impact on the company's financial performance. This was evident in 2020 when the COVID-19 pandemic led to a reduction in routine healthcare services, affecting the company's revenue streams (</w:t>
      </w:r>
      <w:r w:rsidR="008F45BE" w:rsidRPr="008F45BE">
        <w:rPr>
          <w:rFonts w:ascii="Times New Roman" w:hAnsi="Times New Roman" w:cs="Times New Roman"/>
          <w:sz w:val="24"/>
          <w:szCs w:val="24"/>
        </w:rPr>
        <w:t>Centene Corporation, 2021b</w:t>
      </w:r>
      <w:r w:rsidRPr="00094C2D">
        <w:rPr>
          <w:rFonts w:ascii="Times New Roman" w:hAnsi="Times New Roman" w:cs="Times New Roman"/>
          <w:sz w:val="24"/>
          <w:szCs w:val="24"/>
        </w:rPr>
        <w:t>). Moreover, the UK government is under pressure to reduce healthcare spending, which could further affect Operose Health's revenue streams.</w:t>
      </w:r>
    </w:p>
    <w:p w14:paraId="1F78507E" w14:textId="77777777" w:rsidR="009771BC" w:rsidRPr="00094C2D" w:rsidRDefault="009771BC" w:rsidP="009771BC">
      <w:pPr>
        <w:spacing w:after="0" w:line="360" w:lineRule="auto"/>
        <w:jc w:val="both"/>
        <w:rPr>
          <w:rFonts w:ascii="Times New Roman" w:hAnsi="Times New Roman" w:cs="Times New Roman"/>
          <w:sz w:val="24"/>
          <w:szCs w:val="24"/>
        </w:rPr>
      </w:pPr>
    </w:p>
    <w:p w14:paraId="65B4AE9D" w14:textId="51C451B8" w:rsidR="009771BC"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Limited innovation capabilities: Operose Health has limited innovation capabilities compared to some of its competitors, which may limit its ability to adapt to technological changes and remain competitive. The company's limited resources and focus on primary healthcare services may hinder its ability to invest in research and development and adopt innovative technologies. In contrast, companies such as Babylon Health have invested heavily in technology and innovation, leveraging artificial intelligence and machine learning to improve the delivery of healthcare services (</w:t>
      </w:r>
      <w:bookmarkStart w:id="10" w:name="_Hlk134449113"/>
      <w:proofErr w:type="spellStart"/>
      <w:r w:rsidR="00674627" w:rsidRPr="00674627">
        <w:rPr>
          <w:rFonts w:ascii="Times New Roman" w:hAnsi="Times New Roman" w:cs="Times New Roman"/>
          <w:sz w:val="24"/>
          <w:szCs w:val="24"/>
        </w:rPr>
        <w:t>Garbuio</w:t>
      </w:r>
      <w:proofErr w:type="spellEnd"/>
      <w:r w:rsidR="00674627" w:rsidRPr="00674627">
        <w:rPr>
          <w:rFonts w:ascii="Times New Roman" w:hAnsi="Times New Roman" w:cs="Times New Roman"/>
          <w:sz w:val="24"/>
          <w:szCs w:val="24"/>
        </w:rPr>
        <w:t xml:space="preserve"> and Lin, 2019</w:t>
      </w:r>
      <w:r w:rsidRPr="00094C2D">
        <w:rPr>
          <w:rFonts w:ascii="Times New Roman" w:hAnsi="Times New Roman" w:cs="Times New Roman"/>
          <w:sz w:val="24"/>
          <w:szCs w:val="24"/>
        </w:rPr>
        <w:t>).</w:t>
      </w:r>
      <w:bookmarkEnd w:id="10"/>
    </w:p>
    <w:p w14:paraId="5F9BA9C1" w14:textId="77777777" w:rsidR="009771BC" w:rsidRDefault="009771BC" w:rsidP="009771BC">
      <w:pPr>
        <w:spacing w:after="0" w:line="360" w:lineRule="auto"/>
        <w:jc w:val="both"/>
        <w:rPr>
          <w:rFonts w:ascii="Times New Roman" w:hAnsi="Times New Roman" w:cs="Times New Roman"/>
          <w:sz w:val="24"/>
          <w:szCs w:val="24"/>
        </w:rPr>
      </w:pPr>
    </w:p>
    <w:p w14:paraId="71CC4074" w14:textId="77777777" w:rsidR="009771BC" w:rsidRPr="000B7321" w:rsidRDefault="009771BC" w:rsidP="009771BC">
      <w:pPr>
        <w:spacing w:after="0" w:line="360" w:lineRule="auto"/>
        <w:jc w:val="both"/>
        <w:rPr>
          <w:rFonts w:ascii="Times New Roman" w:hAnsi="Times New Roman" w:cs="Times New Roman"/>
          <w:b/>
          <w:bCs/>
          <w:sz w:val="24"/>
          <w:szCs w:val="24"/>
          <w:u w:val="single"/>
        </w:rPr>
      </w:pPr>
      <w:r w:rsidRPr="000B7321">
        <w:rPr>
          <w:rFonts w:ascii="Times New Roman" w:hAnsi="Times New Roman" w:cs="Times New Roman"/>
          <w:b/>
          <w:bCs/>
          <w:sz w:val="24"/>
          <w:szCs w:val="24"/>
          <w:u w:val="single"/>
        </w:rPr>
        <w:t>4.3 Opportunities:</w:t>
      </w:r>
    </w:p>
    <w:p w14:paraId="43D19F32" w14:textId="285C9FE0"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lastRenderedPageBreak/>
        <w:t>Increasing demand for primary healthcare services: The demand for primary healthcare services is expected to continue to rise due to the aging population and the increasing prevalence of chronic diseases, which presents an opportunity for Operose Health to expand its services (</w:t>
      </w:r>
      <w:proofErr w:type="spellStart"/>
      <w:r w:rsidR="001637F0" w:rsidRPr="001637F0">
        <w:rPr>
          <w:rFonts w:ascii="Times New Roman" w:hAnsi="Times New Roman" w:cs="Times New Roman"/>
          <w:sz w:val="24"/>
          <w:szCs w:val="24"/>
        </w:rPr>
        <w:t>Rawaf</w:t>
      </w:r>
      <w:proofErr w:type="spellEnd"/>
      <w:r w:rsidR="001637F0" w:rsidRPr="001637F0">
        <w:rPr>
          <w:rFonts w:ascii="Times New Roman" w:hAnsi="Times New Roman" w:cs="Times New Roman"/>
          <w:sz w:val="24"/>
          <w:szCs w:val="24"/>
        </w:rPr>
        <w:t xml:space="preserve"> et al, 2020</w:t>
      </w:r>
      <w:r w:rsidRPr="00094C2D">
        <w:rPr>
          <w:rFonts w:ascii="Times New Roman" w:hAnsi="Times New Roman" w:cs="Times New Roman"/>
          <w:sz w:val="24"/>
          <w:szCs w:val="24"/>
        </w:rPr>
        <w:t>). This trend implies an increase in the demand for primary healthcare services, which Operose Health can leverage to expand its services.</w:t>
      </w:r>
    </w:p>
    <w:p w14:paraId="5BD52125" w14:textId="77777777" w:rsidR="009771BC" w:rsidRPr="00094C2D" w:rsidRDefault="009771BC" w:rsidP="009771BC">
      <w:pPr>
        <w:spacing w:after="0" w:line="360" w:lineRule="auto"/>
        <w:jc w:val="both"/>
        <w:rPr>
          <w:rFonts w:ascii="Times New Roman" w:hAnsi="Times New Roman" w:cs="Times New Roman"/>
          <w:sz w:val="24"/>
          <w:szCs w:val="24"/>
        </w:rPr>
      </w:pPr>
    </w:p>
    <w:p w14:paraId="1A657C6F" w14:textId="17E9D49F"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Expansion into new markets: Operose Health can expand its services into new markets outside the UK to increase its revenue and diversify its portfolio (</w:t>
      </w:r>
      <w:r w:rsidR="00805E18" w:rsidRPr="00805E18">
        <w:rPr>
          <w:rFonts w:ascii="Times New Roman" w:hAnsi="Times New Roman" w:cs="Times New Roman"/>
          <w:sz w:val="24"/>
          <w:szCs w:val="24"/>
        </w:rPr>
        <w:t>Hermes et al, 2020</w:t>
      </w:r>
      <w:r w:rsidRPr="00094C2D">
        <w:rPr>
          <w:rFonts w:ascii="Times New Roman" w:hAnsi="Times New Roman" w:cs="Times New Roman"/>
          <w:sz w:val="24"/>
          <w:szCs w:val="24"/>
        </w:rPr>
        <w:t>). For example, it can consider expanding its services to other countries in Europe where the demand for primary healthcare services is high.</w:t>
      </w:r>
    </w:p>
    <w:p w14:paraId="426368B2" w14:textId="77777777" w:rsidR="009771BC" w:rsidRPr="00094C2D" w:rsidRDefault="009771BC" w:rsidP="009771BC">
      <w:pPr>
        <w:spacing w:after="0" w:line="360" w:lineRule="auto"/>
        <w:jc w:val="both"/>
        <w:rPr>
          <w:rFonts w:ascii="Times New Roman" w:hAnsi="Times New Roman" w:cs="Times New Roman"/>
          <w:sz w:val="24"/>
          <w:szCs w:val="24"/>
        </w:rPr>
      </w:pPr>
    </w:p>
    <w:p w14:paraId="7AB43B3E" w14:textId="69566952" w:rsidR="009771BC"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Adoption of digital technologies: The adoption of digital technologies such as telemedicine and electronic health records can help Operose Health improve its service delivery and efficiency (</w:t>
      </w:r>
      <w:r w:rsidR="00B8371E" w:rsidRPr="00B8371E">
        <w:rPr>
          <w:rFonts w:ascii="Times New Roman" w:hAnsi="Times New Roman" w:cs="Times New Roman"/>
          <w:sz w:val="24"/>
          <w:szCs w:val="24"/>
        </w:rPr>
        <w:t>Gomez et al, 2021</w:t>
      </w:r>
      <w:r w:rsidRPr="00094C2D">
        <w:rPr>
          <w:rFonts w:ascii="Times New Roman" w:hAnsi="Times New Roman" w:cs="Times New Roman"/>
          <w:sz w:val="24"/>
          <w:szCs w:val="24"/>
        </w:rPr>
        <w:t>). For instance, telemedicine can enable Operose Health to provide remote consultations and reduce the need for patients to visit healthcare facilities physically. Additionally, electronic health records can improve patient data management and facilitate collaboration between healthcare providers, improving service delivery.</w:t>
      </w:r>
    </w:p>
    <w:p w14:paraId="6F51BDC5" w14:textId="77777777" w:rsidR="009771BC" w:rsidRDefault="009771BC" w:rsidP="009771BC">
      <w:pPr>
        <w:spacing w:after="0" w:line="360" w:lineRule="auto"/>
        <w:jc w:val="both"/>
        <w:rPr>
          <w:rFonts w:ascii="Times New Roman" w:hAnsi="Times New Roman" w:cs="Times New Roman"/>
          <w:sz w:val="24"/>
          <w:szCs w:val="24"/>
        </w:rPr>
      </w:pPr>
    </w:p>
    <w:p w14:paraId="2DEA1F56" w14:textId="77777777" w:rsidR="009771BC" w:rsidRPr="000B7321" w:rsidRDefault="009771BC" w:rsidP="009771BC">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4.4 </w:t>
      </w:r>
      <w:r w:rsidRPr="000B7321">
        <w:rPr>
          <w:rFonts w:ascii="Times New Roman" w:hAnsi="Times New Roman" w:cs="Times New Roman"/>
          <w:b/>
          <w:bCs/>
          <w:sz w:val="24"/>
          <w:szCs w:val="24"/>
          <w:u w:val="single"/>
        </w:rPr>
        <w:t>Threats:</w:t>
      </w:r>
    </w:p>
    <w:p w14:paraId="09C0E7F5" w14:textId="7F64334F"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Intense competition: The healthcare industry is highly competitive, with many established players and new entrants vying for market share. Operose Health faces competition from a range of healthcare providers, including hospitals, clinics, and other primary healthcare providers. For instance, Babylon Health, a digital healthcare provider, has been expanding its services in the UK and internationally, competing with Operose Health's telemedicine services (</w:t>
      </w:r>
      <w:proofErr w:type="spellStart"/>
      <w:r w:rsidR="009D2223" w:rsidRPr="009D2223">
        <w:rPr>
          <w:rFonts w:ascii="Times New Roman" w:hAnsi="Times New Roman" w:cs="Times New Roman"/>
          <w:sz w:val="24"/>
          <w:szCs w:val="24"/>
        </w:rPr>
        <w:t>Iacobucci</w:t>
      </w:r>
      <w:proofErr w:type="spellEnd"/>
      <w:r w:rsidR="009D2223" w:rsidRPr="009D2223">
        <w:rPr>
          <w:rFonts w:ascii="Times New Roman" w:hAnsi="Times New Roman" w:cs="Times New Roman"/>
          <w:sz w:val="24"/>
          <w:szCs w:val="24"/>
        </w:rPr>
        <w:t>, 2020</w:t>
      </w:r>
      <w:r w:rsidRPr="00094C2D">
        <w:rPr>
          <w:rFonts w:ascii="Times New Roman" w:hAnsi="Times New Roman" w:cs="Times New Roman"/>
          <w:sz w:val="24"/>
          <w:szCs w:val="24"/>
        </w:rPr>
        <w:t>). Moreover, traditional healthcare providers such as NHS and private hospitals also offer primary healthcare services, which further intensifies competition.</w:t>
      </w:r>
    </w:p>
    <w:p w14:paraId="488F60F2" w14:textId="77777777" w:rsidR="009771BC" w:rsidRPr="00094C2D" w:rsidRDefault="009771BC" w:rsidP="009771BC">
      <w:pPr>
        <w:spacing w:after="0" w:line="360" w:lineRule="auto"/>
        <w:jc w:val="both"/>
        <w:rPr>
          <w:rFonts w:ascii="Times New Roman" w:hAnsi="Times New Roman" w:cs="Times New Roman"/>
          <w:sz w:val="24"/>
          <w:szCs w:val="24"/>
        </w:rPr>
      </w:pPr>
    </w:p>
    <w:p w14:paraId="3F86ED92" w14:textId="0742506F"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Regulatory and legal risks: Changes in government policies and regulations, as well as legal risks related to malpractice and data privacy, can negatively affect Operose Health's operations and profitability. For example, the UK government's recent reforms in primary care, such as the General Practice Forward View, may impact Operose Health's funding and operations (</w:t>
      </w:r>
      <w:r w:rsidR="00EA2200" w:rsidRPr="00EA2200">
        <w:rPr>
          <w:rFonts w:ascii="Times New Roman" w:hAnsi="Times New Roman" w:cs="Times New Roman"/>
          <w:sz w:val="24"/>
          <w:szCs w:val="24"/>
        </w:rPr>
        <w:t>NHS England</w:t>
      </w:r>
      <w:r w:rsidR="00EA2200">
        <w:rPr>
          <w:rFonts w:ascii="Times New Roman" w:hAnsi="Times New Roman" w:cs="Times New Roman"/>
          <w:sz w:val="24"/>
          <w:szCs w:val="24"/>
        </w:rPr>
        <w:t xml:space="preserve">, </w:t>
      </w:r>
      <w:r w:rsidR="00EA2200" w:rsidRPr="00EA2200">
        <w:rPr>
          <w:rFonts w:ascii="Times New Roman" w:hAnsi="Times New Roman" w:cs="Times New Roman"/>
          <w:sz w:val="24"/>
          <w:szCs w:val="24"/>
        </w:rPr>
        <w:t>2023</w:t>
      </w:r>
      <w:r w:rsidRPr="00094C2D">
        <w:rPr>
          <w:rFonts w:ascii="Times New Roman" w:hAnsi="Times New Roman" w:cs="Times New Roman"/>
          <w:sz w:val="24"/>
          <w:szCs w:val="24"/>
        </w:rPr>
        <w:t xml:space="preserve">). Additionally, the UK's data protection laws, such as the General Data Protection Regulation (GDPR), impose strict requirements on healthcare providers regarding </w:t>
      </w:r>
      <w:r w:rsidRPr="00094C2D">
        <w:rPr>
          <w:rFonts w:ascii="Times New Roman" w:hAnsi="Times New Roman" w:cs="Times New Roman"/>
          <w:sz w:val="24"/>
          <w:szCs w:val="24"/>
        </w:rPr>
        <w:lastRenderedPageBreak/>
        <w:t>the collection, storage, and sharing of patient data. Any failure to comply with these regulations can result in hefty fines and damage to the company's reputation.</w:t>
      </w:r>
    </w:p>
    <w:p w14:paraId="3654C2B8" w14:textId="77777777" w:rsidR="009771BC" w:rsidRPr="00094C2D" w:rsidRDefault="009771BC" w:rsidP="009771BC">
      <w:pPr>
        <w:spacing w:after="0" w:line="360" w:lineRule="auto"/>
        <w:jc w:val="both"/>
        <w:rPr>
          <w:rFonts w:ascii="Times New Roman" w:hAnsi="Times New Roman" w:cs="Times New Roman"/>
          <w:sz w:val="24"/>
          <w:szCs w:val="24"/>
        </w:rPr>
      </w:pPr>
    </w:p>
    <w:p w14:paraId="6CBEEE06" w14:textId="65D81BCC" w:rsidR="009771BC"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Economic instability: Economic instability, such as recession or inflation, can negatively impact Operose Health's revenue and profitability. In times of economic uncertainty, patients may reduce their healthcare spending, leading to a decline in demand for Operose Health's services. Additionally, inflation may increase the cost of healthcare supplies and services, which can impact the company's profitability (</w:t>
      </w:r>
      <w:bookmarkStart w:id="11" w:name="_Hlk134449379"/>
      <w:proofErr w:type="spellStart"/>
      <w:r w:rsidR="00F857AC" w:rsidRPr="00F857AC">
        <w:rPr>
          <w:rFonts w:ascii="Times New Roman" w:hAnsi="Times New Roman" w:cs="Times New Roman"/>
          <w:sz w:val="24"/>
          <w:szCs w:val="24"/>
        </w:rPr>
        <w:t>Ardebili</w:t>
      </w:r>
      <w:proofErr w:type="spellEnd"/>
      <w:r w:rsidR="00F857AC" w:rsidRPr="00F857AC">
        <w:rPr>
          <w:rFonts w:ascii="Times New Roman" w:hAnsi="Times New Roman" w:cs="Times New Roman"/>
          <w:sz w:val="24"/>
          <w:szCs w:val="24"/>
        </w:rPr>
        <w:t xml:space="preserve"> et al, 202</w:t>
      </w:r>
      <w:r w:rsidRPr="00094C2D">
        <w:rPr>
          <w:rFonts w:ascii="Times New Roman" w:hAnsi="Times New Roman" w:cs="Times New Roman"/>
          <w:sz w:val="24"/>
          <w:szCs w:val="24"/>
        </w:rPr>
        <w:t>1</w:t>
      </w:r>
      <w:bookmarkEnd w:id="11"/>
      <w:r w:rsidRPr="00094C2D">
        <w:rPr>
          <w:rFonts w:ascii="Times New Roman" w:hAnsi="Times New Roman" w:cs="Times New Roman"/>
          <w:sz w:val="24"/>
          <w:szCs w:val="24"/>
        </w:rPr>
        <w:t>).</w:t>
      </w:r>
    </w:p>
    <w:p w14:paraId="73BE4C92" w14:textId="77777777" w:rsidR="009771BC" w:rsidRDefault="009771BC" w:rsidP="009771BC">
      <w:pPr>
        <w:spacing w:after="0" w:line="360" w:lineRule="auto"/>
        <w:jc w:val="both"/>
        <w:rPr>
          <w:rFonts w:ascii="Times New Roman" w:hAnsi="Times New Roman" w:cs="Times New Roman"/>
          <w:sz w:val="24"/>
          <w:szCs w:val="24"/>
        </w:rPr>
      </w:pPr>
    </w:p>
    <w:p w14:paraId="668C688F" w14:textId="77777777" w:rsidR="009771BC" w:rsidRPr="000B7321" w:rsidRDefault="009771BC" w:rsidP="009771BC">
      <w:pPr>
        <w:pStyle w:val="Heading1"/>
        <w:numPr>
          <w:ilvl w:val="0"/>
          <w:numId w:val="6"/>
        </w:numPr>
        <w:spacing w:line="360" w:lineRule="auto"/>
        <w:jc w:val="both"/>
        <w:rPr>
          <w:rFonts w:ascii="Times New Roman" w:eastAsia="Times New Roman" w:hAnsi="Times New Roman" w:cs="Times New Roman"/>
          <w:b/>
          <w:bCs/>
          <w:sz w:val="36"/>
          <w:szCs w:val="36"/>
          <w:lang w:eastAsia="en-GB"/>
        </w:rPr>
      </w:pPr>
      <w:r w:rsidRPr="000B7321">
        <w:rPr>
          <w:rFonts w:ascii="Times New Roman" w:eastAsia="Times New Roman" w:hAnsi="Times New Roman" w:cs="Times New Roman"/>
          <w:b/>
          <w:bCs/>
          <w:sz w:val="36"/>
          <w:szCs w:val="36"/>
          <w:lang w:eastAsia="en-GB"/>
        </w:rPr>
        <w:t xml:space="preserve">Recommendations and </w:t>
      </w:r>
      <w:proofErr w:type="gramStart"/>
      <w:r w:rsidRPr="000B7321">
        <w:rPr>
          <w:rFonts w:ascii="Times New Roman" w:eastAsia="Times New Roman" w:hAnsi="Times New Roman" w:cs="Times New Roman"/>
          <w:b/>
          <w:bCs/>
          <w:sz w:val="36"/>
          <w:szCs w:val="36"/>
          <w:lang w:eastAsia="en-GB"/>
        </w:rPr>
        <w:t>future outlook</w:t>
      </w:r>
      <w:proofErr w:type="gramEnd"/>
      <w:r w:rsidRPr="000B7321">
        <w:rPr>
          <w:rFonts w:ascii="Times New Roman" w:eastAsia="Times New Roman" w:hAnsi="Times New Roman" w:cs="Times New Roman"/>
          <w:b/>
          <w:bCs/>
          <w:sz w:val="36"/>
          <w:szCs w:val="36"/>
          <w:lang w:eastAsia="en-GB"/>
        </w:rPr>
        <w:t xml:space="preserve"> </w:t>
      </w:r>
    </w:p>
    <w:p w14:paraId="339428F7" w14:textId="77777777" w:rsidR="009771BC" w:rsidRPr="000B7321" w:rsidRDefault="009771BC" w:rsidP="009771BC">
      <w:pPr>
        <w:spacing w:after="0" w:line="360" w:lineRule="auto"/>
        <w:jc w:val="both"/>
        <w:rPr>
          <w:rFonts w:ascii="Times New Roman" w:hAnsi="Times New Roman" w:cs="Times New Roman"/>
          <w:b/>
          <w:bCs/>
          <w:sz w:val="24"/>
          <w:szCs w:val="24"/>
        </w:rPr>
      </w:pPr>
      <w:r w:rsidRPr="006F2A41">
        <w:rPr>
          <w:rFonts w:ascii="Times New Roman" w:hAnsi="Times New Roman" w:cs="Times New Roman"/>
          <w:b/>
          <w:bCs/>
          <w:sz w:val="24"/>
          <w:szCs w:val="24"/>
        </w:rPr>
        <w:t>5.1 Addressing the challenges and opportunities identified in the PESTEL, and SWOT analyses:</w:t>
      </w:r>
    </w:p>
    <w:p w14:paraId="55F45E9A" w14:textId="77777777" w:rsidR="009771BC" w:rsidRPr="00094C2D" w:rsidRDefault="009771BC" w:rsidP="009771BC">
      <w:pPr>
        <w:spacing w:after="0" w:line="360" w:lineRule="auto"/>
        <w:jc w:val="both"/>
        <w:rPr>
          <w:rFonts w:ascii="Times New Roman" w:hAnsi="Times New Roman" w:cs="Times New Roman"/>
          <w:sz w:val="24"/>
          <w:szCs w:val="24"/>
        </w:rPr>
      </w:pPr>
    </w:p>
    <w:p w14:paraId="1ADE0FBE" w14:textId="69C7772F"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Operose Health can take several actions to address the challenges and opportunities identified in the PESTEL and SWOT analyses. To address the limited geographical presence and dependence on government contracts</w:t>
      </w:r>
      <w:r>
        <w:rPr>
          <w:rFonts w:ascii="Times New Roman" w:hAnsi="Times New Roman" w:cs="Times New Roman"/>
          <w:sz w:val="24"/>
          <w:szCs w:val="24"/>
        </w:rPr>
        <w:t xml:space="preserve"> as well as take advantage of increased demand on primary care services</w:t>
      </w:r>
      <w:r w:rsidRPr="00094C2D">
        <w:rPr>
          <w:rFonts w:ascii="Times New Roman" w:hAnsi="Times New Roman" w:cs="Times New Roman"/>
          <w:sz w:val="24"/>
          <w:szCs w:val="24"/>
        </w:rPr>
        <w:t>, Operose Health can diversify its revenue streams by expanding into new markets and exploring partnerships with private healthcare providers. For example, Operose Health can explore partnerships with healthcare providers in Europe to expand its services outside the UK</w:t>
      </w:r>
      <w:r w:rsidR="00AA1030">
        <w:rPr>
          <w:rFonts w:ascii="Times New Roman" w:hAnsi="Times New Roman" w:cs="Times New Roman"/>
          <w:sz w:val="24"/>
          <w:szCs w:val="24"/>
        </w:rPr>
        <w:t xml:space="preserve"> </w:t>
      </w:r>
      <w:r w:rsidR="00AA1030" w:rsidRPr="00094C2D">
        <w:rPr>
          <w:rFonts w:ascii="Times New Roman" w:hAnsi="Times New Roman" w:cs="Times New Roman"/>
          <w:sz w:val="24"/>
          <w:szCs w:val="24"/>
        </w:rPr>
        <w:t>(</w:t>
      </w:r>
      <w:r w:rsidR="00AA1030" w:rsidRPr="00805E18">
        <w:rPr>
          <w:rFonts w:ascii="Times New Roman" w:hAnsi="Times New Roman" w:cs="Times New Roman"/>
          <w:sz w:val="24"/>
          <w:szCs w:val="24"/>
        </w:rPr>
        <w:t>Hermes et al, 2020</w:t>
      </w:r>
      <w:r w:rsidR="00AA1030" w:rsidRPr="00094C2D">
        <w:rPr>
          <w:rFonts w:ascii="Times New Roman" w:hAnsi="Times New Roman" w:cs="Times New Roman"/>
          <w:sz w:val="24"/>
          <w:szCs w:val="24"/>
        </w:rPr>
        <w:t>)</w:t>
      </w:r>
      <w:r w:rsidR="00256E3E">
        <w:rPr>
          <w:rFonts w:ascii="Times New Roman" w:hAnsi="Times New Roman" w:cs="Times New Roman"/>
          <w:sz w:val="24"/>
          <w:szCs w:val="24"/>
        </w:rPr>
        <w:t>.</w:t>
      </w:r>
    </w:p>
    <w:p w14:paraId="540E9EAD" w14:textId="77777777" w:rsidR="009771BC" w:rsidRPr="00094C2D" w:rsidRDefault="009771BC" w:rsidP="009771BC">
      <w:pPr>
        <w:spacing w:after="0" w:line="360" w:lineRule="auto"/>
        <w:jc w:val="both"/>
        <w:rPr>
          <w:rFonts w:ascii="Times New Roman" w:hAnsi="Times New Roman" w:cs="Times New Roman"/>
          <w:sz w:val="24"/>
          <w:szCs w:val="24"/>
        </w:rPr>
      </w:pPr>
    </w:p>
    <w:p w14:paraId="4FEA2498" w14:textId="0B9C71BD"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To address the limited innovation capabilities, Operose Health can invest in research and development to stay competitive with technological changes. It can also leverage digital technologies to improve its service delivery and efficiency, such as telemedicine and electronic health records. Operose Health can also explore opportunities to collaborate with innovative startups and technology companies to bring new services and solutions to its patients</w:t>
      </w:r>
      <w:r w:rsidR="0009724E">
        <w:rPr>
          <w:rFonts w:ascii="Times New Roman" w:hAnsi="Times New Roman" w:cs="Times New Roman"/>
          <w:sz w:val="24"/>
          <w:szCs w:val="24"/>
        </w:rPr>
        <w:t xml:space="preserve"> </w:t>
      </w:r>
      <w:r w:rsidR="0009724E" w:rsidRPr="00094C2D">
        <w:rPr>
          <w:rFonts w:ascii="Times New Roman" w:hAnsi="Times New Roman" w:cs="Times New Roman"/>
          <w:sz w:val="24"/>
          <w:szCs w:val="24"/>
        </w:rPr>
        <w:t>(</w:t>
      </w:r>
      <w:r w:rsidR="0009724E" w:rsidRPr="00B8371E">
        <w:rPr>
          <w:rFonts w:ascii="Times New Roman" w:hAnsi="Times New Roman" w:cs="Times New Roman"/>
          <w:sz w:val="24"/>
          <w:szCs w:val="24"/>
        </w:rPr>
        <w:t>Gomez et al, 2021</w:t>
      </w:r>
      <w:r w:rsidR="0009724E" w:rsidRPr="00094C2D">
        <w:rPr>
          <w:rFonts w:ascii="Times New Roman" w:hAnsi="Times New Roman" w:cs="Times New Roman"/>
          <w:sz w:val="24"/>
          <w:szCs w:val="24"/>
        </w:rPr>
        <w:t>)</w:t>
      </w:r>
      <w:r w:rsidRPr="00094C2D">
        <w:rPr>
          <w:rFonts w:ascii="Times New Roman" w:hAnsi="Times New Roman" w:cs="Times New Roman"/>
          <w:sz w:val="24"/>
          <w:szCs w:val="24"/>
        </w:rPr>
        <w:t>.</w:t>
      </w:r>
    </w:p>
    <w:p w14:paraId="648ABB93" w14:textId="77777777" w:rsidR="009771BC" w:rsidRPr="00094C2D" w:rsidRDefault="009771BC" w:rsidP="009771BC">
      <w:pPr>
        <w:spacing w:after="0" w:line="360" w:lineRule="auto"/>
        <w:jc w:val="both"/>
        <w:rPr>
          <w:rFonts w:ascii="Times New Roman" w:hAnsi="Times New Roman" w:cs="Times New Roman"/>
          <w:sz w:val="24"/>
          <w:szCs w:val="24"/>
        </w:rPr>
      </w:pPr>
    </w:p>
    <w:p w14:paraId="394AE6DF" w14:textId="77777777" w:rsidR="009771BC" w:rsidRPr="000B7321" w:rsidRDefault="009771BC" w:rsidP="009771BC">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5.2</w:t>
      </w:r>
      <w:r w:rsidRPr="000B7321">
        <w:rPr>
          <w:rFonts w:ascii="Times New Roman" w:hAnsi="Times New Roman" w:cs="Times New Roman"/>
          <w:b/>
          <w:bCs/>
          <w:sz w:val="24"/>
          <w:szCs w:val="24"/>
        </w:rPr>
        <w:t xml:space="preserve"> Strategies for improving profitability and growth:</w:t>
      </w:r>
    </w:p>
    <w:p w14:paraId="0987C524" w14:textId="77777777" w:rsidR="009771BC" w:rsidRPr="00094C2D" w:rsidRDefault="009771BC" w:rsidP="009771BC">
      <w:pPr>
        <w:spacing w:after="0" w:line="360" w:lineRule="auto"/>
        <w:jc w:val="both"/>
        <w:rPr>
          <w:rFonts w:ascii="Times New Roman" w:hAnsi="Times New Roman" w:cs="Times New Roman"/>
          <w:sz w:val="24"/>
          <w:szCs w:val="24"/>
        </w:rPr>
      </w:pPr>
    </w:p>
    <w:p w14:paraId="38A2BE89" w14:textId="77777777"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 xml:space="preserve">Operose Health can take several strategies to improve its profitability and growth. One strategy is to focus on providing value-based healthcare, which emphasizes the quality and outcomes </w:t>
      </w:r>
      <w:r w:rsidRPr="00094C2D">
        <w:rPr>
          <w:rFonts w:ascii="Times New Roman" w:hAnsi="Times New Roman" w:cs="Times New Roman"/>
          <w:sz w:val="24"/>
          <w:szCs w:val="24"/>
        </w:rPr>
        <w:lastRenderedPageBreak/>
        <w:t>of healthcare services rather than the volume of services. Operose Health can also explore opportunities to optimize its operations and reduce costs, such as implementing lean management practices and leveraging technology to improve efficiency.</w:t>
      </w:r>
    </w:p>
    <w:p w14:paraId="56745A0C" w14:textId="77777777" w:rsidR="009771BC" w:rsidRPr="00094C2D" w:rsidRDefault="009771BC" w:rsidP="009771BC">
      <w:pPr>
        <w:spacing w:after="0" w:line="360" w:lineRule="auto"/>
        <w:jc w:val="both"/>
        <w:rPr>
          <w:rFonts w:ascii="Times New Roman" w:hAnsi="Times New Roman" w:cs="Times New Roman"/>
          <w:sz w:val="24"/>
          <w:szCs w:val="24"/>
        </w:rPr>
      </w:pPr>
    </w:p>
    <w:p w14:paraId="48AF54C0" w14:textId="6AD34FEA"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 xml:space="preserve">Another strategy is to expand its portfolio of services to meet the evolving needs of its patients. For example, Operose Health can offer specialized services such as mental health services and chronic disease management to cater to the growing demand for these services. Additionally, Operose Health can explore opportunities to </w:t>
      </w:r>
      <w:proofErr w:type="gramStart"/>
      <w:r w:rsidRPr="00094C2D">
        <w:rPr>
          <w:rFonts w:ascii="Times New Roman" w:hAnsi="Times New Roman" w:cs="Times New Roman"/>
          <w:sz w:val="24"/>
          <w:szCs w:val="24"/>
        </w:rPr>
        <w:t>enter into</w:t>
      </w:r>
      <w:proofErr w:type="gramEnd"/>
      <w:r w:rsidRPr="00094C2D">
        <w:rPr>
          <w:rFonts w:ascii="Times New Roman" w:hAnsi="Times New Roman" w:cs="Times New Roman"/>
          <w:sz w:val="24"/>
          <w:szCs w:val="24"/>
        </w:rPr>
        <w:t xml:space="preserve"> the health insurance market to provide a more comprehensive healthcare offering to its patients (</w:t>
      </w:r>
      <w:r w:rsidR="007B6DB2" w:rsidRPr="007B6DB2">
        <w:rPr>
          <w:rFonts w:ascii="Times New Roman" w:hAnsi="Times New Roman" w:cs="Times New Roman"/>
          <w:sz w:val="24"/>
          <w:szCs w:val="24"/>
        </w:rPr>
        <w:t>National Academies of Sciences, Engineering, and Medicine, 2019</w:t>
      </w:r>
      <w:r w:rsidRPr="00094C2D">
        <w:rPr>
          <w:rFonts w:ascii="Times New Roman" w:hAnsi="Times New Roman" w:cs="Times New Roman"/>
          <w:sz w:val="24"/>
          <w:szCs w:val="24"/>
        </w:rPr>
        <w:t>).</w:t>
      </w:r>
    </w:p>
    <w:p w14:paraId="09533427" w14:textId="77777777" w:rsidR="009771BC" w:rsidRPr="00094C2D" w:rsidRDefault="009771BC" w:rsidP="009771BC">
      <w:pPr>
        <w:spacing w:after="0" w:line="360" w:lineRule="auto"/>
        <w:jc w:val="both"/>
        <w:rPr>
          <w:rFonts w:ascii="Times New Roman" w:hAnsi="Times New Roman" w:cs="Times New Roman"/>
          <w:sz w:val="24"/>
          <w:szCs w:val="24"/>
        </w:rPr>
      </w:pPr>
    </w:p>
    <w:p w14:paraId="58046CF2" w14:textId="77777777" w:rsidR="009771BC" w:rsidRPr="000B7321" w:rsidRDefault="009771BC" w:rsidP="009771BC">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5.3</w:t>
      </w:r>
      <w:r w:rsidRPr="000B7321">
        <w:rPr>
          <w:rFonts w:ascii="Times New Roman" w:hAnsi="Times New Roman" w:cs="Times New Roman"/>
          <w:b/>
          <w:bCs/>
          <w:sz w:val="24"/>
          <w:szCs w:val="24"/>
        </w:rPr>
        <w:t xml:space="preserve"> Future outlook for Operose Health:</w:t>
      </w:r>
    </w:p>
    <w:p w14:paraId="3CD46345" w14:textId="77777777" w:rsidR="009771BC" w:rsidRPr="00094C2D" w:rsidRDefault="009771BC" w:rsidP="009771BC">
      <w:pPr>
        <w:spacing w:after="0" w:line="360" w:lineRule="auto"/>
        <w:jc w:val="both"/>
        <w:rPr>
          <w:rFonts w:ascii="Times New Roman" w:hAnsi="Times New Roman" w:cs="Times New Roman"/>
          <w:sz w:val="24"/>
          <w:szCs w:val="24"/>
        </w:rPr>
      </w:pPr>
    </w:p>
    <w:p w14:paraId="3AF1225D" w14:textId="77777777"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 xml:space="preserve">The </w:t>
      </w:r>
      <w:proofErr w:type="gramStart"/>
      <w:r w:rsidRPr="00094C2D">
        <w:rPr>
          <w:rFonts w:ascii="Times New Roman" w:hAnsi="Times New Roman" w:cs="Times New Roman"/>
          <w:sz w:val="24"/>
          <w:szCs w:val="24"/>
        </w:rPr>
        <w:t>future outlook</w:t>
      </w:r>
      <w:proofErr w:type="gramEnd"/>
      <w:r w:rsidRPr="00094C2D">
        <w:rPr>
          <w:rFonts w:ascii="Times New Roman" w:hAnsi="Times New Roman" w:cs="Times New Roman"/>
          <w:sz w:val="24"/>
          <w:szCs w:val="24"/>
        </w:rPr>
        <w:t xml:space="preserve"> for Operose Health is promising. The increasing demand for primary healthcare services, aging population, and rising healthcare costs provide growth opportunities for the company. Operose Health can leverage its strong reputation and diversified portfolio of healthcare services to expand into new markets and attract new patients. The adoption of digital technologies and value-based healthcare models also provide opportunities for Operose Health to improve its service delivery and profitability.</w:t>
      </w:r>
    </w:p>
    <w:p w14:paraId="4FC00A86" w14:textId="77777777" w:rsidR="009771BC" w:rsidRDefault="009771BC" w:rsidP="009771BC">
      <w:pPr>
        <w:spacing w:after="0" w:line="360" w:lineRule="auto"/>
        <w:jc w:val="both"/>
        <w:rPr>
          <w:rFonts w:ascii="Times New Roman" w:hAnsi="Times New Roman" w:cs="Times New Roman"/>
          <w:sz w:val="24"/>
          <w:szCs w:val="24"/>
        </w:rPr>
      </w:pPr>
    </w:p>
    <w:p w14:paraId="15608E20" w14:textId="77777777" w:rsidR="009771BC" w:rsidRPr="000B7321" w:rsidRDefault="009771BC" w:rsidP="009771BC">
      <w:pPr>
        <w:pStyle w:val="Heading1"/>
        <w:numPr>
          <w:ilvl w:val="0"/>
          <w:numId w:val="6"/>
        </w:numPr>
        <w:spacing w:line="360" w:lineRule="auto"/>
        <w:jc w:val="both"/>
        <w:rPr>
          <w:rFonts w:ascii="Times New Roman" w:eastAsia="Times New Roman" w:hAnsi="Times New Roman" w:cs="Times New Roman"/>
          <w:b/>
          <w:bCs/>
          <w:sz w:val="36"/>
          <w:szCs w:val="36"/>
          <w:lang w:eastAsia="en-GB"/>
        </w:rPr>
      </w:pPr>
      <w:r w:rsidRPr="000B7321">
        <w:rPr>
          <w:rFonts w:ascii="Times New Roman" w:eastAsia="Times New Roman" w:hAnsi="Times New Roman" w:cs="Times New Roman"/>
          <w:b/>
          <w:bCs/>
          <w:sz w:val="36"/>
          <w:szCs w:val="36"/>
          <w:lang w:eastAsia="en-GB"/>
        </w:rPr>
        <w:t>Conclusion:</w:t>
      </w:r>
    </w:p>
    <w:p w14:paraId="34391421" w14:textId="77777777" w:rsidR="009771BC" w:rsidRPr="00094C2D" w:rsidRDefault="009771BC" w:rsidP="009771BC">
      <w:pPr>
        <w:spacing w:after="0" w:line="360" w:lineRule="auto"/>
        <w:jc w:val="both"/>
        <w:rPr>
          <w:rFonts w:ascii="Times New Roman" w:hAnsi="Times New Roman" w:cs="Times New Roman"/>
          <w:sz w:val="24"/>
          <w:szCs w:val="24"/>
        </w:rPr>
      </w:pPr>
    </w:p>
    <w:p w14:paraId="0CC5F9CD" w14:textId="4FAC18D2"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Operose Health is a company that operates in a complex and dynamic environment, and as such, it is affected by several forces that shape its operations and profitability. A PESTEL analysis has been conducted to examine the impact of various factors on the company's performance. The analysis revealed that demographic changes, technological advancements, legal and regulatory changes, economic factors, environmental issues, and sociocultural factors are the main forces affecting Operose Health (</w:t>
      </w:r>
      <w:proofErr w:type="spellStart"/>
      <w:r w:rsidR="006504A1" w:rsidRPr="006504A1">
        <w:rPr>
          <w:rFonts w:ascii="Times New Roman" w:hAnsi="Times New Roman" w:cs="Times New Roman"/>
          <w:sz w:val="24"/>
          <w:szCs w:val="24"/>
        </w:rPr>
        <w:t>Saltman</w:t>
      </w:r>
      <w:proofErr w:type="spellEnd"/>
      <w:r w:rsidR="006504A1" w:rsidRPr="006504A1">
        <w:rPr>
          <w:rFonts w:ascii="Times New Roman" w:hAnsi="Times New Roman" w:cs="Times New Roman"/>
          <w:sz w:val="24"/>
          <w:szCs w:val="24"/>
        </w:rPr>
        <w:t xml:space="preserve"> and </w:t>
      </w:r>
      <w:proofErr w:type="spellStart"/>
      <w:r w:rsidR="006504A1" w:rsidRPr="006504A1">
        <w:rPr>
          <w:rFonts w:ascii="Times New Roman" w:hAnsi="Times New Roman" w:cs="Times New Roman"/>
          <w:sz w:val="24"/>
          <w:szCs w:val="24"/>
        </w:rPr>
        <w:t>Figueras</w:t>
      </w:r>
      <w:proofErr w:type="spellEnd"/>
      <w:r w:rsidR="006504A1" w:rsidRPr="006504A1">
        <w:rPr>
          <w:rFonts w:ascii="Times New Roman" w:hAnsi="Times New Roman" w:cs="Times New Roman"/>
          <w:sz w:val="24"/>
          <w:szCs w:val="24"/>
        </w:rPr>
        <w:t>, 1997</w:t>
      </w:r>
      <w:r w:rsidRPr="00094C2D">
        <w:rPr>
          <w:rFonts w:ascii="Times New Roman" w:hAnsi="Times New Roman" w:cs="Times New Roman"/>
          <w:sz w:val="24"/>
          <w:szCs w:val="24"/>
        </w:rPr>
        <w:t>).</w:t>
      </w:r>
    </w:p>
    <w:p w14:paraId="220CEFB6" w14:textId="77777777" w:rsidR="009771BC" w:rsidRPr="00094C2D" w:rsidRDefault="009771BC" w:rsidP="009771BC">
      <w:pPr>
        <w:spacing w:after="0" w:line="360" w:lineRule="auto"/>
        <w:jc w:val="both"/>
        <w:rPr>
          <w:rFonts w:ascii="Times New Roman" w:hAnsi="Times New Roman" w:cs="Times New Roman"/>
          <w:sz w:val="24"/>
          <w:szCs w:val="24"/>
        </w:rPr>
      </w:pPr>
    </w:p>
    <w:p w14:paraId="6554E278" w14:textId="02084012" w:rsidR="009771BC" w:rsidRPr="00094C2D"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Demographic changes, such as an aging population and a rising number of chronic diseases, are putting pressure on the healthcare system and driving up the demand for primary healthcare services (</w:t>
      </w:r>
      <w:r w:rsidR="00532806" w:rsidRPr="003B6E5A">
        <w:rPr>
          <w:rFonts w:ascii="Times New Roman" w:hAnsi="Times New Roman" w:cs="Times New Roman"/>
          <w:sz w:val="24"/>
          <w:szCs w:val="24"/>
        </w:rPr>
        <w:t>The King's Fund, 2023</w:t>
      </w:r>
      <w:r w:rsidRPr="00094C2D">
        <w:rPr>
          <w:rFonts w:ascii="Times New Roman" w:hAnsi="Times New Roman" w:cs="Times New Roman"/>
          <w:sz w:val="24"/>
          <w:szCs w:val="24"/>
        </w:rPr>
        <w:t xml:space="preserve">). Technological advancements, such as telemedicine and </w:t>
      </w:r>
      <w:r w:rsidRPr="00094C2D">
        <w:rPr>
          <w:rFonts w:ascii="Times New Roman" w:hAnsi="Times New Roman" w:cs="Times New Roman"/>
          <w:sz w:val="24"/>
          <w:szCs w:val="24"/>
        </w:rPr>
        <w:lastRenderedPageBreak/>
        <w:t>electronic health records, are changing the way healthcare is delivered and creating opportunities for companies that can adapt to new technologies (</w:t>
      </w:r>
      <w:proofErr w:type="spellStart"/>
      <w:r w:rsidR="0070094E" w:rsidRPr="007D2AC7">
        <w:rPr>
          <w:rFonts w:ascii="Times New Roman" w:eastAsia="Times New Roman" w:hAnsi="Times New Roman" w:cs="Times New Roman"/>
          <w:color w:val="0E101A"/>
          <w:sz w:val="24"/>
          <w:szCs w:val="24"/>
          <w:lang w:eastAsia="en-GB"/>
        </w:rPr>
        <w:t>Usak</w:t>
      </w:r>
      <w:proofErr w:type="spellEnd"/>
      <w:r w:rsidR="0070094E" w:rsidRPr="007D2AC7">
        <w:rPr>
          <w:rFonts w:ascii="Times New Roman" w:eastAsia="Times New Roman" w:hAnsi="Times New Roman" w:cs="Times New Roman"/>
          <w:color w:val="0E101A"/>
          <w:sz w:val="24"/>
          <w:szCs w:val="24"/>
          <w:lang w:eastAsia="en-GB"/>
        </w:rPr>
        <w:t xml:space="preserve"> et al, 2020</w:t>
      </w:r>
      <w:r w:rsidRPr="00094C2D">
        <w:rPr>
          <w:rFonts w:ascii="Times New Roman" w:hAnsi="Times New Roman" w:cs="Times New Roman"/>
          <w:sz w:val="24"/>
          <w:szCs w:val="24"/>
        </w:rPr>
        <w:t>). Legal and regulatory changes, such as Brexit and changes in government policies, can impact the operations of healthcare providers like Operose Health (</w:t>
      </w:r>
      <w:r w:rsidR="00D90CB7" w:rsidRPr="005B10E7">
        <w:rPr>
          <w:rFonts w:ascii="Times New Roman" w:eastAsia="Times New Roman" w:hAnsi="Times New Roman" w:cs="Times New Roman"/>
          <w:color w:val="0E101A"/>
          <w:sz w:val="24"/>
          <w:szCs w:val="24"/>
          <w:lang w:eastAsia="en-GB"/>
        </w:rPr>
        <w:t xml:space="preserve">Breckenridge and </w:t>
      </w:r>
      <w:proofErr w:type="spellStart"/>
      <w:r w:rsidR="00D90CB7" w:rsidRPr="005B10E7">
        <w:rPr>
          <w:rFonts w:ascii="Times New Roman" w:eastAsia="Times New Roman" w:hAnsi="Times New Roman" w:cs="Times New Roman"/>
          <w:color w:val="0E101A"/>
          <w:sz w:val="24"/>
          <w:szCs w:val="24"/>
          <w:lang w:eastAsia="en-GB"/>
        </w:rPr>
        <w:t>Feldschreiber</w:t>
      </w:r>
      <w:proofErr w:type="spellEnd"/>
      <w:r w:rsidR="00D90CB7" w:rsidRPr="005B10E7">
        <w:rPr>
          <w:rFonts w:ascii="Times New Roman" w:eastAsia="Times New Roman" w:hAnsi="Times New Roman" w:cs="Times New Roman"/>
          <w:color w:val="0E101A"/>
          <w:sz w:val="24"/>
          <w:szCs w:val="24"/>
          <w:lang w:eastAsia="en-GB"/>
        </w:rPr>
        <w:t>, 2019</w:t>
      </w:r>
      <w:r w:rsidRPr="00094C2D">
        <w:rPr>
          <w:rFonts w:ascii="Times New Roman" w:hAnsi="Times New Roman" w:cs="Times New Roman"/>
          <w:sz w:val="24"/>
          <w:szCs w:val="24"/>
        </w:rPr>
        <w:t>). Economic factors, such as inflation and recession, can impact the affordability of healthcare services and the purchasing power of consumers (</w:t>
      </w:r>
      <w:proofErr w:type="spellStart"/>
      <w:r w:rsidR="000D28E1" w:rsidRPr="000D28E1">
        <w:rPr>
          <w:rFonts w:ascii="Times New Roman" w:hAnsi="Times New Roman" w:cs="Times New Roman"/>
          <w:sz w:val="24"/>
          <w:szCs w:val="24"/>
        </w:rPr>
        <w:t>Delardas</w:t>
      </w:r>
      <w:proofErr w:type="spellEnd"/>
      <w:r w:rsidR="000D28E1" w:rsidRPr="000D28E1">
        <w:rPr>
          <w:rFonts w:ascii="Times New Roman" w:hAnsi="Times New Roman" w:cs="Times New Roman"/>
          <w:sz w:val="24"/>
          <w:szCs w:val="24"/>
        </w:rPr>
        <w:t xml:space="preserve"> et al, 2022</w:t>
      </w:r>
      <w:r w:rsidRPr="00094C2D">
        <w:rPr>
          <w:rFonts w:ascii="Times New Roman" w:hAnsi="Times New Roman" w:cs="Times New Roman"/>
          <w:sz w:val="24"/>
          <w:szCs w:val="24"/>
        </w:rPr>
        <w:t>). Environmental issues, such as climate change and pollution, can also impact the health of individuals and communities, leading to increased demand for healthcare services (</w:t>
      </w:r>
      <w:r w:rsidR="00E03BE6" w:rsidRPr="00100968">
        <w:rPr>
          <w:rFonts w:ascii="Times New Roman" w:eastAsia="Times New Roman" w:hAnsi="Times New Roman" w:cs="Times New Roman"/>
          <w:color w:val="0E101A"/>
          <w:sz w:val="24"/>
          <w:szCs w:val="24"/>
          <w:lang w:eastAsia="en-GB"/>
        </w:rPr>
        <w:t>Sherman et al, 2019</w:t>
      </w:r>
      <w:r w:rsidRPr="00094C2D">
        <w:rPr>
          <w:rFonts w:ascii="Times New Roman" w:hAnsi="Times New Roman" w:cs="Times New Roman"/>
          <w:sz w:val="24"/>
          <w:szCs w:val="24"/>
        </w:rPr>
        <w:t>). Finally, sociocultural factors, such as lifestyle choices and cultural beliefs, can impact the demand for healthcare services and the way healthcare is delivered (</w:t>
      </w:r>
      <w:proofErr w:type="spellStart"/>
      <w:r w:rsidR="00D94502" w:rsidRPr="00922651">
        <w:rPr>
          <w:rFonts w:ascii="Times New Roman" w:eastAsia="Times New Roman" w:hAnsi="Times New Roman" w:cs="Times New Roman"/>
          <w:color w:val="0E101A"/>
          <w:sz w:val="24"/>
          <w:szCs w:val="24"/>
          <w:lang w:eastAsia="en-GB"/>
        </w:rPr>
        <w:t>Puaschunder</w:t>
      </w:r>
      <w:proofErr w:type="spellEnd"/>
      <w:r w:rsidR="00D94502" w:rsidRPr="00922651">
        <w:rPr>
          <w:rFonts w:ascii="Times New Roman" w:eastAsia="Times New Roman" w:hAnsi="Times New Roman" w:cs="Times New Roman"/>
          <w:color w:val="0E101A"/>
          <w:sz w:val="24"/>
          <w:szCs w:val="24"/>
          <w:lang w:eastAsia="en-GB"/>
        </w:rPr>
        <w:t>, 2023</w:t>
      </w:r>
      <w:r w:rsidRPr="00094C2D">
        <w:rPr>
          <w:rFonts w:ascii="Times New Roman" w:hAnsi="Times New Roman" w:cs="Times New Roman"/>
          <w:sz w:val="24"/>
          <w:szCs w:val="24"/>
        </w:rPr>
        <w:t>).</w:t>
      </w:r>
    </w:p>
    <w:p w14:paraId="04810F22" w14:textId="77777777" w:rsidR="009771BC" w:rsidRPr="00094C2D" w:rsidRDefault="009771BC" w:rsidP="009771BC">
      <w:pPr>
        <w:spacing w:after="0" w:line="360" w:lineRule="auto"/>
        <w:jc w:val="both"/>
        <w:rPr>
          <w:rFonts w:ascii="Times New Roman" w:hAnsi="Times New Roman" w:cs="Times New Roman"/>
          <w:sz w:val="24"/>
          <w:szCs w:val="24"/>
        </w:rPr>
      </w:pPr>
    </w:p>
    <w:p w14:paraId="662E304A" w14:textId="1F9C9BA8" w:rsidR="009771BC" w:rsidRDefault="009771BC" w:rsidP="009771BC">
      <w:pPr>
        <w:spacing w:after="0" w:line="360" w:lineRule="auto"/>
        <w:jc w:val="both"/>
        <w:rPr>
          <w:rFonts w:ascii="Times New Roman" w:hAnsi="Times New Roman" w:cs="Times New Roman"/>
          <w:sz w:val="24"/>
          <w:szCs w:val="24"/>
        </w:rPr>
      </w:pPr>
      <w:r w:rsidRPr="00094C2D">
        <w:rPr>
          <w:rFonts w:ascii="Times New Roman" w:hAnsi="Times New Roman" w:cs="Times New Roman"/>
          <w:sz w:val="24"/>
          <w:szCs w:val="24"/>
        </w:rPr>
        <w:t>To remain competitive and profitable, Operose Health needs to carefully monitor and adapt to these forces. The company should invest in new technologies and innovation to improve the quality of healthcare services and meet the changing needs of patients (</w:t>
      </w:r>
      <w:r w:rsidR="009E24CD" w:rsidRPr="00B8371E">
        <w:rPr>
          <w:rFonts w:ascii="Times New Roman" w:hAnsi="Times New Roman" w:cs="Times New Roman"/>
          <w:sz w:val="24"/>
          <w:szCs w:val="24"/>
        </w:rPr>
        <w:t>Gomez et al, 2021</w:t>
      </w:r>
      <w:r w:rsidRPr="00094C2D">
        <w:rPr>
          <w:rFonts w:ascii="Times New Roman" w:hAnsi="Times New Roman" w:cs="Times New Roman"/>
          <w:sz w:val="24"/>
          <w:szCs w:val="24"/>
        </w:rPr>
        <w:t xml:space="preserve">). It should also stay </w:t>
      </w:r>
      <w:proofErr w:type="gramStart"/>
      <w:r w:rsidRPr="00094C2D">
        <w:rPr>
          <w:rFonts w:ascii="Times New Roman" w:hAnsi="Times New Roman" w:cs="Times New Roman"/>
          <w:sz w:val="24"/>
          <w:szCs w:val="24"/>
        </w:rPr>
        <w:t>up-to-date</w:t>
      </w:r>
      <w:proofErr w:type="gramEnd"/>
      <w:r w:rsidRPr="00094C2D">
        <w:rPr>
          <w:rFonts w:ascii="Times New Roman" w:hAnsi="Times New Roman" w:cs="Times New Roman"/>
          <w:sz w:val="24"/>
          <w:szCs w:val="24"/>
        </w:rPr>
        <w:t xml:space="preserve"> with legal and regulatory changes to ensure compliance and avoid any legal issues. Moreover, the company needs to be aware of economic trends and adapt its pricing and service offerings to remain affordable for consumers. Finally, Operose Health should be proactive in addressing environmental and sociocultural issues to build a positive reputation and meet the changing expectations of patients and the wider community.</w:t>
      </w:r>
    </w:p>
    <w:p w14:paraId="14FF75C8" w14:textId="77777777" w:rsidR="009771BC" w:rsidRDefault="009771BC" w:rsidP="009771BC">
      <w:pPr>
        <w:spacing w:after="0" w:line="360" w:lineRule="auto"/>
        <w:jc w:val="both"/>
        <w:rPr>
          <w:rFonts w:ascii="Times New Roman" w:hAnsi="Times New Roman" w:cs="Times New Roman"/>
          <w:sz w:val="24"/>
          <w:szCs w:val="24"/>
        </w:rPr>
      </w:pPr>
    </w:p>
    <w:p w14:paraId="2756268A" w14:textId="77777777" w:rsidR="009771BC" w:rsidRPr="000B7321" w:rsidRDefault="009771BC" w:rsidP="009771BC">
      <w:pPr>
        <w:pStyle w:val="Heading1"/>
        <w:numPr>
          <w:ilvl w:val="0"/>
          <w:numId w:val="6"/>
        </w:numPr>
        <w:spacing w:line="360" w:lineRule="auto"/>
        <w:jc w:val="both"/>
        <w:rPr>
          <w:rFonts w:ascii="Times New Roman" w:eastAsia="Times New Roman" w:hAnsi="Times New Roman" w:cs="Times New Roman"/>
          <w:b/>
          <w:bCs/>
          <w:sz w:val="36"/>
          <w:szCs w:val="36"/>
          <w:lang w:eastAsia="en-GB"/>
        </w:rPr>
      </w:pPr>
      <w:r w:rsidRPr="000B7321">
        <w:rPr>
          <w:rFonts w:ascii="Times New Roman" w:eastAsia="Times New Roman" w:hAnsi="Times New Roman" w:cs="Times New Roman"/>
          <w:b/>
          <w:bCs/>
          <w:sz w:val="36"/>
          <w:szCs w:val="36"/>
          <w:lang w:eastAsia="en-GB"/>
        </w:rPr>
        <w:t xml:space="preserve">References: </w:t>
      </w:r>
    </w:p>
    <w:p w14:paraId="2F114E68" w14:textId="77777777" w:rsidR="009771BC" w:rsidRPr="00094C2D" w:rsidRDefault="009771BC" w:rsidP="009771BC">
      <w:pPr>
        <w:spacing w:after="0" w:line="360" w:lineRule="auto"/>
        <w:jc w:val="both"/>
        <w:rPr>
          <w:rFonts w:ascii="Times New Roman" w:hAnsi="Times New Roman" w:cs="Times New Roman"/>
          <w:sz w:val="24"/>
          <w:szCs w:val="24"/>
        </w:rPr>
      </w:pPr>
    </w:p>
    <w:p w14:paraId="49EB2020"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Abdussalam</w:t>
      </w:r>
      <w:proofErr w:type="spellEnd"/>
      <w:r w:rsidRPr="007504FF">
        <w:rPr>
          <w:rFonts w:ascii="Times New Roman" w:hAnsi="Times New Roman" w:cs="Times New Roman"/>
          <w:sz w:val="24"/>
          <w:szCs w:val="24"/>
        </w:rPr>
        <w:t xml:space="preserve">-Mohammed, W., Ali, A.Q., &amp; </w:t>
      </w:r>
      <w:proofErr w:type="spellStart"/>
      <w:r w:rsidRPr="007504FF">
        <w:rPr>
          <w:rFonts w:ascii="Times New Roman" w:hAnsi="Times New Roman" w:cs="Times New Roman"/>
          <w:sz w:val="24"/>
          <w:szCs w:val="24"/>
        </w:rPr>
        <w:t>Errayes</w:t>
      </w:r>
      <w:proofErr w:type="spellEnd"/>
      <w:r w:rsidRPr="007504FF">
        <w:rPr>
          <w:rFonts w:ascii="Times New Roman" w:hAnsi="Times New Roman" w:cs="Times New Roman"/>
          <w:sz w:val="24"/>
          <w:szCs w:val="24"/>
        </w:rPr>
        <w:t xml:space="preserve">, A.O. (2020). Green chemistry: principles, applications, and disadvantages. </w:t>
      </w:r>
      <w:r w:rsidRPr="007504FF">
        <w:rPr>
          <w:rFonts w:ascii="Times New Roman" w:hAnsi="Times New Roman" w:cs="Times New Roman"/>
          <w:i/>
          <w:iCs/>
          <w:sz w:val="24"/>
          <w:szCs w:val="24"/>
        </w:rPr>
        <w:t xml:space="preserve">Chem. </w:t>
      </w:r>
      <w:proofErr w:type="spellStart"/>
      <w:r w:rsidRPr="007504FF">
        <w:rPr>
          <w:rFonts w:ascii="Times New Roman" w:hAnsi="Times New Roman" w:cs="Times New Roman"/>
          <w:i/>
          <w:iCs/>
          <w:sz w:val="24"/>
          <w:szCs w:val="24"/>
        </w:rPr>
        <w:t>Methodol</w:t>
      </w:r>
      <w:proofErr w:type="spellEnd"/>
      <w:r w:rsidRPr="007504FF">
        <w:rPr>
          <w:rFonts w:ascii="Times New Roman" w:hAnsi="Times New Roman" w:cs="Times New Roman"/>
          <w:sz w:val="24"/>
          <w:szCs w:val="24"/>
        </w:rPr>
        <w:t>, 4(4), 408-423.</w:t>
      </w:r>
    </w:p>
    <w:p w14:paraId="5C3C5473"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Abugabah</w:t>
      </w:r>
      <w:proofErr w:type="spellEnd"/>
      <w:r w:rsidRPr="007504FF">
        <w:rPr>
          <w:rFonts w:ascii="Times New Roman" w:hAnsi="Times New Roman" w:cs="Times New Roman"/>
          <w:sz w:val="24"/>
          <w:szCs w:val="24"/>
        </w:rPr>
        <w:t xml:space="preserve">, A., Nizamuddin, N., &amp; </w:t>
      </w:r>
      <w:proofErr w:type="spellStart"/>
      <w:r w:rsidRPr="007504FF">
        <w:rPr>
          <w:rFonts w:ascii="Times New Roman" w:hAnsi="Times New Roman" w:cs="Times New Roman"/>
          <w:sz w:val="24"/>
          <w:szCs w:val="24"/>
        </w:rPr>
        <w:t>Alzubi</w:t>
      </w:r>
      <w:proofErr w:type="spellEnd"/>
      <w:r w:rsidRPr="007504FF">
        <w:rPr>
          <w:rFonts w:ascii="Times New Roman" w:hAnsi="Times New Roman" w:cs="Times New Roman"/>
          <w:sz w:val="24"/>
          <w:szCs w:val="24"/>
        </w:rPr>
        <w:t xml:space="preserve">, A.A. (2020). Decentralized telemedicine framework for a smart healthcare ecosystem. </w:t>
      </w:r>
      <w:r w:rsidRPr="007504FF">
        <w:rPr>
          <w:rFonts w:ascii="Times New Roman" w:hAnsi="Times New Roman" w:cs="Times New Roman"/>
          <w:i/>
          <w:iCs/>
          <w:sz w:val="24"/>
          <w:szCs w:val="24"/>
        </w:rPr>
        <w:t>IEEE Access</w:t>
      </w:r>
      <w:r w:rsidRPr="007504FF">
        <w:rPr>
          <w:rFonts w:ascii="Times New Roman" w:hAnsi="Times New Roman" w:cs="Times New Roman"/>
          <w:sz w:val="24"/>
          <w:szCs w:val="24"/>
        </w:rPr>
        <w:t>, 8, 166575-166588.</w:t>
      </w:r>
    </w:p>
    <w:p w14:paraId="11809E0A"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Agri, E.M., </w:t>
      </w:r>
      <w:proofErr w:type="spellStart"/>
      <w:r w:rsidRPr="007504FF">
        <w:rPr>
          <w:rFonts w:ascii="Times New Roman" w:hAnsi="Times New Roman" w:cs="Times New Roman"/>
          <w:sz w:val="24"/>
          <w:szCs w:val="24"/>
        </w:rPr>
        <w:t>Mailafia</w:t>
      </w:r>
      <w:proofErr w:type="spellEnd"/>
      <w:r w:rsidRPr="007504FF">
        <w:rPr>
          <w:rFonts w:ascii="Times New Roman" w:hAnsi="Times New Roman" w:cs="Times New Roman"/>
          <w:sz w:val="24"/>
          <w:szCs w:val="24"/>
        </w:rPr>
        <w:t xml:space="preserve">, D., &amp; </w:t>
      </w:r>
      <w:proofErr w:type="spellStart"/>
      <w:r w:rsidRPr="007504FF">
        <w:rPr>
          <w:rFonts w:ascii="Times New Roman" w:hAnsi="Times New Roman" w:cs="Times New Roman"/>
          <w:sz w:val="24"/>
          <w:szCs w:val="24"/>
        </w:rPr>
        <w:t>Umejiaku</w:t>
      </w:r>
      <w:proofErr w:type="spellEnd"/>
      <w:r w:rsidRPr="007504FF">
        <w:rPr>
          <w:rFonts w:ascii="Times New Roman" w:hAnsi="Times New Roman" w:cs="Times New Roman"/>
          <w:sz w:val="24"/>
          <w:szCs w:val="24"/>
        </w:rPr>
        <w:t xml:space="preserve">, M.R.I. (2017). Impact of economic recession on macroeconomic stability and sustainable development in Nigeria. </w:t>
      </w:r>
      <w:r w:rsidRPr="007504FF">
        <w:rPr>
          <w:rFonts w:ascii="Times New Roman" w:hAnsi="Times New Roman" w:cs="Times New Roman"/>
          <w:i/>
          <w:iCs/>
          <w:sz w:val="24"/>
          <w:szCs w:val="24"/>
        </w:rPr>
        <w:t>Science Journal of Economics, 2017</w:t>
      </w:r>
      <w:r w:rsidRPr="007504FF">
        <w:rPr>
          <w:rFonts w:ascii="Times New Roman" w:hAnsi="Times New Roman" w:cs="Times New Roman"/>
          <w:sz w:val="24"/>
          <w:szCs w:val="24"/>
        </w:rPr>
        <w:t>.</w:t>
      </w:r>
    </w:p>
    <w:p w14:paraId="0E3BAC72"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lastRenderedPageBreak/>
        <w:t xml:space="preserve">Ahrens, T., &amp; Ferry, L. (2021). Accounting and accountability practices in times of crisis: a Foucauldian perspective on the UK government's response to COVID-19 for England. </w:t>
      </w:r>
      <w:r w:rsidRPr="007504FF">
        <w:rPr>
          <w:rFonts w:ascii="Times New Roman" w:hAnsi="Times New Roman" w:cs="Times New Roman"/>
          <w:i/>
          <w:iCs/>
          <w:sz w:val="24"/>
          <w:szCs w:val="24"/>
        </w:rPr>
        <w:t>Accounting, Auditing &amp; Accountability Journal</w:t>
      </w:r>
      <w:r w:rsidRPr="007504FF">
        <w:rPr>
          <w:rFonts w:ascii="Times New Roman" w:hAnsi="Times New Roman" w:cs="Times New Roman"/>
          <w:sz w:val="24"/>
          <w:szCs w:val="24"/>
        </w:rPr>
        <w:t>, 34(6), 1332-1344.</w:t>
      </w:r>
    </w:p>
    <w:p w14:paraId="2253377B"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Ardebili</w:t>
      </w:r>
      <w:proofErr w:type="spellEnd"/>
      <w:r w:rsidRPr="007504FF">
        <w:rPr>
          <w:rFonts w:ascii="Times New Roman" w:hAnsi="Times New Roman" w:cs="Times New Roman"/>
          <w:sz w:val="24"/>
          <w:szCs w:val="24"/>
        </w:rPr>
        <w:t xml:space="preserve">, M.E., </w:t>
      </w:r>
      <w:proofErr w:type="spellStart"/>
      <w:r w:rsidRPr="007504FF">
        <w:rPr>
          <w:rFonts w:ascii="Times New Roman" w:hAnsi="Times New Roman" w:cs="Times New Roman"/>
          <w:sz w:val="24"/>
          <w:szCs w:val="24"/>
        </w:rPr>
        <w:t>Naserbakht</w:t>
      </w:r>
      <w:proofErr w:type="spellEnd"/>
      <w:r w:rsidRPr="007504FF">
        <w:rPr>
          <w:rFonts w:ascii="Times New Roman" w:hAnsi="Times New Roman" w:cs="Times New Roman"/>
          <w:sz w:val="24"/>
          <w:szCs w:val="24"/>
        </w:rPr>
        <w:t xml:space="preserve">, M., Bernstein, C., </w:t>
      </w:r>
      <w:proofErr w:type="spellStart"/>
      <w:r w:rsidRPr="007504FF">
        <w:rPr>
          <w:rFonts w:ascii="Times New Roman" w:hAnsi="Times New Roman" w:cs="Times New Roman"/>
          <w:sz w:val="24"/>
          <w:szCs w:val="24"/>
        </w:rPr>
        <w:t>Alazmani-Noodeh</w:t>
      </w:r>
      <w:proofErr w:type="spellEnd"/>
      <w:r w:rsidRPr="007504FF">
        <w:rPr>
          <w:rFonts w:ascii="Times New Roman" w:hAnsi="Times New Roman" w:cs="Times New Roman"/>
          <w:sz w:val="24"/>
          <w:szCs w:val="24"/>
        </w:rPr>
        <w:t xml:space="preserve">, F., Hakimi, H., &amp; </w:t>
      </w:r>
      <w:proofErr w:type="spellStart"/>
      <w:r w:rsidRPr="007504FF">
        <w:rPr>
          <w:rFonts w:ascii="Times New Roman" w:hAnsi="Times New Roman" w:cs="Times New Roman"/>
          <w:sz w:val="24"/>
          <w:szCs w:val="24"/>
        </w:rPr>
        <w:t>Ranjbar</w:t>
      </w:r>
      <w:proofErr w:type="spellEnd"/>
      <w:r w:rsidRPr="007504FF">
        <w:rPr>
          <w:rFonts w:ascii="Times New Roman" w:hAnsi="Times New Roman" w:cs="Times New Roman"/>
          <w:sz w:val="24"/>
          <w:szCs w:val="24"/>
        </w:rPr>
        <w:t xml:space="preserve">, H. (2021). Healthcare providers' experience of working during the COVID-19 pandemic: a qualitative study. </w:t>
      </w:r>
      <w:r w:rsidRPr="007504FF">
        <w:rPr>
          <w:rFonts w:ascii="Times New Roman" w:hAnsi="Times New Roman" w:cs="Times New Roman"/>
          <w:i/>
          <w:iCs/>
          <w:sz w:val="24"/>
          <w:szCs w:val="24"/>
        </w:rPr>
        <w:t>American Journal of Infection Control</w:t>
      </w:r>
      <w:r w:rsidRPr="007504FF">
        <w:rPr>
          <w:rFonts w:ascii="Times New Roman" w:hAnsi="Times New Roman" w:cs="Times New Roman"/>
          <w:sz w:val="24"/>
          <w:szCs w:val="24"/>
        </w:rPr>
        <w:t>, 49(5), 547-554.</w:t>
      </w:r>
    </w:p>
    <w:p w14:paraId="6D8427A6"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Bedoya Reina, M.T., Brereton, N., &amp; </w:t>
      </w:r>
      <w:proofErr w:type="spellStart"/>
      <w:r w:rsidRPr="007504FF">
        <w:rPr>
          <w:rFonts w:ascii="Times New Roman" w:hAnsi="Times New Roman" w:cs="Times New Roman"/>
          <w:sz w:val="24"/>
          <w:szCs w:val="24"/>
        </w:rPr>
        <w:t>Zilbermint</w:t>
      </w:r>
      <w:proofErr w:type="spellEnd"/>
      <w:r w:rsidRPr="007504FF">
        <w:rPr>
          <w:rFonts w:ascii="Times New Roman" w:hAnsi="Times New Roman" w:cs="Times New Roman"/>
          <w:sz w:val="24"/>
          <w:szCs w:val="24"/>
        </w:rPr>
        <w:t xml:space="preserve">, M. (2021). Haven Health is about to disrupt the US healthcare system. </w:t>
      </w:r>
      <w:r w:rsidRPr="007504FF">
        <w:rPr>
          <w:rFonts w:ascii="Times New Roman" w:hAnsi="Times New Roman" w:cs="Times New Roman"/>
          <w:i/>
          <w:iCs/>
          <w:sz w:val="24"/>
          <w:szCs w:val="24"/>
        </w:rPr>
        <w:t>Journal of Community Hospital Internal Medicine Perspectives</w:t>
      </w:r>
      <w:r w:rsidRPr="007504FF">
        <w:rPr>
          <w:rFonts w:ascii="Times New Roman" w:hAnsi="Times New Roman" w:cs="Times New Roman"/>
          <w:sz w:val="24"/>
          <w:szCs w:val="24"/>
        </w:rPr>
        <w:t>, 11(3), 357-360.</w:t>
      </w:r>
    </w:p>
    <w:p w14:paraId="01F1ED77"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Benzaghta</w:t>
      </w:r>
      <w:proofErr w:type="spellEnd"/>
      <w:r w:rsidRPr="007504FF">
        <w:rPr>
          <w:rFonts w:ascii="Times New Roman" w:hAnsi="Times New Roman" w:cs="Times New Roman"/>
          <w:sz w:val="24"/>
          <w:szCs w:val="24"/>
        </w:rPr>
        <w:t xml:space="preserve">, M.A., </w:t>
      </w:r>
      <w:proofErr w:type="spellStart"/>
      <w:r w:rsidRPr="007504FF">
        <w:rPr>
          <w:rFonts w:ascii="Times New Roman" w:hAnsi="Times New Roman" w:cs="Times New Roman"/>
          <w:sz w:val="24"/>
          <w:szCs w:val="24"/>
        </w:rPr>
        <w:t>Elwalda</w:t>
      </w:r>
      <w:proofErr w:type="spellEnd"/>
      <w:r w:rsidRPr="007504FF">
        <w:rPr>
          <w:rFonts w:ascii="Times New Roman" w:hAnsi="Times New Roman" w:cs="Times New Roman"/>
          <w:sz w:val="24"/>
          <w:szCs w:val="24"/>
        </w:rPr>
        <w:t xml:space="preserve">, A., Mousa, M.M., Erkan, I., &amp; Rahman, M. (2021). SWOT analysis applications: An integrative literature review. </w:t>
      </w:r>
      <w:r w:rsidRPr="007504FF">
        <w:rPr>
          <w:rFonts w:ascii="Times New Roman" w:hAnsi="Times New Roman" w:cs="Times New Roman"/>
          <w:i/>
          <w:iCs/>
          <w:sz w:val="24"/>
          <w:szCs w:val="24"/>
        </w:rPr>
        <w:t>Journal of Global Business Insights</w:t>
      </w:r>
      <w:r w:rsidRPr="007504FF">
        <w:rPr>
          <w:rFonts w:ascii="Times New Roman" w:hAnsi="Times New Roman" w:cs="Times New Roman"/>
          <w:sz w:val="24"/>
          <w:szCs w:val="24"/>
        </w:rPr>
        <w:t>, 6(1), 55-73.</w:t>
      </w:r>
    </w:p>
    <w:p w14:paraId="392F9FE9"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Breckenridge, A., &amp; </w:t>
      </w:r>
      <w:proofErr w:type="spellStart"/>
      <w:r w:rsidRPr="007504FF">
        <w:rPr>
          <w:rFonts w:ascii="Times New Roman" w:hAnsi="Times New Roman" w:cs="Times New Roman"/>
          <w:sz w:val="24"/>
          <w:szCs w:val="24"/>
        </w:rPr>
        <w:t>Feldschreiber</w:t>
      </w:r>
      <w:proofErr w:type="spellEnd"/>
      <w:r w:rsidRPr="007504FF">
        <w:rPr>
          <w:rFonts w:ascii="Times New Roman" w:hAnsi="Times New Roman" w:cs="Times New Roman"/>
          <w:sz w:val="24"/>
          <w:szCs w:val="24"/>
        </w:rPr>
        <w:t xml:space="preserve">, P. (2019). Impact of Brexit on UK and EU drug regulation and patient access. </w:t>
      </w:r>
      <w:r w:rsidRPr="007504FF">
        <w:rPr>
          <w:rFonts w:ascii="Times New Roman" w:hAnsi="Times New Roman" w:cs="Times New Roman"/>
          <w:i/>
          <w:iCs/>
          <w:sz w:val="24"/>
          <w:szCs w:val="24"/>
        </w:rPr>
        <w:t>Clinical Pharmacology &amp; Therapeutics</w:t>
      </w:r>
      <w:r w:rsidRPr="007504FF">
        <w:rPr>
          <w:rFonts w:ascii="Times New Roman" w:hAnsi="Times New Roman" w:cs="Times New Roman"/>
          <w:sz w:val="24"/>
          <w:szCs w:val="24"/>
        </w:rPr>
        <w:t>, 105(4), 923-925.</w:t>
      </w:r>
    </w:p>
    <w:p w14:paraId="73167187"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Buckton, C.H., Fergie, G., </w:t>
      </w:r>
      <w:proofErr w:type="spellStart"/>
      <w:r w:rsidRPr="007504FF">
        <w:rPr>
          <w:rFonts w:ascii="Times New Roman" w:hAnsi="Times New Roman" w:cs="Times New Roman"/>
          <w:sz w:val="24"/>
          <w:szCs w:val="24"/>
        </w:rPr>
        <w:t>Leifeld</w:t>
      </w:r>
      <w:proofErr w:type="spellEnd"/>
      <w:r w:rsidRPr="007504FF">
        <w:rPr>
          <w:rFonts w:ascii="Times New Roman" w:hAnsi="Times New Roman" w:cs="Times New Roman"/>
          <w:sz w:val="24"/>
          <w:szCs w:val="24"/>
        </w:rPr>
        <w:t xml:space="preserve">, P., &amp; Hilton, S. (2019). A discourse network analysis of UK newspaper coverage of the “sugar tax” debate before and after the announcement of the Soft Drinks Industry Levy. </w:t>
      </w:r>
      <w:r w:rsidRPr="007504FF">
        <w:rPr>
          <w:rFonts w:ascii="Times New Roman" w:hAnsi="Times New Roman" w:cs="Times New Roman"/>
          <w:i/>
          <w:iCs/>
          <w:sz w:val="24"/>
          <w:szCs w:val="24"/>
        </w:rPr>
        <w:t>BMC Public Health</w:t>
      </w:r>
      <w:r w:rsidRPr="007504FF">
        <w:rPr>
          <w:rFonts w:ascii="Times New Roman" w:hAnsi="Times New Roman" w:cs="Times New Roman"/>
          <w:sz w:val="24"/>
          <w:szCs w:val="24"/>
        </w:rPr>
        <w:t>, 19(1), 1-14.</w:t>
      </w:r>
    </w:p>
    <w:p w14:paraId="3F0E4E9D"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Centene Corporation. (2021a). About us. [Online]. Available at: </w:t>
      </w:r>
      <w:hyperlink r:id="rId11" w:tgtFrame="_new" w:history="1">
        <w:r w:rsidRPr="007504FF">
          <w:rPr>
            <w:rStyle w:val="Hyperlink"/>
            <w:rFonts w:ascii="Times New Roman" w:hAnsi="Times New Roman" w:cs="Times New Roman"/>
            <w:sz w:val="24"/>
            <w:szCs w:val="24"/>
          </w:rPr>
          <w:t>https://www.centene.com/who-we-are.html</w:t>
        </w:r>
      </w:hyperlink>
      <w:r w:rsidRPr="007504FF">
        <w:rPr>
          <w:rFonts w:ascii="Times New Roman" w:hAnsi="Times New Roman" w:cs="Times New Roman"/>
          <w:sz w:val="24"/>
          <w:szCs w:val="24"/>
        </w:rPr>
        <w:t xml:space="preserve"> (Accessed on 10th April 2023).</w:t>
      </w:r>
    </w:p>
    <w:p w14:paraId="22EABF91"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Centene Corporation. (2021b). Centene Corporation Announces Fourth Quarter and Full Year 2020 Results. [Online]. Available at: </w:t>
      </w:r>
      <w:hyperlink r:id="rId12" w:tgtFrame="_new" w:history="1">
        <w:r w:rsidRPr="007504FF">
          <w:rPr>
            <w:rStyle w:val="Hyperlink"/>
            <w:rFonts w:ascii="Times New Roman" w:hAnsi="Times New Roman" w:cs="Times New Roman"/>
            <w:sz w:val="24"/>
            <w:szCs w:val="24"/>
          </w:rPr>
          <w:t>https://investors.centene.com/2021-02-09-Centene-Corporation-Reports-2020-Results</w:t>
        </w:r>
      </w:hyperlink>
      <w:r w:rsidRPr="007504FF">
        <w:rPr>
          <w:rFonts w:ascii="Times New Roman" w:hAnsi="Times New Roman" w:cs="Times New Roman"/>
          <w:sz w:val="24"/>
          <w:szCs w:val="24"/>
        </w:rPr>
        <w:t xml:space="preserve"> (Accessed on 9th April 2023).</w:t>
      </w:r>
    </w:p>
    <w:p w14:paraId="22C3F20C"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Corvalan</w:t>
      </w:r>
      <w:proofErr w:type="spellEnd"/>
      <w:r w:rsidRPr="007504FF">
        <w:rPr>
          <w:rFonts w:ascii="Times New Roman" w:hAnsi="Times New Roman" w:cs="Times New Roman"/>
          <w:sz w:val="24"/>
          <w:szCs w:val="24"/>
        </w:rPr>
        <w:t xml:space="preserve">, C., Villalobos Prats, E., </w:t>
      </w:r>
      <w:proofErr w:type="spellStart"/>
      <w:r w:rsidRPr="007504FF">
        <w:rPr>
          <w:rFonts w:ascii="Times New Roman" w:hAnsi="Times New Roman" w:cs="Times New Roman"/>
          <w:sz w:val="24"/>
          <w:szCs w:val="24"/>
        </w:rPr>
        <w:t>Sena</w:t>
      </w:r>
      <w:proofErr w:type="spellEnd"/>
      <w:r w:rsidRPr="007504FF">
        <w:rPr>
          <w:rFonts w:ascii="Times New Roman" w:hAnsi="Times New Roman" w:cs="Times New Roman"/>
          <w:sz w:val="24"/>
          <w:szCs w:val="24"/>
        </w:rPr>
        <w:t>, A., Campbell-</w:t>
      </w:r>
      <w:proofErr w:type="spellStart"/>
      <w:r w:rsidRPr="007504FF">
        <w:rPr>
          <w:rFonts w:ascii="Times New Roman" w:hAnsi="Times New Roman" w:cs="Times New Roman"/>
          <w:sz w:val="24"/>
          <w:szCs w:val="24"/>
        </w:rPr>
        <w:t>Lendrum</w:t>
      </w:r>
      <w:proofErr w:type="spellEnd"/>
      <w:r w:rsidRPr="007504FF">
        <w:rPr>
          <w:rFonts w:ascii="Times New Roman" w:hAnsi="Times New Roman" w:cs="Times New Roman"/>
          <w:sz w:val="24"/>
          <w:szCs w:val="24"/>
        </w:rPr>
        <w:t xml:space="preserve">, D., </w:t>
      </w:r>
      <w:proofErr w:type="spellStart"/>
      <w:r w:rsidRPr="007504FF">
        <w:rPr>
          <w:rFonts w:ascii="Times New Roman" w:hAnsi="Times New Roman" w:cs="Times New Roman"/>
          <w:sz w:val="24"/>
          <w:szCs w:val="24"/>
        </w:rPr>
        <w:t>Karliner</w:t>
      </w:r>
      <w:proofErr w:type="spellEnd"/>
      <w:r w:rsidRPr="007504FF">
        <w:rPr>
          <w:rFonts w:ascii="Times New Roman" w:hAnsi="Times New Roman" w:cs="Times New Roman"/>
          <w:sz w:val="24"/>
          <w:szCs w:val="24"/>
        </w:rPr>
        <w:t xml:space="preserve">, J., </w:t>
      </w:r>
      <w:proofErr w:type="spellStart"/>
      <w:r w:rsidRPr="007504FF">
        <w:rPr>
          <w:rFonts w:ascii="Times New Roman" w:hAnsi="Times New Roman" w:cs="Times New Roman"/>
          <w:sz w:val="24"/>
          <w:szCs w:val="24"/>
        </w:rPr>
        <w:t>Risso</w:t>
      </w:r>
      <w:proofErr w:type="spellEnd"/>
      <w:r w:rsidRPr="007504FF">
        <w:rPr>
          <w:rFonts w:ascii="Times New Roman" w:hAnsi="Times New Roman" w:cs="Times New Roman"/>
          <w:sz w:val="24"/>
          <w:szCs w:val="24"/>
        </w:rPr>
        <w:t xml:space="preserve">, A., ... &amp; Berry, P. (2020). Towards climate-resilient and environmentally sustainable healthcare facilities. </w:t>
      </w:r>
      <w:r w:rsidRPr="007504FF">
        <w:rPr>
          <w:rFonts w:ascii="Times New Roman" w:hAnsi="Times New Roman" w:cs="Times New Roman"/>
          <w:i/>
          <w:iCs/>
          <w:sz w:val="24"/>
          <w:szCs w:val="24"/>
        </w:rPr>
        <w:t>International Journal of Environmental Research and Public Health</w:t>
      </w:r>
      <w:r w:rsidRPr="007504FF">
        <w:rPr>
          <w:rFonts w:ascii="Times New Roman" w:hAnsi="Times New Roman" w:cs="Times New Roman"/>
          <w:sz w:val="24"/>
          <w:szCs w:val="24"/>
        </w:rPr>
        <w:t>, 17(23), 8849.</w:t>
      </w:r>
    </w:p>
    <w:p w14:paraId="52297E11"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Delardas</w:t>
      </w:r>
      <w:proofErr w:type="spellEnd"/>
      <w:r w:rsidRPr="007504FF">
        <w:rPr>
          <w:rFonts w:ascii="Times New Roman" w:hAnsi="Times New Roman" w:cs="Times New Roman"/>
          <w:sz w:val="24"/>
          <w:szCs w:val="24"/>
        </w:rPr>
        <w:t xml:space="preserve">, O., </w:t>
      </w:r>
      <w:proofErr w:type="spellStart"/>
      <w:r w:rsidRPr="007504FF">
        <w:rPr>
          <w:rFonts w:ascii="Times New Roman" w:hAnsi="Times New Roman" w:cs="Times New Roman"/>
          <w:sz w:val="24"/>
          <w:szCs w:val="24"/>
        </w:rPr>
        <w:t>Kechagias</w:t>
      </w:r>
      <w:proofErr w:type="spellEnd"/>
      <w:r w:rsidRPr="007504FF">
        <w:rPr>
          <w:rFonts w:ascii="Times New Roman" w:hAnsi="Times New Roman" w:cs="Times New Roman"/>
          <w:sz w:val="24"/>
          <w:szCs w:val="24"/>
        </w:rPr>
        <w:t xml:space="preserve">, K.S., </w:t>
      </w:r>
      <w:proofErr w:type="spellStart"/>
      <w:r w:rsidRPr="007504FF">
        <w:rPr>
          <w:rFonts w:ascii="Times New Roman" w:hAnsi="Times New Roman" w:cs="Times New Roman"/>
          <w:sz w:val="24"/>
          <w:szCs w:val="24"/>
        </w:rPr>
        <w:t>Pontikos</w:t>
      </w:r>
      <w:proofErr w:type="spellEnd"/>
      <w:r w:rsidRPr="007504FF">
        <w:rPr>
          <w:rFonts w:ascii="Times New Roman" w:hAnsi="Times New Roman" w:cs="Times New Roman"/>
          <w:sz w:val="24"/>
          <w:szCs w:val="24"/>
        </w:rPr>
        <w:t xml:space="preserve">, P.N., &amp; </w:t>
      </w:r>
      <w:proofErr w:type="spellStart"/>
      <w:r w:rsidRPr="007504FF">
        <w:rPr>
          <w:rFonts w:ascii="Times New Roman" w:hAnsi="Times New Roman" w:cs="Times New Roman"/>
          <w:sz w:val="24"/>
          <w:szCs w:val="24"/>
        </w:rPr>
        <w:t>Giannos</w:t>
      </w:r>
      <w:proofErr w:type="spellEnd"/>
      <w:r w:rsidRPr="007504FF">
        <w:rPr>
          <w:rFonts w:ascii="Times New Roman" w:hAnsi="Times New Roman" w:cs="Times New Roman"/>
          <w:sz w:val="24"/>
          <w:szCs w:val="24"/>
        </w:rPr>
        <w:t xml:space="preserve">, P. (2022). Socio-economic impacts and challenges of the coronavirus pandemic (COVID-19): an updated review. </w:t>
      </w:r>
      <w:r w:rsidRPr="007504FF">
        <w:rPr>
          <w:rFonts w:ascii="Times New Roman" w:hAnsi="Times New Roman" w:cs="Times New Roman"/>
          <w:i/>
          <w:iCs/>
          <w:sz w:val="24"/>
          <w:szCs w:val="24"/>
        </w:rPr>
        <w:t>Sustainability</w:t>
      </w:r>
      <w:r w:rsidRPr="007504FF">
        <w:rPr>
          <w:rFonts w:ascii="Times New Roman" w:hAnsi="Times New Roman" w:cs="Times New Roman"/>
          <w:sz w:val="24"/>
          <w:szCs w:val="24"/>
        </w:rPr>
        <w:t>, 14(15), 9699.</w:t>
      </w:r>
    </w:p>
    <w:p w14:paraId="1CD62580"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European Union. (2016). General Data Protection Regulation (GDPR). [Online]. Available at: </w:t>
      </w:r>
      <w:hyperlink r:id="rId13" w:tgtFrame="_new" w:history="1">
        <w:r w:rsidRPr="007504FF">
          <w:rPr>
            <w:rStyle w:val="Hyperlink"/>
            <w:rFonts w:ascii="Times New Roman" w:hAnsi="Times New Roman" w:cs="Times New Roman"/>
            <w:sz w:val="24"/>
            <w:szCs w:val="24"/>
          </w:rPr>
          <w:t>https://eur-lex.europa.eu/eli/reg/2016/679/oj</w:t>
        </w:r>
      </w:hyperlink>
    </w:p>
    <w:p w14:paraId="5E695260"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Fahy, N., Hervey, T., Greer, S., Jarman, H., </w:t>
      </w:r>
      <w:proofErr w:type="spellStart"/>
      <w:r w:rsidRPr="007504FF">
        <w:rPr>
          <w:rFonts w:ascii="Times New Roman" w:hAnsi="Times New Roman" w:cs="Times New Roman"/>
          <w:sz w:val="24"/>
          <w:szCs w:val="24"/>
        </w:rPr>
        <w:t>Stuckler</w:t>
      </w:r>
      <w:proofErr w:type="spellEnd"/>
      <w:r w:rsidRPr="007504FF">
        <w:rPr>
          <w:rFonts w:ascii="Times New Roman" w:hAnsi="Times New Roman" w:cs="Times New Roman"/>
          <w:sz w:val="24"/>
          <w:szCs w:val="24"/>
        </w:rPr>
        <w:t xml:space="preserve">, D., Galsworthy, M., &amp; McKee, M. (2017). How will Brexit affect health and health services in the UK? Evaluating three possible scenarios. </w:t>
      </w:r>
      <w:r w:rsidRPr="007504FF">
        <w:rPr>
          <w:rFonts w:ascii="Times New Roman" w:hAnsi="Times New Roman" w:cs="Times New Roman"/>
          <w:i/>
          <w:iCs/>
          <w:sz w:val="24"/>
          <w:szCs w:val="24"/>
        </w:rPr>
        <w:t>The Lancet</w:t>
      </w:r>
      <w:r w:rsidRPr="007504FF">
        <w:rPr>
          <w:rFonts w:ascii="Times New Roman" w:hAnsi="Times New Roman" w:cs="Times New Roman"/>
          <w:sz w:val="24"/>
          <w:szCs w:val="24"/>
        </w:rPr>
        <w:t>, 390(10107), 2110-2118.</w:t>
      </w:r>
    </w:p>
    <w:p w14:paraId="098A1388"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lastRenderedPageBreak/>
        <w:t>Garbuio</w:t>
      </w:r>
      <w:proofErr w:type="spellEnd"/>
      <w:r w:rsidRPr="007504FF">
        <w:rPr>
          <w:rFonts w:ascii="Times New Roman" w:hAnsi="Times New Roman" w:cs="Times New Roman"/>
          <w:sz w:val="24"/>
          <w:szCs w:val="24"/>
        </w:rPr>
        <w:t xml:space="preserve">, M., &amp; Lin, N. (2019). Artificial intelligence as a growth engine for healthcare startups: Emerging business models. </w:t>
      </w:r>
      <w:r w:rsidRPr="007504FF">
        <w:rPr>
          <w:rFonts w:ascii="Times New Roman" w:hAnsi="Times New Roman" w:cs="Times New Roman"/>
          <w:i/>
          <w:iCs/>
          <w:sz w:val="24"/>
          <w:szCs w:val="24"/>
        </w:rPr>
        <w:t>California Management Review</w:t>
      </w:r>
      <w:r w:rsidRPr="007504FF">
        <w:rPr>
          <w:rFonts w:ascii="Times New Roman" w:hAnsi="Times New Roman" w:cs="Times New Roman"/>
          <w:sz w:val="24"/>
          <w:szCs w:val="24"/>
        </w:rPr>
        <w:t>, 61(2), 59-83.</w:t>
      </w:r>
    </w:p>
    <w:p w14:paraId="111BF60A"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George, B., Walker, R.M., &amp; Monster, J. (2019). Does strategic planning improve organizational performance? A meta-analysis. </w:t>
      </w:r>
      <w:r w:rsidRPr="007504FF">
        <w:rPr>
          <w:rFonts w:ascii="Times New Roman" w:hAnsi="Times New Roman" w:cs="Times New Roman"/>
          <w:i/>
          <w:iCs/>
          <w:sz w:val="24"/>
          <w:szCs w:val="24"/>
        </w:rPr>
        <w:t>Public Administration Review</w:t>
      </w:r>
      <w:r w:rsidRPr="007504FF">
        <w:rPr>
          <w:rFonts w:ascii="Times New Roman" w:hAnsi="Times New Roman" w:cs="Times New Roman"/>
          <w:sz w:val="24"/>
          <w:szCs w:val="24"/>
        </w:rPr>
        <w:t>, 79(6), 810-819.</w:t>
      </w:r>
    </w:p>
    <w:p w14:paraId="78BAA8DC"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Gillin</w:t>
      </w:r>
      <w:proofErr w:type="spellEnd"/>
      <w:r w:rsidRPr="007504FF">
        <w:rPr>
          <w:rFonts w:ascii="Times New Roman" w:hAnsi="Times New Roman" w:cs="Times New Roman"/>
          <w:sz w:val="24"/>
          <w:szCs w:val="24"/>
        </w:rPr>
        <w:t xml:space="preserve">, N., &amp; Smith, D. (2020). Overseas recruitment activities of NHS Trusts 2015–2018: Findings from FOI requests to 19 Acute NHS Trusts in England. </w:t>
      </w:r>
      <w:r w:rsidRPr="007504FF">
        <w:rPr>
          <w:rFonts w:ascii="Times New Roman" w:hAnsi="Times New Roman" w:cs="Times New Roman"/>
          <w:i/>
          <w:iCs/>
          <w:sz w:val="24"/>
          <w:szCs w:val="24"/>
        </w:rPr>
        <w:t>Nursing Inquiry</w:t>
      </w:r>
      <w:r w:rsidRPr="007504FF">
        <w:rPr>
          <w:rFonts w:ascii="Times New Roman" w:hAnsi="Times New Roman" w:cs="Times New Roman"/>
          <w:sz w:val="24"/>
          <w:szCs w:val="24"/>
        </w:rPr>
        <w:t>, 27(1), e12320.</w:t>
      </w:r>
    </w:p>
    <w:p w14:paraId="2BECE7D9"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Glasby, J.O.N., Zhang, Y., Bennett, M.R., &amp; Hall, P. (2021). A lost decade? A renewed case for adult social care reform in England. </w:t>
      </w:r>
      <w:r w:rsidRPr="007504FF">
        <w:rPr>
          <w:rFonts w:ascii="Times New Roman" w:hAnsi="Times New Roman" w:cs="Times New Roman"/>
          <w:i/>
          <w:iCs/>
          <w:sz w:val="24"/>
          <w:szCs w:val="24"/>
        </w:rPr>
        <w:t>Journal of Social Policy</w:t>
      </w:r>
      <w:r w:rsidRPr="007504FF">
        <w:rPr>
          <w:rFonts w:ascii="Times New Roman" w:hAnsi="Times New Roman" w:cs="Times New Roman"/>
          <w:sz w:val="24"/>
          <w:szCs w:val="24"/>
        </w:rPr>
        <w:t>, 50(2), 406-437.</w:t>
      </w:r>
    </w:p>
    <w:p w14:paraId="3A874746"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Gomez, T., Anaya, Y.B., Shih, K.J., &amp; Tarn, D.M. (2021). A qualitative study of primary care physicians' experiences with telemedicine during COVID-19. </w:t>
      </w:r>
      <w:r w:rsidRPr="007504FF">
        <w:rPr>
          <w:rFonts w:ascii="Times New Roman" w:hAnsi="Times New Roman" w:cs="Times New Roman"/>
          <w:i/>
          <w:iCs/>
          <w:sz w:val="24"/>
          <w:szCs w:val="24"/>
        </w:rPr>
        <w:t>The Journal of the American Board of Family Medicine</w:t>
      </w:r>
      <w:r w:rsidRPr="007504FF">
        <w:rPr>
          <w:rFonts w:ascii="Times New Roman" w:hAnsi="Times New Roman" w:cs="Times New Roman"/>
          <w:sz w:val="24"/>
          <w:szCs w:val="24"/>
        </w:rPr>
        <w:t>, 34(Supplement), S61-S70.</w:t>
      </w:r>
    </w:p>
    <w:p w14:paraId="72C6214B"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Health and Safety Executive. (2015). Health and Safety at Work etc. Act 1974. [Online]. Available at: </w:t>
      </w:r>
      <w:hyperlink r:id="rId14" w:tgtFrame="_new" w:history="1">
        <w:r w:rsidRPr="007504FF">
          <w:rPr>
            <w:rStyle w:val="Hyperlink"/>
            <w:rFonts w:ascii="Times New Roman" w:hAnsi="Times New Roman" w:cs="Times New Roman"/>
            <w:sz w:val="24"/>
            <w:szCs w:val="24"/>
          </w:rPr>
          <w:t>https://www.hse.gov.uk/legislation/hswa.htm</w:t>
        </w:r>
      </w:hyperlink>
    </w:p>
    <w:p w14:paraId="35F8246C"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Hermes, S., </w:t>
      </w:r>
      <w:proofErr w:type="spellStart"/>
      <w:r w:rsidRPr="007504FF">
        <w:rPr>
          <w:rFonts w:ascii="Times New Roman" w:hAnsi="Times New Roman" w:cs="Times New Roman"/>
          <w:sz w:val="24"/>
          <w:szCs w:val="24"/>
        </w:rPr>
        <w:t>Riasanow</w:t>
      </w:r>
      <w:proofErr w:type="spellEnd"/>
      <w:r w:rsidRPr="007504FF">
        <w:rPr>
          <w:rFonts w:ascii="Times New Roman" w:hAnsi="Times New Roman" w:cs="Times New Roman"/>
          <w:sz w:val="24"/>
          <w:szCs w:val="24"/>
        </w:rPr>
        <w:t xml:space="preserve">, T., Clemons, E.K., </w:t>
      </w:r>
      <w:proofErr w:type="spellStart"/>
      <w:r w:rsidRPr="007504FF">
        <w:rPr>
          <w:rFonts w:ascii="Times New Roman" w:hAnsi="Times New Roman" w:cs="Times New Roman"/>
          <w:sz w:val="24"/>
          <w:szCs w:val="24"/>
        </w:rPr>
        <w:t>Böhm</w:t>
      </w:r>
      <w:proofErr w:type="spellEnd"/>
      <w:r w:rsidRPr="007504FF">
        <w:rPr>
          <w:rFonts w:ascii="Times New Roman" w:hAnsi="Times New Roman" w:cs="Times New Roman"/>
          <w:sz w:val="24"/>
          <w:szCs w:val="24"/>
        </w:rPr>
        <w:t xml:space="preserve">, M., &amp; </w:t>
      </w:r>
      <w:proofErr w:type="spellStart"/>
      <w:r w:rsidRPr="007504FF">
        <w:rPr>
          <w:rFonts w:ascii="Times New Roman" w:hAnsi="Times New Roman" w:cs="Times New Roman"/>
          <w:sz w:val="24"/>
          <w:szCs w:val="24"/>
        </w:rPr>
        <w:t>Krcmar</w:t>
      </w:r>
      <w:proofErr w:type="spellEnd"/>
      <w:r w:rsidRPr="007504FF">
        <w:rPr>
          <w:rFonts w:ascii="Times New Roman" w:hAnsi="Times New Roman" w:cs="Times New Roman"/>
          <w:sz w:val="24"/>
          <w:szCs w:val="24"/>
        </w:rPr>
        <w:t xml:space="preserve">, H. (2020). The digital transformation of the healthcare industry: exploring the rise of emerging platform ecosystems and their influence on the role of patients. </w:t>
      </w:r>
      <w:r w:rsidRPr="007504FF">
        <w:rPr>
          <w:rFonts w:ascii="Times New Roman" w:hAnsi="Times New Roman" w:cs="Times New Roman"/>
          <w:i/>
          <w:iCs/>
          <w:sz w:val="24"/>
          <w:szCs w:val="24"/>
        </w:rPr>
        <w:t>Business Research</w:t>
      </w:r>
      <w:r w:rsidRPr="007504FF">
        <w:rPr>
          <w:rFonts w:ascii="Times New Roman" w:hAnsi="Times New Roman" w:cs="Times New Roman"/>
          <w:sz w:val="24"/>
          <w:szCs w:val="24"/>
        </w:rPr>
        <w:t>, 13, 1033-1069.</w:t>
      </w:r>
    </w:p>
    <w:p w14:paraId="0B9A058D"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Iacobucci</w:t>
      </w:r>
      <w:proofErr w:type="spellEnd"/>
      <w:r w:rsidRPr="007504FF">
        <w:rPr>
          <w:rFonts w:ascii="Times New Roman" w:hAnsi="Times New Roman" w:cs="Times New Roman"/>
          <w:sz w:val="24"/>
          <w:szCs w:val="24"/>
        </w:rPr>
        <w:t>, G. (2020). Babylon Health holds talks with “significant” number of NHS trusts.</w:t>
      </w:r>
    </w:p>
    <w:p w14:paraId="2ED39C2F"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Jin</w:t>
      </w:r>
      <w:proofErr w:type="spellEnd"/>
      <w:r w:rsidRPr="007504FF">
        <w:rPr>
          <w:rFonts w:ascii="Times New Roman" w:hAnsi="Times New Roman" w:cs="Times New Roman"/>
          <w:sz w:val="24"/>
          <w:szCs w:val="24"/>
        </w:rPr>
        <w:t xml:space="preserve">, M.X., Kim, S.Y., Miller, L.J., Behari, G., &amp; Correa, R. (2020). Telemedicine: current impact on the future. </w:t>
      </w:r>
      <w:proofErr w:type="spellStart"/>
      <w:r w:rsidRPr="007504FF">
        <w:rPr>
          <w:rFonts w:ascii="Times New Roman" w:hAnsi="Times New Roman" w:cs="Times New Roman"/>
          <w:i/>
          <w:iCs/>
          <w:sz w:val="24"/>
          <w:szCs w:val="24"/>
        </w:rPr>
        <w:t>Cureus</w:t>
      </w:r>
      <w:proofErr w:type="spellEnd"/>
      <w:r w:rsidRPr="007504FF">
        <w:rPr>
          <w:rFonts w:ascii="Times New Roman" w:hAnsi="Times New Roman" w:cs="Times New Roman"/>
          <w:sz w:val="24"/>
          <w:szCs w:val="24"/>
        </w:rPr>
        <w:t>, 12(8).</w:t>
      </w:r>
    </w:p>
    <w:p w14:paraId="071B8621"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Lee, D., &amp; Yoon, S.N. (2021). Application of artificial intelligence-based technologies in the healthcare industry: Opportunities and challenges. </w:t>
      </w:r>
      <w:r w:rsidRPr="007504FF">
        <w:rPr>
          <w:rFonts w:ascii="Times New Roman" w:hAnsi="Times New Roman" w:cs="Times New Roman"/>
          <w:i/>
          <w:iCs/>
          <w:sz w:val="24"/>
          <w:szCs w:val="24"/>
        </w:rPr>
        <w:t>International Journal of Environmental Research and Public Health</w:t>
      </w:r>
      <w:r w:rsidRPr="007504FF">
        <w:rPr>
          <w:rFonts w:ascii="Times New Roman" w:hAnsi="Times New Roman" w:cs="Times New Roman"/>
          <w:sz w:val="24"/>
          <w:szCs w:val="24"/>
        </w:rPr>
        <w:t>, 18(1), 271.</w:t>
      </w:r>
    </w:p>
    <w:p w14:paraId="45F5454D"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Lee, J.A., Di Tosto, G., </w:t>
      </w:r>
      <w:proofErr w:type="spellStart"/>
      <w:r w:rsidRPr="007504FF">
        <w:rPr>
          <w:rFonts w:ascii="Times New Roman" w:hAnsi="Times New Roman" w:cs="Times New Roman"/>
          <w:sz w:val="24"/>
          <w:szCs w:val="24"/>
        </w:rPr>
        <w:t>McAlearney</w:t>
      </w:r>
      <w:proofErr w:type="spellEnd"/>
      <w:r w:rsidRPr="007504FF">
        <w:rPr>
          <w:rFonts w:ascii="Times New Roman" w:hAnsi="Times New Roman" w:cs="Times New Roman"/>
          <w:sz w:val="24"/>
          <w:szCs w:val="24"/>
        </w:rPr>
        <w:t xml:space="preserve">, F.A., Miller, S., </w:t>
      </w:r>
      <w:proofErr w:type="spellStart"/>
      <w:r w:rsidRPr="007504FF">
        <w:rPr>
          <w:rFonts w:ascii="Times New Roman" w:hAnsi="Times New Roman" w:cs="Times New Roman"/>
          <w:sz w:val="24"/>
          <w:szCs w:val="24"/>
        </w:rPr>
        <w:t>Mezoff</w:t>
      </w:r>
      <w:proofErr w:type="spellEnd"/>
      <w:r w:rsidRPr="007504FF">
        <w:rPr>
          <w:rFonts w:ascii="Times New Roman" w:hAnsi="Times New Roman" w:cs="Times New Roman"/>
          <w:sz w:val="24"/>
          <w:szCs w:val="24"/>
        </w:rPr>
        <w:t xml:space="preserve">, E., Venkatesh, R.D., ... &amp; </w:t>
      </w:r>
      <w:proofErr w:type="spellStart"/>
      <w:r w:rsidRPr="007504FF">
        <w:rPr>
          <w:rFonts w:ascii="Times New Roman" w:hAnsi="Times New Roman" w:cs="Times New Roman"/>
          <w:sz w:val="24"/>
          <w:szCs w:val="24"/>
        </w:rPr>
        <w:t>McAlearney</w:t>
      </w:r>
      <w:proofErr w:type="spellEnd"/>
      <w:r w:rsidRPr="007504FF">
        <w:rPr>
          <w:rFonts w:ascii="Times New Roman" w:hAnsi="Times New Roman" w:cs="Times New Roman"/>
          <w:sz w:val="24"/>
          <w:szCs w:val="24"/>
        </w:rPr>
        <w:t xml:space="preserve">, A.S. (2021). Physician perspectives about telemedicine: considering the usability of telemedicine in response to coronavirus disease 2019. </w:t>
      </w:r>
      <w:r w:rsidRPr="007504FF">
        <w:rPr>
          <w:rFonts w:ascii="Times New Roman" w:hAnsi="Times New Roman" w:cs="Times New Roman"/>
          <w:i/>
          <w:iCs/>
          <w:sz w:val="24"/>
          <w:szCs w:val="24"/>
        </w:rPr>
        <w:t xml:space="preserve">Journal of </w:t>
      </w:r>
      <w:proofErr w:type="spellStart"/>
      <w:r w:rsidRPr="007504FF">
        <w:rPr>
          <w:rFonts w:ascii="Times New Roman" w:hAnsi="Times New Roman" w:cs="Times New Roman"/>
          <w:i/>
          <w:iCs/>
          <w:sz w:val="24"/>
          <w:szCs w:val="24"/>
        </w:rPr>
        <w:t>Pediatric</w:t>
      </w:r>
      <w:proofErr w:type="spellEnd"/>
      <w:r w:rsidRPr="007504FF">
        <w:rPr>
          <w:rFonts w:ascii="Times New Roman" w:hAnsi="Times New Roman" w:cs="Times New Roman"/>
          <w:i/>
          <w:iCs/>
          <w:sz w:val="24"/>
          <w:szCs w:val="24"/>
        </w:rPr>
        <w:t xml:space="preserve"> Gastroenterology and Nutrition</w:t>
      </w:r>
      <w:r w:rsidRPr="007504FF">
        <w:rPr>
          <w:rFonts w:ascii="Times New Roman" w:hAnsi="Times New Roman" w:cs="Times New Roman"/>
          <w:sz w:val="24"/>
          <w:szCs w:val="24"/>
        </w:rPr>
        <w:t>, 73(1), 42.</w:t>
      </w:r>
    </w:p>
    <w:p w14:paraId="6D708658"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Mahmoudi</w:t>
      </w:r>
      <w:proofErr w:type="spellEnd"/>
      <w:r w:rsidRPr="007504FF">
        <w:rPr>
          <w:rFonts w:ascii="Times New Roman" w:hAnsi="Times New Roman" w:cs="Times New Roman"/>
          <w:sz w:val="24"/>
          <w:szCs w:val="24"/>
        </w:rPr>
        <w:t xml:space="preserve">, M., &amp; Gould, L.J. (2020). Opportunities and challenges of the management of chronic wounds: a multidisciplinary viewpoint. </w:t>
      </w:r>
      <w:r w:rsidRPr="007504FF">
        <w:rPr>
          <w:rFonts w:ascii="Times New Roman" w:hAnsi="Times New Roman" w:cs="Times New Roman"/>
          <w:i/>
          <w:iCs/>
          <w:sz w:val="24"/>
          <w:szCs w:val="24"/>
        </w:rPr>
        <w:t>Chronic Wound Care Management and Research</w:t>
      </w:r>
      <w:r w:rsidRPr="007504FF">
        <w:rPr>
          <w:rFonts w:ascii="Times New Roman" w:hAnsi="Times New Roman" w:cs="Times New Roman"/>
          <w:sz w:val="24"/>
          <w:szCs w:val="24"/>
        </w:rPr>
        <w:t>, 27-36.</w:t>
      </w:r>
    </w:p>
    <w:p w14:paraId="10DEC2FA"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lastRenderedPageBreak/>
        <w:t>National Academies of Sciences, Engineering, and Medicine. (2019). Integrating social care into the delivery of health care: Moving upstream to improve the nation's health.</w:t>
      </w:r>
    </w:p>
    <w:p w14:paraId="4CEA9E9A"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NHS England. (2023). General Practice Forward View. [Online]. Available at: </w:t>
      </w:r>
      <w:hyperlink r:id="rId15" w:tgtFrame="_new" w:history="1">
        <w:r w:rsidRPr="007504FF">
          <w:rPr>
            <w:rStyle w:val="Hyperlink"/>
            <w:rFonts w:ascii="Times New Roman" w:hAnsi="Times New Roman" w:cs="Times New Roman"/>
            <w:sz w:val="24"/>
            <w:szCs w:val="24"/>
          </w:rPr>
          <w:t>https://www.england.nhs.uk/gp/gpfv/</w:t>
        </w:r>
      </w:hyperlink>
      <w:r w:rsidRPr="007504FF">
        <w:rPr>
          <w:rFonts w:ascii="Times New Roman" w:hAnsi="Times New Roman" w:cs="Times New Roman"/>
          <w:sz w:val="24"/>
          <w:szCs w:val="24"/>
        </w:rPr>
        <w:t xml:space="preserve"> (Accessed on 10th August 2023).</w:t>
      </w:r>
    </w:p>
    <w:p w14:paraId="5FD3531C"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OECD (Organisation for Economic Co-operation and Development). (2023). OECD Economic Outlook, June 2023. [Online]. Available at: </w:t>
      </w:r>
      <w:hyperlink r:id="rId16" w:tgtFrame="_new" w:history="1">
        <w:r w:rsidRPr="007504FF">
          <w:rPr>
            <w:rStyle w:val="Hyperlink"/>
            <w:rFonts w:ascii="Times New Roman" w:hAnsi="Times New Roman" w:cs="Times New Roman"/>
            <w:sz w:val="24"/>
            <w:szCs w:val="24"/>
          </w:rPr>
          <w:t>https://www.oecd.org/economic-outlook/june-2023/</w:t>
        </w:r>
      </w:hyperlink>
      <w:r w:rsidRPr="007504FF">
        <w:rPr>
          <w:rFonts w:ascii="Times New Roman" w:hAnsi="Times New Roman" w:cs="Times New Roman"/>
          <w:sz w:val="24"/>
          <w:szCs w:val="24"/>
        </w:rPr>
        <w:t xml:space="preserve"> (Accessed on 17th July 2023).</w:t>
      </w:r>
    </w:p>
    <w:p w14:paraId="492838DB"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ONS (Office for National Statistics). (2023). Consumer price inflation, December 2022. [Online]. Available at: </w:t>
      </w:r>
      <w:hyperlink r:id="rId17" w:tgtFrame="_new" w:history="1">
        <w:r w:rsidRPr="007504FF">
          <w:rPr>
            <w:rStyle w:val="Hyperlink"/>
            <w:rFonts w:ascii="Times New Roman" w:hAnsi="Times New Roman" w:cs="Times New Roman"/>
            <w:sz w:val="24"/>
            <w:szCs w:val="24"/>
          </w:rPr>
          <w:t>https://www.ons.gov.uk/economy/inflationandpriceindices/bulletins/consumerpriceinflation/december2022</w:t>
        </w:r>
      </w:hyperlink>
      <w:r w:rsidRPr="007504FF">
        <w:rPr>
          <w:rFonts w:ascii="Times New Roman" w:hAnsi="Times New Roman" w:cs="Times New Roman"/>
          <w:sz w:val="24"/>
          <w:szCs w:val="24"/>
        </w:rPr>
        <w:t xml:space="preserve"> (Accessed on 23rd February 2023).</w:t>
      </w:r>
    </w:p>
    <w:p w14:paraId="271A01AD"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Puaschunder</w:t>
      </w:r>
      <w:proofErr w:type="spellEnd"/>
      <w:r w:rsidRPr="007504FF">
        <w:rPr>
          <w:rFonts w:ascii="Times New Roman" w:hAnsi="Times New Roman" w:cs="Times New Roman"/>
          <w:sz w:val="24"/>
          <w:szCs w:val="24"/>
        </w:rPr>
        <w:t xml:space="preserve">, J.M. (2023). Discussion and Future Prospect. In </w:t>
      </w:r>
      <w:r w:rsidRPr="007504FF">
        <w:rPr>
          <w:rFonts w:ascii="Times New Roman" w:hAnsi="Times New Roman" w:cs="Times New Roman"/>
          <w:i/>
          <w:iCs/>
          <w:sz w:val="24"/>
          <w:szCs w:val="24"/>
        </w:rPr>
        <w:t>Responsible Investment Around the World: Finance after the Great Reset</w:t>
      </w:r>
      <w:r w:rsidRPr="007504FF">
        <w:rPr>
          <w:rFonts w:ascii="Times New Roman" w:hAnsi="Times New Roman" w:cs="Times New Roman"/>
          <w:sz w:val="24"/>
          <w:szCs w:val="24"/>
        </w:rPr>
        <w:t xml:space="preserve"> (pp. 161-182). Emerald Publishing Limited.</w:t>
      </w:r>
    </w:p>
    <w:p w14:paraId="2BBF14B4"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Rawaf</w:t>
      </w:r>
      <w:proofErr w:type="spellEnd"/>
      <w:r w:rsidRPr="007504FF">
        <w:rPr>
          <w:rFonts w:ascii="Times New Roman" w:hAnsi="Times New Roman" w:cs="Times New Roman"/>
          <w:sz w:val="24"/>
          <w:szCs w:val="24"/>
        </w:rPr>
        <w:t xml:space="preserve">, S., Allen, L.N., Stigler, F.L., Kringos, D., Quezada Yamamoto, H., van </w:t>
      </w:r>
      <w:proofErr w:type="spellStart"/>
      <w:r w:rsidRPr="007504FF">
        <w:rPr>
          <w:rFonts w:ascii="Times New Roman" w:hAnsi="Times New Roman" w:cs="Times New Roman"/>
          <w:sz w:val="24"/>
          <w:szCs w:val="24"/>
        </w:rPr>
        <w:t>Weel</w:t>
      </w:r>
      <w:proofErr w:type="spellEnd"/>
      <w:r w:rsidRPr="007504FF">
        <w:rPr>
          <w:rFonts w:ascii="Times New Roman" w:hAnsi="Times New Roman" w:cs="Times New Roman"/>
          <w:sz w:val="24"/>
          <w:szCs w:val="24"/>
        </w:rPr>
        <w:t xml:space="preserve">, C., ... &amp; Global Forum on Universal Health Coverage and Primary Health Care. (2020). Lessons on the COVID-19 pandemic, for and by primary care professionals worldwide. </w:t>
      </w:r>
      <w:r w:rsidRPr="007504FF">
        <w:rPr>
          <w:rFonts w:ascii="Times New Roman" w:hAnsi="Times New Roman" w:cs="Times New Roman"/>
          <w:i/>
          <w:iCs/>
          <w:sz w:val="24"/>
          <w:szCs w:val="24"/>
        </w:rPr>
        <w:t>European Journal of General Practice</w:t>
      </w:r>
      <w:r w:rsidRPr="007504FF">
        <w:rPr>
          <w:rFonts w:ascii="Times New Roman" w:hAnsi="Times New Roman" w:cs="Times New Roman"/>
          <w:sz w:val="24"/>
          <w:szCs w:val="24"/>
        </w:rPr>
        <w:t>, 26(1), 129-133.</w:t>
      </w:r>
    </w:p>
    <w:p w14:paraId="5C8A0279"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Roderick, P., &amp; Pollock, A.M. (2022). Dismantling the National Health Service in England. </w:t>
      </w:r>
      <w:r w:rsidRPr="007504FF">
        <w:rPr>
          <w:rFonts w:ascii="Times New Roman" w:hAnsi="Times New Roman" w:cs="Times New Roman"/>
          <w:i/>
          <w:iCs/>
          <w:sz w:val="24"/>
          <w:szCs w:val="24"/>
        </w:rPr>
        <w:t>International Journal of Health Services</w:t>
      </w:r>
      <w:r w:rsidRPr="007504FF">
        <w:rPr>
          <w:rFonts w:ascii="Times New Roman" w:hAnsi="Times New Roman" w:cs="Times New Roman"/>
          <w:sz w:val="24"/>
          <w:szCs w:val="24"/>
        </w:rPr>
        <w:t>, 52(4), 470-479.</w:t>
      </w:r>
    </w:p>
    <w:p w14:paraId="358DC7EE"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Salas, R.N., </w:t>
      </w:r>
      <w:proofErr w:type="spellStart"/>
      <w:r w:rsidRPr="007504FF">
        <w:rPr>
          <w:rFonts w:ascii="Times New Roman" w:hAnsi="Times New Roman" w:cs="Times New Roman"/>
          <w:sz w:val="24"/>
          <w:szCs w:val="24"/>
        </w:rPr>
        <w:t>Maibach</w:t>
      </w:r>
      <w:proofErr w:type="spellEnd"/>
      <w:r w:rsidRPr="007504FF">
        <w:rPr>
          <w:rFonts w:ascii="Times New Roman" w:hAnsi="Times New Roman" w:cs="Times New Roman"/>
          <w:sz w:val="24"/>
          <w:szCs w:val="24"/>
        </w:rPr>
        <w:t xml:space="preserve">, E., </w:t>
      </w:r>
      <w:proofErr w:type="spellStart"/>
      <w:r w:rsidRPr="007504FF">
        <w:rPr>
          <w:rFonts w:ascii="Times New Roman" w:hAnsi="Times New Roman" w:cs="Times New Roman"/>
          <w:sz w:val="24"/>
          <w:szCs w:val="24"/>
        </w:rPr>
        <w:t>Pencheon</w:t>
      </w:r>
      <w:proofErr w:type="spellEnd"/>
      <w:r w:rsidRPr="007504FF">
        <w:rPr>
          <w:rFonts w:ascii="Times New Roman" w:hAnsi="Times New Roman" w:cs="Times New Roman"/>
          <w:sz w:val="24"/>
          <w:szCs w:val="24"/>
        </w:rPr>
        <w:t xml:space="preserve">, D., Watts, N., &amp; </w:t>
      </w:r>
      <w:proofErr w:type="spellStart"/>
      <w:r w:rsidRPr="007504FF">
        <w:rPr>
          <w:rFonts w:ascii="Times New Roman" w:hAnsi="Times New Roman" w:cs="Times New Roman"/>
          <w:sz w:val="24"/>
          <w:szCs w:val="24"/>
        </w:rPr>
        <w:t>Frumkin</w:t>
      </w:r>
      <w:proofErr w:type="spellEnd"/>
      <w:r w:rsidRPr="007504FF">
        <w:rPr>
          <w:rFonts w:ascii="Times New Roman" w:hAnsi="Times New Roman" w:cs="Times New Roman"/>
          <w:sz w:val="24"/>
          <w:szCs w:val="24"/>
        </w:rPr>
        <w:t xml:space="preserve">, H. (2020). A pathway to net-zero emissions for healthcare. </w:t>
      </w:r>
      <w:r w:rsidRPr="007504FF">
        <w:rPr>
          <w:rFonts w:ascii="Times New Roman" w:hAnsi="Times New Roman" w:cs="Times New Roman"/>
          <w:i/>
          <w:iCs/>
          <w:sz w:val="24"/>
          <w:szCs w:val="24"/>
        </w:rPr>
        <w:t>BMJ</w:t>
      </w:r>
      <w:r w:rsidRPr="007504FF">
        <w:rPr>
          <w:rFonts w:ascii="Times New Roman" w:hAnsi="Times New Roman" w:cs="Times New Roman"/>
          <w:sz w:val="24"/>
          <w:szCs w:val="24"/>
        </w:rPr>
        <w:t>, 371.</w:t>
      </w:r>
    </w:p>
    <w:p w14:paraId="1B3BC57D"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Saltman</w:t>
      </w:r>
      <w:proofErr w:type="spellEnd"/>
      <w:r w:rsidRPr="007504FF">
        <w:rPr>
          <w:rFonts w:ascii="Times New Roman" w:hAnsi="Times New Roman" w:cs="Times New Roman"/>
          <w:sz w:val="24"/>
          <w:szCs w:val="24"/>
        </w:rPr>
        <w:t xml:space="preserve">, R.B., &amp; </w:t>
      </w:r>
      <w:proofErr w:type="spellStart"/>
      <w:r w:rsidRPr="007504FF">
        <w:rPr>
          <w:rFonts w:ascii="Times New Roman" w:hAnsi="Times New Roman" w:cs="Times New Roman"/>
          <w:sz w:val="24"/>
          <w:szCs w:val="24"/>
        </w:rPr>
        <w:t>Figueras</w:t>
      </w:r>
      <w:proofErr w:type="spellEnd"/>
      <w:r w:rsidRPr="007504FF">
        <w:rPr>
          <w:rFonts w:ascii="Times New Roman" w:hAnsi="Times New Roman" w:cs="Times New Roman"/>
          <w:sz w:val="24"/>
          <w:szCs w:val="24"/>
        </w:rPr>
        <w:t xml:space="preserve">, J. (1997). European health care reform: analysis of current strategies. </w:t>
      </w:r>
      <w:r w:rsidRPr="007504FF">
        <w:rPr>
          <w:rFonts w:ascii="Times New Roman" w:hAnsi="Times New Roman" w:cs="Times New Roman"/>
          <w:i/>
          <w:iCs/>
          <w:sz w:val="24"/>
          <w:szCs w:val="24"/>
        </w:rPr>
        <w:t>World Health Organization. Regional Office for Europe</w:t>
      </w:r>
      <w:r w:rsidRPr="007504FF">
        <w:rPr>
          <w:rFonts w:ascii="Times New Roman" w:hAnsi="Times New Roman" w:cs="Times New Roman"/>
          <w:sz w:val="24"/>
          <w:szCs w:val="24"/>
        </w:rPr>
        <w:t>.</w:t>
      </w:r>
    </w:p>
    <w:p w14:paraId="5F13FF96"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Sherman, J.D., MacNeill, A., &amp; Thiel, C. (2019). Reducing pollution from the health care industry. </w:t>
      </w:r>
      <w:r w:rsidRPr="007504FF">
        <w:rPr>
          <w:rFonts w:ascii="Times New Roman" w:hAnsi="Times New Roman" w:cs="Times New Roman"/>
          <w:i/>
          <w:iCs/>
          <w:sz w:val="24"/>
          <w:szCs w:val="24"/>
        </w:rPr>
        <w:t>JAMA</w:t>
      </w:r>
      <w:r w:rsidRPr="007504FF">
        <w:rPr>
          <w:rFonts w:ascii="Times New Roman" w:hAnsi="Times New Roman" w:cs="Times New Roman"/>
          <w:sz w:val="24"/>
          <w:szCs w:val="24"/>
        </w:rPr>
        <w:t>, 322(11), 1043-1044.</w:t>
      </w:r>
    </w:p>
    <w:p w14:paraId="1D40F9A8"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Snoswell</w:t>
      </w:r>
      <w:proofErr w:type="spellEnd"/>
      <w:r w:rsidRPr="007504FF">
        <w:rPr>
          <w:rFonts w:ascii="Times New Roman" w:hAnsi="Times New Roman" w:cs="Times New Roman"/>
          <w:sz w:val="24"/>
          <w:szCs w:val="24"/>
        </w:rPr>
        <w:t xml:space="preserve">, C.L., Taylor, M.L., </w:t>
      </w:r>
      <w:proofErr w:type="spellStart"/>
      <w:r w:rsidRPr="007504FF">
        <w:rPr>
          <w:rFonts w:ascii="Times New Roman" w:hAnsi="Times New Roman" w:cs="Times New Roman"/>
          <w:sz w:val="24"/>
          <w:szCs w:val="24"/>
        </w:rPr>
        <w:t>Comans</w:t>
      </w:r>
      <w:proofErr w:type="spellEnd"/>
      <w:r w:rsidRPr="007504FF">
        <w:rPr>
          <w:rFonts w:ascii="Times New Roman" w:hAnsi="Times New Roman" w:cs="Times New Roman"/>
          <w:sz w:val="24"/>
          <w:szCs w:val="24"/>
        </w:rPr>
        <w:t xml:space="preserve">, T.A., Smith, A.C., Gray, L.C., &amp; Caffery, L.J. (2020). Determining if telehealth can reduce health system costs: scoping review. </w:t>
      </w:r>
      <w:r w:rsidRPr="007504FF">
        <w:rPr>
          <w:rFonts w:ascii="Times New Roman" w:hAnsi="Times New Roman" w:cs="Times New Roman"/>
          <w:i/>
          <w:iCs/>
          <w:sz w:val="24"/>
          <w:szCs w:val="24"/>
        </w:rPr>
        <w:t>Journal of Medical Internet Research</w:t>
      </w:r>
      <w:r w:rsidRPr="007504FF">
        <w:rPr>
          <w:rFonts w:ascii="Times New Roman" w:hAnsi="Times New Roman" w:cs="Times New Roman"/>
          <w:sz w:val="24"/>
          <w:szCs w:val="24"/>
        </w:rPr>
        <w:t>, 22(10), e17298.</w:t>
      </w:r>
    </w:p>
    <w:p w14:paraId="60B6658A"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The King's Fund. (2022). NHS budget. [Online]. Available at: </w:t>
      </w:r>
      <w:hyperlink r:id="rId18" w:tgtFrame="_new" w:history="1">
        <w:r w:rsidRPr="007504FF">
          <w:rPr>
            <w:rStyle w:val="Hyperlink"/>
            <w:rFonts w:ascii="Times New Roman" w:hAnsi="Times New Roman" w:cs="Times New Roman"/>
            <w:sz w:val="24"/>
            <w:szCs w:val="24"/>
          </w:rPr>
          <w:t>https://www.kingsfund.org.uk/projects/nhs-in-a-nutshell/nhs-budget</w:t>
        </w:r>
      </w:hyperlink>
      <w:r w:rsidRPr="007504FF">
        <w:rPr>
          <w:rFonts w:ascii="Times New Roman" w:hAnsi="Times New Roman" w:cs="Times New Roman"/>
          <w:sz w:val="24"/>
          <w:szCs w:val="24"/>
        </w:rPr>
        <w:t xml:space="preserve"> (Accessed on 15th July 2023).</w:t>
      </w:r>
    </w:p>
    <w:p w14:paraId="50625239"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lastRenderedPageBreak/>
        <w:t xml:space="preserve">The King's Fund. (2023). Health and social care in England: The myths. [Online]. Available at: </w:t>
      </w:r>
      <w:hyperlink r:id="rId19" w:tgtFrame="_new" w:history="1">
        <w:r w:rsidRPr="007504FF">
          <w:rPr>
            <w:rStyle w:val="Hyperlink"/>
            <w:rFonts w:ascii="Times New Roman" w:hAnsi="Times New Roman" w:cs="Times New Roman"/>
            <w:sz w:val="24"/>
            <w:szCs w:val="24"/>
          </w:rPr>
          <w:t>https://www.kingsfund.org.uk/publications/health-and-social-care-england-myths</w:t>
        </w:r>
      </w:hyperlink>
      <w:r w:rsidRPr="007504FF">
        <w:rPr>
          <w:rFonts w:ascii="Times New Roman" w:hAnsi="Times New Roman" w:cs="Times New Roman"/>
          <w:sz w:val="24"/>
          <w:szCs w:val="24"/>
        </w:rPr>
        <w:t xml:space="preserve"> (Accessed on 20th March 2023).</w:t>
      </w:r>
    </w:p>
    <w:p w14:paraId="66F92E8B"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UK Government. (2006). National Health Service Act 2006. [Online]. Available at: </w:t>
      </w:r>
      <w:hyperlink r:id="rId20" w:tgtFrame="_new" w:history="1">
        <w:r w:rsidRPr="007504FF">
          <w:rPr>
            <w:rStyle w:val="Hyperlink"/>
            <w:rFonts w:ascii="Times New Roman" w:hAnsi="Times New Roman" w:cs="Times New Roman"/>
            <w:sz w:val="24"/>
            <w:szCs w:val="24"/>
          </w:rPr>
          <w:t>http://www.legislation.gov.uk/ukpga/2006/41/contents</w:t>
        </w:r>
      </w:hyperlink>
    </w:p>
    <w:p w14:paraId="007B8289"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UK Government. (2010). Equality Act 2010. [Online]. Available at: </w:t>
      </w:r>
      <w:hyperlink r:id="rId21" w:tgtFrame="_new" w:history="1">
        <w:r w:rsidRPr="007504FF">
          <w:rPr>
            <w:rStyle w:val="Hyperlink"/>
            <w:rFonts w:ascii="Times New Roman" w:hAnsi="Times New Roman" w:cs="Times New Roman"/>
            <w:sz w:val="24"/>
            <w:szCs w:val="24"/>
          </w:rPr>
          <w:t>http://www.legislation.gov.uk/ukpga/2010/15/contents</w:t>
        </w:r>
      </w:hyperlink>
    </w:p>
    <w:p w14:paraId="1D4B74CC"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UK Government. (2012). Health and Social Care Act 2012. [Online]. Available at: </w:t>
      </w:r>
      <w:hyperlink r:id="rId22" w:tgtFrame="_new" w:history="1">
        <w:r w:rsidRPr="007504FF">
          <w:rPr>
            <w:rStyle w:val="Hyperlink"/>
            <w:rFonts w:ascii="Times New Roman" w:hAnsi="Times New Roman" w:cs="Times New Roman"/>
            <w:sz w:val="24"/>
            <w:szCs w:val="24"/>
          </w:rPr>
          <w:t>http://www.legislation.gov.uk/ukpga/2012/7/contents/enacted</w:t>
        </w:r>
      </w:hyperlink>
    </w:p>
    <w:p w14:paraId="72CC8455"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UK Government. (2014). Care Act 2014. [Online]. Available at: </w:t>
      </w:r>
      <w:hyperlink r:id="rId23" w:tgtFrame="_new" w:history="1">
        <w:r w:rsidRPr="007504FF">
          <w:rPr>
            <w:rStyle w:val="Hyperlink"/>
            <w:rFonts w:ascii="Times New Roman" w:hAnsi="Times New Roman" w:cs="Times New Roman"/>
            <w:sz w:val="24"/>
            <w:szCs w:val="24"/>
          </w:rPr>
          <w:t>http://www.legislation.gov.uk/ukpga/2014/23/contents/enacted</w:t>
        </w:r>
      </w:hyperlink>
    </w:p>
    <w:p w14:paraId="2AFDAE7F"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UK Government. (2018). Data Protection Act 2018. [Online]. Available at: </w:t>
      </w:r>
      <w:hyperlink r:id="rId24" w:tgtFrame="_new" w:history="1">
        <w:r w:rsidRPr="007504FF">
          <w:rPr>
            <w:rStyle w:val="Hyperlink"/>
            <w:rFonts w:ascii="Times New Roman" w:hAnsi="Times New Roman" w:cs="Times New Roman"/>
            <w:sz w:val="24"/>
            <w:szCs w:val="24"/>
          </w:rPr>
          <w:t>http://www.legislation.gov.uk/ukpga/2018/12/contents/enacted</w:t>
        </w:r>
      </w:hyperlink>
    </w:p>
    <w:p w14:paraId="611C18E0"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Ullah, M., </w:t>
      </w:r>
      <w:proofErr w:type="spellStart"/>
      <w:r w:rsidRPr="007504FF">
        <w:rPr>
          <w:rFonts w:ascii="Times New Roman" w:hAnsi="Times New Roman" w:cs="Times New Roman"/>
          <w:sz w:val="24"/>
          <w:szCs w:val="24"/>
        </w:rPr>
        <w:t>Hamayun</w:t>
      </w:r>
      <w:proofErr w:type="spellEnd"/>
      <w:r w:rsidRPr="007504FF">
        <w:rPr>
          <w:rFonts w:ascii="Times New Roman" w:hAnsi="Times New Roman" w:cs="Times New Roman"/>
          <w:sz w:val="24"/>
          <w:szCs w:val="24"/>
        </w:rPr>
        <w:t xml:space="preserve">, S., Wahab, A., Khan, S.U., Rehman, M.U., Haq, Z.U., ... &amp; Qayum, M. (2023). Smart Technologies used as Smart Tools in the Management of Cardiovascular Disease and their Future Perspective. </w:t>
      </w:r>
      <w:r w:rsidRPr="007504FF">
        <w:rPr>
          <w:rFonts w:ascii="Times New Roman" w:hAnsi="Times New Roman" w:cs="Times New Roman"/>
          <w:i/>
          <w:iCs/>
          <w:sz w:val="24"/>
          <w:szCs w:val="24"/>
        </w:rPr>
        <w:t>Current Problems in Cardiology</w:t>
      </w:r>
      <w:r w:rsidRPr="007504FF">
        <w:rPr>
          <w:rFonts w:ascii="Times New Roman" w:hAnsi="Times New Roman" w:cs="Times New Roman"/>
          <w:sz w:val="24"/>
          <w:szCs w:val="24"/>
        </w:rPr>
        <w:t>, 48(11), 101922.</w:t>
      </w:r>
    </w:p>
    <w:p w14:paraId="0DF321F2"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proofErr w:type="spellStart"/>
      <w:r w:rsidRPr="007504FF">
        <w:rPr>
          <w:rFonts w:ascii="Times New Roman" w:hAnsi="Times New Roman" w:cs="Times New Roman"/>
          <w:sz w:val="24"/>
          <w:szCs w:val="24"/>
        </w:rPr>
        <w:t>Usak</w:t>
      </w:r>
      <w:proofErr w:type="spellEnd"/>
      <w:r w:rsidRPr="007504FF">
        <w:rPr>
          <w:rFonts w:ascii="Times New Roman" w:hAnsi="Times New Roman" w:cs="Times New Roman"/>
          <w:sz w:val="24"/>
          <w:szCs w:val="24"/>
        </w:rPr>
        <w:t xml:space="preserve">, M., </w:t>
      </w:r>
      <w:proofErr w:type="spellStart"/>
      <w:r w:rsidRPr="007504FF">
        <w:rPr>
          <w:rFonts w:ascii="Times New Roman" w:hAnsi="Times New Roman" w:cs="Times New Roman"/>
          <w:sz w:val="24"/>
          <w:szCs w:val="24"/>
        </w:rPr>
        <w:t>Kubiatko</w:t>
      </w:r>
      <w:proofErr w:type="spellEnd"/>
      <w:r w:rsidRPr="007504FF">
        <w:rPr>
          <w:rFonts w:ascii="Times New Roman" w:hAnsi="Times New Roman" w:cs="Times New Roman"/>
          <w:sz w:val="24"/>
          <w:szCs w:val="24"/>
        </w:rPr>
        <w:t xml:space="preserve">, M., Shabbir, M.S., Viktorovna Dudnik, O., </w:t>
      </w:r>
      <w:proofErr w:type="spellStart"/>
      <w:r w:rsidRPr="007504FF">
        <w:rPr>
          <w:rFonts w:ascii="Times New Roman" w:hAnsi="Times New Roman" w:cs="Times New Roman"/>
          <w:sz w:val="24"/>
          <w:szCs w:val="24"/>
        </w:rPr>
        <w:t>Jermsittiparsert</w:t>
      </w:r>
      <w:proofErr w:type="spellEnd"/>
      <w:r w:rsidRPr="007504FF">
        <w:rPr>
          <w:rFonts w:ascii="Times New Roman" w:hAnsi="Times New Roman" w:cs="Times New Roman"/>
          <w:sz w:val="24"/>
          <w:szCs w:val="24"/>
        </w:rPr>
        <w:t xml:space="preserve">, K., &amp; </w:t>
      </w:r>
      <w:proofErr w:type="spellStart"/>
      <w:r w:rsidRPr="007504FF">
        <w:rPr>
          <w:rFonts w:ascii="Times New Roman" w:hAnsi="Times New Roman" w:cs="Times New Roman"/>
          <w:sz w:val="24"/>
          <w:szCs w:val="24"/>
        </w:rPr>
        <w:t>Rajabion</w:t>
      </w:r>
      <w:proofErr w:type="spellEnd"/>
      <w:r w:rsidRPr="007504FF">
        <w:rPr>
          <w:rFonts w:ascii="Times New Roman" w:hAnsi="Times New Roman" w:cs="Times New Roman"/>
          <w:sz w:val="24"/>
          <w:szCs w:val="24"/>
        </w:rPr>
        <w:t xml:space="preserve">, L. (2020). Health care service delivery based on the Internet of things: A systematic and comprehensive study. </w:t>
      </w:r>
      <w:r w:rsidRPr="007504FF">
        <w:rPr>
          <w:rFonts w:ascii="Times New Roman" w:hAnsi="Times New Roman" w:cs="Times New Roman"/>
          <w:i/>
          <w:iCs/>
          <w:sz w:val="24"/>
          <w:szCs w:val="24"/>
        </w:rPr>
        <w:t>International Journal of Communication Systems</w:t>
      </w:r>
      <w:r w:rsidRPr="007504FF">
        <w:rPr>
          <w:rFonts w:ascii="Times New Roman" w:hAnsi="Times New Roman" w:cs="Times New Roman"/>
          <w:sz w:val="24"/>
          <w:szCs w:val="24"/>
        </w:rPr>
        <w:t>, 33(2), e4179.</w:t>
      </w:r>
    </w:p>
    <w:p w14:paraId="4369E8DA" w14:textId="77777777" w:rsidR="007504FF" w:rsidRPr="007504FF" w:rsidRDefault="007504FF" w:rsidP="007504FF">
      <w:pPr>
        <w:numPr>
          <w:ilvl w:val="0"/>
          <w:numId w:val="10"/>
        </w:numPr>
        <w:spacing w:after="0" w:line="360" w:lineRule="auto"/>
        <w:jc w:val="both"/>
        <w:rPr>
          <w:rFonts w:ascii="Times New Roman" w:hAnsi="Times New Roman" w:cs="Times New Roman"/>
          <w:sz w:val="24"/>
          <w:szCs w:val="24"/>
        </w:rPr>
      </w:pPr>
      <w:r w:rsidRPr="007504FF">
        <w:rPr>
          <w:rFonts w:ascii="Times New Roman" w:hAnsi="Times New Roman" w:cs="Times New Roman"/>
          <w:sz w:val="24"/>
          <w:szCs w:val="24"/>
        </w:rPr>
        <w:t xml:space="preserve">Watson, M.F., </w:t>
      </w:r>
      <w:proofErr w:type="spellStart"/>
      <w:r w:rsidRPr="007504FF">
        <w:rPr>
          <w:rFonts w:ascii="Times New Roman" w:hAnsi="Times New Roman" w:cs="Times New Roman"/>
          <w:sz w:val="24"/>
          <w:szCs w:val="24"/>
        </w:rPr>
        <w:t>Bacigalupe</w:t>
      </w:r>
      <w:proofErr w:type="spellEnd"/>
      <w:r w:rsidRPr="007504FF">
        <w:rPr>
          <w:rFonts w:ascii="Times New Roman" w:hAnsi="Times New Roman" w:cs="Times New Roman"/>
          <w:sz w:val="24"/>
          <w:szCs w:val="24"/>
        </w:rPr>
        <w:t xml:space="preserve">, G., </w:t>
      </w:r>
      <w:proofErr w:type="spellStart"/>
      <w:r w:rsidRPr="007504FF">
        <w:rPr>
          <w:rFonts w:ascii="Times New Roman" w:hAnsi="Times New Roman" w:cs="Times New Roman"/>
          <w:sz w:val="24"/>
          <w:szCs w:val="24"/>
        </w:rPr>
        <w:t>Daneshpour</w:t>
      </w:r>
      <w:proofErr w:type="spellEnd"/>
      <w:r w:rsidRPr="007504FF">
        <w:rPr>
          <w:rFonts w:ascii="Times New Roman" w:hAnsi="Times New Roman" w:cs="Times New Roman"/>
          <w:sz w:val="24"/>
          <w:szCs w:val="24"/>
        </w:rPr>
        <w:t xml:space="preserve">, M., Han, W.J., &amp; Parra-Cardona, R. (2020). COVID-19 interconnectedness: Health inequity, the climate crisis, and collective trauma. </w:t>
      </w:r>
      <w:r w:rsidRPr="007504FF">
        <w:rPr>
          <w:rFonts w:ascii="Times New Roman" w:hAnsi="Times New Roman" w:cs="Times New Roman"/>
          <w:i/>
          <w:iCs/>
          <w:sz w:val="24"/>
          <w:szCs w:val="24"/>
        </w:rPr>
        <w:t>Family Process</w:t>
      </w:r>
      <w:r w:rsidRPr="007504FF">
        <w:rPr>
          <w:rFonts w:ascii="Times New Roman" w:hAnsi="Times New Roman" w:cs="Times New Roman"/>
          <w:sz w:val="24"/>
          <w:szCs w:val="24"/>
        </w:rPr>
        <w:t>, 59(3), 832-846.</w:t>
      </w:r>
    </w:p>
    <w:p w14:paraId="5116C5EA" w14:textId="77777777" w:rsidR="007504FF" w:rsidRPr="007504FF" w:rsidRDefault="007504FF" w:rsidP="007504FF">
      <w:pPr>
        <w:spacing w:after="0" w:line="360" w:lineRule="auto"/>
        <w:jc w:val="both"/>
        <w:rPr>
          <w:rFonts w:ascii="Times New Roman" w:hAnsi="Times New Roman" w:cs="Times New Roman"/>
          <w:sz w:val="24"/>
          <w:szCs w:val="24"/>
        </w:rPr>
      </w:pPr>
    </w:p>
    <w:p w14:paraId="45F9B031" w14:textId="77777777" w:rsidR="009771BC" w:rsidRPr="00031B14" w:rsidRDefault="009771BC" w:rsidP="009771BC">
      <w:pPr>
        <w:spacing w:after="0" w:line="360" w:lineRule="auto"/>
        <w:jc w:val="both"/>
        <w:rPr>
          <w:rFonts w:ascii="Times New Roman" w:hAnsi="Times New Roman" w:cs="Times New Roman"/>
          <w:sz w:val="24"/>
          <w:szCs w:val="24"/>
        </w:rPr>
      </w:pPr>
    </w:p>
    <w:p w14:paraId="204F95E7" w14:textId="00275ABF" w:rsidR="00094C2D" w:rsidRPr="009771BC" w:rsidRDefault="00094C2D" w:rsidP="009771BC"/>
    <w:sectPr w:rsidR="00094C2D" w:rsidRPr="009771BC">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F5500" w14:textId="77777777" w:rsidR="00E8350E" w:rsidRDefault="00E8350E" w:rsidP="008E40CD">
      <w:pPr>
        <w:spacing w:after="0" w:line="240" w:lineRule="auto"/>
      </w:pPr>
      <w:r>
        <w:separator/>
      </w:r>
    </w:p>
  </w:endnote>
  <w:endnote w:type="continuationSeparator" w:id="0">
    <w:p w14:paraId="15CCCFAE" w14:textId="77777777" w:rsidR="00E8350E" w:rsidRDefault="00E8350E" w:rsidP="008E4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26647" w14:textId="3696AB47" w:rsidR="00540731" w:rsidRDefault="00540731">
    <w:pPr>
      <w:pStyle w:val="Footer"/>
    </w:pPr>
    <w:r>
      <w:t>Operose health business environment by Ahmed Metwaly</w:t>
    </w:r>
  </w:p>
  <w:p w14:paraId="391A68BD" w14:textId="1E26156F" w:rsidR="008E40CD" w:rsidRDefault="008E4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BFA27" w14:textId="77777777" w:rsidR="00E8350E" w:rsidRDefault="00E8350E" w:rsidP="008E40CD">
      <w:pPr>
        <w:spacing w:after="0" w:line="240" w:lineRule="auto"/>
      </w:pPr>
      <w:r>
        <w:separator/>
      </w:r>
    </w:p>
  </w:footnote>
  <w:footnote w:type="continuationSeparator" w:id="0">
    <w:p w14:paraId="12882C36" w14:textId="77777777" w:rsidR="00E8350E" w:rsidRDefault="00E8350E" w:rsidP="008E4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889006"/>
      <w:docPartObj>
        <w:docPartGallery w:val="Page Numbers (Top of Page)"/>
        <w:docPartUnique/>
      </w:docPartObj>
    </w:sdtPr>
    <w:sdtEndPr>
      <w:rPr>
        <w:color w:val="7F7F7F" w:themeColor="background1" w:themeShade="7F"/>
        <w:spacing w:val="60"/>
      </w:rPr>
    </w:sdtEndPr>
    <w:sdtContent>
      <w:p w14:paraId="4BDBB74C" w14:textId="2376EF76" w:rsidR="00540731" w:rsidRDefault="0054073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66A7E1" w14:textId="77777777" w:rsidR="008E40CD" w:rsidRDefault="008E40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F1F8B"/>
    <w:multiLevelType w:val="multilevel"/>
    <w:tmpl w:val="A0CC2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EE66A1"/>
    <w:multiLevelType w:val="hybridMultilevel"/>
    <w:tmpl w:val="26D06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F5570C"/>
    <w:multiLevelType w:val="multilevel"/>
    <w:tmpl w:val="5C72DDB0"/>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5203D5E"/>
    <w:multiLevelType w:val="multilevel"/>
    <w:tmpl w:val="1078159C"/>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E243A10"/>
    <w:multiLevelType w:val="multilevel"/>
    <w:tmpl w:val="76C4C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D01AEB"/>
    <w:multiLevelType w:val="multilevel"/>
    <w:tmpl w:val="C764C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F357BD"/>
    <w:multiLevelType w:val="multilevel"/>
    <w:tmpl w:val="44887F6E"/>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498A7616"/>
    <w:multiLevelType w:val="multilevel"/>
    <w:tmpl w:val="FFB08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885A55"/>
    <w:multiLevelType w:val="multilevel"/>
    <w:tmpl w:val="52E6C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417760"/>
    <w:multiLevelType w:val="hybridMultilevel"/>
    <w:tmpl w:val="3FA61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518122">
    <w:abstractNumId w:val="8"/>
  </w:num>
  <w:num w:numId="2" w16cid:durableId="88628524">
    <w:abstractNumId w:val="7"/>
  </w:num>
  <w:num w:numId="3" w16cid:durableId="412901322">
    <w:abstractNumId w:val="4"/>
  </w:num>
  <w:num w:numId="4" w16cid:durableId="630481517">
    <w:abstractNumId w:val="0"/>
  </w:num>
  <w:num w:numId="5" w16cid:durableId="1686635736">
    <w:abstractNumId w:val="1"/>
  </w:num>
  <w:num w:numId="6" w16cid:durableId="1853104577">
    <w:abstractNumId w:val="6"/>
  </w:num>
  <w:num w:numId="7" w16cid:durableId="1618294871">
    <w:abstractNumId w:val="9"/>
  </w:num>
  <w:num w:numId="8" w16cid:durableId="441460198">
    <w:abstractNumId w:val="2"/>
  </w:num>
  <w:num w:numId="9" w16cid:durableId="1029451969">
    <w:abstractNumId w:val="3"/>
  </w:num>
  <w:num w:numId="10" w16cid:durableId="13101361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F4E"/>
    <w:rsid w:val="00031B14"/>
    <w:rsid w:val="000321FF"/>
    <w:rsid w:val="00033522"/>
    <w:rsid w:val="00034331"/>
    <w:rsid w:val="00094C2D"/>
    <w:rsid w:val="0009547F"/>
    <w:rsid w:val="0009724E"/>
    <w:rsid w:val="000B7321"/>
    <w:rsid w:val="000D28E1"/>
    <w:rsid w:val="00100968"/>
    <w:rsid w:val="00103C24"/>
    <w:rsid w:val="001637F0"/>
    <w:rsid w:val="00192B70"/>
    <w:rsid w:val="00195790"/>
    <w:rsid w:val="00195CBB"/>
    <w:rsid w:val="001F647F"/>
    <w:rsid w:val="00215060"/>
    <w:rsid w:val="00216F2C"/>
    <w:rsid w:val="00253E1F"/>
    <w:rsid w:val="00256E3E"/>
    <w:rsid w:val="00351BEF"/>
    <w:rsid w:val="00373EA9"/>
    <w:rsid w:val="003A1F31"/>
    <w:rsid w:val="003D5492"/>
    <w:rsid w:val="003F6267"/>
    <w:rsid w:val="00425D42"/>
    <w:rsid w:val="00453A78"/>
    <w:rsid w:val="004A76BA"/>
    <w:rsid w:val="004F05AB"/>
    <w:rsid w:val="00524D59"/>
    <w:rsid w:val="00532806"/>
    <w:rsid w:val="00540731"/>
    <w:rsid w:val="005606DF"/>
    <w:rsid w:val="005652BB"/>
    <w:rsid w:val="005B10E7"/>
    <w:rsid w:val="005D2C7B"/>
    <w:rsid w:val="005F0718"/>
    <w:rsid w:val="00634323"/>
    <w:rsid w:val="00641F4E"/>
    <w:rsid w:val="006504A1"/>
    <w:rsid w:val="00674627"/>
    <w:rsid w:val="00685EFA"/>
    <w:rsid w:val="006A13F8"/>
    <w:rsid w:val="006A2F98"/>
    <w:rsid w:val="006D3E6C"/>
    <w:rsid w:val="006F2A41"/>
    <w:rsid w:val="0070094E"/>
    <w:rsid w:val="00700D79"/>
    <w:rsid w:val="00711A6E"/>
    <w:rsid w:val="00732E52"/>
    <w:rsid w:val="00735DA7"/>
    <w:rsid w:val="007504FF"/>
    <w:rsid w:val="0075210E"/>
    <w:rsid w:val="0075627D"/>
    <w:rsid w:val="007A14DB"/>
    <w:rsid w:val="007A426C"/>
    <w:rsid w:val="007B6DB2"/>
    <w:rsid w:val="007C1542"/>
    <w:rsid w:val="007D0A4A"/>
    <w:rsid w:val="007D2AC7"/>
    <w:rsid w:val="00805E18"/>
    <w:rsid w:val="008359B3"/>
    <w:rsid w:val="00870766"/>
    <w:rsid w:val="008B1DE9"/>
    <w:rsid w:val="008E1B8D"/>
    <w:rsid w:val="008E40CD"/>
    <w:rsid w:val="008E51BF"/>
    <w:rsid w:val="008F45BE"/>
    <w:rsid w:val="00910211"/>
    <w:rsid w:val="00922651"/>
    <w:rsid w:val="00953304"/>
    <w:rsid w:val="009552D6"/>
    <w:rsid w:val="009734E4"/>
    <w:rsid w:val="009771BC"/>
    <w:rsid w:val="009904BF"/>
    <w:rsid w:val="009D2223"/>
    <w:rsid w:val="009E24CD"/>
    <w:rsid w:val="00A91A6C"/>
    <w:rsid w:val="00AA1030"/>
    <w:rsid w:val="00B55AD7"/>
    <w:rsid w:val="00B600C8"/>
    <w:rsid w:val="00B82A1E"/>
    <w:rsid w:val="00B8371E"/>
    <w:rsid w:val="00C5065F"/>
    <w:rsid w:val="00C77831"/>
    <w:rsid w:val="00CB01C1"/>
    <w:rsid w:val="00CB4746"/>
    <w:rsid w:val="00D22F94"/>
    <w:rsid w:val="00D3520C"/>
    <w:rsid w:val="00D90CB7"/>
    <w:rsid w:val="00D94502"/>
    <w:rsid w:val="00DB0A03"/>
    <w:rsid w:val="00DC1ED6"/>
    <w:rsid w:val="00E03BE6"/>
    <w:rsid w:val="00E8350E"/>
    <w:rsid w:val="00EA2200"/>
    <w:rsid w:val="00EF6920"/>
    <w:rsid w:val="00F022FB"/>
    <w:rsid w:val="00F04D70"/>
    <w:rsid w:val="00F12203"/>
    <w:rsid w:val="00F3776E"/>
    <w:rsid w:val="00F45763"/>
    <w:rsid w:val="00F714A5"/>
    <w:rsid w:val="00F742FF"/>
    <w:rsid w:val="00F85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585E8"/>
  <w15:chartTrackingRefBased/>
  <w15:docId w15:val="{58A911C7-E6B7-4843-BDA9-57ED7563C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3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3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73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734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1B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B73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73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732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B7321"/>
    <w:pPr>
      <w:ind w:left="720"/>
      <w:contextualSpacing/>
    </w:pPr>
  </w:style>
  <w:style w:type="character" w:styleId="Hyperlink">
    <w:name w:val="Hyperlink"/>
    <w:basedOn w:val="DefaultParagraphFont"/>
    <w:uiPriority w:val="99"/>
    <w:unhideWhenUsed/>
    <w:rsid w:val="007504FF"/>
    <w:rPr>
      <w:color w:val="0563C1" w:themeColor="hyperlink"/>
      <w:u w:val="single"/>
    </w:rPr>
  </w:style>
  <w:style w:type="character" w:styleId="UnresolvedMention">
    <w:name w:val="Unresolved Mention"/>
    <w:basedOn w:val="DefaultParagraphFont"/>
    <w:uiPriority w:val="99"/>
    <w:semiHidden/>
    <w:unhideWhenUsed/>
    <w:rsid w:val="007504FF"/>
    <w:rPr>
      <w:color w:val="605E5C"/>
      <w:shd w:val="clear" w:color="auto" w:fill="E1DFDD"/>
    </w:rPr>
  </w:style>
  <w:style w:type="character" w:customStyle="1" w:styleId="Heading4Char">
    <w:name w:val="Heading 4 Char"/>
    <w:basedOn w:val="DefaultParagraphFont"/>
    <w:link w:val="Heading4"/>
    <w:uiPriority w:val="9"/>
    <w:semiHidden/>
    <w:rsid w:val="009734E4"/>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0954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4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0CD"/>
  </w:style>
  <w:style w:type="paragraph" w:styleId="Footer">
    <w:name w:val="footer"/>
    <w:basedOn w:val="Normal"/>
    <w:link w:val="FooterChar"/>
    <w:uiPriority w:val="99"/>
    <w:unhideWhenUsed/>
    <w:rsid w:val="008E4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25995">
      <w:bodyDiv w:val="1"/>
      <w:marLeft w:val="0"/>
      <w:marRight w:val="0"/>
      <w:marTop w:val="0"/>
      <w:marBottom w:val="0"/>
      <w:divBdr>
        <w:top w:val="none" w:sz="0" w:space="0" w:color="auto"/>
        <w:left w:val="none" w:sz="0" w:space="0" w:color="auto"/>
        <w:bottom w:val="none" w:sz="0" w:space="0" w:color="auto"/>
        <w:right w:val="none" w:sz="0" w:space="0" w:color="auto"/>
      </w:divBdr>
    </w:div>
    <w:div w:id="293293543">
      <w:bodyDiv w:val="1"/>
      <w:marLeft w:val="0"/>
      <w:marRight w:val="0"/>
      <w:marTop w:val="0"/>
      <w:marBottom w:val="0"/>
      <w:divBdr>
        <w:top w:val="none" w:sz="0" w:space="0" w:color="auto"/>
        <w:left w:val="none" w:sz="0" w:space="0" w:color="auto"/>
        <w:bottom w:val="none" w:sz="0" w:space="0" w:color="auto"/>
        <w:right w:val="none" w:sz="0" w:space="0" w:color="auto"/>
      </w:divBdr>
    </w:div>
    <w:div w:id="366566147">
      <w:bodyDiv w:val="1"/>
      <w:marLeft w:val="0"/>
      <w:marRight w:val="0"/>
      <w:marTop w:val="0"/>
      <w:marBottom w:val="0"/>
      <w:divBdr>
        <w:top w:val="none" w:sz="0" w:space="0" w:color="auto"/>
        <w:left w:val="none" w:sz="0" w:space="0" w:color="auto"/>
        <w:bottom w:val="none" w:sz="0" w:space="0" w:color="auto"/>
        <w:right w:val="none" w:sz="0" w:space="0" w:color="auto"/>
      </w:divBdr>
    </w:div>
    <w:div w:id="404030801">
      <w:bodyDiv w:val="1"/>
      <w:marLeft w:val="0"/>
      <w:marRight w:val="0"/>
      <w:marTop w:val="0"/>
      <w:marBottom w:val="0"/>
      <w:divBdr>
        <w:top w:val="none" w:sz="0" w:space="0" w:color="auto"/>
        <w:left w:val="none" w:sz="0" w:space="0" w:color="auto"/>
        <w:bottom w:val="none" w:sz="0" w:space="0" w:color="auto"/>
        <w:right w:val="none" w:sz="0" w:space="0" w:color="auto"/>
      </w:divBdr>
    </w:div>
    <w:div w:id="480343963">
      <w:bodyDiv w:val="1"/>
      <w:marLeft w:val="0"/>
      <w:marRight w:val="0"/>
      <w:marTop w:val="0"/>
      <w:marBottom w:val="0"/>
      <w:divBdr>
        <w:top w:val="none" w:sz="0" w:space="0" w:color="auto"/>
        <w:left w:val="none" w:sz="0" w:space="0" w:color="auto"/>
        <w:bottom w:val="none" w:sz="0" w:space="0" w:color="auto"/>
        <w:right w:val="none" w:sz="0" w:space="0" w:color="auto"/>
      </w:divBdr>
    </w:div>
    <w:div w:id="512233506">
      <w:bodyDiv w:val="1"/>
      <w:marLeft w:val="0"/>
      <w:marRight w:val="0"/>
      <w:marTop w:val="0"/>
      <w:marBottom w:val="0"/>
      <w:divBdr>
        <w:top w:val="none" w:sz="0" w:space="0" w:color="auto"/>
        <w:left w:val="none" w:sz="0" w:space="0" w:color="auto"/>
        <w:bottom w:val="none" w:sz="0" w:space="0" w:color="auto"/>
        <w:right w:val="none" w:sz="0" w:space="0" w:color="auto"/>
      </w:divBdr>
    </w:div>
    <w:div w:id="598175538">
      <w:bodyDiv w:val="1"/>
      <w:marLeft w:val="0"/>
      <w:marRight w:val="0"/>
      <w:marTop w:val="0"/>
      <w:marBottom w:val="0"/>
      <w:divBdr>
        <w:top w:val="none" w:sz="0" w:space="0" w:color="auto"/>
        <w:left w:val="none" w:sz="0" w:space="0" w:color="auto"/>
        <w:bottom w:val="none" w:sz="0" w:space="0" w:color="auto"/>
        <w:right w:val="none" w:sz="0" w:space="0" w:color="auto"/>
      </w:divBdr>
    </w:div>
    <w:div w:id="806245215">
      <w:bodyDiv w:val="1"/>
      <w:marLeft w:val="0"/>
      <w:marRight w:val="0"/>
      <w:marTop w:val="0"/>
      <w:marBottom w:val="0"/>
      <w:divBdr>
        <w:top w:val="none" w:sz="0" w:space="0" w:color="auto"/>
        <w:left w:val="none" w:sz="0" w:space="0" w:color="auto"/>
        <w:bottom w:val="none" w:sz="0" w:space="0" w:color="auto"/>
        <w:right w:val="none" w:sz="0" w:space="0" w:color="auto"/>
      </w:divBdr>
    </w:div>
    <w:div w:id="822508779">
      <w:bodyDiv w:val="1"/>
      <w:marLeft w:val="0"/>
      <w:marRight w:val="0"/>
      <w:marTop w:val="0"/>
      <w:marBottom w:val="0"/>
      <w:divBdr>
        <w:top w:val="none" w:sz="0" w:space="0" w:color="auto"/>
        <w:left w:val="none" w:sz="0" w:space="0" w:color="auto"/>
        <w:bottom w:val="none" w:sz="0" w:space="0" w:color="auto"/>
        <w:right w:val="none" w:sz="0" w:space="0" w:color="auto"/>
      </w:divBdr>
    </w:div>
    <w:div w:id="859589096">
      <w:bodyDiv w:val="1"/>
      <w:marLeft w:val="0"/>
      <w:marRight w:val="0"/>
      <w:marTop w:val="0"/>
      <w:marBottom w:val="0"/>
      <w:divBdr>
        <w:top w:val="none" w:sz="0" w:space="0" w:color="auto"/>
        <w:left w:val="none" w:sz="0" w:space="0" w:color="auto"/>
        <w:bottom w:val="none" w:sz="0" w:space="0" w:color="auto"/>
        <w:right w:val="none" w:sz="0" w:space="0" w:color="auto"/>
      </w:divBdr>
    </w:div>
    <w:div w:id="926614845">
      <w:bodyDiv w:val="1"/>
      <w:marLeft w:val="0"/>
      <w:marRight w:val="0"/>
      <w:marTop w:val="0"/>
      <w:marBottom w:val="0"/>
      <w:divBdr>
        <w:top w:val="none" w:sz="0" w:space="0" w:color="auto"/>
        <w:left w:val="none" w:sz="0" w:space="0" w:color="auto"/>
        <w:bottom w:val="none" w:sz="0" w:space="0" w:color="auto"/>
        <w:right w:val="none" w:sz="0" w:space="0" w:color="auto"/>
      </w:divBdr>
    </w:div>
    <w:div w:id="1045527125">
      <w:bodyDiv w:val="1"/>
      <w:marLeft w:val="0"/>
      <w:marRight w:val="0"/>
      <w:marTop w:val="0"/>
      <w:marBottom w:val="0"/>
      <w:divBdr>
        <w:top w:val="none" w:sz="0" w:space="0" w:color="auto"/>
        <w:left w:val="none" w:sz="0" w:space="0" w:color="auto"/>
        <w:bottom w:val="none" w:sz="0" w:space="0" w:color="auto"/>
        <w:right w:val="none" w:sz="0" w:space="0" w:color="auto"/>
      </w:divBdr>
    </w:div>
    <w:div w:id="1079181830">
      <w:bodyDiv w:val="1"/>
      <w:marLeft w:val="0"/>
      <w:marRight w:val="0"/>
      <w:marTop w:val="0"/>
      <w:marBottom w:val="0"/>
      <w:divBdr>
        <w:top w:val="none" w:sz="0" w:space="0" w:color="auto"/>
        <w:left w:val="none" w:sz="0" w:space="0" w:color="auto"/>
        <w:bottom w:val="none" w:sz="0" w:space="0" w:color="auto"/>
        <w:right w:val="none" w:sz="0" w:space="0" w:color="auto"/>
      </w:divBdr>
    </w:div>
    <w:div w:id="1125611717">
      <w:bodyDiv w:val="1"/>
      <w:marLeft w:val="0"/>
      <w:marRight w:val="0"/>
      <w:marTop w:val="0"/>
      <w:marBottom w:val="0"/>
      <w:divBdr>
        <w:top w:val="none" w:sz="0" w:space="0" w:color="auto"/>
        <w:left w:val="none" w:sz="0" w:space="0" w:color="auto"/>
        <w:bottom w:val="none" w:sz="0" w:space="0" w:color="auto"/>
        <w:right w:val="none" w:sz="0" w:space="0" w:color="auto"/>
      </w:divBdr>
      <w:divsChild>
        <w:div w:id="1960064789">
          <w:marLeft w:val="0"/>
          <w:marRight w:val="0"/>
          <w:marTop w:val="0"/>
          <w:marBottom w:val="0"/>
          <w:divBdr>
            <w:top w:val="single" w:sz="2" w:space="0" w:color="auto"/>
            <w:left w:val="single" w:sz="2" w:space="0" w:color="auto"/>
            <w:bottom w:val="single" w:sz="6" w:space="0" w:color="auto"/>
            <w:right w:val="single" w:sz="2" w:space="0" w:color="auto"/>
          </w:divBdr>
          <w:divsChild>
            <w:div w:id="1090740467">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723472">
                  <w:marLeft w:val="0"/>
                  <w:marRight w:val="0"/>
                  <w:marTop w:val="0"/>
                  <w:marBottom w:val="0"/>
                  <w:divBdr>
                    <w:top w:val="single" w:sz="2" w:space="0" w:color="D9D9E3"/>
                    <w:left w:val="single" w:sz="2" w:space="0" w:color="D9D9E3"/>
                    <w:bottom w:val="single" w:sz="2" w:space="0" w:color="D9D9E3"/>
                    <w:right w:val="single" w:sz="2" w:space="0" w:color="D9D9E3"/>
                  </w:divBdr>
                  <w:divsChild>
                    <w:div w:id="1079597986">
                      <w:marLeft w:val="0"/>
                      <w:marRight w:val="0"/>
                      <w:marTop w:val="0"/>
                      <w:marBottom w:val="0"/>
                      <w:divBdr>
                        <w:top w:val="single" w:sz="2" w:space="0" w:color="D9D9E3"/>
                        <w:left w:val="single" w:sz="2" w:space="0" w:color="D9D9E3"/>
                        <w:bottom w:val="single" w:sz="2" w:space="0" w:color="D9D9E3"/>
                        <w:right w:val="single" w:sz="2" w:space="0" w:color="D9D9E3"/>
                      </w:divBdr>
                      <w:divsChild>
                        <w:div w:id="1652755692">
                          <w:marLeft w:val="0"/>
                          <w:marRight w:val="0"/>
                          <w:marTop w:val="0"/>
                          <w:marBottom w:val="0"/>
                          <w:divBdr>
                            <w:top w:val="single" w:sz="2" w:space="0" w:color="D9D9E3"/>
                            <w:left w:val="single" w:sz="2" w:space="0" w:color="D9D9E3"/>
                            <w:bottom w:val="single" w:sz="2" w:space="0" w:color="D9D9E3"/>
                            <w:right w:val="single" w:sz="2" w:space="0" w:color="D9D9E3"/>
                          </w:divBdr>
                          <w:divsChild>
                            <w:div w:id="234125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3137523">
      <w:bodyDiv w:val="1"/>
      <w:marLeft w:val="0"/>
      <w:marRight w:val="0"/>
      <w:marTop w:val="0"/>
      <w:marBottom w:val="0"/>
      <w:divBdr>
        <w:top w:val="none" w:sz="0" w:space="0" w:color="auto"/>
        <w:left w:val="none" w:sz="0" w:space="0" w:color="auto"/>
        <w:bottom w:val="none" w:sz="0" w:space="0" w:color="auto"/>
        <w:right w:val="none" w:sz="0" w:space="0" w:color="auto"/>
      </w:divBdr>
    </w:div>
    <w:div w:id="1194732801">
      <w:bodyDiv w:val="1"/>
      <w:marLeft w:val="0"/>
      <w:marRight w:val="0"/>
      <w:marTop w:val="0"/>
      <w:marBottom w:val="0"/>
      <w:divBdr>
        <w:top w:val="none" w:sz="0" w:space="0" w:color="auto"/>
        <w:left w:val="none" w:sz="0" w:space="0" w:color="auto"/>
        <w:bottom w:val="none" w:sz="0" w:space="0" w:color="auto"/>
        <w:right w:val="none" w:sz="0" w:space="0" w:color="auto"/>
      </w:divBdr>
    </w:div>
    <w:div w:id="1273323833">
      <w:bodyDiv w:val="1"/>
      <w:marLeft w:val="0"/>
      <w:marRight w:val="0"/>
      <w:marTop w:val="0"/>
      <w:marBottom w:val="0"/>
      <w:divBdr>
        <w:top w:val="none" w:sz="0" w:space="0" w:color="auto"/>
        <w:left w:val="none" w:sz="0" w:space="0" w:color="auto"/>
        <w:bottom w:val="none" w:sz="0" w:space="0" w:color="auto"/>
        <w:right w:val="none" w:sz="0" w:space="0" w:color="auto"/>
      </w:divBdr>
    </w:div>
    <w:div w:id="1307587422">
      <w:bodyDiv w:val="1"/>
      <w:marLeft w:val="0"/>
      <w:marRight w:val="0"/>
      <w:marTop w:val="0"/>
      <w:marBottom w:val="0"/>
      <w:divBdr>
        <w:top w:val="none" w:sz="0" w:space="0" w:color="auto"/>
        <w:left w:val="none" w:sz="0" w:space="0" w:color="auto"/>
        <w:bottom w:val="none" w:sz="0" w:space="0" w:color="auto"/>
        <w:right w:val="none" w:sz="0" w:space="0" w:color="auto"/>
      </w:divBdr>
    </w:div>
    <w:div w:id="1376078704">
      <w:bodyDiv w:val="1"/>
      <w:marLeft w:val="0"/>
      <w:marRight w:val="0"/>
      <w:marTop w:val="0"/>
      <w:marBottom w:val="0"/>
      <w:divBdr>
        <w:top w:val="none" w:sz="0" w:space="0" w:color="auto"/>
        <w:left w:val="none" w:sz="0" w:space="0" w:color="auto"/>
        <w:bottom w:val="none" w:sz="0" w:space="0" w:color="auto"/>
        <w:right w:val="none" w:sz="0" w:space="0" w:color="auto"/>
      </w:divBdr>
    </w:div>
    <w:div w:id="1420715555">
      <w:bodyDiv w:val="1"/>
      <w:marLeft w:val="0"/>
      <w:marRight w:val="0"/>
      <w:marTop w:val="0"/>
      <w:marBottom w:val="0"/>
      <w:divBdr>
        <w:top w:val="none" w:sz="0" w:space="0" w:color="auto"/>
        <w:left w:val="none" w:sz="0" w:space="0" w:color="auto"/>
        <w:bottom w:val="none" w:sz="0" w:space="0" w:color="auto"/>
        <w:right w:val="none" w:sz="0" w:space="0" w:color="auto"/>
      </w:divBdr>
    </w:div>
    <w:div w:id="1431927789">
      <w:bodyDiv w:val="1"/>
      <w:marLeft w:val="0"/>
      <w:marRight w:val="0"/>
      <w:marTop w:val="0"/>
      <w:marBottom w:val="0"/>
      <w:divBdr>
        <w:top w:val="none" w:sz="0" w:space="0" w:color="auto"/>
        <w:left w:val="none" w:sz="0" w:space="0" w:color="auto"/>
        <w:bottom w:val="none" w:sz="0" w:space="0" w:color="auto"/>
        <w:right w:val="none" w:sz="0" w:space="0" w:color="auto"/>
      </w:divBdr>
    </w:div>
    <w:div w:id="1508522447">
      <w:bodyDiv w:val="1"/>
      <w:marLeft w:val="0"/>
      <w:marRight w:val="0"/>
      <w:marTop w:val="0"/>
      <w:marBottom w:val="0"/>
      <w:divBdr>
        <w:top w:val="none" w:sz="0" w:space="0" w:color="auto"/>
        <w:left w:val="none" w:sz="0" w:space="0" w:color="auto"/>
        <w:bottom w:val="none" w:sz="0" w:space="0" w:color="auto"/>
        <w:right w:val="none" w:sz="0" w:space="0" w:color="auto"/>
      </w:divBdr>
    </w:div>
    <w:div w:id="1527018046">
      <w:bodyDiv w:val="1"/>
      <w:marLeft w:val="0"/>
      <w:marRight w:val="0"/>
      <w:marTop w:val="0"/>
      <w:marBottom w:val="0"/>
      <w:divBdr>
        <w:top w:val="none" w:sz="0" w:space="0" w:color="auto"/>
        <w:left w:val="none" w:sz="0" w:space="0" w:color="auto"/>
        <w:bottom w:val="none" w:sz="0" w:space="0" w:color="auto"/>
        <w:right w:val="none" w:sz="0" w:space="0" w:color="auto"/>
      </w:divBdr>
    </w:div>
    <w:div w:id="1568764966">
      <w:bodyDiv w:val="1"/>
      <w:marLeft w:val="0"/>
      <w:marRight w:val="0"/>
      <w:marTop w:val="0"/>
      <w:marBottom w:val="0"/>
      <w:divBdr>
        <w:top w:val="none" w:sz="0" w:space="0" w:color="auto"/>
        <w:left w:val="none" w:sz="0" w:space="0" w:color="auto"/>
        <w:bottom w:val="none" w:sz="0" w:space="0" w:color="auto"/>
        <w:right w:val="none" w:sz="0" w:space="0" w:color="auto"/>
      </w:divBdr>
    </w:div>
    <w:div w:id="1699814676">
      <w:bodyDiv w:val="1"/>
      <w:marLeft w:val="0"/>
      <w:marRight w:val="0"/>
      <w:marTop w:val="0"/>
      <w:marBottom w:val="0"/>
      <w:divBdr>
        <w:top w:val="none" w:sz="0" w:space="0" w:color="auto"/>
        <w:left w:val="none" w:sz="0" w:space="0" w:color="auto"/>
        <w:bottom w:val="none" w:sz="0" w:space="0" w:color="auto"/>
        <w:right w:val="none" w:sz="0" w:space="0" w:color="auto"/>
      </w:divBdr>
    </w:div>
    <w:div w:id="1700156661">
      <w:bodyDiv w:val="1"/>
      <w:marLeft w:val="0"/>
      <w:marRight w:val="0"/>
      <w:marTop w:val="0"/>
      <w:marBottom w:val="0"/>
      <w:divBdr>
        <w:top w:val="none" w:sz="0" w:space="0" w:color="auto"/>
        <w:left w:val="none" w:sz="0" w:space="0" w:color="auto"/>
        <w:bottom w:val="none" w:sz="0" w:space="0" w:color="auto"/>
        <w:right w:val="none" w:sz="0" w:space="0" w:color="auto"/>
      </w:divBdr>
    </w:div>
    <w:div w:id="1702899575">
      <w:bodyDiv w:val="1"/>
      <w:marLeft w:val="0"/>
      <w:marRight w:val="0"/>
      <w:marTop w:val="0"/>
      <w:marBottom w:val="0"/>
      <w:divBdr>
        <w:top w:val="none" w:sz="0" w:space="0" w:color="auto"/>
        <w:left w:val="none" w:sz="0" w:space="0" w:color="auto"/>
        <w:bottom w:val="none" w:sz="0" w:space="0" w:color="auto"/>
        <w:right w:val="none" w:sz="0" w:space="0" w:color="auto"/>
      </w:divBdr>
    </w:div>
    <w:div w:id="1925605032">
      <w:bodyDiv w:val="1"/>
      <w:marLeft w:val="0"/>
      <w:marRight w:val="0"/>
      <w:marTop w:val="0"/>
      <w:marBottom w:val="0"/>
      <w:divBdr>
        <w:top w:val="none" w:sz="0" w:space="0" w:color="auto"/>
        <w:left w:val="none" w:sz="0" w:space="0" w:color="auto"/>
        <w:bottom w:val="none" w:sz="0" w:space="0" w:color="auto"/>
        <w:right w:val="none" w:sz="0" w:space="0" w:color="auto"/>
      </w:divBdr>
    </w:div>
    <w:div w:id="2004776818">
      <w:bodyDiv w:val="1"/>
      <w:marLeft w:val="0"/>
      <w:marRight w:val="0"/>
      <w:marTop w:val="0"/>
      <w:marBottom w:val="0"/>
      <w:divBdr>
        <w:top w:val="none" w:sz="0" w:space="0" w:color="auto"/>
        <w:left w:val="none" w:sz="0" w:space="0" w:color="auto"/>
        <w:bottom w:val="none" w:sz="0" w:space="0" w:color="auto"/>
        <w:right w:val="none" w:sz="0" w:space="0" w:color="auto"/>
      </w:divBdr>
    </w:div>
    <w:div w:id="2078017630">
      <w:bodyDiv w:val="1"/>
      <w:marLeft w:val="0"/>
      <w:marRight w:val="0"/>
      <w:marTop w:val="0"/>
      <w:marBottom w:val="0"/>
      <w:divBdr>
        <w:top w:val="none" w:sz="0" w:space="0" w:color="auto"/>
        <w:left w:val="none" w:sz="0" w:space="0" w:color="auto"/>
        <w:bottom w:val="none" w:sz="0" w:space="0" w:color="auto"/>
        <w:right w:val="none" w:sz="0" w:space="0" w:color="auto"/>
      </w:divBdr>
    </w:div>
    <w:div w:id="2113671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lex.europa.eu/eli/reg/2016/679/oj" TargetMode="External"/><Relationship Id="rId18" Type="http://schemas.openxmlformats.org/officeDocument/2006/relationships/hyperlink" Target="https://www.kingsfund.org.uk/projects/nhs-in-a-nutshell/nhs-budget"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www.legislation.gov.uk/ukpga/2010/15/contents" TargetMode="External"/><Relationship Id="rId7" Type="http://schemas.openxmlformats.org/officeDocument/2006/relationships/settings" Target="settings.xml"/><Relationship Id="rId12" Type="http://schemas.openxmlformats.org/officeDocument/2006/relationships/hyperlink" Target="https://investors.centene.com/2021-02-09-Centene-Corporation-Reports-2020-Results" TargetMode="External"/><Relationship Id="rId17" Type="http://schemas.openxmlformats.org/officeDocument/2006/relationships/hyperlink" Target="https://www.ons.gov.uk/economy/inflationandpriceindices/bulletins/consumerpriceinflation/december2022"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oecd.org/economic-outlook/june-2023/" TargetMode="External"/><Relationship Id="rId20" Type="http://schemas.openxmlformats.org/officeDocument/2006/relationships/hyperlink" Target="http://www.legislation.gov.uk/ukpga/2006/41/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entene.com/who-we-are.html" TargetMode="External"/><Relationship Id="rId24" Type="http://schemas.openxmlformats.org/officeDocument/2006/relationships/hyperlink" Target="http://www.legislation.gov.uk/ukpga/2018/12/contents/enacted" TargetMode="External"/><Relationship Id="rId5" Type="http://schemas.openxmlformats.org/officeDocument/2006/relationships/numbering" Target="numbering.xml"/><Relationship Id="rId15" Type="http://schemas.openxmlformats.org/officeDocument/2006/relationships/hyperlink" Target="https://www.england.nhs.uk/gp/gpfv/" TargetMode="External"/><Relationship Id="rId23" Type="http://schemas.openxmlformats.org/officeDocument/2006/relationships/hyperlink" Target="http://www.legislation.gov.uk/ukpga/2014/23/contents/enacted"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kingsfund.org.uk/publications/health-and-social-care-england-myth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se.gov.uk/legislation/hswa.htm" TargetMode="External"/><Relationship Id="rId22" Type="http://schemas.openxmlformats.org/officeDocument/2006/relationships/hyperlink" Target="http://www.legislation.gov.uk/ukpga/2012/7/contents/enact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606e9f30-98dc-478d-8149-081228e1ceb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BE5599CB8896E4A8A2CF31222602D4F" ma:contentTypeVersion="15" ma:contentTypeDescription="Create a new document." ma:contentTypeScope="" ma:versionID="1a19924eb8335ae43be80f1e098d7219">
  <xsd:schema xmlns:xsd="http://www.w3.org/2001/XMLSchema" xmlns:xs="http://www.w3.org/2001/XMLSchema" xmlns:p="http://schemas.microsoft.com/office/2006/metadata/properties" xmlns:ns1="http://schemas.microsoft.com/sharepoint/v3" xmlns:ns3="35a4ad38-c1f7-470f-b590-495b41476995" xmlns:ns4="606e9f30-98dc-478d-8149-081228e1ceb0" targetNamespace="http://schemas.microsoft.com/office/2006/metadata/properties" ma:root="true" ma:fieldsID="fd9c9b946a1fac85610e8d6dedde3052" ns1:_="" ns3:_="" ns4:_="">
    <xsd:import namespace="http://schemas.microsoft.com/sharepoint/v3"/>
    <xsd:import namespace="35a4ad38-c1f7-470f-b590-495b41476995"/>
    <xsd:import namespace="606e9f30-98dc-478d-8149-081228e1ceb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1:_ip_UnifiedCompliancePolicyProperties" minOccurs="0"/>
                <xsd:element ref="ns1:_ip_UnifiedCompliancePolicyUIAction" minOccurs="0"/>
                <xsd:element ref="ns4:MediaServiceAutoKeyPoints" minOccurs="0"/>
                <xsd:element ref="ns4:MediaServiceKeyPoints" minOccurs="0"/>
                <xsd:element ref="ns4:MediaServiceOCR"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7" nillable="true" ma:displayName="Unified Compliance Policy Properties" ma:hidden="true" ma:internalName="_ip_UnifiedCompliancePolicyProperties">
      <xsd:simpleType>
        <xsd:restriction base="dms:Note"/>
      </xsd:simpleType>
    </xsd:element>
    <xsd:element name="_ip_UnifiedCompliancePolicyUIAction" ma:index="18"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5a4ad38-c1f7-470f-b590-495b4147699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6e9f30-98dc-478d-8149-081228e1ceb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OCR" ma:index="21" nillable="true" ma:displayName="Extracted Text" ma:internalName="MediaServiceOCR" ma:readOnly="true">
      <xsd:simpleType>
        <xsd:restriction base="dms:Note">
          <xsd:maxLength value="255"/>
        </xsd:restriction>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69A37-1653-4357-BAEE-4895FD2E5A2F}">
  <ds:schemaRefs>
    <ds:schemaRef ds:uri="http://schemas.microsoft.com/sharepoint/v3"/>
    <ds:schemaRef ds:uri="http://purl.org/dc/terms/"/>
    <ds:schemaRef ds:uri="http://schemas.openxmlformats.org/package/2006/metadata/core-properties"/>
    <ds:schemaRef ds:uri="http://purl.org/dc/dcmitype/"/>
    <ds:schemaRef ds:uri="http://schemas.microsoft.com/office/infopath/2007/PartnerControls"/>
    <ds:schemaRef ds:uri="35a4ad38-c1f7-470f-b590-495b41476995"/>
    <ds:schemaRef ds:uri="http://purl.org/dc/elements/1.1/"/>
    <ds:schemaRef ds:uri="http://schemas.microsoft.com/office/2006/metadata/properties"/>
    <ds:schemaRef ds:uri="http://schemas.microsoft.com/office/2006/documentManagement/types"/>
    <ds:schemaRef ds:uri="606e9f30-98dc-478d-8149-081228e1ceb0"/>
    <ds:schemaRef ds:uri="http://www.w3.org/XML/1998/namespace"/>
  </ds:schemaRefs>
</ds:datastoreItem>
</file>

<file path=customXml/itemProps2.xml><?xml version="1.0" encoding="utf-8"?>
<ds:datastoreItem xmlns:ds="http://schemas.openxmlformats.org/officeDocument/2006/customXml" ds:itemID="{FFE832F5-3F77-45D1-99DB-01C1C7D6A3FA}">
  <ds:schemaRefs>
    <ds:schemaRef ds:uri="http://schemas.microsoft.com/sharepoint/v3/contenttype/forms"/>
  </ds:schemaRefs>
</ds:datastoreItem>
</file>

<file path=customXml/itemProps3.xml><?xml version="1.0" encoding="utf-8"?>
<ds:datastoreItem xmlns:ds="http://schemas.openxmlformats.org/officeDocument/2006/customXml" ds:itemID="{58C42C2B-A2C2-4F6C-8C2E-4014334327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5a4ad38-c1f7-470f-b590-495b41476995"/>
    <ds:schemaRef ds:uri="606e9f30-98dc-478d-8149-081228e1ce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884B26-1D31-4538-A2F2-C04D2F48CA67}">
  <ds:schemaRefs>
    <ds:schemaRef ds:uri="http://schemas.openxmlformats.org/officeDocument/2006/bibliography"/>
  </ds:schemaRefs>
</ds:datastoreItem>
</file>

<file path=docMetadata/LabelInfo.xml><?xml version="1.0" encoding="utf-8"?>
<clbl:labelList xmlns:clbl="http://schemas.microsoft.com/office/2020/mipLabelMetadata">
  <clbl:label id="{37c354b2-85b0-47f5-b222-07b48d774ee3}" enabled="0" method="" siteId="{37c354b2-85b0-47f5-b222-07b48d774ee3}" removed="1"/>
</clbl:labelList>
</file>

<file path=docProps/app.xml><?xml version="1.0" encoding="utf-8"?>
<Properties xmlns="http://schemas.openxmlformats.org/officeDocument/2006/extended-properties" xmlns:vt="http://schemas.openxmlformats.org/officeDocument/2006/docPropsVTypes">
  <Template>Normal.dotm</Template>
  <TotalTime>2</TotalTime>
  <Pages>21</Pages>
  <Words>6627</Words>
  <Characters>37780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METWALY, Ahmed (WINDRUSH SURGERY)</dc:creator>
  <cp:keywords/>
  <dc:description/>
  <cp:lastModifiedBy>METWALY, Ahmed (WINDRUSH SURGERY)</cp:lastModifiedBy>
  <cp:revision>2</cp:revision>
  <dcterms:created xsi:type="dcterms:W3CDTF">2023-09-04T21:10:00Z</dcterms:created>
  <dcterms:modified xsi:type="dcterms:W3CDTF">2023-09-04T21:10:00Z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0x0101003BE5599CB8896E4A8A2CF31222602D4F</vt:lpwstr>
  </property>
</Properties>
</file>