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5ABD663D"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2F5A46">
        <w:rPr>
          <w:rStyle w:val="Strong"/>
          <w:rFonts w:ascii="Arial" w:hAnsi="Arial" w:cs="Arial"/>
          <w:color w:val="1D2125"/>
          <w:sz w:val="32"/>
          <w:szCs w:val="32"/>
        </w:rPr>
        <w:t xml:space="preserve"> Ivana Tanaskovic </w:t>
      </w:r>
    </w:p>
    <w:p w14:paraId="3DCFFD10" w14:textId="7D665AFC"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2F5A46">
        <w:rPr>
          <w:rStyle w:val="Strong"/>
          <w:rFonts w:ascii="Arial" w:hAnsi="Arial" w:cs="Arial"/>
          <w:color w:val="1D2125"/>
          <w:sz w:val="32"/>
          <w:szCs w:val="32"/>
        </w:rPr>
        <w:t xml:space="preserve"> 2427684</w:t>
      </w:r>
    </w:p>
    <w:p w14:paraId="6F2C3011" w14:textId="0320FF0E"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614FD2">
        <w:rPr>
          <w:rStyle w:val="Strong"/>
          <w:rFonts w:ascii="Arial" w:hAnsi="Arial" w:cs="Arial"/>
          <w:color w:val="1D2125"/>
          <w:sz w:val="32"/>
          <w:szCs w:val="32"/>
        </w:rPr>
        <w:t xml:space="preserve"> Laila Surani</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42726B8D" w14:textId="54F3AF3E" w:rsidR="00D46920" w:rsidRDefault="00D46920" w:rsidP="00D46920">
      <w:pPr>
        <w:pStyle w:val="NormalWeb"/>
        <w:spacing w:line="360" w:lineRule="auto"/>
        <w:rPr>
          <w:rFonts w:ascii="Arial" w:hAnsi="Arial" w:cs="Arial"/>
          <w:b/>
          <w:bCs/>
          <w:color w:val="000000"/>
          <w:sz w:val="28"/>
          <w:szCs w:val="28"/>
        </w:rPr>
      </w:pPr>
    </w:p>
    <w:p w14:paraId="6952C6F8" w14:textId="77777777" w:rsidR="009B58C2" w:rsidRPr="008375B5" w:rsidRDefault="009B58C2" w:rsidP="00D46920">
      <w:pPr>
        <w:pStyle w:val="NormalWeb"/>
        <w:spacing w:line="360" w:lineRule="auto"/>
        <w:rPr>
          <w:rFonts w:ascii="Arial" w:hAnsi="Arial" w:cs="Arial"/>
          <w:b/>
          <w:bCs/>
          <w:color w:val="000000"/>
          <w:sz w:val="28"/>
          <w:szCs w:val="28"/>
        </w:rPr>
      </w:pPr>
    </w:p>
    <w:p w14:paraId="3A94D737" w14:textId="77777777" w:rsidR="00D46920" w:rsidRDefault="00D46920" w:rsidP="00D46920">
      <w:pPr>
        <w:pStyle w:val="NormalWeb"/>
        <w:spacing w:line="360" w:lineRule="auto"/>
        <w:rPr>
          <w:rFonts w:ascii="Arial" w:hAnsi="Arial" w:cs="Arial"/>
          <w:b/>
          <w:bCs/>
          <w:color w:val="000000"/>
        </w:rPr>
      </w:pPr>
    </w:p>
    <w:p w14:paraId="23E97EEA" w14:textId="77777777" w:rsidR="00D46920" w:rsidRDefault="00D46920" w:rsidP="005C28E8">
      <w:pPr>
        <w:spacing w:line="360" w:lineRule="auto"/>
        <w:rPr>
          <w:rFonts w:ascii="Times New Roman" w:hAnsi="Times New Roman"/>
          <w:b/>
          <w:bCs/>
          <w:sz w:val="32"/>
          <w:szCs w:val="32"/>
        </w:rPr>
      </w:pPr>
    </w:p>
    <w:p w14:paraId="2BB188C7" w14:textId="77777777" w:rsidR="00D46920" w:rsidRDefault="00D46920" w:rsidP="005C28E8">
      <w:pPr>
        <w:spacing w:line="360" w:lineRule="auto"/>
        <w:rPr>
          <w:rFonts w:ascii="Times New Roman" w:hAnsi="Times New Roman"/>
          <w:b/>
          <w:bCs/>
          <w:sz w:val="32"/>
          <w:szCs w:val="32"/>
        </w:rPr>
      </w:pPr>
    </w:p>
    <w:p w14:paraId="23C4321B" w14:textId="77777777" w:rsidR="00D46920" w:rsidRDefault="00D46920" w:rsidP="005C28E8">
      <w:pPr>
        <w:spacing w:line="360" w:lineRule="auto"/>
        <w:rPr>
          <w:rFonts w:ascii="Times New Roman" w:hAnsi="Times New Roman"/>
          <w:b/>
          <w:bCs/>
          <w:sz w:val="32"/>
          <w:szCs w:val="32"/>
        </w:rPr>
      </w:pPr>
    </w:p>
    <w:p w14:paraId="2DFFC7B2" w14:textId="77777777" w:rsidR="00D46920" w:rsidRDefault="00D46920" w:rsidP="005C28E8">
      <w:pPr>
        <w:spacing w:line="360" w:lineRule="auto"/>
        <w:rPr>
          <w:rFonts w:ascii="Times New Roman" w:hAnsi="Times New Roman"/>
          <w:b/>
          <w:bCs/>
          <w:sz w:val="32"/>
          <w:szCs w:val="32"/>
        </w:rPr>
      </w:pPr>
    </w:p>
    <w:p w14:paraId="7FC0129A" w14:textId="54F04548" w:rsidR="00D46920" w:rsidRDefault="0036436C" w:rsidP="005C28E8">
      <w:pPr>
        <w:spacing w:line="360" w:lineRule="auto"/>
        <w:rPr>
          <w:rFonts w:ascii="Times New Roman" w:hAnsi="Times New Roman"/>
          <w:b/>
          <w:bCs/>
          <w:sz w:val="32"/>
          <w:szCs w:val="32"/>
        </w:rPr>
      </w:pPr>
      <w:r>
        <w:rPr>
          <w:rFonts w:ascii="Times New Roman" w:hAnsi="Times New Roman"/>
          <w:b/>
          <w:bCs/>
          <w:sz w:val="32"/>
          <w:szCs w:val="32"/>
        </w:rPr>
        <w:t>Table of c</w:t>
      </w:r>
      <w:r w:rsidR="00A842DA">
        <w:rPr>
          <w:rFonts w:ascii="Times New Roman" w:hAnsi="Times New Roman"/>
          <w:b/>
          <w:bCs/>
          <w:sz w:val="32"/>
          <w:szCs w:val="32"/>
        </w:rPr>
        <w:t>ontents</w:t>
      </w:r>
    </w:p>
    <w:p w14:paraId="57F3AF5E" w14:textId="77777777" w:rsidR="00D46920" w:rsidRDefault="00D46920" w:rsidP="005C28E8">
      <w:pPr>
        <w:spacing w:line="360" w:lineRule="auto"/>
        <w:rPr>
          <w:rFonts w:ascii="Times New Roman" w:hAnsi="Times New Roman"/>
          <w:b/>
          <w:bCs/>
          <w:sz w:val="32"/>
          <w:szCs w:val="32"/>
        </w:rPr>
      </w:pPr>
    </w:p>
    <w:tbl>
      <w:tblPr>
        <w:tblStyle w:val="TableGrid"/>
        <w:tblW w:w="0" w:type="auto"/>
        <w:tblLook w:val="04A0" w:firstRow="1" w:lastRow="0" w:firstColumn="1" w:lastColumn="0" w:noHBand="0" w:noVBand="1"/>
      </w:tblPr>
      <w:tblGrid>
        <w:gridCol w:w="9016"/>
      </w:tblGrid>
      <w:tr w:rsidR="002420B0" w14:paraId="345BF471" w14:textId="77777777" w:rsidTr="008712D4">
        <w:tc>
          <w:tcPr>
            <w:tcW w:w="9016" w:type="dxa"/>
          </w:tcPr>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7724"/>
              <w:gridCol w:w="1060"/>
            </w:tblGrid>
            <w:tr w:rsidR="0019610E" w:rsidRPr="0019610E" w14:paraId="5C6BCAA7"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6BD94F" w14:textId="77777777" w:rsidR="0019610E" w:rsidRPr="0019610E" w:rsidRDefault="0019610E" w:rsidP="0019610E">
                  <w:pPr>
                    <w:spacing w:before="100" w:beforeAutospacing="1" w:after="100" w:afterAutospacing="1" w:line="240" w:lineRule="auto"/>
                    <w:jc w:val="center"/>
                    <w:rPr>
                      <w:rFonts w:ascii="Times New Roman" w:eastAsiaTheme="minorEastAsia" w:hAnsi="Times New Roman"/>
                      <w:b/>
                      <w:bCs/>
                      <w:kern w:val="0"/>
                      <w:lang w:eastAsia="en-GB"/>
                    </w:rPr>
                  </w:pPr>
                  <w:r w:rsidRPr="0019610E">
                    <w:rPr>
                      <w:rFonts w:ascii="Times New Roman" w:eastAsiaTheme="minorEastAsia" w:hAnsi="Times New Roman"/>
                      <w:b/>
                      <w:bCs/>
                      <w:kern w:val="0"/>
                      <w:lang w:eastAsia="en-GB"/>
                    </w:rPr>
                    <w:t>Section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7C9BA5" w14:textId="77777777" w:rsidR="0019610E" w:rsidRPr="0019610E" w:rsidRDefault="0019610E" w:rsidP="0019610E">
                  <w:pPr>
                    <w:spacing w:before="100" w:beforeAutospacing="1" w:after="100" w:afterAutospacing="1" w:line="240" w:lineRule="auto"/>
                    <w:jc w:val="center"/>
                    <w:rPr>
                      <w:rFonts w:ascii="Times New Roman" w:eastAsiaTheme="minorEastAsia" w:hAnsi="Times New Roman"/>
                      <w:b/>
                      <w:bCs/>
                      <w:kern w:val="0"/>
                      <w:lang w:eastAsia="en-GB"/>
                    </w:rPr>
                  </w:pPr>
                  <w:r w:rsidRPr="0019610E">
                    <w:rPr>
                      <w:rFonts w:ascii="Times New Roman" w:eastAsiaTheme="minorEastAsia" w:hAnsi="Times New Roman"/>
                      <w:b/>
                      <w:bCs/>
                      <w:kern w:val="0"/>
                      <w:lang w:eastAsia="en-GB"/>
                    </w:rPr>
                    <w:t>Page</w:t>
                  </w:r>
                </w:p>
              </w:tc>
            </w:tr>
            <w:tr w:rsidR="0019610E" w:rsidRPr="0019610E" w14:paraId="1250083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4A4DF9"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Cover Page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9E131C"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1</w:t>
                  </w:r>
                </w:p>
              </w:tc>
            </w:tr>
            <w:tr w:rsidR="0019610E" w:rsidRPr="0019610E" w14:paraId="3C6CFC0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58072A"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Table of Contents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17A04A"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2</w:t>
                  </w:r>
                </w:p>
              </w:tc>
            </w:tr>
            <w:tr w:rsidR="0019610E" w:rsidRPr="0019610E" w14:paraId="2306178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0DFE93"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Task 1 – Creativity, Innovation, Value Creation and Change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EC304E" w14:textId="311F242F"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3</w:t>
                  </w:r>
                  <w:r w:rsidR="00366F51">
                    <w:rPr>
                      <w:rFonts w:ascii="Times New Roman" w:eastAsiaTheme="minorEastAsia" w:hAnsi="Times New Roman"/>
                      <w:kern w:val="0"/>
                      <w:lang w:eastAsia="en-GB"/>
                    </w:rPr>
                    <w:t>,4</w:t>
                  </w:r>
                </w:p>
              </w:tc>
            </w:tr>
            <w:tr w:rsidR="0019610E" w:rsidRPr="0019610E" w14:paraId="7AF67FD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C22F66"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Task 2 – Mind Map</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A13838" w14:textId="08383373"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4</w:t>
                  </w:r>
                  <w:r w:rsidR="00366F51">
                    <w:rPr>
                      <w:rFonts w:ascii="Times New Roman" w:eastAsiaTheme="minorEastAsia" w:hAnsi="Times New Roman"/>
                      <w:kern w:val="0"/>
                      <w:lang w:eastAsia="en-GB"/>
                    </w:rPr>
                    <w:t>,</w:t>
                  </w:r>
                  <w:r w:rsidR="007540FE">
                    <w:rPr>
                      <w:rFonts w:ascii="Times New Roman" w:eastAsiaTheme="minorEastAsia" w:hAnsi="Times New Roman"/>
                      <w:kern w:val="0"/>
                      <w:lang w:eastAsia="en-GB"/>
                    </w:rPr>
                    <w:t>5</w:t>
                  </w:r>
                  <w:r w:rsidR="004F0B0A">
                    <w:rPr>
                      <w:rFonts w:ascii="Times New Roman" w:eastAsiaTheme="minorEastAsia" w:hAnsi="Times New Roman"/>
                      <w:kern w:val="0"/>
                      <w:lang w:eastAsia="en-GB"/>
                    </w:rPr>
                    <w:t>,6</w:t>
                  </w:r>
                </w:p>
              </w:tc>
            </w:tr>
            <w:tr w:rsidR="0019610E" w:rsidRPr="0019610E" w14:paraId="083A861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93C149"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Task 3 – Self-Reflection of Group Activity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6AE75D" w14:textId="5D0F4F9D" w:rsidR="0019610E" w:rsidRPr="0019610E" w:rsidRDefault="00153A3A" w:rsidP="0019610E">
                  <w:pPr>
                    <w:spacing w:before="100" w:beforeAutospacing="1" w:after="100" w:afterAutospacing="1" w:line="240" w:lineRule="auto"/>
                    <w:rPr>
                      <w:rFonts w:ascii="Times New Roman" w:eastAsiaTheme="minorEastAsia" w:hAnsi="Times New Roman"/>
                      <w:kern w:val="0"/>
                      <w:lang w:eastAsia="en-GB"/>
                    </w:rPr>
                  </w:pPr>
                  <w:r>
                    <w:rPr>
                      <w:rFonts w:ascii="Times New Roman" w:eastAsiaTheme="minorEastAsia" w:hAnsi="Times New Roman"/>
                      <w:kern w:val="0"/>
                      <w:lang w:eastAsia="en-GB"/>
                    </w:rPr>
                    <w:t>7,8</w:t>
                  </w:r>
                </w:p>
              </w:tc>
            </w:tr>
            <w:tr w:rsidR="0019610E" w:rsidRPr="0019610E" w14:paraId="3C3134C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37201C"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Task 4 – Case Study Analysis of a UK Innovation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D7A067" w14:textId="2D144827" w:rsidR="0019610E" w:rsidRPr="0019610E" w:rsidRDefault="00A67EF7" w:rsidP="0019610E">
                  <w:pPr>
                    <w:spacing w:before="100" w:beforeAutospacing="1" w:after="100" w:afterAutospacing="1" w:line="240" w:lineRule="auto"/>
                    <w:rPr>
                      <w:rFonts w:ascii="Times New Roman" w:eastAsiaTheme="minorEastAsia" w:hAnsi="Times New Roman"/>
                      <w:kern w:val="0"/>
                      <w:lang w:eastAsia="en-GB"/>
                    </w:rPr>
                  </w:pPr>
                  <w:r>
                    <w:rPr>
                      <w:rFonts w:ascii="Times New Roman" w:eastAsiaTheme="minorEastAsia" w:hAnsi="Times New Roman"/>
                      <w:kern w:val="0"/>
                      <w:lang w:eastAsia="en-GB"/>
                    </w:rPr>
                    <w:t>8,9</w:t>
                  </w:r>
                </w:p>
              </w:tc>
            </w:tr>
            <w:tr w:rsidR="0019610E" w:rsidRPr="0019610E" w14:paraId="721A8BF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C3B52D"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Task 5 – Research Task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0A603A" w14:textId="3B40C82A" w:rsidR="0019610E" w:rsidRPr="0019610E" w:rsidRDefault="00A67EF7" w:rsidP="0019610E">
                  <w:pPr>
                    <w:spacing w:before="100" w:beforeAutospacing="1" w:after="100" w:afterAutospacing="1" w:line="240" w:lineRule="auto"/>
                    <w:rPr>
                      <w:rFonts w:ascii="Times New Roman" w:eastAsiaTheme="minorEastAsia" w:hAnsi="Times New Roman"/>
                      <w:kern w:val="0"/>
                      <w:lang w:eastAsia="en-GB"/>
                    </w:rPr>
                  </w:pPr>
                  <w:r>
                    <w:rPr>
                      <w:rFonts w:ascii="Times New Roman" w:eastAsiaTheme="minorEastAsia" w:hAnsi="Times New Roman"/>
                      <w:kern w:val="0"/>
                      <w:lang w:eastAsia="en-GB"/>
                    </w:rPr>
                    <w:t>9,10</w:t>
                  </w:r>
                </w:p>
              </w:tc>
            </w:tr>
            <w:tr w:rsidR="0019610E" w:rsidRPr="0019610E" w14:paraId="6CBB638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77E548"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Task 6 – Exploring Digital Innovation in Health and Social Care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A3ECAC" w14:textId="3CCAD54D" w:rsidR="0019610E" w:rsidRPr="0019610E" w:rsidRDefault="00875FE5" w:rsidP="0019610E">
                  <w:pPr>
                    <w:spacing w:before="100" w:beforeAutospacing="1" w:after="100" w:afterAutospacing="1" w:line="240" w:lineRule="auto"/>
                    <w:rPr>
                      <w:rFonts w:ascii="Times New Roman" w:eastAsiaTheme="minorEastAsia" w:hAnsi="Times New Roman"/>
                      <w:kern w:val="0"/>
                      <w:lang w:eastAsia="en-GB"/>
                    </w:rPr>
                  </w:pPr>
                  <w:r>
                    <w:rPr>
                      <w:rFonts w:ascii="Times New Roman" w:eastAsiaTheme="minorEastAsia" w:hAnsi="Times New Roman"/>
                      <w:kern w:val="0"/>
                      <w:lang w:eastAsia="en-GB"/>
                    </w:rPr>
                    <w:t>11,12</w:t>
                  </w:r>
                </w:p>
              </w:tc>
            </w:tr>
            <w:tr w:rsidR="0019610E" w:rsidRPr="0019610E" w14:paraId="0EFDF4C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E5A168"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Task 7 – Understanding the NHS Leadership Framework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6E068B" w14:textId="236BD610" w:rsidR="0019610E" w:rsidRPr="0019610E" w:rsidRDefault="00875FE5" w:rsidP="0019610E">
                  <w:pPr>
                    <w:spacing w:before="100" w:beforeAutospacing="1" w:after="100" w:afterAutospacing="1" w:line="240" w:lineRule="auto"/>
                    <w:rPr>
                      <w:rFonts w:ascii="Times New Roman" w:eastAsiaTheme="minorEastAsia" w:hAnsi="Times New Roman"/>
                      <w:kern w:val="0"/>
                      <w:lang w:eastAsia="en-GB"/>
                    </w:rPr>
                  </w:pPr>
                  <w:r>
                    <w:rPr>
                      <w:rFonts w:ascii="Times New Roman" w:eastAsiaTheme="minorEastAsia" w:hAnsi="Times New Roman"/>
                      <w:kern w:val="0"/>
                      <w:lang w:eastAsia="en-GB"/>
                    </w:rPr>
                    <w:t>13</w:t>
                  </w:r>
                </w:p>
              </w:tc>
            </w:tr>
            <w:tr w:rsidR="0019610E" w:rsidRPr="0019610E" w14:paraId="4B55DB6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A3B6C1"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Task 8 – Self-Reflection Journal Entry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A6E2C2" w14:textId="3CF2D3A5"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13</w:t>
                  </w:r>
                  <w:r w:rsidR="00EB5C66">
                    <w:rPr>
                      <w:rFonts w:ascii="Times New Roman" w:eastAsiaTheme="minorEastAsia" w:hAnsi="Times New Roman"/>
                      <w:kern w:val="0"/>
                      <w:lang w:eastAsia="en-GB"/>
                    </w:rPr>
                    <w:t>,14</w:t>
                  </w:r>
                </w:p>
              </w:tc>
            </w:tr>
            <w:tr w:rsidR="0019610E" w:rsidRPr="0019610E" w14:paraId="22BE1F0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CE0D34" w14:textId="77777777" w:rsidR="0019610E" w:rsidRPr="0019610E" w:rsidRDefault="0019610E" w:rsidP="0019610E">
                  <w:pPr>
                    <w:spacing w:before="100" w:beforeAutospacing="1" w:after="100" w:afterAutospacing="1" w:line="240" w:lineRule="auto"/>
                    <w:rPr>
                      <w:rFonts w:ascii="Times New Roman" w:eastAsiaTheme="minorEastAsia" w:hAnsi="Times New Roman"/>
                      <w:kern w:val="0"/>
                      <w:lang w:eastAsia="en-GB"/>
                    </w:rPr>
                  </w:pPr>
                  <w:r w:rsidRPr="0019610E">
                    <w:rPr>
                      <w:rFonts w:ascii="Times New Roman" w:eastAsiaTheme="minorEastAsia" w:hAnsi="Times New Roman"/>
                      <w:kern w:val="0"/>
                      <w:lang w:eastAsia="en-GB"/>
                    </w:rPr>
                    <w:t>Reference List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DD4C1E" w14:textId="6BB74FC7" w:rsidR="0019610E" w:rsidRPr="0019610E" w:rsidRDefault="00EB5C66" w:rsidP="0019610E">
                  <w:pPr>
                    <w:spacing w:after="0" w:line="240" w:lineRule="auto"/>
                    <w:rPr>
                      <w:rFonts w:ascii="Times New Roman" w:eastAsiaTheme="minorEastAsia" w:hAnsi="Times New Roman"/>
                      <w:kern w:val="0"/>
                      <w:lang w:eastAsia="en-GB"/>
                    </w:rPr>
                  </w:pPr>
                  <w:r>
                    <w:rPr>
                      <w:rFonts w:ascii="Times New Roman" w:eastAsiaTheme="minorEastAsia" w:hAnsi="Times New Roman"/>
                      <w:kern w:val="0"/>
                      <w:lang w:eastAsia="en-GB"/>
                    </w:rPr>
                    <w:t>15</w:t>
                  </w:r>
                  <w:r w:rsidR="0094293D">
                    <w:rPr>
                      <w:rFonts w:ascii="Times New Roman" w:eastAsiaTheme="minorEastAsia" w:hAnsi="Times New Roman"/>
                      <w:kern w:val="0"/>
                      <w:lang w:eastAsia="en-GB"/>
                    </w:rPr>
                    <w:t>,16</w:t>
                  </w:r>
                </w:p>
              </w:tc>
            </w:tr>
          </w:tbl>
          <w:p w14:paraId="004A296C" w14:textId="77777777" w:rsidR="002420B0" w:rsidRDefault="002420B0" w:rsidP="008712D4">
            <w:pPr>
              <w:pStyle w:val="NoSpacing"/>
              <w:rPr>
                <w:rFonts w:ascii="Arial" w:hAnsi="Arial" w:cs="Arial"/>
                <w:sz w:val="22"/>
                <w:szCs w:val="22"/>
                <w:lang w:eastAsia="en-GB"/>
              </w:rPr>
            </w:pPr>
          </w:p>
          <w:p w14:paraId="74C67CB9" w14:textId="77777777" w:rsidR="0036436C" w:rsidRDefault="0036436C" w:rsidP="008712D4">
            <w:pPr>
              <w:pStyle w:val="p1"/>
              <w:rPr>
                <w:rFonts w:ascii="Arial" w:hAnsi="Arial" w:cs="Arial"/>
                <w:b/>
                <w:bCs/>
                <w:sz w:val="22"/>
                <w:szCs w:val="22"/>
              </w:rPr>
            </w:pPr>
          </w:p>
          <w:p w14:paraId="3FFDD31F" w14:textId="77777777" w:rsidR="0036436C" w:rsidRDefault="0036436C" w:rsidP="008712D4">
            <w:pPr>
              <w:pStyle w:val="p1"/>
              <w:rPr>
                <w:rFonts w:ascii="Arial" w:hAnsi="Arial" w:cs="Arial"/>
                <w:b/>
                <w:bCs/>
                <w:sz w:val="22"/>
                <w:szCs w:val="22"/>
              </w:rPr>
            </w:pPr>
          </w:p>
          <w:p w14:paraId="3823BFFE" w14:textId="7DABB9A4" w:rsidR="002420B0" w:rsidRPr="001D5C4E" w:rsidRDefault="002420B0" w:rsidP="008712D4">
            <w:pPr>
              <w:pStyle w:val="p1"/>
              <w:rPr>
                <w:rFonts w:ascii="Arial" w:hAnsi="Arial" w:cs="Arial"/>
                <w:sz w:val="22"/>
                <w:szCs w:val="22"/>
              </w:rPr>
            </w:pPr>
            <w:r w:rsidRPr="001D5C4E">
              <w:rPr>
                <w:rFonts w:ascii="Arial" w:hAnsi="Arial" w:cs="Arial"/>
                <w:b/>
                <w:bCs/>
                <w:sz w:val="22"/>
                <w:szCs w:val="22"/>
              </w:rPr>
              <w:lastRenderedPageBreak/>
              <w:t>Introduction</w:t>
            </w:r>
          </w:p>
          <w:p w14:paraId="4E89501C" w14:textId="77777777" w:rsidR="002420B0" w:rsidRPr="001D5C4E" w:rsidRDefault="002420B0" w:rsidP="008712D4">
            <w:pPr>
              <w:pStyle w:val="p2"/>
              <w:rPr>
                <w:rFonts w:ascii="Arial" w:hAnsi="Arial" w:cs="Arial"/>
                <w:sz w:val="22"/>
                <w:szCs w:val="22"/>
              </w:rPr>
            </w:pPr>
            <w:r w:rsidRPr="001D5C4E">
              <w:rPr>
                <w:rFonts w:ascii="Arial" w:hAnsi="Arial" w:cs="Arial"/>
                <w:sz w:val="22"/>
                <w:szCs w:val="22"/>
              </w:rPr>
              <w:t>This portfolio explores the key concepts of creativity, innovation, value creation and leadership within health and social care. It proves how creative thinking, evidence-based practice and digital innovation can improve the quality of care and outcomes for individuals. The portfolio draws on learning from lectures, forum discussions, and independent research to examine current challenges and opportunities within health and social care. It also reflects on my own learning throughout the module and considers how the knowledge and skills developed will influence my future professional practice. Each task links theory with real-life examples to show the importance of creativity and value creation in delivering person-centred care.</w:t>
            </w:r>
          </w:p>
          <w:p w14:paraId="04D32C6D" w14:textId="77777777" w:rsidR="002420B0" w:rsidRPr="000B1AFC" w:rsidRDefault="002420B0" w:rsidP="008712D4">
            <w:pPr>
              <w:pStyle w:val="NoSpacing"/>
              <w:rPr>
                <w:rFonts w:ascii="Arial" w:hAnsi="Arial" w:cs="Arial"/>
                <w:b/>
                <w:bCs/>
                <w:sz w:val="22"/>
                <w:szCs w:val="22"/>
                <w:lang w:eastAsia="en-GB"/>
              </w:rPr>
            </w:pPr>
          </w:p>
        </w:tc>
      </w:tr>
      <w:tr w:rsidR="002420B0" w14:paraId="1D43C4E5" w14:textId="77777777" w:rsidTr="008712D4">
        <w:tc>
          <w:tcPr>
            <w:tcW w:w="9016" w:type="dxa"/>
          </w:tcPr>
          <w:p w14:paraId="46BD5849" w14:textId="77777777" w:rsidR="002420B0" w:rsidRPr="00C71F43" w:rsidRDefault="002420B0" w:rsidP="008712D4">
            <w:pPr>
              <w:pStyle w:val="NoSpacing"/>
              <w:rPr>
                <w:rFonts w:ascii="Arial" w:hAnsi="Arial" w:cs="Arial"/>
                <w:b/>
                <w:bCs/>
                <w:sz w:val="22"/>
                <w:szCs w:val="22"/>
                <w:lang w:eastAsia="en-GB"/>
              </w:rPr>
            </w:pPr>
            <w:r w:rsidRPr="000B1AFC">
              <w:rPr>
                <w:rFonts w:ascii="Arial" w:hAnsi="Arial" w:cs="Arial"/>
                <w:b/>
                <w:bCs/>
                <w:sz w:val="22"/>
                <w:szCs w:val="22"/>
                <w:lang w:eastAsia="en-GB"/>
              </w:rPr>
              <w:lastRenderedPageBreak/>
              <w:t xml:space="preserve">Task 1- Defining Key Concepts in Practice </w:t>
            </w:r>
          </w:p>
          <w:p w14:paraId="68F0BC10" w14:textId="77777777" w:rsidR="002420B0" w:rsidRPr="009422FA" w:rsidRDefault="002420B0" w:rsidP="008712D4">
            <w:pPr>
              <w:pStyle w:val="p1"/>
              <w:rPr>
                <w:rFonts w:ascii="Arial" w:hAnsi="Arial" w:cs="Arial"/>
                <w:sz w:val="22"/>
                <w:szCs w:val="22"/>
              </w:rPr>
            </w:pPr>
            <w:r w:rsidRPr="00C40530">
              <w:rPr>
                <w:b/>
                <w:bCs/>
              </w:rPr>
              <w:t>Creativity</w:t>
            </w:r>
            <w:r>
              <w:t xml:space="preserve"> </w:t>
            </w:r>
            <w:r w:rsidRPr="009422FA">
              <w:rPr>
                <w:rFonts w:ascii="Arial" w:hAnsi="Arial" w:cs="Arial"/>
                <w:sz w:val="22"/>
                <w:szCs w:val="22"/>
              </w:rPr>
              <w:t>and innovation are essential elements in health and social care because they help professionals develop new approaches to improve the quality of care and respond to changing needs. Innovation involves introducing new ideas, services, or technologies that create positive improvements, while creativity focuses on generating original ideas and developing alternative solutions to challenges (Bessant and Tidd, 2015).</w:t>
            </w:r>
          </w:p>
          <w:p w14:paraId="766B9FF4" w14:textId="77777777" w:rsidR="002420B0" w:rsidRDefault="002420B0" w:rsidP="008712D4">
            <w:pPr>
              <w:pStyle w:val="p1"/>
            </w:pPr>
            <w:r w:rsidRPr="009422FA">
              <w:rPr>
                <w:rFonts w:ascii="Arial" w:hAnsi="Arial" w:cs="Arial"/>
                <w:sz w:val="22"/>
                <w:szCs w:val="22"/>
              </w:rPr>
              <w:t>In health and social care, creativity can support person-centred care by encouraging professionals to consider the individual needs, preferences, and experiences of service users. This approach aligns with person-centred care principles, which emphasise respecting individuals’ values and involving them in decisions about their care (McCormack and McCance, 2017). For example, developing personalised care plans or using digital tools to support communication can improve independence and wellbeing</w:t>
            </w:r>
            <w:r>
              <w:t>.</w:t>
            </w:r>
          </w:p>
          <w:p w14:paraId="19E4544C" w14:textId="77777777" w:rsidR="002420B0" w:rsidRPr="00A16C25" w:rsidRDefault="002420B0" w:rsidP="008712D4">
            <w:pPr>
              <w:pStyle w:val="p1"/>
              <w:rPr>
                <w:rFonts w:ascii="Arial" w:hAnsi="Arial" w:cs="Arial"/>
                <w:sz w:val="22"/>
                <w:szCs w:val="22"/>
              </w:rPr>
            </w:pPr>
            <w:r w:rsidRPr="00C40530">
              <w:rPr>
                <w:b/>
                <w:bCs/>
              </w:rPr>
              <w:t>Innovation</w:t>
            </w:r>
            <w:r>
              <w:t xml:space="preserve"> </w:t>
            </w:r>
            <w:r w:rsidRPr="00A16C25">
              <w:rPr>
                <w:rFonts w:ascii="Arial" w:hAnsi="Arial" w:cs="Arial"/>
                <w:sz w:val="22"/>
                <w:szCs w:val="22"/>
              </w:rPr>
              <w:t>has also transformed healthcare through developments such as electronic health records, remote consultations, and assistive technologies, allowing services to become more accessible, efficient, and responsive to service users’ needs (World Health Organization, 2019).</w:t>
            </w:r>
          </w:p>
          <w:p w14:paraId="67829670" w14:textId="77777777" w:rsidR="002420B0" w:rsidRPr="00A8612B" w:rsidRDefault="002420B0" w:rsidP="008712D4">
            <w:pPr>
              <w:spacing w:before="100" w:beforeAutospacing="1" w:after="100" w:afterAutospacing="1"/>
              <w:outlineLvl w:val="2"/>
              <w:rPr>
                <w:rFonts w:ascii="Arial" w:eastAsia="Times New Roman" w:hAnsi="Arial" w:cs="Arial"/>
                <w:b/>
                <w:bCs/>
                <w:kern w:val="0"/>
                <w:lang w:eastAsia="en-GB"/>
              </w:rPr>
            </w:pPr>
            <w:r w:rsidRPr="00A8612B">
              <w:rPr>
                <w:rFonts w:ascii="Arial" w:eastAsia="Times New Roman" w:hAnsi="Arial" w:cs="Arial"/>
                <w:b/>
                <w:bCs/>
                <w:kern w:val="0"/>
                <w:lang w:eastAsia="en-GB"/>
              </w:rPr>
              <w:t>Definition</w:t>
            </w:r>
          </w:p>
          <w:p w14:paraId="17D234AF" w14:textId="77777777" w:rsidR="002420B0" w:rsidRPr="00335E79" w:rsidRDefault="002420B0" w:rsidP="008712D4">
            <w:pPr>
              <w:spacing w:before="100" w:beforeAutospacing="1" w:after="100" w:afterAutospacing="1"/>
              <w:rPr>
                <w:rFonts w:ascii="Arial" w:eastAsiaTheme="minorEastAsia" w:hAnsi="Arial" w:cs="Arial"/>
                <w:kern w:val="0"/>
                <w:sz w:val="22"/>
                <w:szCs w:val="22"/>
                <w:lang w:eastAsia="en-GB"/>
              </w:rPr>
            </w:pPr>
            <w:r w:rsidRPr="00335E79">
              <w:rPr>
                <w:rFonts w:ascii="Arial" w:eastAsiaTheme="minorEastAsia" w:hAnsi="Arial" w:cs="Arial"/>
                <w:kern w:val="0"/>
                <w:sz w:val="22"/>
                <w:szCs w:val="22"/>
                <w:lang w:eastAsia="en-GB"/>
              </w:rPr>
              <w:t>Change refers to the process of moving from an existing way of working to a new approach in order to improve performance, respond to challenges, or meet new demands. Burnes (2017) defines organisational change as a process that enables organisations to adapt and remain effective within changing environments.</w:t>
            </w:r>
          </w:p>
          <w:p w14:paraId="763BE9EC" w14:textId="77777777" w:rsidR="002420B0" w:rsidRPr="00A8612B" w:rsidRDefault="002420B0" w:rsidP="008712D4">
            <w:pPr>
              <w:spacing w:before="100" w:beforeAutospacing="1" w:after="100" w:afterAutospacing="1"/>
              <w:outlineLvl w:val="2"/>
              <w:rPr>
                <w:rFonts w:ascii="Arial" w:eastAsia="Times New Roman" w:hAnsi="Arial" w:cs="Arial"/>
                <w:b/>
                <w:bCs/>
                <w:kern w:val="0"/>
                <w:lang w:eastAsia="en-GB"/>
              </w:rPr>
            </w:pPr>
            <w:r w:rsidRPr="00A8612B">
              <w:rPr>
                <w:rFonts w:ascii="Arial" w:eastAsia="Times New Roman" w:hAnsi="Arial" w:cs="Arial"/>
                <w:b/>
                <w:bCs/>
                <w:kern w:val="0"/>
                <w:lang w:eastAsia="en-GB"/>
              </w:rPr>
              <w:t>Importance in Health and Social Care</w:t>
            </w:r>
          </w:p>
          <w:p w14:paraId="738A0675" w14:textId="77777777" w:rsidR="002420B0" w:rsidRPr="00335E79" w:rsidRDefault="002420B0" w:rsidP="008712D4">
            <w:pPr>
              <w:spacing w:before="100" w:beforeAutospacing="1" w:after="100" w:afterAutospacing="1"/>
              <w:rPr>
                <w:rFonts w:ascii="Arial" w:eastAsiaTheme="minorEastAsia" w:hAnsi="Arial" w:cs="Arial"/>
                <w:kern w:val="0"/>
                <w:sz w:val="22"/>
                <w:szCs w:val="22"/>
                <w:lang w:eastAsia="en-GB"/>
              </w:rPr>
            </w:pPr>
            <w:r w:rsidRPr="00335E79">
              <w:rPr>
                <w:rFonts w:ascii="Arial" w:eastAsiaTheme="minorEastAsia" w:hAnsi="Arial" w:cs="Arial"/>
                <w:kern w:val="0"/>
                <w:sz w:val="22"/>
                <w:szCs w:val="22"/>
                <w:lang w:eastAsia="en-GB"/>
              </w:rPr>
              <w:t>Change is essential in health and social care because services must respond to factors such as new technology, population changes, increasing demand, and updated policies. Effective change can improve patient safety, increase efficiency, and ensure that care remains responsive to individual needs.</w:t>
            </w:r>
          </w:p>
          <w:p w14:paraId="11269CC9" w14:textId="77777777" w:rsidR="002420B0" w:rsidRPr="00A8612B" w:rsidRDefault="002420B0" w:rsidP="008712D4">
            <w:pPr>
              <w:spacing w:before="100" w:beforeAutospacing="1" w:after="100" w:afterAutospacing="1"/>
              <w:outlineLvl w:val="2"/>
              <w:rPr>
                <w:rFonts w:ascii="Arial" w:eastAsia="Times New Roman" w:hAnsi="Arial" w:cs="Arial"/>
                <w:b/>
                <w:bCs/>
                <w:kern w:val="0"/>
                <w:lang w:eastAsia="en-GB"/>
              </w:rPr>
            </w:pPr>
            <w:r w:rsidRPr="00A8612B">
              <w:rPr>
                <w:rFonts w:ascii="Arial" w:eastAsia="Times New Roman" w:hAnsi="Arial" w:cs="Arial"/>
                <w:b/>
                <w:bCs/>
                <w:kern w:val="0"/>
                <w:lang w:eastAsia="en-GB"/>
              </w:rPr>
              <w:t>Example from Practice</w:t>
            </w:r>
          </w:p>
          <w:p w14:paraId="11597C40" w14:textId="77777777" w:rsidR="002420B0" w:rsidRPr="00335E79" w:rsidRDefault="002420B0" w:rsidP="008712D4">
            <w:pPr>
              <w:spacing w:before="100" w:beforeAutospacing="1" w:after="100" w:afterAutospacing="1"/>
              <w:rPr>
                <w:rFonts w:ascii="Arial" w:eastAsiaTheme="minorEastAsia" w:hAnsi="Arial" w:cs="Arial"/>
                <w:kern w:val="0"/>
                <w:sz w:val="22"/>
                <w:szCs w:val="22"/>
                <w:lang w:eastAsia="en-GB"/>
              </w:rPr>
            </w:pPr>
            <w:r w:rsidRPr="00335E79">
              <w:rPr>
                <w:rFonts w:ascii="Arial" w:eastAsiaTheme="minorEastAsia" w:hAnsi="Arial" w:cs="Arial"/>
                <w:kern w:val="0"/>
                <w:sz w:val="22"/>
                <w:szCs w:val="22"/>
                <w:lang w:eastAsia="en-GB"/>
              </w:rPr>
              <w:t xml:space="preserve">An example of change in health and social care is the transition from paper-based patient records to electronic health records. This change allows professionals to access accurate </w:t>
            </w:r>
            <w:r w:rsidRPr="00335E79">
              <w:rPr>
                <w:rFonts w:ascii="Arial" w:eastAsiaTheme="minorEastAsia" w:hAnsi="Arial" w:cs="Arial"/>
                <w:kern w:val="0"/>
                <w:sz w:val="22"/>
                <w:szCs w:val="22"/>
                <w:lang w:eastAsia="en-GB"/>
              </w:rPr>
              <w:lastRenderedPageBreak/>
              <w:t>information more quickly, improving communication between services and supporting safer care.</w:t>
            </w:r>
          </w:p>
          <w:p w14:paraId="310063B1" w14:textId="77777777" w:rsidR="002420B0" w:rsidRPr="00433B4E" w:rsidRDefault="002420B0" w:rsidP="008712D4">
            <w:pPr>
              <w:spacing w:before="100" w:beforeAutospacing="1" w:after="100" w:afterAutospacing="1"/>
              <w:outlineLvl w:val="2"/>
              <w:rPr>
                <w:rFonts w:ascii="Arial" w:eastAsia="Times New Roman" w:hAnsi="Arial" w:cs="Arial"/>
                <w:b/>
                <w:bCs/>
                <w:kern w:val="0"/>
                <w:lang w:eastAsia="en-GB"/>
              </w:rPr>
            </w:pPr>
            <w:r w:rsidRPr="00433B4E">
              <w:rPr>
                <w:rFonts w:ascii="Arial" w:eastAsia="Times New Roman" w:hAnsi="Arial" w:cs="Arial"/>
                <w:b/>
                <w:bCs/>
                <w:kern w:val="0"/>
                <w:lang w:eastAsia="en-GB"/>
              </w:rPr>
              <w:t>Model/Theory Link</w:t>
            </w:r>
          </w:p>
          <w:p w14:paraId="76FD38DE" w14:textId="77777777" w:rsidR="002420B0" w:rsidRPr="00E27C64" w:rsidRDefault="002420B0" w:rsidP="008712D4">
            <w:pPr>
              <w:spacing w:before="100" w:beforeAutospacing="1" w:after="100" w:afterAutospacing="1"/>
              <w:rPr>
                <w:rFonts w:ascii="Times New Roman" w:eastAsiaTheme="minorEastAsia" w:hAnsi="Times New Roman"/>
                <w:kern w:val="0"/>
                <w:lang w:eastAsia="en-GB"/>
              </w:rPr>
            </w:pPr>
            <w:r w:rsidRPr="00847161">
              <w:rPr>
                <w:rFonts w:ascii="Arial" w:eastAsiaTheme="minorEastAsia" w:hAnsi="Arial" w:cs="Arial"/>
                <w:kern w:val="0"/>
                <w:sz w:val="22"/>
                <w:szCs w:val="22"/>
                <w:lang w:eastAsia="en-GB"/>
              </w:rPr>
              <w:t xml:space="preserve">A relevant framework is </w:t>
            </w:r>
            <w:r w:rsidRPr="00847161">
              <w:rPr>
                <w:rFonts w:ascii="Arial" w:eastAsiaTheme="minorEastAsia" w:hAnsi="Arial" w:cs="Arial"/>
                <w:b/>
                <w:bCs/>
                <w:kern w:val="0"/>
                <w:sz w:val="22"/>
                <w:szCs w:val="22"/>
                <w:lang w:eastAsia="en-GB"/>
              </w:rPr>
              <w:t>Lewin’s Three-Stage Model of Change</w:t>
            </w:r>
            <w:r w:rsidRPr="00847161">
              <w:rPr>
                <w:rFonts w:ascii="Arial" w:eastAsiaTheme="minorEastAsia" w:hAnsi="Arial" w:cs="Arial"/>
                <w:kern w:val="0"/>
                <w:sz w:val="22"/>
                <w:szCs w:val="22"/>
                <w:lang w:eastAsia="en-GB"/>
              </w:rPr>
              <w:t>, which explains change through the stages of unfreezing existing practices, implementing new approaches, and refreezing the changes to make them sustainable (Lewin, 1947)</w:t>
            </w:r>
            <w:r w:rsidRPr="00E27C64">
              <w:rPr>
                <w:rFonts w:ascii="Times New Roman" w:eastAsiaTheme="minorEastAsia" w:hAnsi="Times New Roman"/>
                <w:kern w:val="0"/>
                <w:lang w:eastAsia="en-GB"/>
              </w:rPr>
              <w:t>.</w:t>
            </w:r>
          </w:p>
          <w:p w14:paraId="6B7B85FF" w14:textId="77777777" w:rsidR="002420B0" w:rsidRPr="00FE3B14" w:rsidRDefault="002420B0" w:rsidP="008712D4">
            <w:pPr>
              <w:spacing w:before="100" w:beforeAutospacing="1" w:after="100" w:afterAutospacing="1"/>
              <w:rPr>
                <w:rFonts w:ascii="Arial" w:eastAsiaTheme="minorEastAsia" w:hAnsi="Arial" w:cs="Arial"/>
                <w:kern w:val="0"/>
                <w:sz w:val="22"/>
                <w:szCs w:val="22"/>
                <w:lang w:eastAsia="en-GB"/>
              </w:rPr>
            </w:pPr>
            <w:r>
              <w:rPr>
                <w:rFonts w:ascii="Arial" w:eastAsiaTheme="minorEastAsia" w:hAnsi="Arial" w:cs="Arial"/>
                <w:noProof/>
                <w:kern w:val="0"/>
                <w:sz w:val="22"/>
                <w:szCs w:val="22"/>
                <w:lang w:eastAsia="en-GB"/>
                <w14:ligatures w14:val="standardContextual"/>
              </w:rPr>
              <w:drawing>
                <wp:anchor distT="0" distB="0" distL="114300" distR="114300" simplePos="0" relativeHeight="251659264" behindDoc="0" locked="0" layoutInCell="1" allowOverlap="1" wp14:anchorId="61379CF3" wp14:editId="2D8D0A45">
                  <wp:simplePos x="0" y="0"/>
                  <wp:positionH relativeFrom="column">
                    <wp:posOffset>-65405</wp:posOffset>
                  </wp:positionH>
                  <wp:positionV relativeFrom="paragraph">
                    <wp:posOffset>339090</wp:posOffset>
                  </wp:positionV>
                  <wp:extent cx="5731510" cy="4296410"/>
                  <wp:effectExtent l="0" t="0" r="0" b="0"/>
                  <wp:wrapTopAndBottom/>
                  <wp:docPr id="1769138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38166" name="Picture 176913816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anchor>
              </w:drawing>
            </w:r>
          </w:p>
          <w:p w14:paraId="7CD0704F" w14:textId="77777777" w:rsidR="002420B0" w:rsidRDefault="002420B0" w:rsidP="008712D4">
            <w:pPr>
              <w:pStyle w:val="NoSpacing"/>
              <w:rPr>
                <w:rFonts w:ascii="Arial" w:hAnsi="Arial" w:cs="Arial"/>
                <w:b/>
                <w:bCs/>
                <w:sz w:val="22"/>
                <w:szCs w:val="22"/>
                <w:lang w:eastAsia="en-GB"/>
              </w:rPr>
            </w:pPr>
          </w:p>
          <w:p w14:paraId="63717D75" w14:textId="77777777" w:rsidR="002420B0" w:rsidRPr="000B1AFC" w:rsidRDefault="002420B0" w:rsidP="008712D4">
            <w:pPr>
              <w:pStyle w:val="NoSpacing"/>
              <w:rPr>
                <w:rFonts w:ascii="Arial" w:hAnsi="Arial" w:cs="Arial"/>
                <w:b/>
                <w:bCs/>
                <w:sz w:val="22"/>
                <w:szCs w:val="22"/>
                <w:lang w:eastAsia="en-GB"/>
              </w:rPr>
            </w:pPr>
          </w:p>
          <w:p w14:paraId="13E6EDF6" w14:textId="77777777" w:rsidR="002420B0" w:rsidRPr="000B1AFC" w:rsidRDefault="002420B0" w:rsidP="008712D4">
            <w:pPr>
              <w:pStyle w:val="NoSpacing"/>
              <w:rPr>
                <w:rFonts w:ascii="Arial" w:hAnsi="Arial" w:cs="Arial"/>
                <w:sz w:val="22"/>
                <w:szCs w:val="22"/>
              </w:rPr>
            </w:pPr>
          </w:p>
        </w:tc>
      </w:tr>
      <w:tr w:rsidR="002420B0" w14:paraId="6A454C2C" w14:textId="77777777" w:rsidTr="008712D4">
        <w:tc>
          <w:tcPr>
            <w:tcW w:w="9016" w:type="dxa"/>
          </w:tcPr>
          <w:p w14:paraId="4BE54674" w14:textId="77777777" w:rsidR="002420B0" w:rsidRDefault="002420B0" w:rsidP="008712D4">
            <w:pPr>
              <w:pStyle w:val="NoSpacing"/>
              <w:rPr>
                <w:b/>
                <w:bCs/>
                <w:lang w:val="en-US" w:eastAsia="en-GB"/>
              </w:rPr>
            </w:pPr>
            <w:r w:rsidRPr="000B1AFC">
              <w:rPr>
                <w:b/>
                <w:bCs/>
                <w:lang w:val="en-US" w:eastAsia="en-GB"/>
              </w:rPr>
              <w:lastRenderedPageBreak/>
              <w:t>Task 2 - Mind Map</w:t>
            </w:r>
            <w:r>
              <w:rPr>
                <w:b/>
                <w:bCs/>
                <w:lang w:val="en-US" w:eastAsia="en-GB"/>
              </w:rPr>
              <w:t>:</w:t>
            </w:r>
          </w:p>
          <w:p w14:paraId="35CCB1FF" w14:textId="77777777" w:rsidR="002420B0" w:rsidRDefault="002420B0" w:rsidP="008712D4">
            <w:pPr>
              <w:pStyle w:val="NoSpacing"/>
              <w:rPr>
                <w:b/>
                <w:bCs/>
                <w:lang w:val="en-US" w:eastAsia="en-GB"/>
              </w:rPr>
            </w:pPr>
          </w:p>
          <w:p w14:paraId="08D56605" w14:textId="77777777" w:rsidR="002420B0" w:rsidRPr="00D30890" w:rsidRDefault="002420B0" w:rsidP="008712D4">
            <w:pPr>
              <w:pStyle w:val="NoSpacing"/>
              <w:rPr>
                <w:rFonts w:ascii="Arial" w:hAnsi="Arial" w:cs="Arial"/>
                <w:b/>
                <w:bCs/>
                <w:lang w:val="en-US" w:eastAsia="en-GB"/>
              </w:rPr>
            </w:pPr>
            <w:r w:rsidRPr="00A726D5">
              <w:rPr>
                <w:rFonts w:ascii="Times New Roman" w:eastAsia="Times New Roman" w:hAnsi="Times New Roman"/>
                <w:b/>
                <w:bCs/>
                <w:kern w:val="0"/>
                <w:sz w:val="27"/>
                <w:szCs w:val="27"/>
                <w:lang w:eastAsia="en-GB"/>
              </w:rPr>
              <w:t xml:space="preserve"> </w:t>
            </w:r>
            <w:r w:rsidRPr="00D30890">
              <w:rPr>
                <w:rFonts w:ascii="Arial" w:eastAsia="Times New Roman" w:hAnsi="Arial" w:cs="Arial"/>
                <w:b/>
                <w:bCs/>
                <w:kern w:val="0"/>
                <w:lang w:eastAsia="en-GB"/>
              </w:rPr>
              <w:t>Poor Communication in Health and Social Care</w:t>
            </w:r>
          </w:p>
          <w:p w14:paraId="7DB7943F" w14:textId="77777777" w:rsidR="002420B0" w:rsidRDefault="002420B0" w:rsidP="008712D4">
            <w:pPr>
              <w:spacing w:before="100" w:beforeAutospacing="1" w:after="100" w:afterAutospacing="1"/>
              <w:rPr>
                <w:rFonts w:ascii="Times New Roman" w:eastAsiaTheme="minorEastAsia" w:hAnsi="Times New Roman"/>
                <w:kern w:val="0"/>
                <w:lang w:eastAsia="en-GB"/>
              </w:rPr>
            </w:pPr>
            <w:r w:rsidRPr="00292742">
              <w:rPr>
                <w:rFonts w:ascii="Arial" w:eastAsiaTheme="minorEastAsia" w:hAnsi="Arial" w:cs="Arial"/>
                <w:kern w:val="0"/>
                <w:sz w:val="22"/>
                <w:szCs w:val="22"/>
                <w:lang w:eastAsia="en-GB"/>
              </w:rPr>
              <w:t xml:space="preserve">Poor communication between health and social care professionals is a significant problem because it can lead to delays, errors, reduced quality of care, and negative experiences for service users. The mind map identifies key causes, including lack of information sharing, unclear responsibilities, time pressures, and inadequate digital systems. These factors can create impacts such as reduced patient safety, staff frustration, and difficulties in providing person-centred care. Possible solutions include improved multidisciplinary </w:t>
            </w:r>
            <w:r w:rsidRPr="00393D15">
              <w:rPr>
                <w:rFonts w:ascii="Arial" w:eastAsiaTheme="minorEastAsia" w:hAnsi="Arial" w:cs="Arial"/>
                <w:kern w:val="0"/>
                <w:sz w:val="22"/>
                <w:szCs w:val="22"/>
                <w:lang w:eastAsia="en-GB"/>
              </w:rPr>
              <w:t xml:space="preserve">teamwork, better communication systems, staff training, and shared electronic records. A systems thinking approach highlights that communication problems are connected to wider organisational structures rather than one single cause (Meadows, 2008). If not </w:t>
            </w:r>
            <w:r w:rsidRPr="00393D15">
              <w:rPr>
                <w:rFonts w:ascii="Arial" w:eastAsiaTheme="minorEastAsia" w:hAnsi="Arial" w:cs="Arial"/>
                <w:kern w:val="0"/>
                <w:sz w:val="22"/>
                <w:szCs w:val="22"/>
                <w:lang w:eastAsia="en-GB"/>
              </w:rPr>
              <w:lastRenderedPageBreak/>
              <w:t>addressed, vulnerable individuals may experience poorer outcomes and reduced continuity of care.</w:t>
            </w:r>
          </w:p>
          <w:p w14:paraId="06BF2B34" w14:textId="77777777" w:rsidR="002420B0" w:rsidRPr="00587497" w:rsidRDefault="002420B0" w:rsidP="008712D4">
            <w:pPr>
              <w:spacing w:before="100" w:beforeAutospacing="1" w:after="100" w:afterAutospacing="1"/>
              <w:rPr>
                <w:rFonts w:ascii="Times New Roman" w:eastAsiaTheme="minorEastAsia" w:hAnsi="Times New Roman"/>
                <w:kern w:val="0"/>
                <w:lang w:eastAsia="en-GB"/>
              </w:rPr>
            </w:pPr>
            <w:r>
              <w:rPr>
                <w:rFonts w:ascii="Times New Roman" w:eastAsiaTheme="minorEastAsia" w:hAnsi="Times New Roman"/>
                <w:noProof/>
                <w:kern w:val="0"/>
                <w:lang w:eastAsia="en-GB"/>
                <w14:ligatures w14:val="standardContextual"/>
              </w:rPr>
              <w:lastRenderedPageBreak/>
              <w:drawing>
                <wp:anchor distT="0" distB="0" distL="114300" distR="114300" simplePos="0" relativeHeight="251663360" behindDoc="0" locked="0" layoutInCell="1" allowOverlap="1" wp14:anchorId="16CFB370" wp14:editId="39239645">
                  <wp:simplePos x="0" y="0"/>
                  <wp:positionH relativeFrom="column">
                    <wp:posOffset>-65405</wp:posOffset>
                  </wp:positionH>
                  <wp:positionV relativeFrom="paragraph">
                    <wp:posOffset>1201420</wp:posOffset>
                  </wp:positionV>
                  <wp:extent cx="5731510" cy="7646035"/>
                  <wp:effectExtent l="0" t="0" r="0" b="0"/>
                  <wp:wrapTopAndBottom/>
                  <wp:docPr id="5225603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560354" name="Picture 52256035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6035"/>
                          </a:xfrm>
                          <a:prstGeom prst="rect">
                            <a:avLst/>
                          </a:prstGeom>
                        </pic:spPr>
                      </pic:pic>
                    </a:graphicData>
                  </a:graphic>
                </wp:anchor>
              </w:drawing>
            </w:r>
          </w:p>
          <w:p w14:paraId="6EE9162C" w14:textId="77777777" w:rsidR="002420B0" w:rsidRDefault="002420B0" w:rsidP="008712D4">
            <w:pPr>
              <w:pStyle w:val="NoSpacing"/>
              <w:rPr>
                <w:b/>
                <w:bCs/>
                <w:lang w:val="en-US" w:eastAsia="en-GB"/>
              </w:rPr>
            </w:pPr>
          </w:p>
          <w:p w14:paraId="7F047D3B" w14:textId="77777777" w:rsidR="002420B0" w:rsidRPr="000B1AFC" w:rsidRDefault="002420B0" w:rsidP="008712D4">
            <w:pPr>
              <w:pStyle w:val="NoSpacing"/>
              <w:rPr>
                <w:rFonts w:ascii="Arial" w:hAnsi="Arial" w:cs="Arial"/>
                <w:sz w:val="22"/>
                <w:szCs w:val="22"/>
              </w:rPr>
            </w:pPr>
          </w:p>
        </w:tc>
      </w:tr>
      <w:tr w:rsidR="002420B0" w14:paraId="6C2C1F97" w14:textId="77777777" w:rsidTr="008712D4">
        <w:tc>
          <w:tcPr>
            <w:tcW w:w="9016" w:type="dxa"/>
          </w:tcPr>
          <w:p w14:paraId="7F882B0B" w14:textId="77777777" w:rsidR="002420B0" w:rsidRPr="00751A8E" w:rsidRDefault="002420B0" w:rsidP="008712D4">
            <w:pPr>
              <w:pStyle w:val="NoSpacing"/>
              <w:rPr>
                <w:rFonts w:ascii="Arial" w:hAnsi="Arial" w:cs="Arial"/>
                <w:b/>
                <w:bCs/>
                <w:sz w:val="22"/>
                <w:szCs w:val="22"/>
                <w:lang w:val="en-US" w:eastAsia="en-GB"/>
              </w:rPr>
            </w:pPr>
            <w:r w:rsidRPr="005C28E8">
              <w:rPr>
                <w:rFonts w:ascii="Arial" w:hAnsi="Arial" w:cs="Arial"/>
                <w:b/>
                <w:bCs/>
                <w:sz w:val="22"/>
                <w:szCs w:val="22"/>
                <w:lang w:val="en-US" w:eastAsia="en-GB"/>
              </w:rPr>
              <w:lastRenderedPageBreak/>
              <w:t xml:space="preserve">Task 3 - Self-Reflection of Group Activity </w:t>
            </w:r>
            <w:r w:rsidRPr="0081144A">
              <w:rPr>
                <w:rFonts w:ascii="Times New Roman" w:eastAsia="Times New Roman" w:hAnsi="Times New Roman"/>
                <w:b/>
                <w:bCs/>
                <w:kern w:val="0"/>
                <w:sz w:val="36"/>
                <w:szCs w:val="36"/>
                <w:lang w:eastAsia="en-GB"/>
              </w:rPr>
              <w:t xml:space="preserve"> </w:t>
            </w:r>
          </w:p>
          <w:p w14:paraId="25E836E4" w14:textId="77777777" w:rsidR="002420B0" w:rsidRPr="00393D15" w:rsidRDefault="002420B0" w:rsidP="008712D4">
            <w:pPr>
              <w:spacing w:before="100" w:beforeAutospacing="1" w:after="100" w:afterAutospacing="1"/>
              <w:rPr>
                <w:rFonts w:ascii="Arial" w:eastAsiaTheme="minorEastAsia" w:hAnsi="Arial" w:cs="Arial"/>
                <w:kern w:val="0"/>
                <w:sz w:val="22"/>
                <w:szCs w:val="22"/>
                <w:lang w:eastAsia="en-GB"/>
              </w:rPr>
            </w:pPr>
            <w:r w:rsidRPr="00393D15">
              <w:rPr>
                <w:rFonts w:ascii="Arial" w:eastAsiaTheme="minorEastAsia" w:hAnsi="Arial" w:cs="Arial"/>
                <w:kern w:val="0"/>
                <w:sz w:val="22"/>
                <w:szCs w:val="22"/>
                <w:lang w:eastAsia="en-GB"/>
              </w:rPr>
              <w:t xml:space="preserve">This reflection uses </w:t>
            </w:r>
            <w:r w:rsidRPr="00393D15">
              <w:rPr>
                <w:rFonts w:ascii="Arial" w:eastAsiaTheme="minorEastAsia" w:hAnsi="Arial" w:cs="Arial"/>
                <w:b/>
                <w:bCs/>
                <w:kern w:val="0"/>
                <w:sz w:val="22"/>
                <w:szCs w:val="22"/>
                <w:lang w:eastAsia="en-GB"/>
              </w:rPr>
              <w:t>Gibbs’ Reflective Cycle (1988)</w:t>
            </w:r>
            <w:r w:rsidRPr="00393D15">
              <w:rPr>
                <w:rFonts w:ascii="Arial" w:eastAsiaTheme="minorEastAsia" w:hAnsi="Arial" w:cs="Arial"/>
                <w:kern w:val="0"/>
                <w:sz w:val="22"/>
                <w:szCs w:val="22"/>
                <w:lang w:eastAsia="en-GB"/>
              </w:rPr>
              <w:t xml:space="preserve"> to explore my experience of the convergent and divergent thinking group activity. Divergent thinking involves generating a wide range of ideas and exploring different possibilities, while convergent thinking focuses on analysing ideas and selecting the most appropriate solution (Guilford, 1956).</w:t>
            </w:r>
          </w:p>
          <w:p w14:paraId="588E7FE6" w14:textId="77777777" w:rsidR="002420B0" w:rsidRPr="00586143" w:rsidRDefault="002420B0" w:rsidP="008712D4">
            <w:pPr>
              <w:spacing w:before="100" w:beforeAutospacing="1" w:after="100" w:afterAutospacing="1"/>
              <w:rPr>
                <w:rFonts w:ascii="Arial" w:eastAsiaTheme="minorEastAsia" w:hAnsi="Arial" w:cs="Arial"/>
                <w:kern w:val="0"/>
                <w:sz w:val="22"/>
                <w:szCs w:val="22"/>
                <w:lang w:eastAsia="en-GB"/>
              </w:rPr>
            </w:pPr>
            <w:r w:rsidRPr="00393D15">
              <w:rPr>
                <w:rFonts w:ascii="Arial" w:eastAsiaTheme="minorEastAsia" w:hAnsi="Arial" w:cs="Arial"/>
                <w:b/>
                <w:bCs/>
                <w:kern w:val="0"/>
                <w:sz w:val="22"/>
                <w:szCs w:val="22"/>
                <w:lang w:eastAsia="en-GB"/>
              </w:rPr>
              <w:t>D</w:t>
            </w:r>
            <w:r w:rsidRPr="00586143">
              <w:rPr>
                <w:rFonts w:ascii="Arial" w:eastAsiaTheme="minorEastAsia" w:hAnsi="Arial" w:cs="Arial"/>
                <w:b/>
                <w:bCs/>
                <w:kern w:val="0"/>
                <w:sz w:val="22"/>
                <w:szCs w:val="22"/>
                <w:lang w:eastAsia="en-GB"/>
              </w:rPr>
              <w:t>escription:</w:t>
            </w:r>
            <w:r w:rsidRPr="00586143">
              <w:rPr>
                <w:rFonts w:ascii="Arial" w:eastAsiaTheme="minorEastAsia" w:hAnsi="Arial" w:cs="Arial"/>
                <w:kern w:val="0"/>
                <w:sz w:val="22"/>
                <w:szCs w:val="22"/>
                <w:lang w:eastAsia="en-GB"/>
              </w:rPr>
              <w:t xml:space="preserve"> During the activity, my group used divergent thinking to share different ideas without immediately judging them. We then used convergent thinking to evaluate these ideas and agree on the most practical option. When we found it difficult to reach an agreement, I suggested creating a pros and cons list to compare the possible solutions.</w:t>
            </w:r>
          </w:p>
          <w:p w14:paraId="6DCD87CC" w14:textId="77777777" w:rsidR="002420B0" w:rsidRPr="00586143" w:rsidRDefault="002420B0" w:rsidP="008712D4">
            <w:pPr>
              <w:spacing w:before="100" w:beforeAutospacing="1" w:after="100" w:afterAutospacing="1"/>
              <w:rPr>
                <w:rFonts w:ascii="Arial" w:eastAsiaTheme="minorEastAsia" w:hAnsi="Arial" w:cs="Arial"/>
                <w:kern w:val="0"/>
                <w:sz w:val="22"/>
                <w:szCs w:val="22"/>
                <w:lang w:eastAsia="en-GB"/>
              </w:rPr>
            </w:pPr>
            <w:r w:rsidRPr="00586143">
              <w:rPr>
                <w:rFonts w:ascii="Arial" w:eastAsiaTheme="minorEastAsia" w:hAnsi="Arial" w:cs="Arial"/>
                <w:b/>
                <w:bCs/>
                <w:kern w:val="0"/>
                <w:sz w:val="22"/>
                <w:szCs w:val="22"/>
                <w:lang w:eastAsia="en-GB"/>
              </w:rPr>
              <w:t>Feelings and Evaluation:</w:t>
            </w:r>
            <w:r w:rsidRPr="00586143">
              <w:rPr>
                <w:rFonts w:ascii="Arial" w:eastAsiaTheme="minorEastAsia" w:hAnsi="Arial" w:cs="Arial"/>
                <w:kern w:val="0"/>
                <w:sz w:val="22"/>
                <w:szCs w:val="22"/>
                <w:lang w:eastAsia="en-GB"/>
              </w:rPr>
              <w:t xml:space="preserve"> I felt confident contributing ideas during the brainstorming stage, as generating possibilities felt natural to me. However, I recognised that decision-making required more discussion and listening to others’ perspectives. The activity showed me the importance of teamwork, communication, and respecting different viewpoints.</w:t>
            </w:r>
          </w:p>
          <w:p w14:paraId="00DF96DF" w14:textId="77777777" w:rsidR="002420B0" w:rsidRPr="00586143" w:rsidRDefault="002420B0" w:rsidP="008712D4">
            <w:pPr>
              <w:spacing w:before="100" w:beforeAutospacing="1" w:after="100" w:afterAutospacing="1"/>
              <w:rPr>
                <w:rFonts w:ascii="Arial" w:eastAsiaTheme="minorEastAsia" w:hAnsi="Arial" w:cs="Arial"/>
                <w:kern w:val="0"/>
                <w:sz w:val="22"/>
                <w:szCs w:val="22"/>
                <w:lang w:eastAsia="en-GB"/>
              </w:rPr>
            </w:pPr>
            <w:r w:rsidRPr="00586143">
              <w:rPr>
                <w:rFonts w:ascii="Arial" w:eastAsiaTheme="minorEastAsia" w:hAnsi="Arial" w:cs="Arial"/>
                <w:b/>
                <w:bCs/>
                <w:kern w:val="0"/>
                <w:sz w:val="22"/>
                <w:szCs w:val="22"/>
                <w:lang w:eastAsia="en-GB"/>
              </w:rPr>
              <w:t>Analysis and Conclusion:</w:t>
            </w:r>
            <w:r w:rsidRPr="00586143">
              <w:rPr>
                <w:rFonts w:ascii="Arial" w:eastAsiaTheme="minorEastAsia" w:hAnsi="Arial" w:cs="Arial"/>
                <w:kern w:val="0"/>
                <w:sz w:val="22"/>
                <w:szCs w:val="22"/>
                <w:lang w:eastAsia="en-GB"/>
              </w:rPr>
              <w:t xml:space="preserve"> Gibbs’ model helped me understand that reflection supports learning from experiences and improving future practice (Gibbs, 1988). I learned that combining creative thinking with critical evaluation leads to stronger solutions.</w:t>
            </w:r>
          </w:p>
          <w:p w14:paraId="1CABA2EF" w14:textId="77777777" w:rsidR="002420B0" w:rsidRPr="00586143" w:rsidRDefault="002420B0" w:rsidP="008712D4">
            <w:pPr>
              <w:spacing w:before="100" w:beforeAutospacing="1" w:after="100" w:afterAutospacing="1"/>
              <w:rPr>
                <w:rFonts w:ascii="Arial" w:eastAsiaTheme="minorEastAsia" w:hAnsi="Arial" w:cs="Arial"/>
                <w:kern w:val="0"/>
                <w:sz w:val="22"/>
                <w:szCs w:val="22"/>
                <w:lang w:eastAsia="en-GB"/>
              </w:rPr>
            </w:pPr>
            <w:r w:rsidRPr="00586143">
              <w:rPr>
                <w:rFonts w:ascii="Arial" w:eastAsiaTheme="minorEastAsia" w:hAnsi="Arial" w:cs="Arial"/>
                <w:b/>
                <w:bCs/>
                <w:kern w:val="0"/>
                <w:sz w:val="22"/>
                <w:szCs w:val="22"/>
                <w:lang w:eastAsia="en-GB"/>
              </w:rPr>
              <w:t>Action Plan:</w:t>
            </w:r>
            <w:r w:rsidRPr="00586143">
              <w:rPr>
                <w:rFonts w:ascii="Arial" w:eastAsiaTheme="minorEastAsia" w:hAnsi="Arial" w:cs="Arial"/>
                <w:kern w:val="0"/>
                <w:sz w:val="22"/>
                <w:szCs w:val="22"/>
                <w:lang w:eastAsia="en-GB"/>
              </w:rPr>
              <w:t xml:space="preserve"> Next time, I would encourage all group members to contribute equally and allow more time to explore ideas before selecting the final solution.</w:t>
            </w:r>
          </w:p>
          <w:p w14:paraId="7F966DF5" w14:textId="77777777" w:rsidR="002420B0" w:rsidRDefault="002420B0" w:rsidP="008712D4">
            <w:pPr>
              <w:spacing w:before="100" w:beforeAutospacing="1" w:after="100" w:afterAutospacing="1"/>
              <w:rPr>
                <w:rFonts w:ascii="Times New Roman" w:eastAsiaTheme="minorEastAsia" w:hAnsi="Times New Roman"/>
                <w:kern w:val="0"/>
                <w:lang w:eastAsia="en-GB"/>
              </w:rPr>
            </w:pPr>
          </w:p>
          <w:p w14:paraId="4905521E" w14:textId="77777777" w:rsidR="002420B0" w:rsidRPr="007A2726" w:rsidRDefault="002420B0" w:rsidP="008712D4">
            <w:pPr>
              <w:spacing w:before="100" w:beforeAutospacing="1" w:after="100" w:afterAutospacing="1"/>
              <w:rPr>
                <w:rFonts w:ascii="Times New Roman" w:eastAsiaTheme="minorEastAsia" w:hAnsi="Times New Roman"/>
                <w:kern w:val="0"/>
                <w:lang w:eastAsia="en-GB"/>
              </w:rPr>
            </w:pPr>
            <w:r>
              <w:rPr>
                <w:rFonts w:ascii="Times New Roman" w:eastAsiaTheme="minorEastAsia" w:hAnsi="Times New Roman"/>
                <w:noProof/>
                <w:kern w:val="0"/>
                <w:lang w:eastAsia="en-GB"/>
                <w14:ligatures w14:val="standardContextual"/>
              </w:rPr>
              <w:lastRenderedPageBreak/>
              <w:drawing>
                <wp:anchor distT="0" distB="0" distL="114300" distR="114300" simplePos="0" relativeHeight="251660288" behindDoc="0" locked="0" layoutInCell="1" allowOverlap="1" wp14:anchorId="2548B2F4" wp14:editId="710604F8">
                  <wp:simplePos x="0" y="0"/>
                  <wp:positionH relativeFrom="column">
                    <wp:posOffset>-65405</wp:posOffset>
                  </wp:positionH>
                  <wp:positionV relativeFrom="paragraph">
                    <wp:posOffset>0</wp:posOffset>
                  </wp:positionV>
                  <wp:extent cx="5731510" cy="4296410"/>
                  <wp:effectExtent l="0" t="0" r="0" b="0"/>
                  <wp:wrapTopAndBottom/>
                  <wp:docPr id="16980713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71339" name="Picture 169807133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anchor>
              </w:drawing>
            </w:r>
          </w:p>
        </w:tc>
      </w:tr>
      <w:tr w:rsidR="002420B0" w14:paraId="37920419" w14:textId="77777777" w:rsidTr="008712D4">
        <w:tc>
          <w:tcPr>
            <w:tcW w:w="9016" w:type="dxa"/>
          </w:tcPr>
          <w:p w14:paraId="73C4C3C3" w14:textId="77777777" w:rsidR="002420B0" w:rsidRDefault="002420B0" w:rsidP="008712D4">
            <w:pPr>
              <w:pStyle w:val="NoSpacing"/>
              <w:rPr>
                <w:rFonts w:ascii="Arial" w:hAnsi="Arial" w:cs="Arial"/>
                <w:b/>
                <w:bCs/>
                <w:sz w:val="22"/>
                <w:szCs w:val="22"/>
              </w:rPr>
            </w:pPr>
            <w:r w:rsidRPr="00804E06">
              <w:rPr>
                <w:rFonts w:ascii="Arial" w:hAnsi="Arial" w:cs="Arial"/>
                <w:b/>
                <w:bCs/>
                <w:sz w:val="22"/>
                <w:szCs w:val="22"/>
              </w:rPr>
              <w:lastRenderedPageBreak/>
              <w:t>Task 4 – Case Study Analysis of a UK Innovation</w:t>
            </w:r>
            <w:r>
              <w:rPr>
                <w:rFonts w:ascii="Arial" w:hAnsi="Arial" w:cs="Arial"/>
                <w:b/>
                <w:bCs/>
                <w:sz w:val="22"/>
                <w:szCs w:val="22"/>
              </w:rPr>
              <w:t>:</w:t>
            </w:r>
          </w:p>
          <w:p w14:paraId="5E96FCDC" w14:textId="77777777" w:rsidR="002420B0" w:rsidRDefault="002420B0" w:rsidP="008712D4">
            <w:pPr>
              <w:pStyle w:val="NoSpacing"/>
              <w:rPr>
                <w:rFonts w:ascii="Arial" w:hAnsi="Arial" w:cs="Arial"/>
                <w:b/>
                <w:bCs/>
                <w:sz w:val="22"/>
                <w:szCs w:val="22"/>
              </w:rPr>
            </w:pPr>
          </w:p>
          <w:p w14:paraId="616F68D9" w14:textId="77777777" w:rsidR="002420B0" w:rsidRPr="004D7E77" w:rsidRDefault="002420B0" w:rsidP="008712D4">
            <w:pPr>
              <w:pStyle w:val="NoSpacing"/>
              <w:rPr>
                <w:rFonts w:ascii="Arial" w:hAnsi="Arial" w:cs="Arial"/>
                <w:b/>
                <w:bCs/>
              </w:rPr>
            </w:pPr>
            <w:r w:rsidRPr="00447723">
              <w:rPr>
                <w:rFonts w:ascii="Times New Roman" w:eastAsia="Times New Roman" w:hAnsi="Times New Roman"/>
                <w:b/>
                <w:bCs/>
                <w:kern w:val="0"/>
                <w:sz w:val="36"/>
                <w:szCs w:val="36"/>
                <w:lang w:eastAsia="en-GB"/>
              </w:rPr>
              <w:t xml:space="preserve"> </w:t>
            </w:r>
            <w:r w:rsidRPr="004D7E77">
              <w:rPr>
                <w:rFonts w:ascii="Arial" w:eastAsia="Times New Roman" w:hAnsi="Arial" w:cs="Arial"/>
                <w:b/>
                <w:bCs/>
                <w:kern w:val="0"/>
                <w:lang w:eastAsia="en-GB"/>
              </w:rPr>
              <w:t>NHS Virtual Wards</w:t>
            </w:r>
          </w:p>
          <w:p w14:paraId="0A164060" w14:textId="77777777" w:rsidR="002420B0" w:rsidRPr="006D14B7" w:rsidRDefault="002420B0" w:rsidP="008712D4">
            <w:pPr>
              <w:spacing w:before="100" w:beforeAutospacing="1" w:after="100" w:afterAutospacing="1"/>
              <w:rPr>
                <w:rFonts w:ascii="Arial" w:eastAsiaTheme="minorEastAsia" w:hAnsi="Arial" w:cs="Arial"/>
                <w:kern w:val="0"/>
                <w:sz w:val="22"/>
                <w:szCs w:val="22"/>
                <w:lang w:eastAsia="en-GB"/>
              </w:rPr>
            </w:pPr>
            <w:r w:rsidRPr="006D14B7">
              <w:rPr>
                <w:rFonts w:ascii="Arial" w:eastAsiaTheme="minorEastAsia" w:hAnsi="Arial" w:cs="Arial"/>
                <w:kern w:val="0"/>
                <w:sz w:val="22"/>
                <w:szCs w:val="22"/>
                <w:lang w:eastAsia="en-GB"/>
              </w:rPr>
              <w:t xml:space="preserve">One example of innovation in the NHS is the development of </w:t>
            </w:r>
            <w:r w:rsidRPr="006D14B7">
              <w:rPr>
                <w:rFonts w:ascii="Arial" w:eastAsiaTheme="minorEastAsia" w:hAnsi="Arial" w:cs="Arial"/>
                <w:b/>
                <w:bCs/>
                <w:kern w:val="0"/>
                <w:sz w:val="22"/>
                <w:szCs w:val="22"/>
                <w:lang w:eastAsia="en-GB"/>
              </w:rPr>
              <w:t>virtual wards</w:t>
            </w:r>
            <w:r w:rsidRPr="006D14B7">
              <w:rPr>
                <w:rFonts w:ascii="Arial" w:eastAsiaTheme="minorEastAsia" w:hAnsi="Arial" w:cs="Arial"/>
                <w:kern w:val="0"/>
                <w:sz w:val="22"/>
                <w:szCs w:val="22"/>
                <w:lang w:eastAsia="en-GB"/>
              </w:rPr>
              <w:t>, which allow patients who require hospital-level care to be safely treated at home through remote monitoring and support. The problem addressed was increasing pressure on hospital beds, rising demand for healthcare services, and the need to provide care in a more person-centred way.</w:t>
            </w:r>
          </w:p>
          <w:p w14:paraId="12B059CD" w14:textId="77777777" w:rsidR="002420B0" w:rsidRPr="006D14B7" w:rsidRDefault="002420B0" w:rsidP="008712D4">
            <w:pPr>
              <w:spacing w:before="100" w:beforeAutospacing="1" w:after="100" w:afterAutospacing="1"/>
              <w:rPr>
                <w:rFonts w:ascii="Arial" w:eastAsiaTheme="minorEastAsia" w:hAnsi="Arial" w:cs="Arial"/>
                <w:kern w:val="0"/>
                <w:sz w:val="22"/>
                <w:szCs w:val="22"/>
                <w:lang w:eastAsia="en-GB"/>
              </w:rPr>
            </w:pPr>
            <w:r w:rsidRPr="006D14B7">
              <w:rPr>
                <w:rFonts w:ascii="Arial" w:eastAsiaTheme="minorEastAsia" w:hAnsi="Arial" w:cs="Arial"/>
                <w:kern w:val="0"/>
                <w:sz w:val="22"/>
                <w:szCs w:val="22"/>
                <w:lang w:eastAsia="en-GB"/>
              </w:rPr>
              <w:t>Creativity helped address this challenge by combining digital technology, remote monitoring devices, and multidisciplinary teamwork to redesign traditional models of hospital care. Patients can receive treatment and regular monitoring without remaining in hospital, while healthcare professionals can identify changes in a patient’s condition earlier.</w:t>
            </w:r>
          </w:p>
          <w:p w14:paraId="1271C66C" w14:textId="77777777" w:rsidR="002420B0" w:rsidRPr="006D14B7" w:rsidRDefault="002420B0" w:rsidP="008712D4">
            <w:pPr>
              <w:spacing w:before="100" w:beforeAutospacing="1" w:after="100" w:afterAutospacing="1"/>
              <w:rPr>
                <w:rFonts w:ascii="Arial" w:eastAsiaTheme="minorEastAsia" w:hAnsi="Arial" w:cs="Arial"/>
                <w:kern w:val="0"/>
                <w:sz w:val="22"/>
                <w:szCs w:val="22"/>
                <w:lang w:eastAsia="en-GB"/>
              </w:rPr>
            </w:pPr>
            <w:r w:rsidRPr="006D14B7">
              <w:rPr>
                <w:rFonts w:ascii="Arial" w:eastAsiaTheme="minorEastAsia" w:hAnsi="Arial" w:cs="Arial"/>
                <w:kern w:val="0"/>
                <w:sz w:val="22"/>
                <w:szCs w:val="22"/>
                <w:lang w:eastAsia="en-GB"/>
              </w:rPr>
              <w:t>The innovation created value by improving patient experience, supporting independence, reducing unnecessary hospital admissions, and helping services use resources more effectively. NHS England has reported that virtual wards can support safe care at home and increase healthcare capacity (NHS England, 2023).</w:t>
            </w:r>
          </w:p>
          <w:p w14:paraId="31D5D282" w14:textId="77777777" w:rsidR="002420B0" w:rsidRPr="006D14B7" w:rsidRDefault="002420B0" w:rsidP="008712D4">
            <w:pPr>
              <w:spacing w:before="100" w:beforeAutospacing="1" w:after="100" w:afterAutospacing="1"/>
              <w:rPr>
                <w:rFonts w:ascii="Arial" w:eastAsiaTheme="minorEastAsia" w:hAnsi="Arial" w:cs="Arial"/>
                <w:kern w:val="0"/>
                <w:sz w:val="22"/>
                <w:szCs w:val="22"/>
                <w:lang w:eastAsia="en-GB"/>
              </w:rPr>
            </w:pPr>
            <w:r w:rsidRPr="006D14B7">
              <w:rPr>
                <w:rFonts w:ascii="Arial" w:eastAsiaTheme="minorEastAsia" w:hAnsi="Arial" w:cs="Arial"/>
                <w:kern w:val="0"/>
                <w:sz w:val="22"/>
                <w:szCs w:val="22"/>
                <w:lang w:eastAsia="en-GB"/>
              </w:rPr>
              <w:t xml:space="preserve">This innovation can be linked to </w:t>
            </w:r>
            <w:r w:rsidRPr="006D14B7">
              <w:rPr>
                <w:rFonts w:ascii="Arial" w:eastAsiaTheme="minorEastAsia" w:hAnsi="Arial" w:cs="Arial"/>
                <w:b/>
                <w:bCs/>
                <w:kern w:val="0"/>
                <w:sz w:val="22"/>
                <w:szCs w:val="22"/>
                <w:lang w:eastAsia="en-GB"/>
              </w:rPr>
              <w:t>Rogers’ Diffusion of Innovation Theory</w:t>
            </w:r>
            <w:r w:rsidRPr="006D14B7">
              <w:rPr>
                <w:rFonts w:ascii="Arial" w:eastAsiaTheme="minorEastAsia" w:hAnsi="Arial" w:cs="Arial"/>
                <w:kern w:val="0"/>
                <w:sz w:val="22"/>
                <w:szCs w:val="22"/>
                <w:lang w:eastAsia="en-GB"/>
              </w:rPr>
              <w:t>, which explains that new ideas are more likely to be adopted when they demonstrate clear benefits, compatibility with existing practice, and usefulness for users (Rogers, 2003). Virtual wards have potential for wider use across different areas of health and social care.</w:t>
            </w:r>
          </w:p>
          <w:p w14:paraId="72F9A4AF" w14:textId="77777777" w:rsidR="002420B0" w:rsidRPr="00447723" w:rsidRDefault="002420B0" w:rsidP="008712D4">
            <w:pPr>
              <w:spacing w:before="100" w:beforeAutospacing="1" w:after="100" w:afterAutospacing="1"/>
              <w:rPr>
                <w:rFonts w:ascii="Times New Roman" w:eastAsiaTheme="minorEastAsia" w:hAnsi="Times New Roman"/>
                <w:kern w:val="0"/>
                <w:lang w:eastAsia="en-GB"/>
              </w:rPr>
            </w:pPr>
            <w:r>
              <w:rPr>
                <w:rFonts w:ascii="Times New Roman" w:eastAsiaTheme="minorEastAsia" w:hAnsi="Times New Roman"/>
                <w:noProof/>
                <w:kern w:val="0"/>
                <w:lang w:eastAsia="en-GB"/>
                <w14:ligatures w14:val="standardContextual"/>
              </w:rPr>
              <w:lastRenderedPageBreak/>
              <w:drawing>
                <wp:anchor distT="0" distB="0" distL="114300" distR="114300" simplePos="0" relativeHeight="251661312" behindDoc="0" locked="0" layoutInCell="1" allowOverlap="1" wp14:anchorId="0EF97F21" wp14:editId="148ED129">
                  <wp:simplePos x="0" y="0"/>
                  <wp:positionH relativeFrom="column">
                    <wp:posOffset>-65405</wp:posOffset>
                  </wp:positionH>
                  <wp:positionV relativeFrom="paragraph">
                    <wp:posOffset>356870</wp:posOffset>
                  </wp:positionV>
                  <wp:extent cx="5731510" cy="4296410"/>
                  <wp:effectExtent l="0" t="0" r="0" b="0"/>
                  <wp:wrapTopAndBottom/>
                  <wp:docPr id="18825256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525637" name="Picture 188252563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anchor>
              </w:drawing>
            </w:r>
          </w:p>
          <w:p w14:paraId="6E2FB725" w14:textId="77777777" w:rsidR="002420B0" w:rsidRPr="00804E06" w:rsidRDefault="002420B0" w:rsidP="008712D4">
            <w:pPr>
              <w:pStyle w:val="NoSpacing"/>
              <w:rPr>
                <w:rFonts w:ascii="Arial" w:hAnsi="Arial" w:cs="Arial"/>
                <w:sz w:val="22"/>
                <w:szCs w:val="22"/>
              </w:rPr>
            </w:pPr>
          </w:p>
        </w:tc>
      </w:tr>
      <w:tr w:rsidR="002420B0" w14:paraId="0EA4AE20" w14:textId="77777777" w:rsidTr="008712D4">
        <w:tc>
          <w:tcPr>
            <w:tcW w:w="9016" w:type="dxa"/>
          </w:tcPr>
          <w:p w14:paraId="77B3FE15" w14:textId="77777777" w:rsidR="002420B0" w:rsidRDefault="002420B0" w:rsidP="008712D4">
            <w:pPr>
              <w:pStyle w:val="NoSpacing"/>
              <w:rPr>
                <w:b/>
                <w:bCs/>
                <w:lang w:val="en-US" w:eastAsia="en-GB"/>
              </w:rPr>
            </w:pPr>
            <w:r w:rsidRPr="000812B9">
              <w:rPr>
                <w:b/>
                <w:bCs/>
                <w:lang w:val="en-US" w:eastAsia="en-GB"/>
              </w:rPr>
              <w:lastRenderedPageBreak/>
              <w:t>Task 5 - Research Task</w:t>
            </w:r>
            <w:r>
              <w:rPr>
                <w:b/>
                <w:bCs/>
                <w:lang w:val="en-US" w:eastAsia="en-GB"/>
              </w:rPr>
              <w:t>:</w:t>
            </w:r>
          </w:p>
          <w:p w14:paraId="4F276503" w14:textId="77777777" w:rsidR="002420B0" w:rsidRPr="00604FEB" w:rsidRDefault="002420B0" w:rsidP="008712D4">
            <w:pPr>
              <w:spacing w:before="100" w:beforeAutospacing="1" w:after="100" w:afterAutospacing="1"/>
              <w:outlineLvl w:val="1"/>
              <w:rPr>
                <w:rFonts w:ascii="Arial" w:eastAsia="Times New Roman" w:hAnsi="Arial" w:cs="Arial"/>
                <w:b/>
                <w:bCs/>
                <w:kern w:val="0"/>
                <w:lang w:eastAsia="en-GB"/>
              </w:rPr>
            </w:pPr>
            <w:r w:rsidRPr="00361F4D">
              <w:rPr>
                <w:rFonts w:ascii="Times New Roman" w:eastAsia="Times New Roman" w:hAnsi="Times New Roman"/>
                <w:b/>
                <w:bCs/>
                <w:kern w:val="0"/>
                <w:sz w:val="36"/>
                <w:szCs w:val="36"/>
                <w:lang w:eastAsia="en-GB"/>
              </w:rPr>
              <w:t xml:space="preserve"> </w:t>
            </w:r>
            <w:r w:rsidRPr="00604FEB">
              <w:rPr>
                <w:rFonts w:ascii="Arial" w:eastAsia="Times New Roman" w:hAnsi="Arial" w:cs="Arial"/>
                <w:b/>
                <w:bCs/>
                <w:kern w:val="0"/>
                <w:lang w:eastAsia="en-GB"/>
              </w:rPr>
              <w:t>Staff Stress and Burnout in Health and Social Care</w:t>
            </w:r>
          </w:p>
          <w:p w14:paraId="355B07D2" w14:textId="77777777" w:rsidR="002420B0" w:rsidRPr="0085698C" w:rsidRDefault="002420B0" w:rsidP="008712D4">
            <w:pPr>
              <w:spacing w:before="100" w:beforeAutospacing="1" w:after="100" w:afterAutospacing="1"/>
              <w:rPr>
                <w:rFonts w:ascii="Arial" w:eastAsiaTheme="minorEastAsia" w:hAnsi="Arial" w:cs="Arial"/>
                <w:kern w:val="0"/>
                <w:sz w:val="22"/>
                <w:szCs w:val="22"/>
                <w:lang w:eastAsia="en-GB"/>
              </w:rPr>
            </w:pPr>
            <w:r w:rsidRPr="0085698C">
              <w:rPr>
                <w:rFonts w:ascii="Arial" w:eastAsiaTheme="minorEastAsia" w:hAnsi="Arial" w:cs="Arial"/>
                <w:kern w:val="0"/>
                <w:sz w:val="22"/>
                <w:szCs w:val="22"/>
                <w:lang w:eastAsia="en-GB"/>
              </w:rPr>
              <w:t>Staff stress and burnout is a significant issue in health and social care because it can affect staff wellbeing, quality of care, and service-user experiences. Burnout is commonly associated with emotional exhaustion, reduced professional effectiveness, and stress caused by prolonged workplace pressures (Maslach and Leiter, 2016).</w:t>
            </w:r>
          </w:p>
          <w:p w14:paraId="0047D411" w14:textId="77777777" w:rsidR="002420B0" w:rsidRPr="0085698C" w:rsidRDefault="002420B0" w:rsidP="008712D4">
            <w:pPr>
              <w:spacing w:before="100" w:beforeAutospacing="1" w:after="100" w:afterAutospacing="1"/>
              <w:rPr>
                <w:rFonts w:ascii="Arial" w:eastAsiaTheme="minorEastAsia" w:hAnsi="Arial" w:cs="Arial"/>
                <w:kern w:val="0"/>
                <w:sz w:val="22"/>
                <w:szCs w:val="22"/>
                <w:lang w:eastAsia="en-GB"/>
              </w:rPr>
            </w:pPr>
            <w:r w:rsidRPr="0085698C">
              <w:rPr>
                <w:rFonts w:ascii="Arial" w:eastAsiaTheme="minorEastAsia" w:hAnsi="Arial" w:cs="Arial"/>
                <w:kern w:val="0"/>
                <w:sz w:val="22"/>
                <w:szCs w:val="22"/>
                <w:lang w:eastAsia="en-GB"/>
              </w:rPr>
              <w:t>West et al. (2016) identified that healthcare staff burnout is linked to factors such as excessive workload, long working hours, limited resources, and lack of support from organisations. The article helped me understand that burnout is not only an individual problem but is also influenced by workplace systems and leadership approaches.</w:t>
            </w:r>
          </w:p>
          <w:p w14:paraId="5E9F3C4F" w14:textId="77777777" w:rsidR="002420B0" w:rsidRPr="0085698C" w:rsidRDefault="002420B0" w:rsidP="008712D4">
            <w:pPr>
              <w:spacing w:before="100" w:beforeAutospacing="1" w:after="100" w:afterAutospacing="1"/>
              <w:rPr>
                <w:rFonts w:ascii="Arial" w:eastAsiaTheme="minorEastAsia" w:hAnsi="Arial" w:cs="Arial"/>
                <w:kern w:val="0"/>
                <w:sz w:val="22"/>
                <w:szCs w:val="22"/>
                <w:lang w:eastAsia="en-GB"/>
              </w:rPr>
            </w:pPr>
            <w:r w:rsidRPr="0085698C">
              <w:rPr>
                <w:rFonts w:ascii="Arial" w:eastAsiaTheme="minorEastAsia" w:hAnsi="Arial" w:cs="Arial"/>
                <w:kern w:val="0"/>
                <w:sz w:val="22"/>
                <w:szCs w:val="22"/>
                <w:lang w:eastAsia="en-GB"/>
              </w:rPr>
              <w:t>Similarly, Hall (2016) found that stress among healthcare workers is affected by emotional demands, staffing pressures, and challenging working environments. This research highlights how staff stress can appear in practice through increased sickness absence, reduced motivation, and difficulties maintaining consistent quality of care.</w:t>
            </w:r>
          </w:p>
          <w:p w14:paraId="3B777B19" w14:textId="039028C9" w:rsidR="002420B0" w:rsidRPr="00A67EF7" w:rsidRDefault="002420B0" w:rsidP="008712D4">
            <w:pPr>
              <w:spacing w:before="100" w:beforeAutospacing="1" w:after="100" w:afterAutospacing="1"/>
              <w:rPr>
                <w:rFonts w:ascii="Arial" w:eastAsiaTheme="minorEastAsia" w:hAnsi="Arial" w:cs="Arial"/>
                <w:kern w:val="0"/>
                <w:sz w:val="22"/>
                <w:szCs w:val="22"/>
                <w:lang w:eastAsia="en-GB"/>
              </w:rPr>
            </w:pPr>
            <w:r w:rsidRPr="0085698C">
              <w:rPr>
                <w:rFonts w:ascii="Arial" w:eastAsiaTheme="minorEastAsia" w:hAnsi="Arial" w:cs="Arial"/>
                <w:kern w:val="0"/>
                <w:sz w:val="22"/>
                <w:szCs w:val="22"/>
                <w:lang w:eastAsia="en-GB"/>
              </w:rPr>
              <w:t xml:space="preserve">Both articles agree that organisational factors play an important role in causing burnout. However, West et al. focus more on healthcare systems and workplace interventions, while Hall highlights the emotional challenges experienced by care professionals. These </w:t>
            </w:r>
            <w:r w:rsidRPr="00FB1829">
              <w:rPr>
                <w:rFonts w:ascii="Arial" w:eastAsiaTheme="minorEastAsia" w:hAnsi="Arial" w:cs="Arial"/>
                <w:kern w:val="0"/>
                <w:sz w:val="22"/>
                <w:szCs w:val="22"/>
                <w:lang w:eastAsia="en-GB"/>
              </w:rPr>
              <w:lastRenderedPageBreak/>
              <w:t xml:space="preserve">findings link to </w:t>
            </w:r>
            <w:r w:rsidRPr="00FB1829">
              <w:rPr>
                <w:rFonts w:ascii="Arial" w:eastAsiaTheme="minorEastAsia" w:hAnsi="Arial" w:cs="Arial"/>
                <w:b/>
                <w:bCs/>
                <w:kern w:val="0"/>
                <w:sz w:val="22"/>
                <w:szCs w:val="22"/>
                <w:lang w:eastAsia="en-GB"/>
              </w:rPr>
              <w:t>Maslach’s Burnout Theory</w:t>
            </w:r>
            <w:r w:rsidRPr="00FB1829">
              <w:rPr>
                <w:rFonts w:ascii="Arial" w:eastAsiaTheme="minorEastAsia" w:hAnsi="Arial" w:cs="Arial"/>
                <w:kern w:val="0"/>
                <w:sz w:val="22"/>
                <w:szCs w:val="22"/>
                <w:lang w:eastAsia="en-GB"/>
              </w:rPr>
              <w:t>, which explains how ongoing workplace stressors can contribute to burnout (Maslach and Leiter, 2016).</w:t>
            </w:r>
            <w:r>
              <w:rPr>
                <w:rFonts w:ascii="Times New Roman" w:eastAsiaTheme="minorEastAsia" w:hAnsi="Times New Roman"/>
                <w:noProof/>
                <w:kern w:val="0"/>
                <w:lang w:eastAsia="en-GB"/>
                <w14:ligatures w14:val="standardContextual"/>
              </w:rPr>
              <w:drawing>
                <wp:anchor distT="0" distB="0" distL="114300" distR="114300" simplePos="0" relativeHeight="251662336" behindDoc="0" locked="0" layoutInCell="1" allowOverlap="1" wp14:anchorId="45FABFE7" wp14:editId="3FA0C8A0">
                  <wp:simplePos x="0" y="0"/>
                  <wp:positionH relativeFrom="column">
                    <wp:posOffset>-65405</wp:posOffset>
                  </wp:positionH>
                  <wp:positionV relativeFrom="paragraph">
                    <wp:posOffset>1201420</wp:posOffset>
                  </wp:positionV>
                  <wp:extent cx="5731510" cy="7646035"/>
                  <wp:effectExtent l="0" t="0" r="0" b="0"/>
                  <wp:wrapTopAndBottom/>
                  <wp:docPr id="11724865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486546" name="Picture 117248654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6035"/>
                          </a:xfrm>
                          <a:prstGeom prst="rect">
                            <a:avLst/>
                          </a:prstGeom>
                        </pic:spPr>
                      </pic:pic>
                    </a:graphicData>
                  </a:graphic>
                </wp:anchor>
              </w:drawing>
            </w:r>
          </w:p>
          <w:p w14:paraId="71BA3928" w14:textId="77777777" w:rsidR="002420B0" w:rsidRDefault="002420B0" w:rsidP="008712D4">
            <w:pPr>
              <w:pStyle w:val="NoSpacing"/>
              <w:rPr>
                <w:b/>
                <w:bCs/>
                <w:lang w:val="en-US" w:eastAsia="en-GB"/>
              </w:rPr>
            </w:pPr>
          </w:p>
          <w:p w14:paraId="102FB3E3" w14:textId="77777777" w:rsidR="002420B0" w:rsidRPr="000812B9" w:rsidRDefault="002420B0" w:rsidP="008712D4">
            <w:pPr>
              <w:pStyle w:val="NoSpacing"/>
              <w:rPr>
                <w:b/>
                <w:bCs/>
                <w:lang w:val="en-US" w:eastAsia="en-GB"/>
              </w:rPr>
            </w:pPr>
          </w:p>
          <w:p w14:paraId="1114C4CA" w14:textId="77777777" w:rsidR="002420B0" w:rsidRPr="00CE535F" w:rsidRDefault="002420B0" w:rsidP="008712D4">
            <w:pPr>
              <w:pStyle w:val="NoSpacing"/>
              <w:rPr>
                <w:color w:val="000000"/>
                <w:sz w:val="20"/>
                <w:szCs w:val="20"/>
              </w:rPr>
            </w:pPr>
          </w:p>
          <w:p w14:paraId="64CE2B22" w14:textId="77777777" w:rsidR="002420B0" w:rsidRPr="00CE535F" w:rsidRDefault="002420B0" w:rsidP="008712D4">
            <w:pPr>
              <w:pStyle w:val="NoSpacing"/>
              <w:rPr>
                <w:color w:val="000000"/>
                <w:sz w:val="20"/>
                <w:szCs w:val="20"/>
              </w:rPr>
            </w:pPr>
          </w:p>
          <w:p w14:paraId="5459A891" w14:textId="77777777" w:rsidR="002420B0" w:rsidRPr="000812B9" w:rsidRDefault="002420B0" w:rsidP="008712D4">
            <w:pPr>
              <w:pStyle w:val="NoSpacing"/>
              <w:rPr>
                <w:rFonts w:ascii="Arial" w:hAnsi="Arial" w:cs="Arial"/>
                <w:color w:val="000000"/>
                <w:sz w:val="20"/>
                <w:szCs w:val="20"/>
              </w:rPr>
            </w:pPr>
          </w:p>
        </w:tc>
      </w:tr>
      <w:tr w:rsidR="002420B0" w14:paraId="54B8AD80" w14:textId="77777777" w:rsidTr="008712D4">
        <w:tc>
          <w:tcPr>
            <w:tcW w:w="9016" w:type="dxa"/>
          </w:tcPr>
          <w:p w14:paraId="5EB8C73B" w14:textId="77777777" w:rsidR="002420B0" w:rsidRDefault="002420B0" w:rsidP="008712D4">
            <w:pPr>
              <w:pStyle w:val="NoSpacing"/>
              <w:rPr>
                <w:lang w:val="en-US" w:eastAsia="en-GB"/>
              </w:rPr>
            </w:pPr>
            <w:r w:rsidRPr="000812B9">
              <w:rPr>
                <w:lang w:val="en-US" w:eastAsia="en-GB"/>
              </w:rPr>
              <w:lastRenderedPageBreak/>
              <w:t xml:space="preserve">Task 6 - Exploring Digital Innovation in Health and Social Care </w:t>
            </w:r>
          </w:p>
          <w:p w14:paraId="71C018D1" w14:textId="77777777" w:rsidR="002420B0" w:rsidRPr="00E5442F" w:rsidRDefault="002420B0" w:rsidP="008712D4">
            <w:pPr>
              <w:spacing w:before="100" w:beforeAutospacing="1" w:after="100" w:afterAutospacing="1"/>
              <w:outlineLvl w:val="1"/>
              <w:rPr>
                <w:rFonts w:ascii="Arial" w:eastAsia="Times New Roman" w:hAnsi="Arial" w:cs="Arial"/>
                <w:b/>
                <w:bCs/>
                <w:kern w:val="0"/>
                <w:lang w:eastAsia="en-GB"/>
              </w:rPr>
            </w:pPr>
            <w:r w:rsidRPr="00E5442F">
              <w:rPr>
                <w:rFonts w:ascii="Arial" w:eastAsia="Times New Roman" w:hAnsi="Arial" w:cs="Arial"/>
                <w:b/>
                <w:bCs/>
                <w:kern w:val="0"/>
                <w:lang w:eastAsia="en-GB"/>
              </w:rPr>
              <w:t>1. Wearable Health Technologies and Chronic Health Conditions</w:t>
            </w:r>
          </w:p>
          <w:p w14:paraId="718509D3" w14:textId="77777777" w:rsidR="002420B0" w:rsidRPr="00E5442F" w:rsidRDefault="002420B0" w:rsidP="008712D4">
            <w:pPr>
              <w:spacing w:before="100" w:beforeAutospacing="1" w:after="100" w:afterAutospacing="1"/>
              <w:rPr>
                <w:rFonts w:ascii="Arial" w:eastAsiaTheme="minorEastAsia" w:hAnsi="Arial" w:cs="Arial"/>
                <w:kern w:val="0"/>
                <w:sz w:val="22"/>
                <w:szCs w:val="22"/>
                <w:lang w:eastAsia="en-GB"/>
              </w:rPr>
            </w:pPr>
            <w:r w:rsidRPr="00E5442F">
              <w:rPr>
                <w:rFonts w:ascii="Arial" w:eastAsiaTheme="minorEastAsia" w:hAnsi="Arial" w:cs="Arial"/>
                <w:kern w:val="0"/>
                <w:sz w:val="22"/>
                <w:szCs w:val="22"/>
                <w:lang w:eastAsia="en-GB"/>
              </w:rPr>
              <w:t>Wearable health technologies, such as smartwatches and activity monitors, provide benefits by allowing individuals and healthcare professionals to monitor health conditions more effectively. These devices can track information such as heart rate, physical activity, sleep patterns, and blood glucose levels, supporting early identification of health changes. For example, wearable devices can help people with cardiovascular conditions monitor their activity levels and encourage healthier lifestyle choices. This supports self-management and promotes greater involvement in personal health decisions. Digital monitoring can also reduce unnecessary healthcare appointments by allowing professionals to review patient information remotely. The Technology Acceptance Model suggests that people are more likely to adopt digital technologies when they are perceived as useful and easy to use (Davis, 1989).</w:t>
            </w:r>
          </w:p>
          <w:p w14:paraId="17D6E641" w14:textId="77777777" w:rsidR="002420B0" w:rsidRPr="002A43C7" w:rsidRDefault="002420B0" w:rsidP="008712D4">
            <w:pPr>
              <w:rPr>
                <w:rFonts w:ascii="Arial" w:eastAsiaTheme="minorEastAsia" w:hAnsi="Arial" w:cs="Arial"/>
                <w:kern w:val="0"/>
                <w:sz w:val="22"/>
                <w:szCs w:val="22"/>
                <w:lang w:eastAsia="en-GB"/>
              </w:rPr>
            </w:pPr>
            <w:r w:rsidRPr="00E5442F">
              <w:rPr>
                <w:rFonts w:ascii="Arial" w:eastAsiaTheme="minorEastAsia" w:hAnsi="Arial" w:cs="Arial"/>
                <w:kern w:val="0"/>
                <w:sz w:val="22"/>
                <w:szCs w:val="22"/>
                <w:lang w:eastAsia="en-GB"/>
              </w:rPr>
              <w:t>2. Electronic Health Records and Communication Between Providers</w:t>
            </w:r>
          </w:p>
          <w:p w14:paraId="43FB3F32" w14:textId="0A4C26EA" w:rsidR="002420B0" w:rsidRPr="00875FE5" w:rsidRDefault="002420B0" w:rsidP="008712D4">
            <w:pPr>
              <w:spacing w:before="100" w:beforeAutospacing="1" w:after="100" w:afterAutospacing="1"/>
              <w:rPr>
                <w:rFonts w:ascii="Arial" w:eastAsiaTheme="minorEastAsia" w:hAnsi="Arial" w:cs="Arial"/>
                <w:kern w:val="0"/>
                <w:sz w:val="22"/>
                <w:szCs w:val="22"/>
                <w:lang w:eastAsia="en-GB"/>
              </w:rPr>
            </w:pPr>
            <w:r w:rsidRPr="002A43C7">
              <w:rPr>
                <w:rFonts w:ascii="Arial" w:eastAsiaTheme="minorEastAsia" w:hAnsi="Arial" w:cs="Arial"/>
                <w:kern w:val="0"/>
                <w:sz w:val="22"/>
                <w:szCs w:val="22"/>
                <w:lang w:eastAsia="en-GB"/>
              </w:rPr>
              <w:t xml:space="preserve">Electronic Health Records (EHRs) improve communication and collaboration by allowing authorised healthcare professionals to access accurate and up-to-date patient information. This supports safer decision-making and reduces the risk of information being missed when patients receive care from different services. For example, when a patient is referred from a GP to a hospital specialist, EHRs allow relevant medical information, medication history, and previous treatments to be shared more efficiently. This improves continuity of care and supports multidisciplinary teamwork between health and social care professionals. The use of EHRs reflects a systems thinking approach because effective </w:t>
            </w:r>
            <w:r w:rsidRPr="002A43C7">
              <w:rPr>
                <w:rFonts w:ascii="Arial" w:eastAsiaTheme="minorEastAsia" w:hAnsi="Arial" w:cs="Arial"/>
                <w:kern w:val="0"/>
                <w:sz w:val="22"/>
                <w:szCs w:val="22"/>
                <w:lang w:eastAsia="en-GB"/>
              </w:rPr>
              <w:lastRenderedPageBreak/>
              <w:t>care depends on different parts of the healthcare system working together and sharing information.</w:t>
            </w:r>
            <w:r>
              <w:rPr>
                <w:rFonts w:ascii="Times New Roman" w:eastAsiaTheme="minorEastAsia" w:hAnsi="Times New Roman"/>
                <w:noProof/>
                <w:kern w:val="0"/>
                <w:lang w:eastAsia="en-GB"/>
                <w14:ligatures w14:val="standardContextual"/>
              </w:rPr>
              <w:drawing>
                <wp:anchor distT="0" distB="0" distL="114300" distR="114300" simplePos="0" relativeHeight="251664384" behindDoc="0" locked="0" layoutInCell="1" allowOverlap="1" wp14:anchorId="163D7573" wp14:editId="4ECF6FA7">
                  <wp:simplePos x="0" y="0"/>
                  <wp:positionH relativeFrom="column">
                    <wp:posOffset>-65405</wp:posOffset>
                  </wp:positionH>
                  <wp:positionV relativeFrom="paragraph">
                    <wp:posOffset>356870</wp:posOffset>
                  </wp:positionV>
                  <wp:extent cx="5731510" cy="7646035"/>
                  <wp:effectExtent l="0" t="0" r="0" b="0"/>
                  <wp:wrapTopAndBottom/>
                  <wp:docPr id="12675954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595410" name="Picture 12675954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46035"/>
                          </a:xfrm>
                          <a:prstGeom prst="rect">
                            <a:avLst/>
                          </a:prstGeom>
                        </pic:spPr>
                      </pic:pic>
                    </a:graphicData>
                  </a:graphic>
                </wp:anchor>
              </w:drawing>
            </w:r>
          </w:p>
          <w:p w14:paraId="18B43742" w14:textId="77777777" w:rsidR="002420B0" w:rsidRPr="0028202D" w:rsidRDefault="002420B0" w:rsidP="008712D4">
            <w:pPr>
              <w:spacing w:before="100" w:beforeAutospacing="1" w:after="100" w:afterAutospacing="1"/>
              <w:rPr>
                <w:rFonts w:ascii="Times New Roman" w:eastAsiaTheme="minorEastAsia" w:hAnsi="Times New Roman"/>
                <w:kern w:val="0"/>
                <w:lang w:eastAsia="en-GB"/>
              </w:rPr>
            </w:pPr>
          </w:p>
        </w:tc>
      </w:tr>
      <w:tr w:rsidR="002420B0" w14:paraId="4B03A17B" w14:textId="77777777" w:rsidTr="008712D4">
        <w:tc>
          <w:tcPr>
            <w:tcW w:w="9016" w:type="dxa"/>
          </w:tcPr>
          <w:p w14:paraId="4BE4EF20" w14:textId="77777777" w:rsidR="002420B0" w:rsidRDefault="002420B0" w:rsidP="008712D4">
            <w:pPr>
              <w:pStyle w:val="NoSpacing"/>
              <w:rPr>
                <w:b/>
                <w:bCs/>
                <w:lang w:val="en-US" w:eastAsia="en-GB"/>
              </w:rPr>
            </w:pPr>
          </w:p>
          <w:p w14:paraId="28B6807C" w14:textId="77777777" w:rsidR="002420B0" w:rsidRDefault="002420B0" w:rsidP="008712D4">
            <w:pPr>
              <w:pStyle w:val="NoSpacing"/>
              <w:rPr>
                <w:b/>
                <w:bCs/>
                <w:lang w:val="en-US" w:eastAsia="en-GB"/>
              </w:rPr>
            </w:pPr>
          </w:p>
          <w:p w14:paraId="7C6BD110" w14:textId="77777777" w:rsidR="002420B0" w:rsidRDefault="002420B0" w:rsidP="008712D4">
            <w:pPr>
              <w:pStyle w:val="NoSpacing"/>
              <w:rPr>
                <w:b/>
                <w:bCs/>
                <w:lang w:val="en-US" w:eastAsia="en-GB"/>
              </w:rPr>
            </w:pPr>
          </w:p>
          <w:p w14:paraId="4F403F9C" w14:textId="77777777" w:rsidR="002420B0" w:rsidRPr="00D154E8" w:rsidRDefault="002420B0" w:rsidP="008712D4">
            <w:pPr>
              <w:pStyle w:val="NoSpacing"/>
              <w:rPr>
                <w:b/>
                <w:bCs/>
                <w:lang w:val="en-US" w:eastAsia="en-GB"/>
              </w:rPr>
            </w:pPr>
            <w:r w:rsidRPr="000812B9">
              <w:rPr>
                <w:b/>
                <w:bCs/>
                <w:lang w:val="en-US" w:eastAsia="en-GB"/>
              </w:rPr>
              <w:lastRenderedPageBreak/>
              <w:t xml:space="preserve">Task 7 - Understanding the NHS Leadership Framework </w:t>
            </w:r>
          </w:p>
          <w:p w14:paraId="6ED5139E" w14:textId="77777777" w:rsidR="002420B0" w:rsidRPr="001E45F3" w:rsidRDefault="002420B0" w:rsidP="008712D4">
            <w:pPr>
              <w:spacing w:before="100" w:beforeAutospacing="1" w:after="100" w:afterAutospacing="1"/>
              <w:outlineLvl w:val="1"/>
              <w:rPr>
                <w:rFonts w:ascii="Arial" w:eastAsia="Times New Roman" w:hAnsi="Arial" w:cs="Arial"/>
                <w:b/>
                <w:bCs/>
                <w:kern w:val="0"/>
                <w:lang w:eastAsia="en-GB"/>
              </w:rPr>
            </w:pPr>
            <w:r w:rsidRPr="001E45F3">
              <w:rPr>
                <w:rFonts w:ascii="Arial" w:eastAsia="Times New Roman" w:hAnsi="Arial" w:cs="Arial"/>
                <w:b/>
                <w:bCs/>
                <w:kern w:val="0"/>
                <w:lang w:eastAsia="en-GB"/>
              </w:rPr>
              <w:t>1. Summary of the NHS Leadership Framework</w:t>
            </w:r>
          </w:p>
          <w:p w14:paraId="7F5E8D54" w14:textId="77777777" w:rsidR="002420B0" w:rsidRPr="001E45F3" w:rsidRDefault="002420B0" w:rsidP="008712D4">
            <w:pPr>
              <w:spacing w:before="100" w:beforeAutospacing="1" w:after="100" w:afterAutospacing="1"/>
              <w:rPr>
                <w:rFonts w:ascii="Arial" w:eastAsiaTheme="minorEastAsia" w:hAnsi="Arial" w:cs="Arial"/>
                <w:kern w:val="0"/>
                <w:sz w:val="22"/>
                <w:szCs w:val="22"/>
                <w:lang w:eastAsia="en-GB"/>
              </w:rPr>
            </w:pPr>
            <w:r w:rsidRPr="001E45F3">
              <w:rPr>
                <w:rFonts w:ascii="Arial" w:eastAsiaTheme="minorEastAsia" w:hAnsi="Arial" w:cs="Arial"/>
                <w:kern w:val="0"/>
                <w:sz w:val="22"/>
                <w:szCs w:val="22"/>
                <w:lang w:eastAsia="en-GB"/>
              </w:rPr>
              <w:t xml:space="preserve">The NHS Leadership Framework provides guidance on the behaviours, values, and skills required for effective leadership across health and social care. It focuses on developing leaders who can improve patient outcomes, support teams, and create positive changes within healthcare organisations. The framework highlights key leadership behaviours, including </w:t>
            </w:r>
            <w:r w:rsidRPr="001E45F3">
              <w:rPr>
                <w:rFonts w:ascii="Arial" w:eastAsiaTheme="minorEastAsia" w:hAnsi="Arial" w:cs="Arial"/>
                <w:b/>
                <w:bCs/>
                <w:kern w:val="0"/>
                <w:sz w:val="22"/>
                <w:szCs w:val="22"/>
                <w:lang w:eastAsia="en-GB"/>
              </w:rPr>
              <w:t>inspiring shared purpose, leading with care, evaluating information, connecting our service, sharing the vision, and engaging the team</w:t>
            </w:r>
            <w:r w:rsidRPr="001E45F3">
              <w:rPr>
                <w:rFonts w:ascii="Arial" w:eastAsiaTheme="minorEastAsia" w:hAnsi="Arial" w:cs="Arial"/>
                <w:kern w:val="0"/>
                <w:sz w:val="22"/>
                <w:szCs w:val="22"/>
                <w:lang w:eastAsia="en-GB"/>
              </w:rPr>
              <w:t xml:space="preserve"> (NHS Leadership Academy, 2022). These behaviours encourage leaders to work collaboratively, communicate effectively, and place service users at the centre of decision-making. The framework is important because health and social care environments are complex and require leaders who can manage challenges, encourage innovation, and improve quality of care.</w:t>
            </w:r>
          </w:p>
          <w:p w14:paraId="6960D629" w14:textId="77777777" w:rsidR="002420B0" w:rsidRPr="001E45F3" w:rsidRDefault="002420B0" w:rsidP="008712D4">
            <w:pPr>
              <w:spacing w:before="100" w:beforeAutospacing="1" w:after="100" w:afterAutospacing="1"/>
              <w:outlineLvl w:val="1"/>
              <w:rPr>
                <w:rFonts w:ascii="Arial" w:eastAsia="Times New Roman" w:hAnsi="Arial" w:cs="Arial"/>
                <w:b/>
                <w:bCs/>
                <w:kern w:val="0"/>
                <w:lang w:eastAsia="en-GB"/>
              </w:rPr>
            </w:pPr>
            <w:r w:rsidRPr="001E45F3">
              <w:rPr>
                <w:rFonts w:ascii="Arial" w:eastAsia="Times New Roman" w:hAnsi="Arial" w:cs="Arial"/>
                <w:b/>
                <w:bCs/>
                <w:kern w:val="0"/>
                <w:lang w:eastAsia="en-GB"/>
              </w:rPr>
              <w:t>2. Leadership Behaviour: Inspiring Shared Purpose</w:t>
            </w:r>
          </w:p>
          <w:p w14:paraId="4304CC78" w14:textId="77777777" w:rsidR="002420B0" w:rsidRPr="00903600" w:rsidRDefault="002420B0" w:rsidP="008712D4">
            <w:pPr>
              <w:spacing w:before="100" w:beforeAutospacing="1" w:after="100" w:afterAutospacing="1"/>
              <w:rPr>
                <w:rFonts w:ascii="Arial" w:eastAsiaTheme="minorEastAsia" w:hAnsi="Arial" w:cs="Arial"/>
                <w:kern w:val="0"/>
                <w:sz w:val="22"/>
                <w:szCs w:val="22"/>
                <w:lang w:eastAsia="en-GB"/>
              </w:rPr>
            </w:pPr>
            <w:r w:rsidRPr="00903600">
              <w:rPr>
                <w:rFonts w:ascii="Arial" w:eastAsiaTheme="minorEastAsia" w:hAnsi="Arial" w:cs="Arial"/>
                <w:kern w:val="0"/>
                <w:sz w:val="22"/>
                <w:szCs w:val="22"/>
                <w:lang w:eastAsia="en-GB"/>
              </w:rPr>
              <w:t xml:space="preserve">A leader who demonstrates </w:t>
            </w:r>
            <w:r w:rsidRPr="00903600">
              <w:rPr>
                <w:rFonts w:ascii="Arial" w:eastAsiaTheme="minorEastAsia" w:hAnsi="Arial" w:cs="Arial"/>
                <w:b/>
                <w:bCs/>
                <w:kern w:val="0"/>
                <w:sz w:val="22"/>
                <w:szCs w:val="22"/>
                <w:lang w:eastAsia="en-GB"/>
              </w:rPr>
              <w:t>inspiring shared purpose</w:t>
            </w:r>
            <w:r w:rsidRPr="00903600">
              <w:rPr>
                <w:rFonts w:ascii="Arial" w:eastAsiaTheme="minorEastAsia" w:hAnsi="Arial" w:cs="Arial"/>
                <w:kern w:val="0"/>
                <w:sz w:val="22"/>
                <w:szCs w:val="22"/>
                <w:lang w:eastAsia="en-GB"/>
              </w:rPr>
              <w:t xml:space="preserve"> can encourage creativity by helping staff understand a common goal and motivating them to contribute new ideas. For example, a healthcare leader could involve nurses, social workers, and service users in developing a new approach to improve patient experience. By creating an open environment where staff feel valued, leaders can encourage innovation and problem-solving. This links to </w:t>
            </w:r>
            <w:r w:rsidRPr="00903600">
              <w:rPr>
                <w:rFonts w:ascii="Arial" w:eastAsiaTheme="minorEastAsia" w:hAnsi="Arial" w:cs="Arial"/>
                <w:b/>
                <w:bCs/>
                <w:kern w:val="0"/>
                <w:sz w:val="22"/>
                <w:szCs w:val="22"/>
                <w:lang w:eastAsia="en-GB"/>
              </w:rPr>
              <w:t>Transformational Leadership Theory</w:t>
            </w:r>
            <w:r w:rsidRPr="00903600">
              <w:rPr>
                <w:rFonts w:ascii="Arial" w:eastAsiaTheme="minorEastAsia" w:hAnsi="Arial" w:cs="Arial"/>
                <w:kern w:val="0"/>
                <w:sz w:val="22"/>
                <w:szCs w:val="22"/>
                <w:lang w:eastAsia="en-GB"/>
              </w:rPr>
              <w:t>, which suggests that leaders inspire and support teams through shared vision, motivation, and encouragement to improve practice (Bass and Avolio, 1994).</w:t>
            </w:r>
            <w:r w:rsidRPr="00903600">
              <w:rPr>
                <w:rFonts w:ascii="Arial" w:eastAsia="Times New Roman" w:hAnsi="Arial" w:cs="Arial"/>
                <w:b/>
                <w:bCs/>
                <w:kern w:val="0"/>
                <w:sz w:val="22"/>
                <w:szCs w:val="22"/>
                <w:lang w:eastAsia="en-GB"/>
              </w:rPr>
              <w:t xml:space="preserve"> </w:t>
            </w:r>
          </w:p>
          <w:p w14:paraId="2A24EED0" w14:textId="77777777" w:rsidR="002420B0" w:rsidRPr="00903600" w:rsidRDefault="002420B0" w:rsidP="008712D4">
            <w:pPr>
              <w:spacing w:before="100" w:beforeAutospacing="1" w:after="100" w:afterAutospacing="1"/>
              <w:rPr>
                <w:rFonts w:ascii="Arial" w:eastAsiaTheme="minorEastAsia" w:hAnsi="Arial" w:cs="Arial"/>
                <w:kern w:val="0"/>
                <w:sz w:val="22"/>
                <w:szCs w:val="22"/>
                <w:lang w:eastAsia="en-GB"/>
              </w:rPr>
            </w:pPr>
            <w:r w:rsidRPr="00903600">
              <w:rPr>
                <w:rFonts w:ascii="Arial" w:eastAsiaTheme="minorEastAsia" w:hAnsi="Arial" w:cs="Arial"/>
                <w:kern w:val="0"/>
                <w:sz w:val="22"/>
                <w:szCs w:val="22"/>
                <w:lang w:eastAsia="en-GB"/>
              </w:rPr>
              <w:t>During this module, my understanding of creativity and value creation in health and social care has developed significantly. Initially, I viewed creativity mainly as producing new ideas; however, I now understand that it involves finding practical solutions that improve outcomes for service users. Activities such as the divergent and convergent thinking exercise and exploring digital innovations showed me how creativity can support better quality care. I have learned that value creation is not only about efficiency but also about improving experiences and wellbeing. In my future practice, I will consider innovation, teamwork, and person-centred approaches when contributing to service improvements</w:t>
            </w:r>
          </w:p>
          <w:p w14:paraId="65EA6585" w14:textId="77777777" w:rsidR="002420B0" w:rsidRPr="000812B9" w:rsidRDefault="002420B0" w:rsidP="008712D4">
            <w:pPr>
              <w:pStyle w:val="NoSpacing"/>
              <w:rPr>
                <w:b/>
                <w:bCs/>
                <w:lang w:eastAsia="en-GB"/>
              </w:rPr>
            </w:pPr>
          </w:p>
          <w:p w14:paraId="6C4595DA" w14:textId="77777777" w:rsidR="002420B0" w:rsidRPr="000812B9" w:rsidRDefault="002420B0" w:rsidP="008712D4">
            <w:pPr>
              <w:pStyle w:val="NoSpacing"/>
              <w:rPr>
                <w:b/>
                <w:bCs/>
              </w:rPr>
            </w:pPr>
          </w:p>
          <w:p w14:paraId="4492B3AC" w14:textId="77777777" w:rsidR="002420B0" w:rsidRPr="000812B9" w:rsidRDefault="002420B0" w:rsidP="008712D4">
            <w:pPr>
              <w:pStyle w:val="NoSpacing"/>
              <w:rPr>
                <w:rFonts w:ascii="Arial" w:hAnsi="Arial" w:cs="Arial"/>
                <w:sz w:val="20"/>
                <w:szCs w:val="20"/>
              </w:rPr>
            </w:pPr>
          </w:p>
        </w:tc>
      </w:tr>
      <w:tr w:rsidR="002420B0" w:rsidRPr="003E2C45" w14:paraId="08F1232E" w14:textId="77777777" w:rsidTr="008712D4">
        <w:tc>
          <w:tcPr>
            <w:tcW w:w="9016" w:type="dxa"/>
          </w:tcPr>
          <w:p w14:paraId="6556B6E9" w14:textId="77777777" w:rsidR="002420B0" w:rsidRPr="003E2C45" w:rsidRDefault="002420B0" w:rsidP="008712D4">
            <w:pPr>
              <w:pStyle w:val="NoSpacing"/>
              <w:rPr>
                <w:rFonts w:ascii="Arial" w:hAnsi="Arial" w:cs="Arial"/>
                <w:b/>
                <w:bCs/>
                <w:sz w:val="22"/>
                <w:szCs w:val="22"/>
              </w:rPr>
            </w:pPr>
            <w:r w:rsidRPr="003E2C45">
              <w:rPr>
                <w:rFonts w:ascii="Arial" w:hAnsi="Arial" w:cs="Arial"/>
                <w:b/>
                <w:bCs/>
                <w:sz w:val="22"/>
                <w:szCs w:val="22"/>
              </w:rPr>
              <w:t xml:space="preserve">Task 8 – Self-Reflection Journal Entry </w:t>
            </w:r>
          </w:p>
          <w:p w14:paraId="4AB3F092" w14:textId="77777777" w:rsidR="002420B0" w:rsidRPr="003E2C45" w:rsidRDefault="002420B0" w:rsidP="008712D4">
            <w:pPr>
              <w:pStyle w:val="p1"/>
              <w:rPr>
                <w:rFonts w:ascii="Arial" w:hAnsi="Arial" w:cs="Arial"/>
                <w:sz w:val="22"/>
                <w:szCs w:val="22"/>
              </w:rPr>
            </w:pPr>
            <w:r w:rsidRPr="003E2C45">
              <w:rPr>
                <w:rFonts w:ascii="Arial" w:hAnsi="Arial" w:cs="Arial"/>
                <w:sz w:val="22"/>
                <w:szCs w:val="22"/>
              </w:rPr>
              <w:t>Throughout this module, I have gained a broader understanding of creativity, innovation, and value creation in health and social care. Before starting the module, I associated innovation mainly with digital technology and new equipment. However, I now understand that it also involves developing practical solutions, improving everyday practice, and responding creatively to the needs of service users. One of the most valuable learning experiences was the class activity on divergent and convergent thinking. It helped me appreciate the importance of exploring a variety of ideas before carefully assessing and selecting the most effective approach to solving problems.</w:t>
            </w:r>
          </w:p>
          <w:p w14:paraId="7420E867" w14:textId="77777777" w:rsidR="002420B0" w:rsidRPr="003E2C45" w:rsidRDefault="002420B0" w:rsidP="008712D4">
            <w:pPr>
              <w:spacing w:before="100" w:beforeAutospacing="1" w:after="100" w:afterAutospacing="1"/>
              <w:rPr>
                <w:rFonts w:ascii="Arial" w:eastAsiaTheme="minorEastAsia" w:hAnsi="Arial" w:cs="Arial"/>
                <w:kern w:val="0"/>
                <w:sz w:val="22"/>
                <w:szCs w:val="22"/>
                <w:lang w:eastAsia="en-GB"/>
              </w:rPr>
            </w:pPr>
          </w:p>
          <w:p w14:paraId="2D80AFAE" w14:textId="77777777" w:rsidR="002420B0" w:rsidRDefault="002420B0" w:rsidP="008712D4">
            <w:pPr>
              <w:spacing w:before="100" w:beforeAutospacing="1" w:after="100" w:afterAutospacing="1"/>
              <w:rPr>
                <w:rFonts w:ascii="Arial" w:eastAsiaTheme="minorEastAsia" w:hAnsi="Arial" w:cs="Arial"/>
                <w:kern w:val="0"/>
                <w:sz w:val="22"/>
                <w:szCs w:val="22"/>
                <w:lang w:eastAsia="en-GB"/>
              </w:rPr>
            </w:pPr>
            <w:r w:rsidRPr="003E2C45">
              <w:rPr>
                <w:rFonts w:ascii="Arial" w:eastAsiaTheme="minorEastAsia" w:hAnsi="Arial" w:cs="Arial"/>
                <w:kern w:val="0"/>
                <w:sz w:val="22"/>
                <w:szCs w:val="22"/>
                <w:lang w:eastAsia="en-GB"/>
              </w:rPr>
              <w:lastRenderedPageBreak/>
              <w:t xml:space="preserve">Using </w:t>
            </w:r>
            <w:r w:rsidRPr="003E2C45">
              <w:rPr>
                <w:rFonts w:ascii="Arial" w:eastAsiaTheme="minorEastAsia" w:hAnsi="Arial" w:cs="Arial"/>
                <w:b/>
                <w:bCs/>
                <w:kern w:val="0"/>
                <w:sz w:val="22"/>
                <w:szCs w:val="22"/>
                <w:lang w:eastAsia="en-GB"/>
              </w:rPr>
              <w:t>Gibbs’ Reflective Cycle (1988)</w:t>
            </w:r>
            <w:r w:rsidRPr="003E2C45">
              <w:rPr>
                <w:rFonts w:ascii="Arial" w:eastAsiaTheme="minorEastAsia" w:hAnsi="Arial" w:cs="Arial"/>
                <w:kern w:val="0"/>
                <w:sz w:val="22"/>
                <w:szCs w:val="22"/>
                <w:lang w:eastAsia="en-GB"/>
              </w:rPr>
              <w:t xml:space="preserve"> helped me consider how my experiences influenced my learning and how I can apply this knowledge in practice. I have learned that value creation involves improving outcomes while considering the needs and preferences of individuals. In my future professional role, I will use creative thinking, teamwork, and reflection to contribute to person-centred improvements and support positive change within health and social care settings.</w:t>
            </w:r>
          </w:p>
          <w:p w14:paraId="04D8D04E" w14:textId="77777777" w:rsidR="0094293D" w:rsidRDefault="0094293D" w:rsidP="008712D4">
            <w:pPr>
              <w:spacing w:before="100" w:beforeAutospacing="1" w:after="100" w:afterAutospacing="1"/>
              <w:rPr>
                <w:rFonts w:ascii="Arial" w:eastAsiaTheme="minorEastAsia" w:hAnsi="Arial" w:cs="Arial"/>
                <w:kern w:val="0"/>
                <w:sz w:val="22"/>
                <w:szCs w:val="22"/>
                <w:lang w:eastAsia="en-GB"/>
              </w:rPr>
            </w:pPr>
          </w:p>
          <w:p w14:paraId="202F33A0" w14:textId="77777777" w:rsidR="0094293D" w:rsidRDefault="0094293D" w:rsidP="008712D4">
            <w:pPr>
              <w:spacing w:before="100" w:beforeAutospacing="1" w:after="100" w:afterAutospacing="1"/>
              <w:rPr>
                <w:rFonts w:ascii="Arial" w:eastAsiaTheme="minorEastAsia" w:hAnsi="Arial" w:cs="Arial"/>
                <w:kern w:val="0"/>
                <w:sz w:val="22"/>
                <w:szCs w:val="22"/>
                <w:lang w:eastAsia="en-GB"/>
              </w:rPr>
            </w:pPr>
          </w:p>
          <w:p w14:paraId="184A3689" w14:textId="77777777" w:rsidR="0094293D" w:rsidRDefault="0094293D" w:rsidP="008712D4">
            <w:pPr>
              <w:spacing w:before="100" w:beforeAutospacing="1" w:after="100" w:afterAutospacing="1"/>
              <w:rPr>
                <w:rFonts w:ascii="Arial" w:eastAsiaTheme="minorEastAsia" w:hAnsi="Arial" w:cs="Arial"/>
                <w:kern w:val="0"/>
                <w:sz w:val="22"/>
                <w:szCs w:val="22"/>
                <w:lang w:eastAsia="en-GB"/>
              </w:rPr>
            </w:pPr>
          </w:p>
          <w:p w14:paraId="0E4052B4" w14:textId="77777777" w:rsidR="0094293D" w:rsidRPr="003E2C45" w:rsidRDefault="0094293D" w:rsidP="008712D4">
            <w:pPr>
              <w:spacing w:before="100" w:beforeAutospacing="1" w:after="100" w:afterAutospacing="1"/>
              <w:rPr>
                <w:rFonts w:ascii="Arial" w:eastAsiaTheme="minorEastAsia" w:hAnsi="Arial" w:cs="Arial"/>
                <w:kern w:val="0"/>
                <w:sz w:val="22"/>
                <w:szCs w:val="22"/>
                <w:lang w:eastAsia="en-GB"/>
              </w:rPr>
            </w:pPr>
          </w:p>
          <w:p w14:paraId="3CE06E38" w14:textId="77777777" w:rsidR="002420B0" w:rsidRPr="003E2C45" w:rsidRDefault="002420B0" w:rsidP="008712D4">
            <w:pPr>
              <w:pStyle w:val="NoSpacing"/>
              <w:rPr>
                <w:rFonts w:ascii="Arial" w:eastAsiaTheme="majorEastAsia" w:hAnsi="Arial" w:cs="Arial"/>
                <w:color w:val="000000"/>
                <w:sz w:val="22"/>
                <w:szCs w:val="22"/>
              </w:rPr>
            </w:pPr>
          </w:p>
        </w:tc>
      </w:tr>
      <w:tr w:rsidR="002420B0" w14:paraId="0A00F159" w14:textId="77777777" w:rsidTr="008712D4">
        <w:tc>
          <w:tcPr>
            <w:tcW w:w="9016" w:type="dxa"/>
          </w:tcPr>
          <w:p w14:paraId="25DF3E1B" w14:textId="77777777" w:rsidR="002420B0" w:rsidRDefault="002420B0" w:rsidP="008712D4">
            <w:pPr>
              <w:pStyle w:val="NoSpacing"/>
              <w:rPr>
                <w:rFonts w:ascii="Arial" w:hAnsi="Arial" w:cs="Arial"/>
                <w:b/>
                <w:bCs/>
                <w:color w:val="FF0000"/>
                <w:sz w:val="22"/>
                <w:szCs w:val="22"/>
              </w:rPr>
            </w:pPr>
          </w:p>
          <w:p w14:paraId="3951DB7E" w14:textId="77777777" w:rsidR="0094293D" w:rsidRDefault="0094293D" w:rsidP="008712D4">
            <w:pPr>
              <w:pStyle w:val="p1"/>
            </w:pPr>
          </w:p>
          <w:p w14:paraId="7CB824DD" w14:textId="77777777" w:rsidR="0094293D" w:rsidRDefault="0094293D" w:rsidP="008712D4">
            <w:pPr>
              <w:pStyle w:val="p1"/>
            </w:pPr>
          </w:p>
          <w:p w14:paraId="0E8836A5" w14:textId="77777777" w:rsidR="0094293D" w:rsidRDefault="0094293D" w:rsidP="008712D4">
            <w:pPr>
              <w:pStyle w:val="p1"/>
            </w:pPr>
          </w:p>
          <w:p w14:paraId="47358ABE" w14:textId="77777777" w:rsidR="0094293D" w:rsidRDefault="0094293D" w:rsidP="008712D4">
            <w:pPr>
              <w:pStyle w:val="p1"/>
            </w:pPr>
          </w:p>
          <w:p w14:paraId="02DD61BA" w14:textId="77777777" w:rsidR="0094293D" w:rsidRDefault="0094293D" w:rsidP="008712D4">
            <w:pPr>
              <w:pStyle w:val="p1"/>
            </w:pPr>
          </w:p>
          <w:p w14:paraId="0D263862" w14:textId="77777777" w:rsidR="0094293D" w:rsidRDefault="0094293D" w:rsidP="008712D4">
            <w:pPr>
              <w:pStyle w:val="p1"/>
            </w:pPr>
          </w:p>
          <w:p w14:paraId="5819E5EC" w14:textId="77777777" w:rsidR="0094293D" w:rsidRDefault="0094293D" w:rsidP="008712D4">
            <w:pPr>
              <w:pStyle w:val="p1"/>
            </w:pPr>
          </w:p>
          <w:p w14:paraId="4ABE476F" w14:textId="77777777" w:rsidR="0094293D" w:rsidRDefault="0094293D" w:rsidP="008712D4">
            <w:pPr>
              <w:pStyle w:val="p1"/>
            </w:pPr>
          </w:p>
          <w:p w14:paraId="79C8137E" w14:textId="77777777" w:rsidR="0094293D" w:rsidRDefault="0094293D" w:rsidP="008712D4">
            <w:pPr>
              <w:pStyle w:val="p1"/>
            </w:pPr>
          </w:p>
          <w:p w14:paraId="3261FAEC" w14:textId="77777777" w:rsidR="0094293D" w:rsidRDefault="0094293D" w:rsidP="008712D4">
            <w:pPr>
              <w:pStyle w:val="p1"/>
            </w:pPr>
          </w:p>
          <w:p w14:paraId="0DDA4361" w14:textId="77777777" w:rsidR="0094293D" w:rsidRDefault="0094293D" w:rsidP="008712D4">
            <w:pPr>
              <w:pStyle w:val="p1"/>
            </w:pPr>
          </w:p>
          <w:p w14:paraId="020F4B08" w14:textId="77777777" w:rsidR="0094293D" w:rsidRDefault="0094293D" w:rsidP="008712D4">
            <w:pPr>
              <w:pStyle w:val="p1"/>
            </w:pPr>
          </w:p>
          <w:p w14:paraId="5E565F22" w14:textId="77777777" w:rsidR="0094293D" w:rsidRDefault="0094293D" w:rsidP="008712D4">
            <w:pPr>
              <w:pStyle w:val="p1"/>
            </w:pPr>
          </w:p>
          <w:p w14:paraId="556F5CD2" w14:textId="77777777" w:rsidR="0094293D" w:rsidRDefault="0094293D" w:rsidP="008712D4">
            <w:pPr>
              <w:pStyle w:val="p1"/>
            </w:pPr>
          </w:p>
          <w:p w14:paraId="7E176521" w14:textId="77777777" w:rsidR="0094293D" w:rsidRDefault="0094293D" w:rsidP="008712D4">
            <w:pPr>
              <w:pStyle w:val="p1"/>
            </w:pPr>
          </w:p>
          <w:p w14:paraId="3CC4B158" w14:textId="77777777" w:rsidR="0094293D" w:rsidRDefault="0094293D" w:rsidP="008712D4">
            <w:pPr>
              <w:pStyle w:val="p1"/>
            </w:pPr>
          </w:p>
          <w:p w14:paraId="49BD5B48" w14:textId="77777777" w:rsidR="0094293D" w:rsidRDefault="0094293D" w:rsidP="008712D4">
            <w:pPr>
              <w:pStyle w:val="p1"/>
            </w:pPr>
          </w:p>
          <w:p w14:paraId="005E539A" w14:textId="60D4408D" w:rsidR="002420B0" w:rsidRDefault="002420B0" w:rsidP="008712D4">
            <w:pPr>
              <w:pStyle w:val="p1"/>
              <w:rPr>
                <w:rStyle w:val="s1"/>
              </w:rPr>
            </w:pPr>
            <w:r>
              <w:t xml:space="preserve">Bass, B.M. and Avolio, B.J. (1994) </w:t>
            </w:r>
            <w:r>
              <w:rPr>
                <w:rStyle w:val="s2"/>
                <w:i/>
                <w:iCs/>
              </w:rPr>
              <w:t>Improving Organizational Effectiveness Through Transformational Leadership</w:t>
            </w:r>
            <w:r>
              <w:rPr>
                <w:rStyle w:val="s1"/>
              </w:rPr>
              <w:t>. Thousand Oaks, CA: Sage.</w:t>
            </w:r>
          </w:p>
          <w:p w14:paraId="3DB9DA7E" w14:textId="77777777" w:rsidR="002420B0" w:rsidRDefault="002420B0" w:rsidP="008712D4">
            <w:pPr>
              <w:pStyle w:val="NoSpacing"/>
              <w:rPr>
                <w:rFonts w:ascii="Arial" w:hAnsi="Arial" w:cs="Arial"/>
                <w:b/>
                <w:bCs/>
                <w:color w:val="FF0000"/>
                <w:sz w:val="22"/>
                <w:szCs w:val="22"/>
              </w:rPr>
            </w:pPr>
          </w:p>
          <w:p w14:paraId="1DFFD950" w14:textId="77777777" w:rsidR="002420B0" w:rsidRDefault="002420B0" w:rsidP="008712D4">
            <w:pPr>
              <w:pStyle w:val="p1"/>
            </w:pPr>
            <w:r w:rsidRPr="009D6C4F">
              <w:t>Bessant, J. and Tidd, J. (2015) Innovation and Entrepreneurship. 3rd edn. Chichester: Wiley.</w:t>
            </w:r>
          </w:p>
          <w:p w14:paraId="7B408323" w14:textId="77777777" w:rsidR="002420B0" w:rsidRDefault="002420B0" w:rsidP="008712D4">
            <w:pPr>
              <w:pStyle w:val="p1"/>
              <w:rPr>
                <w:rStyle w:val="s1"/>
              </w:rPr>
            </w:pPr>
            <w:r>
              <w:t xml:space="preserve">Burnes, B. (2017) </w:t>
            </w:r>
            <w:r>
              <w:rPr>
                <w:rStyle w:val="s2"/>
                <w:i/>
                <w:iCs/>
              </w:rPr>
              <w:t>Managing Change</w:t>
            </w:r>
            <w:r>
              <w:rPr>
                <w:rStyle w:val="s1"/>
              </w:rPr>
              <w:t>. 7th edn. Harlow: Pearson.</w:t>
            </w:r>
          </w:p>
          <w:p w14:paraId="74F3D4F1" w14:textId="77777777" w:rsidR="002420B0" w:rsidRDefault="002420B0" w:rsidP="008712D4">
            <w:pPr>
              <w:pStyle w:val="p1"/>
              <w:rPr>
                <w:rStyle w:val="s1"/>
              </w:rPr>
            </w:pPr>
            <w:r>
              <w:t xml:space="preserve">Davis, F.D. (1989) ‘Perceived usefulness, perceived ease of use, and user acceptance of information technology’, </w:t>
            </w:r>
            <w:r>
              <w:rPr>
                <w:rStyle w:val="s2"/>
                <w:i/>
                <w:iCs/>
              </w:rPr>
              <w:t>MIS Quarterly</w:t>
            </w:r>
            <w:r>
              <w:rPr>
                <w:rStyle w:val="s1"/>
              </w:rPr>
              <w:t>, 13(3), pp.319–340.</w:t>
            </w:r>
          </w:p>
          <w:p w14:paraId="493D0BB9" w14:textId="77777777" w:rsidR="002420B0" w:rsidRDefault="002420B0" w:rsidP="008712D4">
            <w:pPr>
              <w:pStyle w:val="p1"/>
              <w:rPr>
                <w:rStyle w:val="s1"/>
              </w:rPr>
            </w:pPr>
          </w:p>
          <w:p w14:paraId="45F7A0E2" w14:textId="77777777" w:rsidR="002420B0" w:rsidRDefault="002420B0" w:rsidP="008712D4">
            <w:pPr>
              <w:pStyle w:val="p1"/>
              <w:rPr>
                <w:rStyle w:val="s1"/>
              </w:rPr>
            </w:pPr>
            <w:r>
              <w:t xml:space="preserve">Gibbs, G. (1988) </w:t>
            </w:r>
            <w:r>
              <w:rPr>
                <w:rStyle w:val="s2"/>
                <w:i/>
                <w:iCs/>
              </w:rPr>
              <w:t>Learning by Doing: A Guide to Teaching and Learning Methods</w:t>
            </w:r>
            <w:r>
              <w:rPr>
                <w:rStyle w:val="s1"/>
              </w:rPr>
              <w:t>. Oxford: Oxford Polytechnic.</w:t>
            </w:r>
          </w:p>
          <w:p w14:paraId="47E3CE6D" w14:textId="77777777" w:rsidR="002420B0" w:rsidRDefault="002420B0" w:rsidP="008712D4">
            <w:pPr>
              <w:pStyle w:val="p2"/>
              <w:rPr>
                <w:rStyle w:val="s1"/>
              </w:rPr>
            </w:pPr>
            <w:r>
              <w:t xml:space="preserve">Guilford, J.P. (1956) ‘The structure of intellect’, </w:t>
            </w:r>
            <w:r>
              <w:rPr>
                <w:rStyle w:val="s2"/>
                <w:i/>
                <w:iCs/>
              </w:rPr>
              <w:t>Psychological Bulletin</w:t>
            </w:r>
            <w:r>
              <w:rPr>
                <w:rStyle w:val="s1"/>
              </w:rPr>
              <w:t>, 53(4), pp.267–293.</w:t>
            </w:r>
          </w:p>
          <w:p w14:paraId="0972FAA7" w14:textId="77777777" w:rsidR="002420B0" w:rsidRDefault="002420B0" w:rsidP="008712D4">
            <w:pPr>
              <w:pStyle w:val="p1"/>
              <w:rPr>
                <w:rStyle w:val="s1"/>
              </w:rPr>
            </w:pPr>
            <w:r>
              <w:t xml:space="preserve">Hall, L.H. et al. (2016) ‘Healthcare staff wellbeing, burnout, and patient safety: A systematic review’, </w:t>
            </w:r>
            <w:r>
              <w:rPr>
                <w:rStyle w:val="s2"/>
                <w:i/>
                <w:iCs/>
              </w:rPr>
              <w:t>PLOS ONE</w:t>
            </w:r>
            <w:r>
              <w:rPr>
                <w:rStyle w:val="s1"/>
              </w:rPr>
              <w:t>, 11(7), e0159015.</w:t>
            </w:r>
          </w:p>
          <w:p w14:paraId="1B067DFC" w14:textId="77777777" w:rsidR="002420B0" w:rsidRDefault="002420B0" w:rsidP="008712D4">
            <w:pPr>
              <w:pStyle w:val="p1"/>
              <w:rPr>
                <w:rStyle w:val="s1"/>
              </w:rPr>
            </w:pPr>
          </w:p>
          <w:p w14:paraId="631BF18E" w14:textId="77777777" w:rsidR="002420B0" w:rsidRDefault="002420B0" w:rsidP="008712D4">
            <w:pPr>
              <w:pStyle w:val="p2"/>
              <w:rPr>
                <w:rStyle w:val="s1"/>
              </w:rPr>
            </w:pPr>
            <w:r>
              <w:t xml:space="preserve">Lewin, K. (1947) ‘Frontiers in group dynamics: Concept, method and reality in social science’, </w:t>
            </w:r>
            <w:r>
              <w:rPr>
                <w:rStyle w:val="s2"/>
                <w:i/>
                <w:iCs/>
              </w:rPr>
              <w:t>Human Relations</w:t>
            </w:r>
            <w:r>
              <w:rPr>
                <w:rStyle w:val="s1"/>
              </w:rPr>
              <w:t>, 1(1), pp.5–41.</w:t>
            </w:r>
          </w:p>
          <w:p w14:paraId="420EB997" w14:textId="77777777" w:rsidR="002420B0" w:rsidRDefault="002420B0" w:rsidP="008712D4">
            <w:pPr>
              <w:pStyle w:val="p1"/>
              <w:rPr>
                <w:rStyle w:val="s1"/>
              </w:rPr>
            </w:pPr>
            <w:r>
              <w:t xml:space="preserve">Maslach, C. and Leiter, M.P. (2016) ‘Understanding the burnout experience: Recent research and its implications for psychiatry’, </w:t>
            </w:r>
            <w:r>
              <w:rPr>
                <w:rStyle w:val="s2"/>
                <w:i/>
                <w:iCs/>
              </w:rPr>
              <w:t>World Psychiatry</w:t>
            </w:r>
            <w:r>
              <w:rPr>
                <w:rStyle w:val="s1"/>
              </w:rPr>
              <w:t>, 15(2), pp.103–111.</w:t>
            </w:r>
          </w:p>
          <w:p w14:paraId="49F2AA00" w14:textId="77777777" w:rsidR="002420B0" w:rsidRDefault="002420B0" w:rsidP="008712D4">
            <w:pPr>
              <w:pStyle w:val="p2"/>
              <w:rPr>
                <w:rStyle w:val="s1"/>
              </w:rPr>
            </w:pPr>
          </w:p>
          <w:p w14:paraId="7D709B29" w14:textId="77777777" w:rsidR="002420B0" w:rsidRDefault="002420B0" w:rsidP="008712D4">
            <w:pPr>
              <w:pStyle w:val="p1"/>
              <w:rPr>
                <w:rStyle w:val="s1"/>
              </w:rPr>
            </w:pPr>
            <w:r>
              <w:t xml:space="preserve">McCormack, B. and McCance, T. (2017) </w:t>
            </w:r>
            <w:r>
              <w:rPr>
                <w:rStyle w:val="s2"/>
                <w:i/>
                <w:iCs/>
              </w:rPr>
              <w:t>Person-Centred Practice in Nursing and Health Care: Theory and Practice</w:t>
            </w:r>
            <w:r>
              <w:rPr>
                <w:rStyle w:val="s1"/>
              </w:rPr>
              <w:t>. 2nd edn. Chichester: Wiley Blackwell.</w:t>
            </w:r>
          </w:p>
          <w:p w14:paraId="63FD79F0" w14:textId="77777777" w:rsidR="002420B0" w:rsidRDefault="002420B0" w:rsidP="008712D4">
            <w:pPr>
              <w:pStyle w:val="p1"/>
              <w:rPr>
                <w:rStyle w:val="s1"/>
              </w:rPr>
            </w:pPr>
            <w:r>
              <w:t xml:space="preserve">Meadows, D.H. (2008) </w:t>
            </w:r>
            <w:r>
              <w:rPr>
                <w:rStyle w:val="s2"/>
                <w:i/>
                <w:iCs/>
              </w:rPr>
              <w:t>Thinking in Systems: A Primer</w:t>
            </w:r>
            <w:r>
              <w:rPr>
                <w:rStyle w:val="s1"/>
              </w:rPr>
              <w:t>. White River Junction, VT: Chelsea Green Publishing.</w:t>
            </w:r>
          </w:p>
          <w:p w14:paraId="0E3BEABF" w14:textId="77777777" w:rsidR="002420B0" w:rsidRDefault="002420B0" w:rsidP="008712D4">
            <w:pPr>
              <w:pStyle w:val="p1"/>
              <w:rPr>
                <w:rStyle w:val="s1"/>
              </w:rPr>
            </w:pPr>
            <w:r>
              <w:t xml:space="preserve">NHS England (2023) </w:t>
            </w:r>
            <w:r>
              <w:rPr>
                <w:rStyle w:val="s2"/>
                <w:i/>
                <w:iCs/>
              </w:rPr>
              <w:t>Virtual wards operational framework: Supporting information</w:t>
            </w:r>
            <w:r>
              <w:rPr>
                <w:rStyle w:val="s1"/>
              </w:rPr>
              <w:t>. London: NHS England.</w:t>
            </w:r>
          </w:p>
          <w:p w14:paraId="2BA94CD9" w14:textId="77777777" w:rsidR="002420B0" w:rsidRDefault="002420B0" w:rsidP="008712D4">
            <w:pPr>
              <w:pStyle w:val="p1"/>
              <w:rPr>
                <w:rStyle w:val="s1"/>
              </w:rPr>
            </w:pPr>
            <w:r>
              <w:t xml:space="preserve">NHS Leadership Academy (2022) </w:t>
            </w:r>
            <w:r>
              <w:rPr>
                <w:rStyle w:val="s2"/>
                <w:i/>
                <w:iCs/>
              </w:rPr>
              <w:t>The Healthcare Leadership Model: Building leadership capacity and capability in the NHS</w:t>
            </w:r>
            <w:r>
              <w:rPr>
                <w:rStyle w:val="s1"/>
              </w:rPr>
              <w:t>. London: NHS Leadership Academy.</w:t>
            </w:r>
          </w:p>
          <w:p w14:paraId="18F5E1CC" w14:textId="77777777" w:rsidR="002420B0" w:rsidRDefault="002420B0" w:rsidP="008712D4">
            <w:pPr>
              <w:pStyle w:val="p1"/>
              <w:rPr>
                <w:rStyle w:val="s1"/>
              </w:rPr>
            </w:pPr>
          </w:p>
          <w:p w14:paraId="2BE41518" w14:textId="77777777" w:rsidR="002420B0" w:rsidRDefault="002420B0" w:rsidP="008712D4">
            <w:pPr>
              <w:pStyle w:val="p1"/>
              <w:rPr>
                <w:rStyle w:val="s1"/>
              </w:rPr>
            </w:pPr>
            <w:r>
              <w:lastRenderedPageBreak/>
              <w:t xml:space="preserve">Rogers, E.M. (2003) </w:t>
            </w:r>
            <w:r>
              <w:rPr>
                <w:rStyle w:val="s2"/>
                <w:i/>
                <w:iCs/>
              </w:rPr>
              <w:t>Diffusion of Innovations</w:t>
            </w:r>
            <w:r>
              <w:rPr>
                <w:rStyle w:val="s1"/>
              </w:rPr>
              <w:t>. 5th edn. New York: Free Press.</w:t>
            </w:r>
          </w:p>
          <w:p w14:paraId="680A0638" w14:textId="77777777" w:rsidR="002420B0" w:rsidRDefault="002420B0" w:rsidP="008712D4">
            <w:pPr>
              <w:pStyle w:val="p1"/>
              <w:rPr>
                <w:rStyle w:val="s1"/>
              </w:rPr>
            </w:pPr>
          </w:p>
          <w:p w14:paraId="639D7DA4" w14:textId="77777777" w:rsidR="002420B0" w:rsidRDefault="002420B0" w:rsidP="008712D4">
            <w:pPr>
              <w:pStyle w:val="p1"/>
              <w:rPr>
                <w:rStyle w:val="s1"/>
              </w:rPr>
            </w:pPr>
            <w:r>
              <w:t xml:space="preserve">West, C.P. et al. (2016) ‘Interventions to prevent and reduce physician burnout: A systematic review and meta-analysis’, </w:t>
            </w:r>
            <w:r>
              <w:rPr>
                <w:rStyle w:val="s2"/>
                <w:i/>
                <w:iCs/>
              </w:rPr>
              <w:t>The Lancet</w:t>
            </w:r>
            <w:r>
              <w:rPr>
                <w:rStyle w:val="s1"/>
              </w:rPr>
              <w:t>, 388(10057), pp.</w:t>
            </w:r>
            <w:hyperlink r:id="rId14" w:history="1">
              <w:r>
                <w:rPr>
                  <w:rStyle w:val="Hyperlink"/>
                </w:rPr>
                <w:t>2272–2281</w:t>
              </w:r>
            </w:hyperlink>
            <w:r>
              <w:rPr>
                <w:rStyle w:val="s1"/>
              </w:rPr>
              <w:t>.</w:t>
            </w:r>
          </w:p>
          <w:p w14:paraId="2BE9DA9D" w14:textId="77777777" w:rsidR="002420B0" w:rsidRDefault="002420B0" w:rsidP="008712D4">
            <w:pPr>
              <w:pStyle w:val="p1"/>
              <w:rPr>
                <w:rStyle w:val="s1"/>
              </w:rPr>
            </w:pPr>
          </w:p>
          <w:p w14:paraId="4574914D" w14:textId="77777777" w:rsidR="002420B0" w:rsidRDefault="002420B0" w:rsidP="008712D4">
            <w:pPr>
              <w:pStyle w:val="p1"/>
              <w:rPr>
                <w:rStyle w:val="s1"/>
              </w:rPr>
            </w:pPr>
          </w:p>
          <w:p w14:paraId="23F70FC4" w14:textId="77777777" w:rsidR="002420B0" w:rsidRDefault="002420B0" w:rsidP="008712D4">
            <w:pPr>
              <w:pStyle w:val="p1"/>
              <w:rPr>
                <w:rStyle w:val="s1"/>
              </w:rPr>
            </w:pPr>
            <w:r>
              <w:t xml:space="preserve">World Health Organization (2019) </w:t>
            </w:r>
            <w:r>
              <w:rPr>
                <w:rStyle w:val="s2"/>
                <w:i/>
                <w:iCs/>
              </w:rPr>
              <w:t>WHO guideline: recommendations on digital interventions for health system strengthening</w:t>
            </w:r>
            <w:r>
              <w:rPr>
                <w:rStyle w:val="s1"/>
              </w:rPr>
              <w:t>. Geneva: World Health Organization.</w:t>
            </w:r>
          </w:p>
          <w:p w14:paraId="58248F0B" w14:textId="77777777" w:rsidR="002420B0" w:rsidRDefault="002420B0" w:rsidP="008712D4">
            <w:pPr>
              <w:pStyle w:val="p1"/>
              <w:rPr>
                <w:rStyle w:val="s1"/>
              </w:rPr>
            </w:pPr>
          </w:p>
          <w:p w14:paraId="0D9085B8" w14:textId="77777777" w:rsidR="002420B0" w:rsidRDefault="002420B0" w:rsidP="008712D4">
            <w:pPr>
              <w:pStyle w:val="p2"/>
              <w:rPr>
                <w:rStyle w:val="s1"/>
              </w:rPr>
            </w:pPr>
          </w:p>
          <w:p w14:paraId="7C66ACD2" w14:textId="77777777" w:rsidR="002420B0" w:rsidRPr="00D46920" w:rsidRDefault="002420B0" w:rsidP="008712D4">
            <w:pPr>
              <w:pStyle w:val="NoSpacing"/>
              <w:rPr>
                <w:rFonts w:ascii="Arial" w:hAnsi="Arial" w:cs="Arial"/>
                <w:b/>
                <w:bCs/>
                <w:color w:val="FF0000"/>
                <w:sz w:val="22"/>
                <w:szCs w:val="22"/>
              </w:rPr>
            </w:pPr>
          </w:p>
        </w:tc>
      </w:tr>
    </w:tbl>
    <w:p w14:paraId="2A6D6624" w14:textId="4BC4EEFF" w:rsidR="00D46920" w:rsidRDefault="00D46920" w:rsidP="005C28E8">
      <w:pPr>
        <w:spacing w:line="360" w:lineRule="auto"/>
        <w:rPr>
          <w:rFonts w:ascii="Times New Roman" w:hAnsi="Times New Roman"/>
          <w:b/>
          <w:bCs/>
          <w:sz w:val="32"/>
          <w:szCs w:val="32"/>
        </w:rPr>
      </w:pPr>
    </w:p>
    <w:p w14:paraId="6D5E4ED4" w14:textId="77777777" w:rsidR="00114199" w:rsidRPr="009F64B3" w:rsidRDefault="00114199" w:rsidP="00114199">
      <w:pPr>
        <w:spacing w:line="360" w:lineRule="auto"/>
        <w:jc w:val="center"/>
        <w:rPr>
          <w:rFonts w:ascii="Times New Roman" w:hAnsi="Times New Roman"/>
          <w:b/>
          <w:bCs/>
          <w:sz w:val="32"/>
          <w:szCs w:val="32"/>
        </w:rPr>
      </w:pPr>
    </w:p>
    <w:p w14:paraId="6E58D427" w14:textId="77777777" w:rsidR="00114199" w:rsidRDefault="00114199"/>
    <w:sectPr w:rsidR="00114199">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026C17" w14:textId="77777777" w:rsidR="00B64622" w:rsidRDefault="00B64622" w:rsidP="00A91B17">
      <w:pPr>
        <w:spacing w:after="0" w:line="240" w:lineRule="auto"/>
      </w:pPr>
      <w:r>
        <w:separator/>
      </w:r>
    </w:p>
  </w:endnote>
  <w:endnote w:type="continuationSeparator" w:id="0">
    <w:p w14:paraId="7A962B17" w14:textId="77777777" w:rsidR="00B64622" w:rsidRDefault="00B64622" w:rsidP="00A91B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81538434"/>
      <w:docPartObj>
        <w:docPartGallery w:val="Page Numbers (Bottom of Page)"/>
        <w:docPartUnique/>
      </w:docPartObj>
    </w:sdtPr>
    <w:sdtContent>
      <w:p w14:paraId="26788A70" w14:textId="01077CC8" w:rsidR="00A91B17" w:rsidRDefault="00A91B17" w:rsidP="00FA0595">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B298D6" w14:textId="77777777" w:rsidR="00A91B17" w:rsidRDefault="00A91B17" w:rsidP="00A91B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52984415"/>
      <w:docPartObj>
        <w:docPartGallery w:val="Page Numbers (Bottom of Page)"/>
        <w:docPartUnique/>
      </w:docPartObj>
    </w:sdtPr>
    <w:sdtContent>
      <w:p w14:paraId="2B29F83C" w14:textId="360C2651" w:rsidR="00A91B17" w:rsidRDefault="00A91B17" w:rsidP="00FA0595">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D49B982" w14:textId="77777777" w:rsidR="00A91B17" w:rsidRDefault="00A91B17" w:rsidP="00A91B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77342B5" w14:textId="77777777" w:rsidR="00B64622" w:rsidRDefault="00B64622" w:rsidP="00A91B17">
      <w:pPr>
        <w:spacing w:after="0" w:line="240" w:lineRule="auto"/>
      </w:pPr>
      <w:r>
        <w:separator/>
      </w:r>
    </w:p>
  </w:footnote>
  <w:footnote w:type="continuationSeparator" w:id="0">
    <w:p w14:paraId="6A5017ED" w14:textId="77777777" w:rsidR="00B64622" w:rsidRDefault="00B64622" w:rsidP="00A91B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7164A"/>
    <w:rsid w:val="0007397F"/>
    <w:rsid w:val="000812B9"/>
    <w:rsid w:val="000B07D4"/>
    <w:rsid w:val="000B1AFC"/>
    <w:rsid w:val="000C2135"/>
    <w:rsid w:val="000C26B7"/>
    <w:rsid w:val="000C6689"/>
    <w:rsid w:val="000E740D"/>
    <w:rsid w:val="00114199"/>
    <w:rsid w:val="00145D3A"/>
    <w:rsid w:val="00153A3A"/>
    <w:rsid w:val="001733BA"/>
    <w:rsid w:val="0019610E"/>
    <w:rsid w:val="001A4597"/>
    <w:rsid w:val="001C309B"/>
    <w:rsid w:val="001D479C"/>
    <w:rsid w:val="001D5C4E"/>
    <w:rsid w:val="001E45F3"/>
    <w:rsid w:val="002414EA"/>
    <w:rsid w:val="002420B0"/>
    <w:rsid w:val="0028202D"/>
    <w:rsid w:val="00292742"/>
    <w:rsid w:val="002A43C7"/>
    <w:rsid w:val="002A5E22"/>
    <w:rsid w:val="002F5A46"/>
    <w:rsid w:val="003317E7"/>
    <w:rsid w:val="00335E79"/>
    <w:rsid w:val="00355006"/>
    <w:rsid w:val="003611BE"/>
    <w:rsid w:val="00361F4D"/>
    <w:rsid w:val="0036436C"/>
    <w:rsid w:val="00366F51"/>
    <w:rsid w:val="00393D15"/>
    <w:rsid w:val="003E2C45"/>
    <w:rsid w:val="003F604E"/>
    <w:rsid w:val="00431503"/>
    <w:rsid w:val="00433B4E"/>
    <w:rsid w:val="00447723"/>
    <w:rsid w:val="00482A84"/>
    <w:rsid w:val="004D7E77"/>
    <w:rsid w:val="004F0B0A"/>
    <w:rsid w:val="0058526E"/>
    <w:rsid w:val="00586143"/>
    <w:rsid w:val="00587497"/>
    <w:rsid w:val="005A3012"/>
    <w:rsid w:val="005C28E8"/>
    <w:rsid w:val="005F0AB3"/>
    <w:rsid w:val="00604FEB"/>
    <w:rsid w:val="00614FD2"/>
    <w:rsid w:val="006410CF"/>
    <w:rsid w:val="006474D2"/>
    <w:rsid w:val="0068259A"/>
    <w:rsid w:val="006866AE"/>
    <w:rsid w:val="006A2297"/>
    <w:rsid w:val="006A550C"/>
    <w:rsid w:val="006B6407"/>
    <w:rsid w:val="006C1375"/>
    <w:rsid w:val="006C6310"/>
    <w:rsid w:val="006D14B7"/>
    <w:rsid w:val="00714915"/>
    <w:rsid w:val="007472D0"/>
    <w:rsid w:val="00751A8E"/>
    <w:rsid w:val="007540FE"/>
    <w:rsid w:val="007621BD"/>
    <w:rsid w:val="007A2726"/>
    <w:rsid w:val="007B792B"/>
    <w:rsid w:val="007E3B81"/>
    <w:rsid w:val="007F0596"/>
    <w:rsid w:val="00804E06"/>
    <w:rsid w:val="0081144A"/>
    <w:rsid w:val="00814316"/>
    <w:rsid w:val="0082005F"/>
    <w:rsid w:val="00823A3B"/>
    <w:rsid w:val="008454C7"/>
    <w:rsid w:val="00847161"/>
    <w:rsid w:val="00856078"/>
    <w:rsid w:val="00856302"/>
    <w:rsid w:val="0085698C"/>
    <w:rsid w:val="00872C2E"/>
    <w:rsid w:val="00875FE5"/>
    <w:rsid w:val="008A5635"/>
    <w:rsid w:val="008C2AF2"/>
    <w:rsid w:val="008D04A8"/>
    <w:rsid w:val="00903600"/>
    <w:rsid w:val="0090759C"/>
    <w:rsid w:val="00907F6E"/>
    <w:rsid w:val="009422FA"/>
    <w:rsid w:val="0094293D"/>
    <w:rsid w:val="0095516D"/>
    <w:rsid w:val="009749F2"/>
    <w:rsid w:val="009A5628"/>
    <w:rsid w:val="009B58C2"/>
    <w:rsid w:val="009C226B"/>
    <w:rsid w:val="009D6C4F"/>
    <w:rsid w:val="009D6D51"/>
    <w:rsid w:val="009E489A"/>
    <w:rsid w:val="00A16C25"/>
    <w:rsid w:val="00A30B3F"/>
    <w:rsid w:val="00A314B6"/>
    <w:rsid w:val="00A67EF7"/>
    <w:rsid w:val="00A726D5"/>
    <w:rsid w:val="00A72F39"/>
    <w:rsid w:val="00A81ADE"/>
    <w:rsid w:val="00A842DA"/>
    <w:rsid w:val="00A8612B"/>
    <w:rsid w:val="00A91B17"/>
    <w:rsid w:val="00A92A7C"/>
    <w:rsid w:val="00AA146C"/>
    <w:rsid w:val="00AA189C"/>
    <w:rsid w:val="00AC0558"/>
    <w:rsid w:val="00B0169B"/>
    <w:rsid w:val="00B16A00"/>
    <w:rsid w:val="00B231FA"/>
    <w:rsid w:val="00B44499"/>
    <w:rsid w:val="00B54618"/>
    <w:rsid w:val="00B60C96"/>
    <w:rsid w:val="00B64622"/>
    <w:rsid w:val="00B6608B"/>
    <w:rsid w:val="00C2107E"/>
    <w:rsid w:val="00C248EF"/>
    <w:rsid w:val="00C40530"/>
    <w:rsid w:val="00C51065"/>
    <w:rsid w:val="00C66EF3"/>
    <w:rsid w:val="00C71F43"/>
    <w:rsid w:val="00C92012"/>
    <w:rsid w:val="00C93C0B"/>
    <w:rsid w:val="00CA1D9C"/>
    <w:rsid w:val="00CA2CCD"/>
    <w:rsid w:val="00CD38D6"/>
    <w:rsid w:val="00D154E8"/>
    <w:rsid w:val="00D17782"/>
    <w:rsid w:val="00D30890"/>
    <w:rsid w:val="00D46920"/>
    <w:rsid w:val="00D46D48"/>
    <w:rsid w:val="00D5013A"/>
    <w:rsid w:val="00D664DF"/>
    <w:rsid w:val="00D967CC"/>
    <w:rsid w:val="00DC0D17"/>
    <w:rsid w:val="00DD22F4"/>
    <w:rsid w:val="00DD7498"/>
    <w:rsid w:val="00E27C64"/>
    <w:rsid w:val="00E5442F"/>
    <w:rsid w:val="00E652C2"/>
    <w:rsid w:val="00E831D8"/>
    <w:rsid w:val="00E87E7B"/>
    <w:rsid w:val="00EB5C66"/>
    <w:rsid w:val="00EB5EB3"/>
    <w:rsid w:val="00EF1036"/>
    <w:rsid w:val="00F03489"/>
    <w:rsid w:val="00F40DC9"/>
    <w:rsid w:val="00FB1829"/>
    <w:rsid w:val="00FC6DAD"/>
    <w:rsid w:val="00FD39FB"/>
    <w:rsid w:val="00FE3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customStyle="1" w:styleId="p1">
    <w:name w:val="p1"/>
    <w:basedOn w:val="Normal"/>
    <w:rsid w:val="00D664DF"/>
    <w:pPr>
      <w:spacing w:before="100" w:beforeAutospacing="1" w:after="100" w:afterAutospacing="1" w:line="240" w:lineRule="auto"/>
    </w:pPr>
    <w:rPr>
      <w:rFonts w:ascii="Times New Roman" w:eastAsiaTheme="minorEastAsia" w:hAnsi="Times New Roman"/>
      <w:kern w:val="0"/>
      <w:lang w:eastAsia="en-GB"/>
    </w:rPr>
  </w:style>
  <w:style w:type="paragraph" w:customStyle="1" w:styleId="p2">
    <w:name w:val="p2"/>
    <w:basedOn w:val="Normal"/>
    <w:rsid w:val="00D664DF"/>
    <w:pPr>
      <w:spacing w:before="100" w:beforeAutospacing="1" w:after="100" w:afterAutospacing="1" w:line="240" w:lineRule="auto"/>
    </w:pPr>
    <w:rPr>
      <w:rFonts w:ascii="Times New Roman" w:eastAsiaTheme="minorEastAsia" w:hAnsi="Times New Roman"/>
      <w:kern w:val="0"/>
      <w:lang w:eastAsia="en-GB"/>
    </w:rPr>
  </w:style>
  <w:style w:type="character" w:customStyle="1" w:styleId="s1">
    <w:name w:val="s1"/>
    <w:basedOn w:val="DefaultParagraphFont"/>
    <w:rsid w:val="00E27C64"/>
  </w:style>
  <w:style w:type="character" w:customStyle="1" w:styleId="s2">
    <w:name w:val="s2"/>
    <w:basedOn w:val="DefaultParagraphFont"/>
    <w:rsid w:val="00E27C64"/>
  </w:style>
  <w:style w:type="character" w:styleId="Hyperlink">
    <w:name w:val="Hyperlink"/>
    <w:basedOn w:val="DefaultParagraphFont"/>
    <w:uiPriority w:val="99"/>
    <w:semiHidden/>
    <w:unhideWhenUsed/>
    <w:rsid w:val="00A92A7C"/>
    <w:rPr>
      <w:color w:val="0000FF"/>
      <w:u w:val="single"/>
    </w:rPr>
  </w:style>
  <w:style w:type="paragraph" w:styleId="Header">
    <w:name w:val="header"/>
    <w:basedOn w:val="Normal"/>
    <w:link w:val="HeaderChar"/>
    <w:uiPriority w:val="99"/>
    <w:unhideWhenUsed/>
    <w:rsid w:val="00A91B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B17"/>
    <w:rPr>
      <w:rFonts w:ascii="Aptos" w:eastAsia="Aptos" w:hAnsi="Aptos" w:cs="Times New Roman"/>
      <w14:ligatures w14:val="none"/>
    </w:rPr>
  </w:style>
  <w:style w:type="paragraph" w:styleId="Footer">
    <w:name w:val="footer"/>
    <w:basedOn w:val="Normal"/>
    <w:link w:val="FooterChar"/>
    <w:uiPriority w:val="99"/>
    <w:unhideWhenUsed/>
    <w:rsid w:val="00A91B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B17"/>
    <w:rPr>
      <w:rFonts w:ascii="Aptos" w:eastAsia="Aptos" w:hAnsi="Aptos" w:cs="Times New Roman"/>
      <w14:ligatures w14:val="none"/>
    </w:rPr>
  </w:style>
  <w:style w:type="character" w:styleId="PageNumber">
    <w:name w:val="page number"/>
    <w:basedOn w:val="DefaultParagraphFont"/>
    <w:uiPriority w:val="99"/>
    <w:semiHidden/>
    <w:unhideWhenUsed/>
    <w:rsid w:val="00A91B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tel:2272-22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1788</TotalTime>
  <Pages>16</Pages>
  <Words>2346</Words>
  <Characters>14455</Characters>
  <Application>Microsoft Office Word</Application>
  <DocSecurity>0</DocSecurity>
  <Lines>328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Ivana Tanaskovic (2427846)</cp:lastModifiedBy>
  <cp:revision>145</cp:revision>
  <dcterms:created xsi:type="dcterms:W3CDTF">2026-07-30T01:05:00Z</dcterms:created>
  <dcterms:modified xsi:type="dcterms:W3CDTF">2026-07-31T06:54:00Z</dcterms:modified>
</cp:coreProperties>
</file>