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AB8CEF" w14:textId="0D53F980" w:rsidR="007D6FA8" w:rsidRDefault="007D6FA8" w:rsidP="00BA5D9B">
      <w:pPr>
        <w:ind w:firstLine="720"/>
        <w:rPr>
          <w:sz w:val="24"/>
          <w:szCs w:val="24"/>
        </w:rPr>
      </w:pPr>
      <w:r w:rsidRPr="007D6FA8">
        <w:rPr>
          <w:sz w:val="24"/>
          <w:szCs w:val="24"/>
        </w:rPr>
        <w:t xml:space="preserve">In </w:t>
      </w:r>
      <w:r w:rsidR="006351B6">
        <w:rPr>
          <w:sz w:val="24"/>
          <w:szCs w:val="24"/>
        </w:rPr>
        <w:t>his</w:t>
      </w:r>
      <w:r w:rsidRPr="007D6FA8">
        <w:rPr>
          <w:sz w:val="24"/>
          <w:szCs w:val="24"/>
        </w:rPr>
        <w:t xml:space="preserve"> pape</w:t>
      </w:r>
      <w:r>
        <w:rPr>
          <w:sz w:val="24"/>
          <w:szCs w:val="24"/>
        </w:rPr>
        <w:t>r</w:t>
      </w:r>
      <w:r w:rsidRPr="007D6FA8">
        <w:rPr>
          <w:sz w:val="24"/>
          <w:szCs w:val="24"/>
        </w:rPr>
        <w:t xml:space="preserve"> </w:t>
      </w:r>
      <w:r w:rsidR="006351B6" w:rsidRPr="00F963E5">
        <w:rPr>
          <w:i/>
          <w:iCs/>
          <w:sz w:val="24"/>
          <w:szCs w:val="24"/>
        </w:rPr>
        <w:t>Affectionate Cannibalism and the Blood Drinking Motif in Gaelic Literature</w:t>
      </w:r>
      <w:r w:rsidR="006351B6">
        <w:rPr>
          <w:sz w:val="24"/>
          <w:szCs w:val="24"/>
        </w:rPr>
        <w:t xml:space="preserve">, </w:t>
      </w:r>
      <w:r w:rsidRPr="007D6FA8">
        <w:rPr>
          <w:sz w:val="24"/>
          <w:szCs w:val="24"/>
        </w:rPr>
        <w:t xml:space="preserve">Simon </w:t>
      </w:r>
      <w:r>
        <w:rPr>
          <w:sz w:val="24"/>
          <w:szCs w:val="24"/>
        </w:rPr>
        <w:t>R</w:t>
      </w:r>
      <w:r w:rsidRPr="007D6FA8">
        <w:rPr>
          <w:sz w:val="24"/>
          <w:szCs w:val="24"/>
        </w:rPr>
        <w:t xml:space="preserve">odway </w:t>
      </w:r>
      <w:r w:rsidR="00F76583">
        <w:rPr>
          <w:sz w:val="24"/>
          <w:szCs w:val="24"/>
        </w:rPr>
        <w:t>presents</w:t>
      </w:r>
      <w:r w:rsidRPr="007D6FA8">
        <w:rPr>
          <w:sz w:val="24"/>
          <w:szCs w:val="24"/>
        </w:rPr>
        <w:t xml:space="preserve"> the evidence for two possible arguments</w:t>
      </w:r>
      <w:r w:rsidR="00A0540F">
        <w:rPr>
          <w:sz w:val="24"/>
          <w:szCs w:val="24"/>
        </w:rPr>
        <w:t>;</w:t>
      </w:r>
      <w:r w:rsidRPr="007D6FA8">
        <w:rPr>
          <w:sz w:val="24"/>
          <w:szCs w:val="24"/>
        </w:rPr>
        <w:t xml:space="preserve"> </w:t>
      </w:r>
      <w:r w:rsidR="00E950AB">
        <w:rPr>
          <w:sz w:val="24"/>
          <w:szCs w:val="24"/>
        </w:rPr>
        <w:t>t</w:t>
      </w:r>
      <w:r w:rsidRPr="007D6FA8">
        <w:rPr>
          <w:sz w:val="24"/>
          <w:szCs w:val="24"/>
        </w:rPr>
        <w:t>he firs</w:t>
      </w:r>
      <w:r w:rsidR="00A0540F">
        <w:rPr>
          <w:sz w:val="24"/>
          <w:szCs w:val="24"/>
        </w:rPr>
        <w:t>t:</w:t>
      </w:r>
      <w:r w:rsidRPr="007D6FA8">
        <w:rPr>
          <w:sz w:val="24"/>
          <w:szCs w:val="24"/>
        </w:rPr>
        <w:t xml:space="preserve"> th</w:t>
      </w:r>
      <w:r>
        <w:rPr>
          <w:sz w:val="24"/>
          <w:szCs w:val="24"/>
        </w:rPr>
        <w:t>at</w:t>
      </w:r>
      <w:r w:rsidRPr="007D6FA8">
        <w:rPr>
          <w:sz w:val="24"/>
          <w:szCs w:val="24"/>
        </w:rPr>
        <w:t xml:space="preserve"> blood</w:t>
      </w:r>
      <w:r w:rsidR="008A680A">
        <w:rPr>
          <w:sz w:val="24"/>
          <w:szCs w:val="24"/>
        </w:rPr>
        <w:t xml:space="preserve"> </w:t>
      </w:r>
      <w:r w:rsidRPr="007D6FA8">
        <w:rPr>
          <w:sz w:val="24"/>
          <w:szCs w:val="24"/>
        </w:rPr>
        <w:t xml:space="preserve">drinking is a theme in </w:t>
      </w:r>
      <w:r>
        <w:rPr>
          <w:sz w:val="24"/>
          <w:szCs w:val="24"/>
        </w:rPr>
        <w:t xml:space="preserve">early </w:t>
      </w:r>
      <w:r w:rsidRPr="007D6FA8">
        <w:rPr>
          <w:sz w:val="24"/>
          <w:szCs w:val="24"/>
        </w:rPr>
        <w:t>Irish Christian culture</w:t>
      </w:r>
      <w:r w:rsidR="00F50DB2">
        <w:rPr>
          <w:sz w:val="24"/>
          <w:szCs w:val="24"/>
        </w:rPr>
        <w:t xml:space="preserve"> particular to women,</w:t>
      </w:r>
      <w:r w:rsidRPr="007D6FA8">
        <w:rPr>
          <w:sz w:val="24"/>
          <w:szCs w:val="24"/>
        </w:rPr>
        <w:t xml:space="preserve"> which has survived into recent times</w:t>
      </w:r>
      <w:r>
        <w:rPr>
          <w:sz w:val="24"/>
          <w:szCs w:val="24"/>
        </w:rPr>
        <w:t>,</w:t>
      </w:r>
      <w:r w:rsidRPr="007D6FA8">
        <w:rPr>
          <w:sz w:val="24"/>
          <w:szCs w:val="24"/>
        </w:rPr>
        <w:t xml:space="preserve"> and the second: that this theme originates from pre</w:t>
      </w:r>
      <w:r>
        <w:rPr>
          <w:sz w:val="24"/>
          <w:szCs w:val="24"/>
        </w:rPr>
        <w:t>-</w:t>
      </w:r>
      <w:r w:rsidRPr="007D6FA8">
        <w:rPr>
          <w:sz w:val="24"/>
          <w:szCs w:val="24"/>
        </w:rPr>
        <w:t>Christian Celtic culture</w:t>
      </w:r>
      <w:r>
        <w:rPr>
          <w:sz w:val="24"/>
          <w:szCs w:val="24"/>
        </w:rPr>
        <w:t>,</w:t>
      </w:r>
      <w:r w:rsidRPr="007D6FA8">
        <w:rPr>
          <w:sz w:val="24"/>
          <w:szCs w:val="24"/>
        </w:rPr>
        <w:t xml:space="preserve"> in the form of accounts of affectionate cannibalism</w:t>
      </w:r>
      <w:r w:rsidR="00C71E02">
        <w:rPr>
          <w:sz w:val="24"/>
          <w:szCs w:val="24"/>
        </w:rPr>
        <w:t>,</w:t>
      </w:r>
      <w:r w:rsidRPr="007D6FA8">
        <w:rPr>
          <w:sz w:val="24"/>
          <w:szCs w:val="24"/>
        </w:rPr>
        <w:t xml:space="preserve"> the evidence for which is gathered from the classical accounts of contemporaries of the </w:t>
      </w:r>
      <w:r w:rsidR="00054BFD">
        <w:rPr>
          <w:sz w:val="24"/>
          <w:szCs w:val="24"/>
        </w:rPr>
        <w:t>so</w:t>
      </w:r>
      <w:r w:rsidR="00854998">
        <w:rPr>
          <w:sz w:val="24"/>
          <w:szCs w:val="24"/>
        </w:rPr>
        <w:t xml:space="preserve"> </w:t>
      </w:r>
      <w:r w:rsidR="00054BFD">
        <w:rPr>
          <w:sz w:val="24"/>
          <w:szCs w:val="24"/>
        </w:rPr>
        <w:t xml:space="preserve">called </w:t>
      </w:r>
      <w:r w:rsidRPr="007D6FA8">
        <w:rPr>
          <w:sz w:val="24"/>
          <w:szCs w:val="24"/>
        </w:rPr>
        <w:t xml:space="preserve">Celtic people. </w:t>
      </w:r>
    </w:p>
    <w:p w14:paraId="7AA0251D" w14:textId="0BA91D19" w:rsidR="0010166E" w:rsidRDefault="0010166E" w:rsidP="005F67F8">
      <w:pPr>
        <w:rPr>
          <w:sz w:val="24"/>
          <w:szCs w:val="24"/>
        </w:rPr>
      </w:pPr>
      <w:r>
        <w:rPr>
          <w:sz w:val="24"/>
          <w:szCs w:val="24"/>
        </w:rPr>
        <w:t xml:space="preserve">In the opening paragraph, Rodway cites a piece of poetry: </w:t>
      </w:r>
      <w:r w:rsidR="00944EDC">
        <w:rPr>
          <w:sz w:val="24"/>
          <w:szCs w:val="24"/>
        </w:rPr>
        <w:t xml:space="preserve">the </w:t>
      </w:r>
      <w:r w:rsidRPr="0010166E">
        <w:rPr>
          <w:i/>
          <w:iCs/>
          <w:sz w:val="24"/>
          <w:szCs w:val="24"/>
        </w:rPr>
        <w:t>Keen for Art O’Laoghaire</w:t>
      </w:r>
      <w:r>
        <w:rPr>
          <w:sz w:val="24"/>
          <w:szCs w:val="24"/>
        </w:rPr>
        <w:t xml:space="preserve"> written by </w:t>
      </w:r>
      <w:r w:rsidR="00944EDC">
        <w:rPr>
          <w:sz w:val="24"/>
          <w:szCs w:val="24"/>
        </w:rPr>
        <w:t>O’Laoghaire’s</w:t>
      </w:r>
      <w:r>
        <w:rPr>
          <w:sz w:val="24"/>
          <w:szCs w:val="24"/>
        </w:rPr>
        <w:t xml:space="preserve"> wife, Eibhlin Dubh Ni Chonaill, in which she states: ‘Your blood was streaming from you, and I did not stop to wipe it, but drank it up from my palms.’</w:t>
      </w:r>
      <w:r w:rsidR="00A22DB7">
        <w:rPr>
          <w:rStyle w:val="FootnoteReference"/>
          <w:sz w:val="24"/>
          <w:szCs w:val="24"/>
        </w:rPr>
        <w:footnoteReference w:id="1"/>
      </w:r>
      <w:r w:rsidR="005F67F8">
        <w:rPr>
          <w:sz w:val="24"/>
          <w:szCs w:val="24"/>
        </w:rPr>
        <w:t xml:space="preserve"> </w:t>
      </w:r>
      <w:r>
        <w:rPr>
          <w:sz w:val="24"/>
          <w:szCs w:val="24"/>
        </w:rPr>
        <w:t xml:space="preserve">As this is a piece of poetry, one </w:t>
      </w:r>
      <w:r w:rsidR="002A6C5E">
        <w:rPr>
          <w:sz w:val="24"/>
          <w:szCs w:val="24"/>
        </w:rPr>
        <w:t>should</w:t>
      </w:r>
      <w:r>
        <w:rPr>
          <w:sz w:val="24"/>
          <w:szCs w:val="24"/>
        </w:rPr>
        <w:t xml:space="preserve"> expect a certain amount of artistic license</w:t>
      </w:r>
      <w:r w:rsidR="00FF00E2">
        <w:rPr>
          <w:sz w:val="24"/>
          <w:szCs w:val="24"/>
        </w:rPr>
        <w:t>, and s</w:t>
      </w:r>
      <w:r w:rsidR="00440C02">
        <w:rPr>
          <w:sz w:val="24"/>
          <w:szCs w:val="24"/>
        </w:rPr>
        <w:t>o</w:t>
      </w:r>
      <w:r w:rsidR="0071270A">
        <w:rPr>
          <w:sz w:val="24"/>
          <w:szCs w:val="24"/>
        </w:rPr>
        <w:t xml:space="preserve"> from that perspective, the</w:t>
      </w:r>
      <w:r w:rsidR="00FF00E2">
        <w:rPr>
          <w:sz w:val="24"/>
          <w:szCs w:val="24"/>
        </w:rPr>
        <w:t xml:space="preserve"> narrative may represent a dramatization of her emotional state, rather than a factual event.</w:t>
      </w:r>
      <w:r w:rsidR="00346907">
        <w:rPr>
          <w:sz w:val="24"/>
          <w:szCs w:val="24"/>
        </w:rPr>
        <w:t xml:space="preserve">  Rodway points out however, that keening was a common practice for women in both Ireland and Scotland, attested in the earliest recorded examples in Irish folklore and medieval accounts, </w:t>
      </w:r>
      <w:r w:rsidR="00815C4B">
        <w:rPr>
          <w:sz w:val="24"/>
          <w:szCs w:val="24"/>
        </w:rPr>
        <w:t>and in</w:t>
      </w:r>
      <w:r w:rsidR="00346907">
        <w:rPr>
          <w:sz w:val="24"/>
          <w:szCs w:val="24"/>
        </w:rPr>
        <w:t xml:space="preserve"> subsequent Early Modern Gaelic literature.</w:t>
      </w:r>
      <w:r w:rsidR="004C1408">
        <w:rPr>
          <w:sz w:val="24"/>
          <w:szCs w:val="24"/>
        </w:rPr>
        <w:t xml:space="preserve">  He offers several sources for further investigation, notably </w:t>
      </w:r>
      <w:r w:rsidR="00BC6F6D">
        <w:rPr>
          <w:sz w:val="24"/>
          <w:szCs w:val="24"/>
        </w:rPr>
        <w:t xml:space="preserve">the entry in </w:t>
      </w:r>
      <w:r w:rsidR="004C1408">
        <w:rPr>
          <w:sz w:val="24"/>
          <w:szCs w:val="24"/>
        </w:rPr>
        <w:t xml:space="preserve">Tom Peete Cross’s </w:t>
      </w:r>
      <w:r w:rsidR="004C1408" w:rsidRPr="004C1408">
        <w:rPr>
          <w:i/>
          <w:iCs/>
          <w:sz w:val="24"/>
          <w:szCs w:val="24"/>
        </w:rPr>
        <w:t>Motif Index of Early Irish Literature</w:t>
      </w:r>
      <w:r w:rsidR="004C1408">
        <w:rPr>
          <w:i/>
          <w:iCs/>
          <w:sz w:val="24"/>
          <w:szCs w:val="24"/>
        </w:rPr>
        <w:t xml:space="preserve"> </w:t>
      </w:r>
      <w:r w:rsidR="004C1408">
        <w:rPr>
          <w:sz w:val="24"/>
          <w:szCs w:val="24"/>
        </w:rPr>
        <w:t>p.124: ‘Wife drinks blood of slain husband.’</w:t>
      </w:r>
      <w:r w:rsidR="009E6D55">
        <w:rPr>
          <w:rStyle w:val="FootnoteReference"/>
          <w:sz w:val="24"/>
          <w:szCs w:val="24"/>
        </w:rPr>
        <w:footnoteReference w:id="2"/>
      </w:r>
      <w:r w:rsidR="002043DA">
        <w:rPr>
          <w:sz w:val="24"/>
          <w:szCs w:val="24"/>
        </w:rPr>
        <w:t xml:space="preserve">  He also references Caroline Nic Craith’s interpretation that the blood</w:t>
      </w:r>
      <w:r w:rsidR="0070521A">
        <w:rPr>
          <w:sz w:val="24"/>
          <w:szCs w:val="24"/>
        </w:rPr>
        <w:t xml:space="preserve"> </w:t>
      </w:r>
      <w:r w:rsidR="002043DA">
        <w:rPr>
          <w:sz w:val="24"/>
          <w:szCs w:val="24"/>
        </w:rPr>
        <w:t xml:space="preserve">drinking was a ritualistic method of accessing supernatural and poetic abilities; </w:t>
      </w:r>
      <w:r w:rsidR="001D1F67">
        <w:rPr>
          <w:sz w:val="24"/>
          <w:szCs w:val="24"/>
        </w:rPr>
        <w:t>but</w:t>
      </w:r>
      <w:r w:rsidR="00936074">
        <w:rPr>
          <w:sz w:val="24"/>
          <w:szCs w:val="24"/>
        </w:rPr>
        <w:t xml:space="preserve"> promptly</w:t>
      </w:r>
      <w:r w:rsidR="002043DA">
        <w:rPr>
          <w:sz w:val="24"/>
          <w:szCs w:val="24"/>
        </w:rPr>
        <w:t xml:space="preserve"> dismisses</w:t>
      </w:r>
      <w:r w:rsidR="001D1F67">
        <w:rPr>
          <w:sz w:val="24"/>
          <w:szCs w:val="24"/>
        </w:rPr>
        <w:t xml:space="preserve"> this</w:t>
      </w:r>
      <w:r w:rsidR="002043DA">
        <w:rPr>
          <w:sz w:val="24"/>
          <w:szCs w:val="24"/>
        </w:rPr>
        <w:t xml:space="preserve"> in favour of his own: that </w:t>
      </w:r>
      <w:r w:rsidR="000C58D9">
        <w:rPr>
          <w:sz w:val="24"/>
          <w:szCs w:val="24"/>
        </w:rPr>
        <w:t>the motif is</w:t>
      </w:r>
      <w:r w:rsidR="002043DA">
        <w:rPr>
          <w:sz w:val="24"/>
          <w:szCs w:val="24"/>
        </w:rPr>
        <w:t xml:space="preserve"> an expression of ‘extreme grief</w:t>
      </w:r>
      <w:r w:rsidR="0031202B">
        <w:rPr>
          <w:sz w:val="24"/>
          <w:szCs w:val="24"/>
        </w:rPr>
        <w:t>,</w:t>
      </w:r>
      <w:r w:rsidR="002043DA">
        <w:rPr>
          <w:sz w:val="24"/>
          <w:szCs w:val="24"/>
        </w:rPr>
        <w:t>’</w:t>
      </w:r>
      <w:r w:rsidR="00AC3C12">
        <w:rPr>
          <w:sz w:val="24"/>
          <w:szCs w:val="24"/>
        </w:rPr>
        <w:t xml:space="preserve"> </w:t>
      </w:r>
      <w:r w:rsidR="0031202B">
        <w:rPr>
          <w:sz w:val="24"/>
          <w:szCs w:val="24"/>
        </w:rPr>
        <w:t>and b</w:t>
      </w:r>
      <w:r w:rsidR="00AC3C12">
        <w:rPr>
          <w:sz w:val="24"/>
          <w:szCs w:val="24"/>
        </w:rPr>
        <w:t xml:space="preserve">ased on the </w:t>
      </w:r>
      <w:r w:rsidR="003406BD">
        <w:rPr>
          <w:sz w:val="24"/>
          <w:szCs w:val="24"/>
        </w:rPr>
        <w:t>initial evidence</w:t>
      </w:r>
      <w:r w:rsidR="00AC3C12">
        <w:rPr>
          <w:sz w:val="24"/>
          <w:szCs w:val="24"/>
        </w:rPr>
        <w:t xml:space="preserve">, this appears to be a reasonable </w:t>
      </w:r>
      <w:r w:rsidR="00912E4B">
        <w:rPr>
          <w:sz w:val="24"/>
          <w:szCs w:val="24"/>
        </w:rPr>
        <w:t>supposition</w:t>
      </w:r>
      <w:r w:rsidR="00AC3C12">
        <w:rPr>
          <w:sz w:val="24"/>
          <w:szCs w:val="24"/>
        </w:rPr>
        <w:t>.</w:t>
      </w:r>
      <w:r w:rsidR="008A431E">
        <w:rPr>
          <w:rStyle w:val="FootnoteReference"/>
          <w:sz w:val="24"/>
          <w:szCs w:val="24"/>
        </w:rPr>
        <w:footnoteReference w:id="3"/>
      </w:r>
    </w:p>
    <w:p w14:paraId="3A125C52" w14:textId="7840C2D1" w:rsidR="004501D3" w:rsidRDefault="0070521A" w:rsidP="00402DE5">
      <w:pPr>
        <w:ind w:firstLine="720"/>
        <w:rPr>
          <w:sz w:val="24"/>
          <w:szCs w:val="24"/>
        </w:rPr>
      </w:pPr>
      <w:r>
        <w:rPr>
          <w:sz w:val="24"/>
          <w:szCs w:val="24"/>
        </w:rPr>
        <w:t xml:space="preserve">In the second paragraph, Rodway introduces some anecdotal material </w:t>
      </w:r>
      <w:r w:rsidR="003001BF">
        <w:rPr>
          <w:sz w:val="24"/>
          <w:szCs w:val="24"/>
        </w:rPr>
        <w:t>relating to</w:t>
      </w:r>
      <w:r>
        <w:rPr>
          <w:sz w:val="24"/>
          <w:szCs w:val="24"/>
        </w:rPr>
        <w:t xml:space="preserve"> the blood drinking theme</w:t>
      </w:r>
      <w:r w:rsidR="003001BF">
        <w:rPr>
          <w:sz w:val="24"/>
          <w:szCs w:val="24"/>
        </w:rPr>
        <w:t xml:space="preserve"> in the form of </w:t>
      </w:r>
      <w:r w:rsidR="00B86850">
        <w:rPr>
          <w:sz w:val="24"/>
          <w:szCs w:val="24"/>
        </w:rPr>
        <w:t>an</w:t>
      </w:r>
      <w:r w:rsidR="003001BF">
        <w:rPr>
          <w:sz w:val="24"/>
          <w:szCs w:val="24"/>
        </w:rPr>
        <w:t xml:space="preserve"> account</w:t>
      </w:r>
      <w:r w:rsidR="00B86850">
        <w:rPr>
          <w:sz w:val="24"/>
          <w:szCs w:val="24"/>
        </w:rPr>
        <w:t xml:space="preserve"> from Edmund Spenser</w:t>
      </w:r>
      <w:r w:rsidR="003001BF">
        <w:rPr>
          <w:sz w:val="24"/>
          <w:szCs w:val="24"/>
        </w:rPr>
        <w:t xml:space="preserve"> dating from the </w:t>
      </w:r>
      <w:r w:rsidR="006A5F3C">
        <w:rPr>
          <w:sz w:val="24"/>
          <w:szCs w:val="24"/>
        </w:rPr>
        <w:t>sixteenth</w:t>
      </w:r>
      <w:r w:rsidR="003001BF">
        <w:rPr>
          <w:sz w:val="24"/>
          <w:szCs w:val="24"/>
        </w:rPr>
        <w:t xml:space="preserve"> </w:t>
      </w:r>
      <w:r w:rsidR="00B86850">
        <w:rPr>
          <w:sz w:val="24"/>
          <w:szCs w:val="24"/>
        </w:rPr>
        <w:t xml:space="preserve">century, and a reference to a similar account </w:t>
      </w:r>
      <w:r w:rsidR="003C5B52">
        <w:rPr>
          <w:sz w:val="24"/>
          <w:szCs w:val="24"/>
        </w:rPr>
        <w:t>of</w:t>
      </w:r>
      <w:r w:rsidR="00B86850">
        <w:rPr>
          <w:sz w:val="24"/>
          <w:szCs w:val="24"/>
        </w:rPr>
        <w:t xml:space="preserve"> the execution of Thomas Fitzgerald in 1569. </w:t>
      </w:r>
      <w:r w:rsidR="003001BF">
        <w:rPr>
          <w:sz w:val="24"/>
          <w:szCs w:val="24"/>
        </w:rPr>
        <w:t xml:space="preserve">  </w:t>
      </w:r>
      <w:r w:rsidR="004E35FE">
        <w:rPr>
          <w:sz w:val="24"/>
          <w:szCs w:val="24"/>
        </w:rPr>
        <w:t>A third account from 1835 details the behaviour of one Mrs Ryan, grieving over the body of her deceased son and ‘sucking the blood from his wounds.’</w:t>
      </w:r>
      <w:r w:rsidR="004E35FE">
        <w:rPr>
          <w:rStyle w:val="FootnoteReference"/>
          <w:sz w:val="24"/>
          <w:szCs w:val="24"/>
        </w:rPr>
        <w:footnoteReference w:id="4"/>
      </w:r>
      <w:r w:rsidR="004E35FE">
        <w:rPr>
          <w:sz w:val="24"/>
          <w:szCs w:val="24"/>
        </w:rPr>
        <w:t xml:space="preserve"> All</w:t>
      </w:r>
      <w:r w:rsidR="003001BF">
        <w:rPr>
          <w:sz w:val="24"/>
          <w:szCs w:val="24"/>
        </w:rPr>
        <w:t xml:space="preserve"> </w:t>
      </w:r>
      <w:r w:rsidR="00714CD7">
        <w:rPr>
          <w:sz w:val="24"/>
          <w:szCs w:val="24"/>
        </w:rPr>
        <w:t xml:space="preserve">three </w:t>
      </w:r>
      <w:r w:rsidR="003001BF">
        <w:rPr>
          <w:sz w:val="24"/>
          <w:szCs w:val="24"/>
        </w:rPr>
        <w:t>example</w:t>
      </w:r>
      <w:r w:rsidR="0031202B">
        <w:rPr>
          <w:sz w:val="24"/>
          <w:szCs w:val="24"/>
        </w:rPr>
        <w:t>s</w:t>
      </w:r>
      <w:r w:rsidR="003001BF">
        <w:rPr>
          <w:sz w:val="24"/>
          <w:szCs w:val="24"/>
        </w:rPr>
        <w:t xml:space="preserve"> refer</w:t>
      </w:r>
      <w:r w:rsidR="00CB1513">
        <w:rPr>
          <w:sz w:val="24"/>
          <w:szCs w:val="24"/>
        </w:rPr>
        <w:t xml:space="preserve"> to</w:t>
      </w:r>
      <w:r w:rsidR="003001BF">
        <w:rPr>
          <w:sz w:val="24"/>
          <w:szCs w:val="24"/>
        </w:rPr>
        <w:t xml:space="preserve"> mother figures in severe states of emotional distress due to the deaths of their sons, </w:t>
      </w:r>
      <w:r w:rsidR="00B86850">
        <w:rPr>
          <w:sz w:val="24"/>
          <w:szCs w:val="24"/>
        </w:rPr>
        <w:t xml:space="preserve">with </w:t>
      </w:r>
      <w:r w:rsidR="006F7273">
        <w:rPr>
          <w:sz w:val="24"/>
          <w:szCs w:val="24"/>
        </w:rPr>
        <w:t>all</w:t>
      </w:r>
      <w:r w:rsidR="00B86850">
        <w:rPr>
          <w:sz w:val="24"/>
          <w:szCs w:val="24"/>
        </w:rPr>
        <w:t xml:space="preserve"> women drinking blood in their anguish, </w:t>
      </w:r>
      <w:r w:rsidR="003001BF">
        <w:rPr>
          <w:sz w:val="24"/>
          <w:szCs w:val="24"/>
        </w:rPr>
        <w:t>there</w:t>
      </w:r>
      <w:r w:rsidR="00B94BD7">
        <w:rPr>
          <w:sz w:val="24"/>
          <w:szCs w:val="24"/>
        </w:rPr>
        <w:t>by</w:t>
      </w:r>
      <w:r w:rsidR="003001BF">
        <w:rPr>
          <w:sz w:val="24"/>
          <w:szCs w:val="24"/>
        </w:rPr>
        <w:t xml:space="preserve"> supporting </w:t>
      </w:r>
      <w:r w:rsidR="0031202B">
        <w:rPr>
          <w:sz w:val="24"/>
          <w:szCs w:val="24"/>
        </w:rPr>
        <w:t>his</w:t>
      </w:r>
      <w:r w:rsidR="003001BF">
        <w:rPr>
          <w:sz w:val="24"/>
          <w:szCs w:val="24"/>
        </w:rPr>
        <w:t xml:space="preserve"> extreme grie</w:t>
      </w:r>
      <w:r w:rsidR="008A431E">
        <w:rPr>
          <w:sz w:val="24"/>
          <w:szCs w:val="24"/>
        </w:rPr>
        <w:t>f</w:t>
      </w:r>
      <w:r w:rsidR="003001BF">
        <w:rPr>
          <w:sz w:val="24"/>
          <w:szCs w:val="24"/>
        </w:rPr>
        <w:t xml:space="preserve"> theory.</w:t>
      </w:r>
      <w:r w:rsidR="0031202B">
        <w:rPr>
          <w:sz w:val="24"/>
          <w:szCs w:val="24"/>
        </w:rPr>
        <w:t xml:space="preserve">  Rodway also offers two modern examples from the </w:t>
      </w:r>
      <w:r w:rsidR="00965EAF">
        <w:rPr>
          <w:sz w:val="24"/>
          <w:szCs w:val="24"/>
        </w:rPr>
        <w:t>twentieth</w:t>
      </w:r>
      <w:r w:rsidR="0031202B">
        <w:rPr>
          <w:sz w:val="24"/>
          <w:szCs w:val="24"/>
        </w:rPr>
        <w:t xml:space="preserve"> and </w:t>
      </w:r>
      <w:r w:rsidR="00965EAF">
        <w:rPr>
          <w:sz w:val="24"/>
          <w:szCs w:val="24"/>
        </w:rPr>
        <w:t>t</w:t>
      </w:r>
      <w:r w:rsidR="000378A8">
        <w:rPr>
          <w:sz w:val="24"/>
          <w:szCs w:val="24"/>
        </w:rPr>
        <w:t>w</w:t>
      </w:r>
      <w:r w:rsidR="00965EAF">
        <w:rPr>
          <w:sz w:val="24"/>
          <w:szCs w:val="24"/>
        </w:rPr>
        <w:t xml:space="preserve">enty-first </w:t>
      </w:r>
      <w:r w:rsidR="00E539C2">
        <w:rPr>
          <w:sz w:val="24"/>
          <w:szCs w:val="24"/>
        </w:rPr>
        <w:t>c</w:t>
      </w:r>
      <w:r w:rsidR="0031202B">
        <w:rPr>
          <w:sz w:val="24"/>
          <w:szCs w:val="24"/>
        </w:rPr>
        <w:t>enturies.  In the f</w:t>
      </w:r>
      <w:r w:rsidR="002E26C5">
        <w:rPr>
          <w:sz w:val="24"/>
          <w:szCs w:val="24"/>
        </w:rPr>
        <w:t>ormer</w:t>
      </w:r>
      <w:r w:rsidR="0031202B">
        <w:rPr>
          <w:sz w:val="24"/>
          <w:szCs w:val="24"/>
        </w:rPr>
        <w:t>, Peig Sayers recounts that her sister-in-law ‘drank the blood of her husband, Sean Sayers</w:t>
      </w:r>
      <w:r w:rsidR="00F9733E">
        <w:rPr>
          <w:sz w:val="24"/>
          <w:szCs w:val="24"/>
        </w:rPr>
        <w:t>,</w:t>
      </w:r>
      <w:r w:rsidR="0031202B">
        <w:rPr>
          <w:sz w:val="24"/>
          <w:szCs w:val="24"/>
        </w:rPr>
        <w:t xml:space="preserve">’ </w:t>
      </w:r>
      <w:r w:rsidR="00F9733E">
        <w:rPr>
          <w:sz w:val="24"/>
          <w:szCs w:val="24"/>
        </w:rPr>
        <w:t>and i</w:t>
      </w:r>
      <w:r w:rsidR="0031202B">
        <w:rPr>
          <w:sz w:val="24"/>
          <w:szCs w:val="24"/>
        </w:rPr>
        <w:t xml:space="preserve">n the </w:t>
      </w:r>
      <w:r w:rsidR="002E26C5">
        <w:rPr>
          <w:sz w:val="24"/>
          <w:szCs w:val="24"/>
        </w:rPr>
        <w:t>latter</w:t>
      </w:r>
      <w:r w:rsidR="0031202B">
        <w:rPr>
          <w:sz w:val="24"/>
          <w:szCs w:val="24"/>
        </w:rPr>
        <w:t xml:space="preserve"> example from 2011, Paddy Doherty clai</w:t>
      </w:r>
      <w:r w:rsidR="007A0379">
        <w:rPr>
          <w:sz w:val="24"/>
          <w:szCs w:val="24"/>
        </w:rPr>
        <w:t>ms</w:t>
      </w:r>
      <w:r w:rsidR="009548E0">
        <w:rPr>
          <w:sz w:val="24"/>
          <w:szCs w:val="24"/>
        </w:rPr>
        <w:t xml:space="preserve"> </w:t>
      </w:r>
      <w:r w:rsidR="0031202B">
        <w:rPr>
          <w:sz w:val="24"/>
          <w:szCs w:val="24"/>
        </w:rPr>
        <w:t>to have ‘drunk the blood</w:t>
      </w:r>
      <w:r w:rsidR="009548E0">
        <w:rPr>
          <w:sz w:val="24"/>
          <w:szCs w:val="24"/>
        </w:rPr>
        <w:t>, and eaten the flesh of his dead son as recently as 1996.’</w:t>
      </w:r>
      <w:r w:rsidR="0031202B">
        <w:rPr>
          <w:sz w:val="24"/>
          <w:szCs w:val="24"/>
        </w:rPr>
        <w:t xml:space="preserve"> </w:t>
      </w:r>
      <w:r w:rsidR="00F75E8A">
        <w:rPr>
          <w:sz w:val="24"/>
          <w:szCs w:val="24"/>
        </w:rPr>
        <w:t>Doherty</w:t>
      </w:r>
      <w:r w:rsidR="009548E0">
        <w:rPr>
          <w:sz w:val="24"/>
          <w:szCs w:val="24"/>
        </w:rPr>
        <w:t xml:space="preserve"> ma</w:t>
      </w:r>
      <w:r w:rsidR="007A0379">
        <w:rPr>
          <w:sz w:val="24"/>
          <w:szCs w:val="24"/>
        </w:rPr>
        <w:t xml:space="preserve">kes </w:t>
      </w:r>
      <w:r w:rsidR="009548E0">
        <w:rPr>
          <w:sz w:val="24"/>
          <w:szCs w:val="24"/>
        </w:rPr>
        <w:t xml:space="preserve">this claim on Ireland’s </w:t>
      </w:r>
      <w:r w:rsidR="009548E0" w:rsidRPr="009548E0">
        <w:rPr>
          <w:i/>
          <w:iCs/>
          <w:sz w:val="24"/>
          <w:szCs w:val="24"/>
        </w:rPr>
        <w:t>Late Late Show</w:t>
      </w:r>
      <w:r w:rsidR="0067268B">
        <w:rPr>
          <w:i/>
          <w:iCs/>
          <w:sz w:val="24"/>
          <w:szCs w:val="24"/>
        </w:rPr>
        <w:t>,</w:t>
      </w:r>
      <w:r w:rsidR="009548E0">
        <w:rPr>
          <w:sz w:val="24"/>
          <w:szCs w:val="24"/>
        </w:rPr>
        <w:t xml:space="preserve"> on which he </w:t>
      </w:r>
      <w:r w:rsidR="00B21A20">
        <w:rPr>
          <w:sz w:val="24"/>
          <w:szCs w:val="24"/>
        </w:rPr>
        <w:t>is</w:t>
      </w:r>
      <w:r w:rsidR="009548E0">
        <w:rPr>
          <w:sz w:val="24"/>
          <w:szCs w:val="24"/>
        </w:rPr>
        <w:t xml:space="preserve"> a guest.</w:t>
      </w:r>
      <w:r w:rsidR="004E35FE">
        <w:rPr>
          <w:rStyle w:val="FootnoteReference"/>
          <w:sz w:val="24"/>
          <w:szCs w:val="24"/>
        </w:rPr>
        <w:footnoteReference w:id="5"/>
      </w:r>
      <w:r w:rsidR="00402DE5">
        <w:rPr>
          <w:sz w:val="24"/>
          <w:szCs w:val="24"/>
        </w:rPr>
        <w:t xml:space="preserve"> </w:t>
      </w:r>
      <w:r w:rsidR="00557C6E">
        <w:rPr>
          <w:sz w:val="24"/>
          <w:szCs w:val="24"/>
        </w:rPr>
        <w:t>It can be seen that</w:t>
      </w:r>
      <w:r w:rsidR="004501D3">
        <w:rPr>
          <w:sz w:val="24"/>
          <w:szCs w:val="24"/>
        </w:rPr>
        <w:t xml:space="preserve"> </w:t>
      </w:r>
      <w:r w:rsidR="00F50DB2">
        <w:rPr>
          <w:sz w:val="24"/>
          <w:szCs w:val="24"/>
        </w:rPr>
        <w:t>both</w:t>
      </w:r>
      <w:r w:rsidR="004501D3">
        <w:rPr>
          <w:sz w:val="24"/>
          <w:szCs w:val="24"/>
        </w:rPr>
        <w:t xml:space="preserve"> examples are representative of states of deep grief, with the latter being somewhat unusual in that the participant </w:t>
      </w:r>
      <w:r w:rsidR="00A30D9A">
        <w:rPr>
          <w:sz w:val="24"/>
          <w:szCs w:val="24"/>
        </w:rPr>
        <w:t>is</w:t>
      </w:r>
      <w:r w:rsidR="004501D3">
        <w:rPr>
          <w:sz w:val="24"/>
          <w:szCs w:val="24"/>
        </w:rPr>
        <w:t xml:space="preserve"> not a keening woman, but a grieving father</w:t>
      </w:r>
      <w:r w:rsidR="002545F8">
        <w:rPr>
          <w:sz w:val="24"/>
          <w:szCs w:val="24"/>
        </w:rPr>
        <w:t xml:space="preserve"> who </w:t>
      </w:r>
      <w:r w:rsidR="00A30D9A">
        <w:rPr>
          <w:sz w:val="24"/>
          <w:szCs w:val="24"/>
        </w:rPr>
        <w:t>eats</w:t>
      </w:r>
      <w:r w:rsidR="00501110">
        <w:rPr>
          <w:sz w:val="24"/>
          <w:szCs w:val="24"/>
        </w:rPr>
        <w:t xml:space="preserve"> his </w:t>
      </w:r>
      <w:r w:rsidR="004E0DF3">
        <w:rPr>
          <w:sz w:val="24"/>
          <w:szCs w:val="24"/>
        </w:rPr>
        <w:t>sons’</w:t>
      </w:r>
      <w:r w:rsidR="002545F8">
        <w:rPr>
          <w:sz w:val="24"/>
          <w:szCs w:val="24"/>
        </w:rPr>
        <w:t xml:space="preserve"> flesh</w:t>
      </w:r>
      <w:r w:rsidR="001458A8">
        <w:rPr>
          <w:sz w:val="24"/>
          <w:szCs w:val="24"/>
        </w:rPr>
        <w:t>,</w:t>
      </w:r>
      <w:r w:rsidR="002545F8">
        <w:rPr>
          <w:sz w:val="24"/>
          <w:szCs w:val="24"/>
        </w:rPr>
        <w:t xml:space="preserve"> as well as drinking the blood.</w:t>
      </w:r>
      <w:r w:rsidR="00F50DB2">
        <w:rPr>
          <w:sz w:val="24"/>
          <w:szCs w:val="24"/>
        </w:rPr>
        <w:t xml:space="preserve"> All</w:t>
      </w:r>
      <w:r w:rsidR="001458A8">
        <w:rPr>
          <w:sz w:val="24"/>
          <w:szCs w:val="24"/>
        </w:rPr>
        <w:t xml:space="preserve"> these</w:t>
      </w:r>
      <w:r w:rsidR="00F50DB2">
        <w:rPr>
          <w:sz w:val="24"/>
          <w:szCs w:val="24"/>
        </w:rPr>
        <w:t xml:space="preserve"> examples are anecdotal</w:t>
      </w:r>
      <w:r w:rsidR="001458A8">
        <w:rPr>
          <w:sz w:val="24"/>
          <w:szCs w:val="24"/>
        </w:rPr>
        <w:t xml:space="preserve">, so </w:t>
      </w:r>
      <w:r w:rsidR="006B2F3A">
        <w:rPr>
          <w:sz w:val="24"/>
          <w:szCs w:val="24"/>
        </w:rPr>
        <w:t>with</w:t>
      </w:r>
      <w:r w:rsidR="00105629">
        <w:rPr>
          <w:sz w:val="24"/>
          <w:szCs w:val="24"/>
        </w:rPr>
        <w:t>out</w:t>
      </w:r>
      <w:r w:rsidR="006B2F3A">
        <w:rPr>
          <w:sz w:val="24"/>
          <w:szCs w:val="24"/>
        </w:rPr>
        <w:t xml:space="preserve"> credible proof, they are</w:t>
      </w:r>
      <w:r w:rsidR="00F50DB2">
        <w:rPr>
          <w:sz w:val="24"/>
          <w:szCs w:val="24"/>
        </w:rPr>
        <w:t xml:space="preserve"> unreliable as a source of concrete evidence for the blood drinking motif.</w:t>
      </w:r>
    </w:p>
    <w:p w14:paraId="3C897D76" w14:textId="57FCB500" w:rsidR="00AB4FB5" w:rsidRDefault="00AB4FB5" w:rsidP="00360185">
      <w:pPr>
        <w:ind w:firstLine="720"/>
        <w:rPr>
          <w:sz w:val="24"/>
          <w:szCs w:val="24"/>
        </w:rPr>
      </w:pPr>
      <w:r>
        <w:rPr>
          <w:sz w:val="24"/>
          <w:szCs w:val="24"/>
        </w:rPr>
        <w:lastRenderedPageBreak/>
        <w:t xml:space="preserve">In </w:t>
      </w:r>
      <w:r w:rsidR="005B64E6">
        <w:rPr>
          <w:sz w:val="24"/>
          <w:szCs w:val="24"/>
        </w:rPr>
        <w:t>further</w:t>
      </w:r>
      <w:r>
        <w:rPr>
          <w:sz w:val="24"/>
          <w:szCs w:val="24"/>
        </w:rPr>
        <w:t xml:space="preserve">ing his investigation, Rodway turns to examining examples of blood drinking themes in the Irish mythology, and cites an instance featured in the </w:t>
      </w:r>
      <w:r w:rsidRPr="00AB4FB5">
        <w:rPr>
          <w:i/>
          <w:iCs/>
          <w:sz w:val="24"/>
          <w:szCs w:val="24"/>
        </w:rPr>
        <w:t>T</w:t>
      </w:r>
      <w:r w:rsidRPr="00AB4FB5">
        <w:rPr>
          <w:rFonts w:cstheme="minorHAnsi"/>
          <w:i/>
          <w:iCs/>
          <w:sz w:val="24"/>
          <w:szCs w:val="24"/>
        </w:rPr>
        <w:t>á</w:t>
      </w:r>
      <w:r w:rsidRPr="00AB4FB5">
        <w:rPr>
          <w:i/>
          <w:iCs/>
          <w:sz w:val="24"/>
          <w:szCs w:val="24"/>
        </w:rPr>
        <w:t>in B</w:t>
      </w:r>
      <w:r w:rsidRPr="00AB4FB5">
        <w:rPr>
          <w:rFonts w:cstheme="minorHAnsi"/>
          <w:i/>
          <w:iCs/>
          <w:sz w:val="24"/>
          <w:szCs w:val="24"/>
        </w:rPr>
        <w:t>ó</w:t>
      </w:r>
      <w:r w:rsidRPr="00AB4FB5">
        <w:rPr>
          <w:i/>
          <w:iCs/>
          <w:sz w:val="24"/>
          <w:szCs w:val="24"/>
        </w:rPr>
        <w:t xml:space="preserve"> C</w:t>
      </w:r>
      <w:r w:rsidRPr="00AB4FB5">
        <w:rPr>
          <w:rFonts w:cstheme="minorHAnsi"/>
          <w:i/>
          <w:iCs/>
          <w:sz w:val="24"/>
          <w:szCs w:val="24"/>
        </w:rPr>
        <w:t>ú</w:t>
      </w:r>
      <w:r w:rsidRPr="00AB4FB5">
        <w:rPr>
          <w:i/>
          <w:iCs/>
          <w:sz w:val="24"/>
          <w:szCs w:val="24"/>
        </w:rPr>
        <w:t>ailnge</w:t>
      </w:r>
      <w:r>
        <w:rPr>
          <w:i/>
          <w:iCs/>
          <w:sz w:val="24"/>
          <w:szCs w:val="24"/>
        </w:rPr>
        <w:t xml:space="preserve">, </w:t>
      </w:r>
      <w:r>
        <w:rPr>
          <w:sz w:val="24"/>
          <w:szCs w:val="24"/>
        </w:rPr>
        <w:t>where C</w:t>
      </w:r>
      <w:r>
        <w:rPr>
          <w:rFonts w:cstheme="minorHAnsi"/>
          <w:sz w:val="24"/>
          <w:szCs w:val="24"/>
        </w:rPr>
        <w:t>ú</w:t>
      </w:r>
      <w:r>
        <w:rPr>
          <w:sz w:val="24"/>
          <w:szCs w:val="24"/>
        </w:rPr>
        <w:t xml:space="preserve"> Ch</w:t>
      </w:r>
      <w:r>
        <w:rPr>
          <w:rFonts w:cstheme="minorHAnsi"/>
          <w:sz w:val="24"/>
          <w:szCs w:val="24"/>
        </w:rPr>
        <w:t>ú</w:t>
      </w:r>
      <w:r>
        <w:rPr>
          <w:sz w:val="24"/>
          <w:szCs w:val="24"/>
        </w:rPr>
        <w:t>lainn and his foster brother Fer Diad drink blood as a way of sealing</w:t>
      </w:r>
      <w:r w:rsidR="0067268B">
        <w:rPr>
          <w:sz w:val="24"/>
          <w:szCs w:val="24"/>
        </w:rPr>
        <w:t xml:space="preserve"> a</w:t>
      </w:r>
      <w:r>
        <w:rPr>
          <w:sz w:val="24"/>
          <w:szCs w:val="24"/>
        </w:rPr>
        <w:t xml:space="preserve"> covenant.  He also provides citations from Gerald of Wales, Edmund Spenser and Martin Martin, as further evidence to bear out the concept that blood use in the sealing of covenants</w:t>
      </w:r>
      <w:r w:rsidR="00544D18">
        <w:rPr>
          <w:sz w:val="24"/>
          <w:szCs w:val="24"/>
        </w:rPr>
        <w:t xml:space="preserve"> and treaties</w:t>
      </w:r>
      <w:r>
        <w:rPr>
          <w:sz w:val="24"/>
          <w:szCs w:val="24"/>
        </w:rPr>
        <w:t xml:space="preserve"> was a genuine practice in Gaelic-speaking cultures.</w:t>
      </w:r>
      <w:r w:rsidR="00360185">
        <w:rPr>
          <w:sz w:val="24"/>
          <w:szCs w:val="24"/>
        </w:rPr>
        <w:t xml:space="preserve">  Finally, </w:t>
      </w:r>
      <w:r>
        <w:rPr>
          <w:sz w:val="24"/>
          <w:szCs w:val="24"/>
        </w:rPr>
        <w:t>Rodway makes one intriguing reference</w:t>
      </w:r>
      <w:r w:rsidR="007D41A5">
        <w:rPr>
          <w:sz w:val="24"/>
          <w:szCs w:val="24"/>
        </w:rPr>
        <w:t xml:space="preserve">, also from </w:t>
      </w:r>
      <w:r w:rsidR="007D41A5">
        <w:rPr>
          <w:i/>
          <w:iCs/>
          <w:sz w:val="24"/>
          <w:szCs w:val="24"/>
        </w:rPr>
        <w:t>The T</w:t>
      </w:r>
      <w:r w:rsidR="007D41A5">
        <w:rPr>
          <w:rFonts w:cstheme="minorHAnsi"/>
          <w:i/>
          <w:iCs/>
          <w:sz w:val="24"/>
          <w:szCs w:val="24"/>
        </w:rPr>
        <w:t>á</w:t>
      </w:r>
      <w:r w:rsidR="007D41A5">
        <w:rPr>
          <w:i/>
          <w:iCs/>
          <w:sz w:val="24"/>
          <w:szCs w:val="24"/>
        </w:rPr>
        <w:t>in</w:t>
      </w:r>
      <w:r w:rsidR="007D41A5">
        <w:rPr>
          <w:sz w:val="24"/>
          <w:szCs w:val="24"/>
        </w:rPr>
        <w:t>,</w:t>
      </w:r>
      <w:r>
        <w:rPr>
          <w:sz w:val="24"/>
          <w:szCs w:val="24"/>
        </w:rPr>
        <w:t xml:space="preserve"> to an apparent ‘taboo on marriage with a person whose blood one has drunk.’</w:t>
      </w:r>
      <w:r w:rsidR="00225F89">
        <w:rPr>
          <w:rStyle w:val="FootnoteReference"/>
          <w:sz w:val="24"/>
          <w:szCs w:val="24"/>
        </w:rPr>
        <w:footnoteReference w:id="6"/>
      </w:r>
      <w:r w:rsidR="00225F89">
        <w:rPr>
          <w:i/>
          <w:iCs/>
          <w:sz w:val="24"/>
          <w:szCs w:val="24"/>
        </w:rPr>
        <w:t xml:space="preserve"> </w:t>
      </w:r>
      <w:r w:rsidR="00360185">
        <w:rPr>
          <w:sz w:val="24"/>
          <w:szCs w:val="24"/>
        </w:rPr>
        <w:t xml:space="preserve">Aside from this one exception, he confines his </w:t>
      </w:r>
      <w:r w:rsidR="00664813">
        <w:rPr>
          <w:sz w:val="24"/>
          <w:szCs w:val="24"/>
        </w:rPr>
        <w:t>inquiry</w:t>
      </w:r>
      <w:r w:rsidR="00360185">
        <w:rPr>
          <w:sz w:val="24"/>
          <w:szCs w:val="24"/>
        </w:rPr>
        <w:t xml:space="preserve"> to blood drinking in the context of mourning.</w:t>
      </w:r>
    </w:p>
    <w:p w14:paraId="67C14834" w14:textId="1695D4FC" w:rsidR="00304E0E" w:rsidRPr="003E2419" w:rsidRDefault="008E1404" w:rsidP="003E2419">
      <w:pPr>
        <w:ind w:firstLine="720"/>
        <w:rPr>
          <w:sz w:val="24"/>
          <w:szCs w:val="24"/>
        </w:rPr>
      </w:pPr>
      <w:r>
        <w:rPr>
          <w:sz w:val="24"/>
          <w:szCs w:val="24"/>
        </w:rPr>
        <w:t xml:space="preserve">In the next section of the article, Rodway </w:t>
      </w:r>
      <w:r w:rsidR="00A93618">
        <w:rPr>
          <w:sz w:val="24"/>
          <w:szCs w:val="24"/>
        </w:rPr>
        <w:t>focuses</w:t>
      </w:r>
      <w:r>
        <w:rPr>
          <w:sz w:val="24"/>
          <w:szCs w:val="24"/>
        </w:rPr>
        <w:t xml:space="preserve"> his attention </w:t>
      </w:r>
      <w:r w:rsidR="00A93618">
        <w:rPr>
          <w:sz w:val="24"/>
          <w:szCs w:val="24"/>
        </w:rPr>
        <w:t>on</w:t>
      </w:r>
      <w:r>
        <w:rPr>
          <w:sz w:val="24"/>
          <w:szCs w:val="24"/>
        </w:rPr>
        <w:t xml:space="preserve"> older sources of evidence, in the work of the classical authors beginning with the Greek geographer, Strabo.  He offers a quote which directly references the Irish</w:t>
      </w:r>
      <w:r w:rsidR="00A75D58">
        <w:rPr>
          <w:sz w:val="24"/>
          <w:szCs w:val="24"/>
        </w:rPr>
        <w:t xml:space="preserve"> people,</w:t>
      </w:r>
      <w:r>
        <w:rPr>
          <w:sz w:val="24"/>
          <w:szCs w:val="24"/>
        </w:rPr>
        <w:t xml:space="preserve"> and some of their allegedly questionable habits, specifically</w:t>
      </w:r>
      <w:r w:rsidR="00DA3B6C">
        <w:rPr>
          <w:sz w:val="24"/>
          <w:szCs w:val="24"/>
        </w:rPr>
        <w:t>:</w:t>
      </w:r>
      <w:r>
        <w:rPr>
          <w:sz w:val="24"/>
          <w:szCs w:val="24"/>
        </w:rPr>
        <w:t xml:space="preserve"> cannibalism and incest.  The account </w:t>
      </w:r>
      <w:r w:rsidR="003103A7">
        <w:rPr>
          <w:sz w:val="24"/>
          <w:szCs w:val="24"/>
        </w:rPr>
        <w:t>appears</w:t>
      </w:r>
      <w:r>
        <w:rPr>
          <w:sz w:val="24"/>
          <w:szCs w:val="24"/>
        </w:rPr>
        <w:t xml:space="preserve"> </w:t>
      </w:r>
      <w:r w:rsidR="007E420D">
        <w:rPr>
          <w:sz w:val="24"/>
          <w:szCs w:val="24"/>
        </w:rPr>
        <w:t>grim to say the least</w:t>
      </w:r>
      <w:r>
        <w:rPr>
          <w:sz w:val="24"/>
          <w:szCs w:val="24"/>
        </w:rPr>
        <w:t>, but Strabo admit</w:t>
      </w:r>
      <w:r w:rsidR="008942E8">
        <w:rPr>
          <w:sz w:val="24"/>
          <w:szCs w:val="24"/>
        </w:rPr>
        <w:t>s</w:t>
      </w:r>
      <w:r>
        <w:rPr>
          <w:sz w:val="24"/>
          <w:szCs w:val="24"/>
        </w:rPr>
        <w:t xml:space="preserve"> that his information is based on hearsay and that he has no direct experience of it.</w:t>
      </w:r>
      <w:r w:rsidR="00EB6CDC">
        <w:rPr>
          <w:sz w:val="24"/>
          <w:szCs w:val="24"/>
        </w:rPr>
        <w:t xml:space="preserve">  Strabo also </w:t>
      </w:r>
      <w:r w:rsidR="00193AB7">
        <w:rPr>
          <w:sz w:val="24"/>
          <w:szCs w:val="24"/>
        </w:rPr>
        <w:t>mentions</w:t>
      </w:r>
      <w:r w:rsidR="00EB6CDC">
        <w:rPr>
          <w:sz w:val="24"/>
          <w:szCs w:val="24"/>
        </w:rPr>
        <w:t xml:space="preserve"> cannibalism in the context of men eating the flesh of </w:t>
      </w:r>
      <w:r w:rsidR="00F9733E">
        <w:rPr>
          <w:sz w:val="24"/>
          <w:szCs w:val="24"/>
        </w:rPr>
        <w:t xml:space="preserve">their </w:t>
      </w:r>
      <w:r w:rsidR="00EB6CDC">
        <w:rPr>
          <w:sz w:val="24"/>
          <w:szCs w:val="24"/>
        </w:rPr>
        <w:t>deceased fathers, rather than drinking the blood, which conflicts with Rodway’s original  point that the practice was elegiac</w:t>
      </w:r>
      <w:r w:rsidR="00247284">
        <w:rPr>
          <w:sz w:val="24"/>
          <w:szCs w:val="24"/>
        </w:rPr>
        <w:t>al</w:t>
      </w:r>
      <w:r w:rsidR="00EB6CDC">
        <w:rPr>
          <w:sz w:val="24"/>
          <w:szCs w:val="24"/>
        </w:rPr>
        <w:t xml:space="preserve"> and particular to women, but </w:t>
      </w:r>
      <w:r w:rsidR="00BB3903">
        <w:rPr>
          <w:sz w:val="24"/>
          <w:szCs w:val="24"/>
        </w:rPr>
        <w:t xml:space="preserve">it </w:t>
      </w:r>
      <w:r w:rsidR="00627AEE">
        <w:rPr>
          <w:sz w:val="24"/>
          <w:szCs w:val="24"/>
        </w:rPr>
        <w:t>could</w:t>
      </w:r>
      <w:r w:rsidR="00EB6CDC">
        <w:rPr>
          <w:sz w:val="24"/>
          <w:szCs w:val="24"/>
        </w:rPr>
        <w:t xml:space="preserve"> support the idea of an affectionate cannibalism within the Irish pre-Christian culture.</w:t>
      </w:r>
      <w:r w:rsidR="003E2419">
        <w:rPr>
          <w:sz w:val="24"/>
          <w:szCs w:val="24"/>
        </w:rPr>
        <w:t xml:space="preserve"> </w:t>
      </w:r>
      <w:r w:rsidR="00304E0E">
        <w:rPr>
          <w:sz w:val="24"/>
          <w:szCs w:val="24"/>
        </w:rPr>
        <w:t>In further examples, Rodway refers to a statement from Philip Freeman, who describes references to cannibalism as ‘a favourite derogation aimed at the Irish,’ suggesting that such references are simply a device to insult and demean the entire race.</w:t>
      </w:r>
      <w:r w:rsidR="003154CF">
        <w:rPr>
          <w:rStyle w:val="FootnoteReference"/>
          <w:sz w:val="24"/>
          <w:szCs w:val="24"/>
        </w:rPr>
        <w:footnoteReference w:id="7"/>
      </w:r>
      <w:r w:rsidR="00304E0E">
        <w:rPr>
          <w:sz w:val="24"/>
          <w:szCs w:val="24"/>
        </w:rPr>
        <w:t xml:space="preserve">  Geoffrey Keating also denies any such practice, except to reference one possible instance</w:t>
      </w:r>
      <w:r w:rsidR="00E91214">
        <w:rPr>
          <w:sz w:val="24"/>
          <w:szCs w:val="24"/>
        </w:rPr>
        <w:t xml:space="preserve"> of anthropophagy</w:t>
      </w:r>
      <w:r w:rsidR="00304E0E">
        <w:rPr>
          <w:sz w:val="24"/>
          <w:szCs w:val="24"/>
        </w:rPr>
        <w:t xml:space="preserve"> in the </w:t>
      </w:r>
      <w:r w:rsidR="00EF0826">
        <w:rPr>
          <w:sz w:val="24"/>
          <w:szCs w:val="24"/>
        </w:rPr>
        <w:t>example</w:t>
      </w:r>
      <w:r w:rsidR="00304E0E">
        <w:rPr>
          <w:sz w:val="24"/>
          <w:szCs w:val="24"/>
        </w:rPr>
        <w:t xml:space="preserve"> of Eithne Uathach, who was allegedly reared on a diet of human flesh</w:t>
      </w:r>
      <w:r w:rsidR="001F7CCA">
        <w:rPr>
          <w:sz w:val="24"/>
          <w:szCs w:val="24"/>
        </w:rPr>
        <w:t xml:space="preserve">, </w:t>
      </w:r>
      <w:r w:rsidR="005F67F8">
        <w:rPr>
          <w:sz w:val="24"/>
          <w:szCs w:val="24"/>
        </w:rPr>
        <w:t>thereby ensuring</w:t>
      </w:r>
      <w:r w:rsidR="00304E0E">
        <w:rPr>
          <w:sz w:val="24"/>
          <w:szCs w:val="24"/>
        </w:rPr>
        <w:t xml:space="preserve"> an expedient marriage.</w:t>
      </w:r>
      <w:r w:rsidR="00DD4AF3">
        <w:rPr>
          <w:sz w:val="24"/>
          <w:szCs w:val="24"/>
        </w:rPr>
        <w:t xml:space="preserve"> How this would improve one’s marital eligibility is not explained, </w:t>
      </w:r>
      <w:r w:rsidR="00AA2514">
        <w:rPr>
          <w:sz w:val="24"/>
          <w:szCs w:val="24"/>
        </w:rPr>
        <w:t xml:space="preserve">which is unfortunate </w:t>
      </w:r>
      <w:r w:rsidR="00B65942">
        <w:rPr>
          <w:sz w:val="24"/>
          <w:szCs w:val="24"/>
        </w:rPr>
        <w:t>considering</w:t>
      </w:r>
      <w:r w:rsidR="00304E0E">
        <w:rPr>
          <w:sz w:val="24"/>
          <w:szCs w:val="24"/>
        </w:rPr>
        <w:t xml:space="preserve"> </w:t>
      </w:r>
      <w:r w:rsidR="00DD4AF3">
        <w:rPr>
          <w:sz w:val="24"/>
          <w:szCs w:val="24"/>
        </w:rPr>
        <w:t>it</w:t>
      </w:r>
      <w:r w:rsidR="00304E0E">
        <w:rPr>
          <w:sz w:val="24"/>
          <w:szCs w:val="24"/>
        </w:rPr>
        <w:t xml:space="preserve"> directly contradicts the</w:t>
      </w:r>
      <w:r w:rsidR="00DE0795">
        <w:rPr>
          <w:sz w:val="24"/>
          <w:szCs w:val="24"/>
        </w:rPr>
        <w:t xml:space="preserve"> earlier</w:t>
      </w:r>
      <w:r w:rsidR="00304E0E">
        <w:rPr>
          <w:sz w:val="24"/>
          <w:szCs w:val="24"/>
        </w:rPr>
        <w:t xml:space="preserve"> taboo relating to marriage</w:t>
      </w:r>
      <w:r w:rsidR="00674B7C">
        <w:rPr>
          <w:sz w:val="24"/>
          <w:szCs w:val="24"/>
        </w:rPr>
        <w:t xml:space="preserve"> mentioned</w:t>
      </w:r>
      <w:r w:rsidR="00304E0E">
        <w:rPr>
          <w:sz w:val="24"/>
          <w:szCs w:val="24"/>
        </w:rPr>
        <w:t xml:space="preserve"> in </w:t>
      </w:r>
      <w:r w:rsidR="00304E0E" w:rsidRPr="00DE0795">
        <w:rPr>
          <w:i/>
          <w:iCs/>
          <w:sz w:val="24"/>
          <w:szCs w:val="24"/>
        </w:rPr>
        <w:t>The T</w:t>
      </w:r>
      <w:r w:rsidR="00DE0795">
        <w:rPr>
          <w:rFonts w:cstheme="minorHAnsi"/>
          <w:i/>
          <w:iCs/>
          <w:sz w:val="24"/>
          <w:szCs w:val="24"/>
        </w:rPr>
        <w:t>á</w:t>
      </w:r>
      <w:r w:rsidR="00304E0E" w:rsidRPr="00DE0795">
        <w:rPr>
          <w:i/>
          <w:iCs/>
          <w:sz w:val="24"/>
          <w:szCs w:val="24"/>
        </w:rPr>
        <w:t>in</w:t>
      </w:r>
      <w:r w:rsidR="00DE0795">
        <w:rPr>
          <w:i/>
          <w:iCs/>
          <w:sz w:val="24"/>
          <w:szCs w:val="24"/>
        </w:rPr>
        <w:t>.</w:t>
      </w:r>
    </w:p>
    <w:p w14:paraId="02304183" w14:textId="08B9550F" w:rsidR="0075267B" w:rsidRDefault="0075267B" w:rsidP="002E4284">
      <w:pPr>
        <w:ind w:firstLine="720"/>
        <w:rPr>
          <w:sz w:val="24"/>
          <w:szCs w:val="24"/>
        </w:rPr>
      </w:pPr>
      <w:r>
        <w:rPr>
          <w:sz w:val="24"/>
          <w:szCs w:val="24"/>
        </w:rPr>
        <w:t xml:space="preserve">Rodway then moves on to </w:t>
      </w:r>
      <w:r w:rsidR="00E25865">
        <w:rPr>
          <w:sz w:val="24"/>
          <w:szCs w:val="24"/>
        </w:rPr>
        <w:t xml:space="preserve">list and </w:t>
      </w:r>
      <w:r>
        <w:rPr>
          <w:sz w:val="24"/>
          <w:szCs w:val="24"/>
        </w:rPr>
        <w:t>clarify the various types of cannibalism and notes that survival cannibalism is an attested practice in some indigenous cultures, but whether aggressive or affectionate cannibalism has ever existed</w:t>
      </w:r>
      <w:r w:rsidR="008D573D">
        <w:rPr>
          <w:sz w:val="24"/>
          <w:szCs w:val="24"/>
        </w:rPr>
        <w:t xml:space="preserve"> </w:t>
      </w:r>
      <w:r w:rsidR="004B28EC">
        <w:rPr>
          <w:sz w:val="24"/>
          <w:szCs w:val="24"/>
        </w:rPr>
        <w:t>he believes</w:t>
      </w:r>
      <w:r w:rsidR="006E1A28">
        <w:rPr>
          <w:sz w:val="24"/>
          <w:szCs w:val="24"/>
        </w:rPr>
        <w:t>,</w:t>
      </w:r>
      <w:r w:rsidR="004B28EC">
        <w:rPr>
          <w:sz w:val="24"/>
          <w:szCs w:val="24"/>
        </w:rPr>
        <w:t xml:space="preserve"> is</w:t>
      </w:r>
      <w:r w:rsidR="008D573D">
        <w:rPr>
          <w:sz w:val="24"/>
          <w:szCs w:val="24"/>
        </w:rPr>
        <w:t xml:space="preserve"> very much open to </w:t>
      </w:r>
      <w:r w:rsidR="00241347">
        <w:rPr>
          <w:sz w:val="24"/>
          <w:szCs w:val="24"/>
        </w:rPr>
        <w:t>debate</w:t>
      </w:r>
      <w:r w:rsidR="008D573D">
        <w:rPr>
          <w:sz w:val="24"/>
          <w:szCs w:val="24"/>
        </w:rPr>
        <w:t>.</w:t>
      </w:r>
      <w:r w:rsidR="00064B6B">
        <w:rPr>
          <w:sz w:val="24"/>
          <w:szCs w:val="24"/>
        </w:rPr>
        <w:t xml:space="preserve"> There are several other classical accounts of alleged aggressive cannibalism in Irish culture</w:t>
      </w:r>
      <w:r w:rsidR="00387072">
        <w:rPr>
          <w:sz w:val="24"/>
          <w:szCs w:val="24"/>
        </w:rPr>
        <w:t xml:space="preserve"> mentioned</w:t>
      </w:r>
      <w:r w:rsidR="00064B6B">
        <w:rPr>
          <w:sz w:val="24"/>
          <w:szCs w:val="24"/>
        </w:rPr>
        <w:t xml:space="preserve">, including those of Diodorus Siculus, Solinus and St. Jerome, and </w:t>
      </w:r>
      <w:r w:rsidR="00DF6610">
        <w:rPr>
          <w:sz w:val="24"/>
          <w:szCs w:val="24"/>
        </w:rPr>
        <w:t xml:space="preserve">the </w:t>
      </w:r>
      <w:r w:rsidR="00064B6B">
        <w:rPr>
          <w:sz w:val="24"/>
          <w:szCs w:val="24"/>
        </w:rPr>
        <w:t>later Gerald of Wales and Aelred of Rievaulx. Rodway questions the reliability of these sources and suggests that they are ‘sensationalist’ at best.</w:t>
      </w:r>
      <w:r w:rsidR="00A157AB">
        <w:rPr>
          <w:rStyle w:val="FootnoteReference"/>
          <w:sz w:val="24"/>
          <w:szCs w:val="24"/>
        </w:rPr>
        <w:footnoteReference w:id="8"/>
      </w:r>
      <w:r w:rsidR="00064B6B">
        <w:rPr>
          <w:sz w:val="24"/>
          <w:szCs w:val="24"/>
        </w:rPr>
        <w:t xml:space="preserve">  He does, however, note an interesting blood drinking reference, again from The </w:t>
      </w:r>
      <w:r w:rsidR="00064B6B" w:rsidRPr="00064B6B">
        <w:rPr>
          <w:i/>
          <w:iCs/>
          <w:sz w:val="24"/>
          <w:szCs w:val="24"/>
        </w:rPr>
        <w:t>T</w:t>
      </w:r>
      <w:r w:rsidR="00064B6B">
        <w:rPr>
          <w:rFonts w:cstheme="minorHAnsi"/>
          <w:i/>
          <w:iCs/>
          <w:sz w:val="24"/>
          <w:szCs w:val="24"/>
        </w:rPr>
        <w:t>á</w:t>
      </w:r>
      <w:r w:rsidR="00064B6B" w:rsidRPr="00064B6B">
        <w:rPr>
          <w:i/>
          <w:iCs/>
          <w:sz w:val="24"/>
          <w:szCs w:val="24"/>
        </w:rPr>
        <w:t>in B</w:t>
      </w:r>
      <w:r w:rsidR="00064B6B">
        <w:rPr>
          <w:rFonts w:cstheme="minorHAnsi"/>
          <w:i/>
          <w:iCs/>
          <w:sz w:val="24"/>
          <w:szCs w:val="24"/>
        </w:rPr>
        <w:t>ó</w:t>
      </w:r>
      <w:r w:rsidR="00064B6B" w:rsidRPr="00064B6B">
        <w:rPr>
          <w:i/>
          <w:iCs/>
          <w:sz w:val="24"/>
          <w:szCs w:val="24"/>
        </w:rPr>
        <w:t xml:space="preserve"> C</w:t>
      </w:r>
      <w:r w:rsidR="00064B6B">
        <w:rPr>
          <w:rFonts w:cstheme="minorHAnsi"/>
          <w:i/>
          <w:iCs/>
          <w:sz w:val="24"/>
          <w:szCs w:val="24"/>
        </w:rPr>
        <w:t>ú</w:t>
      </w:r>
      <w:r w:rsidR="00064B6B" w:rsidRPr="00064B6B">
        <w:rPr>
          <w:i/>
          <w:iCs/>
          <w:sz w:val="24"/>
          <w:szCs w:val="24"/>
        </w:rPr>
        <w:t>ailnge</w:t>
      </w:r>
      <w:r w:rsidR="00064B6B">
        <w:rPr>
          <w:sz w:val="24"/>
          <w:szCs w:val="24"/>
        </w:rPr>
        <w:t xml:space="preserve"> which states: ‘They drink unbearable draughts of blood’</w:t>
      </w:r>
      <w:r w:rsidR="00DC355F">
        <w:rPr>
          <w:sz w:val="24"/>
          <w:szCs w:val="24"/>
        </w:rPr>
        <w:t>,</w:t>
      </w:r>
      <w:r w:rsidR="008419F3">
        <w:rPr>
          <w:sz w:val="24"/>
          <w:szCs w:val="24"/>
        </w:rPr>
        <w:t xml:space="preserve"> </w:t>
      </w:r>
      <w:r w:rsidR="00963A69">
        <w:rPr>
          <w:sz w:val="24"/>
          <w:szCs w:val="24"/>
        </w:rPr>
        <w:t>and suggests</w:t>
      </w:r>
      <w:r w:rsidR="008419F3">
        <w:rPr>
          <w:sz w:val="24"/>
          <w:szCs w:val="24"/>
        </w:rPr>
        <w:t xml:space="preserve"> that this is either </w:t>
      </w:r>
      <w:r w:rsidR="008C3722">
        <w:rPr>
          <w:sz w:val="24"/>
          <w:szCs w:val="24"/>
        </w:rPr>
        <w:t>a literary device</w:t>
      </w:r>
      <w:r w:rsidR="008419F3">
        <w:rPr>
          <w:sz w:val="24"/>
          <w:szCs w:val="24"/>
        </w:rPr>
        <w:t xml:space="preserve">, </w:t>
      </w:r>
      <w:r w:rsidR="008C3722">
        <w:rPr>
          <w:sz w:val="24"/>
          <w:szCs w:val="24"/>
        </w:rPr>
        <w:t>alluding</w:t>
      </w:r>
      <w:r w:rsidR="008419F3">
        <w:rPr>
          <w:sz w:val="24"/>
          <w:szCs w:val="24"/>
        </w:rPr>
        <w:t xml:space="preserve"> to the amount of blood spilled in the conflict, or that it is a reference to warriors ingesting</w:t>
      </w:r>
      <w:r w:rsidR="008C3722">
        <w:rPr>
          <w:sz w:val="24"/>
          <w:szCs w:val="24"/>
        </w:rPr>
        <w:t xml:space="preserve"> </w:t>
      </w:r>
      <w:r w:rsidR="008419F3">
        <w:rPr>
          <w:sz w:val="24"/>
          <w:szCs w:val="24"/>
        </w:rPr>
        <w:t>their own blood from their open head wounds.</w:t>
      </w:r>
      <w:r w:rsidR="00C31E0B">
        <w:rPr>
          <w:rStyle w:val="FootnoteReference"/>
          <w:sz w:val="24"/>
          <w:szCs w:val="24"/>
        </w:rPr>
        <w:footnoteReference w:id="9"/>
      </w:r>
      <w:r w:rsidR="00C31E0B">
        <w:rPr>
          <w:sz w:val="24"/>
          <w:szCs w:val="24"/>
        </w:rPr>
        <w:t xml:space="preserve"> </w:t>
      </w:r>
      <w:r w:rsidR="00052C4A">
        <w:rPr>
          <w:sz w:val="24"/>
          <w:szCs w:val="24"/>
        </w:rPr>
        <w:t xml:space="preserve">Another </w:t>
      </w:r>
      <w:r w:rsidR="00275523">
        <w:rPr>
          <w:sz w:val="24"/>
          <w:szCs w:val="24"/>
        </w:rPr>
        <w:t>relevant</w:t>
      </w:r>
      <w:r w:rsidR="00052C4A">
        <w:rPr>
          <w:sz w:val="24"/>
          <w:szCs w:val="24"/>
        </w:rPr>
        <w:t xml:space="preserve"> quote comes from Edmund Spenser in which he </w:t>
      </w:r>
      <w:r w:rsidR="00470175">
        <w:rPr>
          <w:sz w:val="24"/>
          <w:szCs w:val="24"/>
        </w:rPr>
        <w:t>states</w:t>
      </w:r>
      <w:r w:rsidR="00052C4A">
        <w:rPr>
          <w:sz w:val="24"/>
          <w:szCs w:val="24"/>
        </w:rPr>
        <w:t xml:space="preserve"> that the Gauls and the Irish shared</w:t>
      </w:r>
      <w:r w:rsidR="00FC52FC">
        <w:rPr>
          <w:sz w:val="24"/>
          <w:szCs w:val="24"/>
        </w:rPr>
        <w:t xml:space="preserve"> </w:t>
      </w:r>
      <w:r w:rsidR="00052C4A">
        <w:rPr>
          <w:sz w:val="24"/>
          <w:szCs w:val="24"/>
        </w:rPr>
        <w:t xml:space="preserve">a similar practice of blood drinking.  In the case of the Gauls, they drank the blood of their enemies, and the Irish, the </w:t>
      </w:r>
      <w:r w:rsidR="00052C4A">
        <w:rPr>
          <w:sz w:val="24"/>
          <w:szCs w:val="24"/>
        </w:rPr>
        <w:lastRenderedPageBreak/>
        <w:t xml:space="preserve">blood of their friends.  Rodway suggests a shared ethnology, </w:t>
      </w:r>
      <w:r w:rsidR="004E0DF3">
        <w:rPr>
          <w:sz w:val="24"/>
          <w:szCs w:val="24"/>
        </w:rPr>
        <w:t>since</w:t>
      </w:r>
      <w:r w:rsidR="00D63319">
        <w:rPr>
          <w:sz w:val="24"/>
          <w:szCs w:val="24"/>
        </w:rPr>
        <w:t xml:space="preserve"> both languages </w:t>
      </w:r>
      <w:r w:rsidR="007726FC">
        <w:rPr>
          <w:sz w:val="24"/>
          <w:szCs w:val="24"/>
        </w:rPr>
        <w:t>arise from</w:t>
      </w:r>
      <w:r w:rsidR="00D63319">
        <w:rPr>
          <w:sz w:val="24"/>
          <w:szCs w:val="24"/>
        </w:rPr>
        <w:t xml:space="preserve"> a common Indo-European ancestry,</w:t>
      </w:r>
      <w:r w:rsidR="00052C4A">
        <w:rPr>
          <w:sz w:val="24"/>
          <w:szCs w:val="24"/>
        </w:rPr>
        <w:t xml:space="preserve"> but does not go as far as to infer a shared Celtic culture.</w:t>
      </w:r>
    </w:p>
    <w:p w14:paraId="0254BF65" w14:textId="19695B50" w:rsidR="00BC12AD" w:rsidRDefault="00BC12AD" w:rsidP="00360185">
      <w:pPr>
        <w:ind w:firstLine="720"/>
        <w:rPr>
          <w:sz w:val="24"/>
          <w:szCs w:val="24"/>
        </w:rPr>
      </w:pPr>
      <w:r>
        <w:rPr>
          <w:sz w:val="24"/>
          <w:szCs w:val="24"/>
        </w:rPr>
        <w:t xml:space="preserve">In his </w:t>
      </w:r>
      <w:r w:rsidRPr="00BC12AD">
        <w:rPr>
          <w:i/>
          <w:iCs/>
          <w:sz w:val="24"/>
          <w:szCs w:val="24"/>
        </w:rPr>
        <w:t>Natural History</w:t>
      </w:r>
      <w:r>
        <w:rPr>
          <w:i/>
          <w:iCs/>
          <w:sz w:val="24"/>
          <w:szCs w:val="24"/>
        </w:rPr>
        <w:t xml:space="preserve">, </w:t>
      </w:r>
      <w:r>
        <w:rPr>
          <w:sz w:val="24"/>
          <w:szCs w:val="24"/>
        </w:rPr>
        <w:t>Pliny the Elder wr</w:t>
      </w:r>
      <w:r w:rsidR="00975856">
        <w:rPr>
          <w:sz w:val="24"/>
          <w:szCs w:val="24"/>
        </w:rPr>
        <w:t>ites</w:t>
      </w:r>
      <w:r>
        <w:rPr>
          <w:sz w:val="24"/>
          <w:szCs w:val="24"/>
        </w:rPr>
        <w:t xml:space="preserve"> that the Gaulish druids believed that cannibalism had certain health benefits.  There follows a suggestion that despite the practice being eradicated by the Romans in Gaul, it continued amongst the druids of Britain</w:t>
      </w:r>
      <w:r w:rsidR="001B0201">
        <w:rPr>
          <w:sz w:val="24"/>
          <w:szCs w:val="24"/>
        </w:rPr>
        <w:t>. This</w:t>
      </w:r>
      <w:r w:rsidR="00975856">
        <w:rPr>
          <w:sz w:val="24"/>
          <w:szCs w:val="24"/>
        </w:rPr>
        <w:t xml:space="preserve"> idea is contested by Robert John Pryse in his </w:t>
      </w:r>
      <w:r w:rsidR="00975856" w:rsidRPr="00975856">
        <w:rPr>
          <w:i/>
          <w:iCs/>
          <w:sz w:val="24"/>
          <w:szCs w:val="24"/>
        </w:rPr>
        <w:t>Hanes y Brittaniaid a’r Cymry</w:t>
      </w:r>
      <w:r w:rsidR="00975856">
        <w:rPr>
          <w:i/>
          <w:iCs/>
          <w:sz w:val="24"/>
          <w:szCs w:val="24"/>
        </w:rPr>
        <w:t xml:space="preserve"> </w:t>
      </w:r>
      <w:r w:rsidR="00975856">
        <w:rPr>
          <w:sz w:val="24"/>
          <w:szCs w:val="24"/>
        </w:rPr>
        <w:t xml:space="preserve">(1782 – 84), </w:t>
      </w:r>
      <w:r w:rsidR="00A54513">
        <w:rPr>
          <w:sz w:val="24"/>
          <w:szCs w:val="24"/>
        </w:rPr>
        <w:t>in which</w:t>
      </w:r>
      <w:r w:rsidR="00975856">
        <w:rPr>
          <w:sz w:val="24"/>
          <w:szCs w:val="24"/>
        </w:rPr>
        <w:t xml:space="preserve"> he states that there is no evidence that any of the tribes of Britain ‘has ever been a cannibal.’</w:t>
      </w:r>
      <w:r w:rsidR="006A73F2">
        <w:rPr>
          <w:rStyle w:val="FootnoteReference"/>
          <w:sz w:val="24"/>
          <w:szCs w:val="24"/>
        </w:rPr>
        <w:footnoteReference w:id="10"/>
      </w:r>
      <w:r w:rsidR="002E4284">
        <w:rPr>
          <w:sz w:val="24"/>
          <w:szCs w:val="24"/>
        </w:rPr>
        <w:t xml:space="preserve"> </w:t>
      </w:r>
      <w:r w:rsidR="00D525D3">
        <w:rPr>
          <w:sz w:val="24"/>
          <w:szCs w:val="24"/>
        </w:rPr>
        <w:t xml:space="preserve">Rodway </w:t>
      </w:r>
      <w:r w:rsidR="00D54D31">
        <w:rPr>
          <w:sz w:val="24"/>
          <w:szCs w:val="24"/>
        </w:rPr>
        <w:t xml:space="preserve">offers a </w:t>
      </w:r>
      <w:r w:rsidR="00D525D3">
        <w:rPr>
          <w:sz w:val="24"/>
          <w:szCs w:val="24"/>
        </w:rPr>
        <w:t>cit</w:t>
      </w:r>
      <w:r w:rsidR="00D54D31">
        <w:rPr>
          <w:sz w:val="24"/>
          <w:szCs w:val="24"/>
        </w:rPr>
        <w:t>ation</w:t>
      </w:r>
      <w:r w:rsidR="002E4284">
        <w:rPr>
          <w:sz w:val="24"/>
          <w:szCs w:val="24"/>
        </w:rPr>
        <w:t xml:space="preserve"> from the Medieval Welsh poem the </w:t>
      </w:r>
      <w:r w:rsidR="002E4284" w:rsidRPr="002E4284">
        <w:rPr>
          <w:i/>
          <w:iCs/>
          <w:sz w:val="24"/>
          <w:szCs w:val="24"/>
        </w:rPr>
        <w:t>Gododdin</w:t>
      </w:r>
      <w:r w:rsidR="002E4284">
        <w:rPr>
          <w:sz w:val="24"/>
          <w:szCs w:val="24"/>
        </w:rPr>
        <w:t>: ‘If the blood of all those you killed were wine you would have (?) plenty for three years and four.’</w:t>
      </w:r>
      <w:r w:rsidR="006A73F2">
        <w:rPr>
          <w:rStyle w:val="FootnoteReference"/>
          <w:sz w:val="24"/>
          <w:szCs w:val="24"/>
        </w:rPr>
        <w:footnoteReference w:id="11"/>
      </w:r>
      <w:r w:rsidR="002E4284">
        <w:rPr>
          <w:sz w:val="24"/>
          <w:szCs w:val="24"/>
        </w:rPr>
        <w:t xml:space="preserve">  This does not, however, constitute proof of blood drinking, as it may </w:t>
      </w:r>
      <w:r w:rsidR="00DA53FC">
        <w:rPr>
          <w:sz w:val="24"/>
          <w:szCs w:val="24"/>
        </w:rPr>
        <w:t>simply</w:t>
      </w:r>
      <w:r w:rsidR="002E4284">
        <w:rPr>
          <w:sz w:val="24"/>
          <w:szCs w:val="24"/>
        </w:rPr>
        <w:t xml:space="preserve"> be a metaphor for the number of people slain.</w:t>
      </w:r>
    </w:p>
    <w:p w14:paraId="03FF15AA" w14:textId="7CA08AD9" w:rsidR="002C6BAB" w:rsidRDefault="002E4284" w:rsidP="002C6BAB">
      <w:pPr>
        <w:ind w:firstLine="720"/>
        <w:rPr>
          <w:sz w:val="24"/>
          <w:szCs w:val="24"/>
        </w:rPr>
      </w:pPr>
      <w:r>
        <w:rPr>
          <w:sz w:val="24"/>
          <w:szCs w:val="24"/>
        </w:rPr>
        <w:t xml:space="preserve">Rodway continues to cite several further examples of potential cannibalism from </w:t>
      </w:r>
      <w:r w:rsidRPr="00675593">
        <w:rPr>
          <w:i/>
          <w:iCs/>
          <w:sz w:val="24"/>
          <w:szCs w:val="24"/>
        </w:rPr>
        <w:t xml:space="preserve">The Mabinogi </w:t>
      </w:r>
      <w:r w:rsidRPr="00675593">
        <w:rPr>
          <w:sz w:val="24"/>
          <w:szCs w:val="24"/>
        </w:rPr>
        <w:t>and</w:t>
      </w:r>
      <w:r w:rsidRPr="00675593">
        <w:rPr>
          <w:i/>
          <w:iCs/>
          <w:sz w:val="24"/>
          <w:szCs w:val="24"/>
        </w:rPr>
        <w:t xml:space="preserve"> </w:t>
      </w:r>
      <w:r w:rsidR="00675593" w:rsidRPr="00675593">
        <w:rPr>
          <w:i/>
          <w:iCs/>
          <w:sz w:val="24"/>
          <w:szCs w:val="24"/>
        </w:rPr>
        <w:t>Culhwch and Olwen</w:t>
      </w:r>
      <w:r w:rsidR="001B71B6">
        <w:rPr>
          <w:sz w:val="24"/>
          <w:szCs w:val="24"/>
        </w:rPr>
        <w:t>.</w:t>
      </w:r>
      <w:r w:rsidR="00675593">
        <w:rPr>
          <w:i/>
          <w:iCs/>
          <w:sz w:val="24"/>
          <w:szCs w:val="24"/>
        </w:rPr>
        <w:t xml:space="preserve"> </w:t>
      </w:r>
      <w:r w:rsidR="004F3735">
        <w:rPr>
          <w:sz w:val="24"/>
          <w:szCs w:val="24"/>
        </w:rPr>
        <w:t xml:space="preserve">In the former, </w:t>
      </w:r>
      <w:r w:rsidR="00675593">
        <w:rPr>
          <w:sz w:val="24"/>
          <w:szCs w:val="24"/>
        </w:rPr>
        <w:t>Rhiannon’s guilt</w:t>
      </w:r>
      <w:r w:rsidR="00D504BF">
        <w:rPr>
          <w:sz w:val="24"/>
          <w:szCs w:val="24"/>
        </w:rPr>
        <w:t xml:space="preserve"> of eating her child</w:t>
      </w:r>
      <w:r w:rsidR="00675593">
        <w:rPr>
          <w:sz w:val="24"/>
          <w:szCs w:val="24"/>
        </w:rPr>
        <w:t xml:space="preserve"> is impli</w:t>
      </w:r>
      <w:r w:rsidR="00A70370">
        <w:rPr>
          <w:sz w:val="24"/>
          <w:szCs w:val="24"/>
        </w:rPr>
        <w:t>ed</w:t>
      </w:r>
      <w:r w:rsidR="00675593">
        <w:rPr>
          <w:sz w:val="24"/>
          <w:szCs w:val="24"/>
        </w:rPr>
        <w:t xml:space="preserve"> but ultimately </w:t>
      </w:r>
      <w:r w:rsidR="00427B65">
        <w:rPr>
          <w:sz w:val="24"/>
          <w:szCs w:val="24"/>
        </w:rPr>
        <w:t xml:space="preserve">proven </w:t>
      </w:r>
      <w:r w:rsidR="00675593">
        <w:rPr>
          <w:sz w:val="24"/>
          <w:szCs w:val="24"/>
        </w:rPr>
        <w:t xml:space="preserve">false, and in the latter, Gwynn Ap Nudd’s treatment of Cyledyr is cruel and punitive; the flesh eating is forced </w:t>
      </w:r>
      <w:r w:rsidR="00966A0C">
        <w:rPr>
          <w:sz w:val="24"/>
          <w:szCs w:val="24"/>
        </w:rPr>
        <w:t>up</w:t>
      </w:r>
      <w:r w:rsidR="00675593">
        <w:rPr>
          <w:sz w:val="24"/>
          <w:szCs w:val="24"/>
        </w:rPr>
        <w:t>on him rather than</w:t>
      </w:r>
      <w:r w:rsidR="005637F3">
        <w:rPr>
          <w:sz w:val="24"/>
          <w:szCs w:val="24"/>
        </w:rPr>
        <w:t xml:space="preserve"> </w:t>
      </w:r>
      <w:r w:rsidR="00A5114D">
        <w:rPr>
          <w:sz w:val="24"/>
          <w:szCs w:val="24"/>
        </w:rPr>
        <w:t xml:space="preserve">being </w:t>
      </w:r>
      <w:r w:rsidR="005637F3">
        <w:rPr>
          <w:sz w:val="24"/>
          <w:szCs w:val="24"/>
        </w:rPr>
        <w:t>a</w:t>
      </w:r>
      <w:r w:rsidR="00675593">
        <w:rPr>
          <w:sz w:val="24"/>
          <w:szCs w:val="24"/>
        </w:rPr>
        <w:t xml:space="preserve"> voluntary</w:t>
      </w:r>
      <w:r w:rsidR="005637F3">
        <w:rPr>
          <w:sz w:val="24"/>
          <w:szCs w:val="24"/>
        </w:rPr>
        <w:t xml:space="preserve"> act</w:t>
      </w:r>
      <w:r w:rsidR="00675593">
        <w:rPr>
          <w:sz w:val="24"/>
          <w:szCs w:val="24"/>
        </w:rPr>
        <w:t xml:space="preserve">. This echoes the account of </w:t>
      </w:r>
      <w:r w:rsidR="00642EB9">
        <w:rPr>
          <w:sz w:val="24"/>
          <w:szCs w:val="24"/>
        </w:rPr>
        <w:t xml:space="preserve">Irish </w:t>
      </w:r>
      <w:r w:rsidR="00675593">
        <w:rPr>
          <w:sz w:val="24"/>
          <w:szCs w:val="24"/>
        </w:rPr>
        <w:t xml:space="preserve">King Labhraid Loinsech, who </w:t>
      </w:r>
      <w:r w:rsidR="00B21651">
        <w:rPr>
          <w:sz w:val="24"/>
          <w:szCs w:val="24"/>
        </w:rPr>
        <w:t>is</w:t>
      </w:r>
      <w:r w:rsidR="00675593">
        <w:rPr>
          <w:sz w:val="24"/>
          <w:szCs w:val="24"/>
        </w:rPr>
        <w:t xml:space="preserve"> forced to eat the flesh of his father and grandfather.  Neither of these incidents </w:t>
      </w:r>
      <w:r w:rsidR="0010241E">
        <w:rPr>
          <w:sz w:val="24"/>
          <w:szCs w:val="24"/>
        </w:rPr>
        <w:t>could be considered</w:t>
      </w:r>
      <w:r w:rsidR="00675593">
        <w:rPr>
          <w:sz w:val="24"/>
          <w:szCs w:val="24"/>
        </w:rPr>
        <w:t xml:space="preserve"> affectionate</w:t>
      </w:r>
      <w:r w:rsidR="006A73F2">
        <w:rPr>
          <w:sz w:val="24"/>
          <w:szCs w:val="24"/>
        </w:rPr>
        <w:t xml:space="preserve"> </w:t>
      </w:r>
      <w:r w:rsidR="00675593">
        <w:rPr>
          <w:sz w:val="24"/>
          <w:szCs w:val="24"/>
        </w:rPr>
        <w:t xml:space="preserve">forms of </w:t>
      </w:r>
      <w:r w:rsidR="00642EB9">
        <w:rPr>
          <w:sz w:val="24"/>
          <w:szCs w:val="24"/>
        </w:rPr>
        <w:t>cannibalism and</w:t>
      </w:r>
      <w:r w:rsidR="005637F3">
        <w:rPr>
          <w:sz w:val="24"/>
          <w:szCs w:val="24"/>
        </w:rPr>
        <w:t xml:space="preserve"> are therefore</w:t>
      </w:r>
      <w:r w:rsidR="00657291">
        <w:rPr>
          <w:sz w:val="24"/>
          <w:szCs w:val="24"/>
        </w:rPr>
        <w:t>,</w:t>
      </w:r>
      <w:r w:rsidR="005637F3">
        <w:rPr>
          <w:sz w:val="24"/>
          <w:szCs w:val="24"/>
        </w:rPr>
        <w:t xml:space="preserve"> not evidential for the custom</w:t>
      </w:r>
      <w:r w:rsidR="00642EB9">
        <w:rPr>
          <w:sz w:val="24"/>
          <w:szCs w:val="24"/>
        </w:rPr>
        <w:t>.</w:t>
      </w:r>
      <w:r w:rsidR="005637F3">
        <w:rPr>
          <w:sz w:val="24"/>
          <w:szCs w:val="24"/>
        </w:rPr>
        <w:t xml:space="preserve"> Rodway points out that the Welsh Medieval literature does not ‘strongly support a tradition of cannibalism’</w:t>
      </w:r>
      <w:r w:rsidR="00642EB9">
        <w:rPr>
          <w:sz w:val="24"/>
          <w:szCs w:val="24"/>
        </w:rPr>
        <w:t xml:space="preserve"> </w:t>
      </w:r>
      <w:r w:rsidR="00AA3EFE">
        <w:rPr>
          <w:sz w:val="24"/>
          <w:szCs w:val="24"/>
        </w:rPr>
        <w:t>amongst</w:t>
      </w:r>
      <w:r w:rsidR="00642EB9">
        <w:rPr>
          <w:sz w:val="24"/>
          <w:szCs w:val="24"/>
        </w:rPr>
        <w:t xml:space="preserve"> the </w:t>
      </w:r>
      <w:r w:rsidR="004E4172">
        <w:rPr>
          <w:sz w:val="24"/>
          <w:szCs w:val="24"/>
        </w:rPr>
        <w:t>Brittonic</w:t>
      </w:r>
      <w:r w:rsidR="00642EB9">
        <w:rPr>
          <w:sz w:val="24"/>
          <w:szCs w:val="24"/>
        </w:rPr>
        <w:t xml:space="preserve"> </w:t>
      </w:r>
      <w:r w:rsidR="00D427C8">
        <w:rPr>
          <w:sz w:val="24"/>
          <w:szCs w:val="24"/>
        </w:rPr>
        <w:t>speakers of Britain</w:t>
      </w:r>
      <w:r w:rsidR="00642EB9">
        <w:rPr>
          <w:sz w:val="24"/>
          <w:szCs w:val="24"/>
        </w:rPr>
        <w:t>, and that the idea of eating one’s father’s heart may have been borrowed from Irish myth or custom.</w:t>
      </w:r>
      <w:r w:rsidR="006A73F2">
        <w:rPr>
          <w:rStyle w:val="FootnoteReference"/>
          <w:sz w:val="24"/>
          <w:szCs w:val="24"/>
        </w:rPr>
        <w:footnoteReference w:id="12"/>
      </w:r>
      <w:r w:rsidR="00D427C8">
        <w:rPr>
          <w:sz w:val="24"/>
          <w:szCs w:val="24"/>
        </w:rPr>
        <w:t xml:space="preserve"> </w:t>
      </w:r>
      <w:r w:rsidR="00805917">
        <w:rPr>
          <w:sz w:val="24"/>
          <w:szCs w:val="24"/>
        </w:rPr>
        <w:t xml:space="preserve"> </w:t>
      </w:r>
      <w:r w:rsidR="00721DDB">
        <w:rPr>
          <w:sz w:val="24"/>
          <w:szCs w:val="24"/>
        </w:rPr>
        <w:t>H</w:t>
      </w:r>
      <w:r w:rsidR="00805917">
        <w:rPr>
          <w:sz w:val="24"/>
          <w:szCs w:val="24"/>
        </w:rPr>
        <w:t>e</w:t>
      </w:r>
      <w:r w:rsidR="00D427C8">
        <w:rPr>
          <w:sz w:val="24"/>
          <w:szCs w:val="24"/>
        </w:rPr>
        <w:t xml:space="preserve"> </w:t>
      </w:r>
      <w:r w:rsidR="00F51588">
        <w:rPr>
          <w:sz w:val="24"/>
          <w:szCs w:val="24"/>
        </w:rPr>
        <w:t>acknowledges</w:t>
      </w:r>
      <w:r w:rsidR="00D427C8">
        <w:rPr>
          <w:sz w:val="24"/>
          <w:szCs w:val="24"/>
        </w:rPr>
        <w:t xml:space="preserve"> that this is</w:t>
      </w:r>
      <w:r w:rsidR="00805917">
        <w:rPr>
          <w:sz w:val="24"/>
          <w:szCs w:val="24"/>
        </w:rPr>
        <w:t xml:space="preserve"> by no means certain</w:t>
      </w:r>
      <w:r w:rsidR="00D427C8">
        <w:rPr>
          <w:sz w:val="24"/>
          <w:szCs w:val="24"/>
        </w:rPr>
        <w:t>, due to</w:t>
      </w:r>
      <w:r w:rsidR="008971A8">
        <w:rPr>
          <w:sz w:val="24"/>
          <w:szCs w:val="24"/>
        </w:rPr>
        <w:t xml:space="preserve"> </w:t>
      </w:r>
      <w:r w:rsidR="008A4E9E">
        <w:rPr>
          <w:sz w:val="24"/>
          <w:szCs w:val="24"/>
        </w:rPr>
        <w:t xml:space="preserve">the discovery of </w:t>
      </w:r>
      <w:r w:rsidR="00B21651">
        <w:rPr>
          <w:sz w:val="24"/>
          <w:szCs w:val="24"/>
        </w:rPr>
        <w:t xml:space="preserve">archaeological evidence of </w:t>
      </w:r>
      <w:r w:rsidR="00805917">
        <w:rPr>
          <w:sz w:val="24"/>
          <w:szCs w:val="24"/>
        </w:rPr>
        <w:t xml:space="preserve">possible </w:t>
      </w:r>
      <w:r w:rsidR="00B21651">
        <w:rPr>
          <w:sz w:val="24"/>
          <w:szCs w:val="24"/>
        </w:rPr>
        <w:t>cannibalism in the Iron Age period</w:t>
      </w:r>
      <w:r w:rsidR="004E4172">
        <w:rPr>
          <w:sz w:val="24"/>
          <w:szCs w:val="24"/>
        </w:rPr>
        <w:t>; specifically</w:t>
      </w:r>
      <w:r w:rsidR="008A4E9E">
        <w:rPr>
          <w:sz w:val="24"/>
          <w:szCs w:val="24"/>
        </w:rPr>
        <w:t>,</w:t>
      </w:r>
      <w:r w:rsidR="004E4172">
        <w:rPr>
          <w:sz w:val="24"/>
          <w:szCs w:val="24"/>
        </w:rPr>
        <w:t xml:space="preserve"> finds located in the grounds of Eton College, Berkshire, and Alveston near Bristol.</w:t>
      </w:r>
      <w:r w:rsidR="00D427C8">
        <w:rPr>
          <w:sz w:val="24"/>
          <w:szCs w:val="24"/>
        </w:rPr>
        <w:t xml:space="preserve"> </w:t>
      </w:r>
      <w:r w:rsidR="00805917">
        <w:rPr>
          <w:sz w:val="24"/>
          <w:szCs w:val="24"/>
        </w:rPr>
        <w:t>However, as</w:t>
      </w:r>
      <w:r w:rsidR="00DB260E">
        <w:rPr>
          <w:sz w:val="24"/>
          <w:szCs w:val="24"/>
        </w:rPr>
        <w:t xml:space="preserve"> Rodway rightly points out,</w:t>
      </w:r>
      <w:r w:rsidR="00805917">
        <w:rPr>
          <w:sz w:val="24"/>
          <w:szCs w:val="24"/>
        </w:rPr>
        <w:t xml:space="preserve"> </w:t>
      </w:r>
      <w:r w:rsidR="00280A57">
        <w:rPr>
          <w:sz w:val="24"/>
          <w:szCs w:val="24"/>
        </w:rPr>
        <w:t xml:space="preserve">as </w:t>
      </w:r>
      <w:r w:rsidR="00805917">
        <w:rPr>
          <w:sz w:val="24"/>
          <w:szCs w:val="24"/>
        </w:rPr>
        <w:t xml:space="preserve">these remains are difficult to interpret, they </w:t>
      </w:r>
      <w:r w:rsidR="00875E95">
        <w:rPr>
          <w:sz w:val="24"/>
          <w:szCs w:val="24"/>
        </w:rPr>
        <w:t>can</w:t>
      </w:r>
      <w:r w:rsidR="00805917">
        <w:rPr>
          <w:sz w:val="24"/>
          <w:szCs w:val="24"/>
        </w:rPr>
        <w:t>not constitute evidence for anthropophagy, at least not in the Iron Age Celtic speaking period. At best, one can say it is possible, but there is no definitive proof.</w:t>
      </w:r>
      <w:r w:rsidR="002C6BAB">
        <w:rPr>
          <w:sz w:val="24"/>
          <w:szCs w:val="24"/>
        </w:rPr>
        <w:t xml:space="preserve"> </w:t>
      </w:r>
      <w:r w:rsidR="00814A9C">
        <w:rPr>
          <w:sz w:val="24"/>
          <w:szCs w:val="24"/>
        </w:rPr>
        <w:t xml:space="preserve">Rodway mentions </w:t>
      </w:r>
      <w:r w:rsidR="002C6BAB">
        <w:rPr>
          <w:sz w:val="24"/>
          <w:szCs w:val="24"/>
        </w:rPr>
        <w:t>some evidence t</w:t>
      </w:r>
      <w:r w:rsidR="00DF3EA7">
        <w:rPr>
          <w:sz w:val="24"/>
          <w:szCs w:val="24"/>
        </w:rPr>
        <w:t>o</w:t>
      </w:r>
      <w:r w:rsidR="002C6BAB">
        <w:rPr>
          <w:sz w:val="24"/>
          <w:szCs w:val="24"/>
        </w:rPr>
        <w:t xml:space="preserve"> suggest </w:t>
      </w:r>
      <w:r w:rsidR="0000594B">
        <w:rPr>
          <w:sz w:val="24"/>
          <w:szCs w:val="24"/>
        </w:rPr>
        <w:t xml:space="preserve">potential </w:t>
      </w:r>
      <w:r w:rsidR="002C6BAB">
        <w:rPr>
          <w:sz w:val="24"/>
          <w:szCs w:val="24"/>
        </w:rPr>
        <w:t xml:space="preserve">cannibalistic practices in the Paleolithic </w:t>
      </w:r>
      <w:r w:rsidR="004205C6">
        <w:rPr>
          <w:sz w:val="24"/>
          <w:szCs w:val="24"/>
        </w:rPr>
        <w:t>era but</w:t>
      </w:r>
      <w:r w:rsidR="002C6BAB">
        <w:rPr>
          <w:sz w:val="24"/>
          <w:szCs w:val="24"/>
        </w:rPr>
        <w:t xml:space="preserve"> is quick to dismiss this as purely speculative.</w:t>
      </w:r>
    </w:p>
    <w:p w14:paraId="71BCFF6E" w14:textId="52E4AFE5" w:rsidR="00946446" w:rsidRDefault="00946446" w:rsidP="002C6BAB">
      <w:pPr>
        <w:ind w:firstLine="720"/>
        <w:rPr>
          <w:sz w:val="24"/>
          <w:szCs w:val="24"/>
        </w:rPr>
      </w:pPr>
      <w:r>
        <w:rPr>
          <w:sz w:val="24"/>
          <w:szCs w:val="24"/>
        </w:rPr>
        <w:t xml:space="preserve">In a second examination of Strabo’s account, Rodway reinforces the </w:t>
      </w:r>
      <w:r w:rsidR="0069639C">
        <w:rPr>
          <w:sz w:val="24"/>
          <w:szCs w:val="24"/>
        </w:rPr>
        <w:t>unreliability of this</w:t>
      </w:r>
      <w:r>
        <w:rPr>
          <w:sz w:val="24"/>
          <w:szCs w:val="24"/>
        </w:rPr>
        <w:t xml:space="preserve"> source, cit</w:t>
      </w:r>
      <w:r w:rsidR="00164FA2">
        <w:rPr>
          <w:sz w:val="24"/>
          <w:szCs w:val="24"/>
        </w:rPr>
        <w:t>ing</w:t>
      </w:r>
      <w:r>
        <w:rPr>
          <w:sz w:val="24"/>
          <w:szCs w:val="24"/>
        </w:rPr>
        <w:t xml:space="preserve"> a quote </w:t>
      </w:r>
      <w:r w:rsidR="00403542">
        <w:rPr>
          <w:sz w:val="24"/>
          <w:szCs w:val="24"/>
        </w:rPr>
        <w:t>from</w:t>
      </w:r>
      <w:r>
        <w:rPr>
          <w:sz w:val="24"/>
          <w:szCs w:val="24"/>
        </w:rPr>
        <w:t xml:space="preserve"> Malcolm Chapman, </w:t>
      </w:r>
      <w:r w:rsidR="000959B1">
        <w:rPr>
          <w:sz w:val="24"/>
          <w:szCs w:val="24"/>
        </w:rPr>
        <w:t xml:space="preserve">in which </w:t>
      </w:r>
      <w:r w:rsidR="00B7613C">
        <w:rPr>
          <w:sz w:val="24"/>
          <w:szCs w:val="24"/>
        </w:rPr>
        <w:t>Chapman</w:t>
      </w:r>
      <w:r>
        <w:rPr>
          <w:sz w:val="24"/>
          <w:szCs w:val="24"/>
        </w:rPr>
        <w:t xml:space="preserve"> accuses Strabo of prejudice and sensationalism</w:t>
      </w:r>
      <w:r w:rsidR="00DB59E6">
        <w:rPr>
          <w:sz w:val="24"/>
          <w:szCs w:val="24"/>
        </w:rPr>
        <w:t xml:space="preserve"> directed at a people,</w:t>
      </w:r>
      <w:r w:rsidR="00476756">
        <w:rPr>
          <w:sz w:val="24"/>
          <w:szCs w:val="24"/>
        </w:rPr>
        <w:t xml:space="preserve"> </w:t>
      </w:r>
      <w:r w:rsidR="00171789">
        <w:rPr>
          <w:sz w:val="24"/>
          <w:szCs w:val="24"/>
        </w:rPr>
        <w:t xml:space="preserve">perhaps </w:t>
      </w:r>
      <w:r w:rsidR="00DB59E6">
        <w:rPr>
          <w:sz w:val="24"/>
          <w:szCs w:val="24"/>
        </w:rPr>
        <w:t xml:space="preserve">viewed by Strabo as primitive and existing on the outer regions of civilisation, </w:t>
      </w:r>
      <w:r w:rsidR="00C362F3">
        <w:rPr>
          <w:sz w:val="24"/>
          <w:szCs w:val="24"/>
        </w:rPr>
        <w:t xml:space="preserve">and </w:t>
      </w:r>
      <w:r w:rsidR="00476756">
        <w:rPr>
          <w:sz w:val="24"/>
          <w:szCs w:val="24"/>
        </w:rPr>
        <w:t>th</w:t>
      </w:r>
      <w:r w:rsidR="00DA1D36">
        <w:rPr>
          <w:sz w:val="24"/>
          <w:szCs w:val="24"/>
        </w:rPr>
        <w:t>us</w:t>
      </w:r>
      <w:r w:rsidR="00C362F3">
        <w:rPr>
          <w:sz w:val="24"/>
          <w:szCs w:val="24"/>
        </w:rPr>
        <w:t xml:space="preserve"> </w:t>
      </w:r>
      <w:r w:rsidR="00DB59E6">
        <w:rPr>
          <w:sz w:val="24"/>
          <w:szCs w:val="24"/>
        </w:rPr>
        <w:t xml:space="preserve">far </w:t>
      </w:r>
      <w:r w:rsidR="00C00376">
        <w:rPr>
          <w:sz w:val="24"/>
          <w:szCs w:val="24"/>
        </w:rPr>
        <w:t xml:space="preserve">removed </w:t>
      </w:r>
      <w:r w:rsidR="00DB59E6">
        <w:rPr>
          <w:sz w:val="24"/>
          <w:szCs w:val="24"/>
        </w:rPr>
        <w:t xml:space="preserve">from the </w:t>
      </w:r>
      <w:r w:rsidR="00675CF6">
        <w:rPr>
          <w:sz w:val="24"/>
          <w:szCs w:val="24"/>
        </w:rPr>
        <w:t>high</w:t>
      </w:r>
      <w:r w:rsidR="0009774D">
        <w:rPr>
          <w:sz w:val="24"/>
          <w:szCs w:val="24"/>
        </w:rPr>
        <w:t>ly</w:t>
      </w:r>
      <w:r w:rsidR="00675CF6">
        <w:rPr>
          <w:sz w:val="24"/>
          <w:szCs w:val="24"/>
        </w:rPr>
        <w:t xml:space="preserve"> </w:t>
      </w:r>
      <w:r w:rsidR="00DB59E6">
        <w:rPr>
          <w:sz w:val="24"/>
          <w:szCs w:val="24"/>
        </w:rPr>
        <w:t>culture</w:t>
      </w:r>
      <w:r w:rsidR="0009774D">
        <w:rPr>
          <w:sz w:val="24"/>
          <w:szCs w:val="24"/>
        </w:rPr>
        <w:t>d</w:t>
      </w:r>
      <w:r w:rsidR="00DB59E6">
        <w:rPr>
          <w:sz w:val="24"/>
          <w:szCs w:val="24"/>
        </w:rPr>
        <w:t xml:space="preserve"> Mediterranean.  Such prejudice</w:t>
      </w:r>
      <w:r w:rsidR="003141CC">
        <w:rPr>
          <w:sz w:val="24"/>
          <w:szCs w:val="24"/>
        </w:rPr>
        <w:t>s</w:t>
      </w:r>
      <w:r w:rsidR="00DB59E6">
        <w:rPr>
          <w:sz w:val="24"/>
          <w:szCs w:val="24"/>
        </w:rPr>
        <w:t xml:space="preserve"> </w:t>
      </w:r>
      <w:r w:rsidR="003141CC">
        <w:rPr>
          <w:sz w:val="24"/>
          <w:szCs w:val="24"/>
        </w:rPr>
        <w:t>are</w:t>
      </w:r>
      <w:r w:rsidR="00DB59E6">
        <w:rPr>
          <w:sz w:val="24"/>
          <w:szCs w:val="24"/>
        </w:rPr>
        <w:t xml:space="preserve"> echoed by Medieval writer Gerald of Wales, who </w:t>
      </w:r>
      <w:r w:rsidR="00685645">
        <w:rPr>
          <w:sz w:val="24"/>
          <w:szCs w:val="24"/>
        </w:rPr>
        <w:t>is</w:t>
      </w:r>
      <w:r w:rsidR="00DB59E6">
        <w:rPr>
          <w:sz w:val="24"/>
          <w:szCs w:val="24"/>
        </w:rPr>
        <w:t xml:space="preserve"> p</w:t>
      </w:r>
      <w:r w:rsidR="00C61F2D">
        <w:rPr>
          <w:sz w:val="24"/>
          <w:szCs w:val="24"/>
        </w:rPr>
        <w:t>ossibly</w:t>
      </w:r>
      <w:r w:rsidR="00DB59E6">
        <w:rPr>
          <w:sz w:val="24"/>
          <w:szCs w:val="24"/>
        </w:rPr>
        <w:t xml:space="preserve"> heavily influenced by the classical authors. This concept of marginal cannibalism f</w:t>
      </w:r>
      <w:r w:rsidR="00014297">
        <w:rPr>
          <w:sz w:val="24"/>
          <w:szCs w:val="24"/>
        </w:rPr>
        <w:t>inds</w:t>
      </w:r>
      <w:r w:rsidR="00DB59E6">
        <w:rPr>
          <w:sz w:val="24"/>
          <w:szCs w:val="24"/>
        </w:rPr>
        <w:t xml:space="preserve"> its way into the Early Modern period</w:t>
      </w:r>
      <w:r w:rsidR="00014297">
        <w:rPr>
          <w:sz w:val="24"/>
          <w:szCs w:val="24"/>
        </w:rPr>
        <w:t xml:space="preserve">, both in the </w:t>
      </w:r>
      <w:r w:rsidR="00165FC4">
        <w:rPr>
          <w:sz w:val="24"/>
          <w:szCs w:val="24"/>
        </w:rPr>
        <w:t xml:space="preserve">early eighteenth century </w:t>
      </w:r>
      <w:r w:rsidR="00014297">
        <w:rPr>
          <w:sz w:val="24"/>
          <w:szCs w:val="24"/>
        </w:rPr>
        <w:t xml:space="preserve">legend of </w:t>
      </w:r>
      <w:r w:rsidR="00165FC4">
        <w:rPr>
          <w:sz w:val="24"/>
          <w:szCs w:val="24"/>
        </w:rPr>
        <w:t xml:space="preserve">alleged prolific cannibal </w:t>
      </w:r>
      <w:r w:rsidR="00014297">
        <w:rPr>
          <w:sz w:val="24"/>
          <w:szCs w:val="24"/>
        </w:rPr>
        <w:t>Sawney Bean in Scotland</w:t>
      </w:r>
      <w:r w:rsidR="006E4A95">
        <w:rPr>
          <w:sz w:val="24"/>
          <w:szCs w:val="24"/>
        </w:rPr>
        <w:t>,</w:t>
      </w:r>
      <w:r w:rsidR="00014297">
        <w:rPr>
          <w:sz w:val="24"/>
          <w:szCs w:val="24"/>
        </w:rPr>
        <w:t xml:space="preserve"> and in later </w:t>
      </w:r>
      <w:r w:rsidR="00165FC4">
        <w:rPr>
          <w:sz w:val="24"/>
          <w:szCs w:val="24"/>
        </w:rPr>
        <w:t>eighteenth</w:t>
      </w:r>
      <w:r w:rsidR="00014297">
        <w:rPr>
          <w:sz w:val="24"/>
          <w:szCs w:val="24"/>
        </w:rPr>
        <w:t xml:space="preserve"> century </w:t>
      </w:r>
      <w:r w:rsidR="006E4A95">
        <w:rPr>
          <w:sz w:val="24"/>
          <w:szCs w:val="24"/>
        </w:rPr>
        <w:t>chapbook stories</w:t>
      </w:r>
      <w:r w:rsidR="00014297">
        <w:rPr>
          <w:sz w:val="24"/>
          <w:szCs w:val="24"/>
        </w:rPr>
        <w:t xml:space="preserve"> relating to the people of the West Country. </w:t>
      </w:r>
      <w:r w:rsidR="0009774D">
        <w:rPr>
          <w:sz w:val="24"/>
          <w:szCs w:val="24"/>
        </w:rPr>
        <w:t>To this,</w:t>
      </w:r>
      <w:r w:rsidR="00014297">
        <w:rPr>
          <w:sz w:val="24"/>
          <w:szCs w:val="24"/>
        </w:rPr>
        <w:t xml:space="preserve"> Murray Pittock</w:t>
      </w:r>
      <w:r w:rsidR="006E4A95">
        <w:rPr>
          <w:sz w:val="24"/>
          <w:szCs w:val="24"/>
        </w:rPr>
        <w:t xml:space="preserve"> sarcastically</w:t>
      </w:r>
      <w:r w:rsidR="00014297">
        <w:rPr>
          <w:sz w:val="24"/>
          <w:szCs w:val="24"/>
        </w:rPr>
        <w:t xml:space="preserve"> states: ‘in such remote margins, what other kind of behaviour could be </w:t>
      </w:r>
      <w:r w:rsidR="00014297">
        <w:rPr>
          <w:sz w:val="24"/>
          <w:szCs w:val="24"/>
        </w:rPr>
        <w:lastRenderedPageBreak/>
        <w:t>expected?</w:t>
      </w:r>
      <w:r w:rsidR="00BF056A">
        <w:rPr>
          <w:sz w:val="24"/>
          <w:szCs w:val="24"/>
        </w:rPr>
        <w:t>’</w:t>
      </w:r>
      <w:r w:rsidR="00BF056A">
        <w:rPr>
          <w:rStyle w:val="FootnoteReference"/>
          <w:sz w:val="24"/>
          <w:szCs w:val="24"/>
        </w:rPr>
        <w:footnoteReference w:id="13"/>
      </w:r>
      <w:r w:rsidR="000D4219">
        <w:rPr>
          <w:sz w:val="24"/>
          <w:szCs w:val="24"/>
        </w:rPr>
        <w:t xml:space="preserve"> Rodway concludes</w:t>
      </w:r>
      <w:r w:rsidR="00563E11">
        <w:rPr>
          <w:sz w:val="24"/>
          <w:szCs w:val="24"/>
        </w:rPr>
        <w:t xml:space="preserve">, </w:t>
      </w:r>
      <w:r w:rsidR="00645784">
        <w:rPr>
          <w:sz w:val="24"/>
          <w:szCs w:val="24"/>
        </w:rPr>
        <w:t>quite</w:t>
      </w:r>
      <w:r w:rsidR="00563E11">
        <w:rPr>
          <w:sz w:val="24"/>
          <w:szCs w:val="24"/>
        </w:rPr>
        <w:t xml:space="preserve"> </w:t>
      </w:r>
      <w:r w:rsidR="00F40F92">
        <w:rPr>
          <w:sz w:val="24"/>
          <w:szCs w:val="24"/>
        </w:rPr>
        <w:t>accurately</w:t>
      </w:r>
      <w:r w:rsidR="00563E11">
        <w:rPr>
          <w:sz w:val="24"/>
          <w:szCs w:val="24"/>
        </w:rPr>
        <w:t>,</w:t>
      </w:r>
      <w:r w:rsidR="000D4219">
        <w:rPr>
          <w:sz w:val="24"/>
          <w:szCs w:val="24"/>
        </w:rPr>
        <w:t xml:space="preserve"> that the account of Strabo in relation to affectionate cannibalism amongst the people of Ireland is unreliable</w:t>
      </w:r>
      <w:r w:rsidR="005C0360">
        <w:rPr>
          <w:sz w:val="24"/>
          <w:szCs w:val="24"/>
        </w:rPr>
        <w:t>,</w:t>
      </w:r>
      <w:r w:rsidR="000D4219">
        <w:rPr>
          <w:sz w:val="24"/>
          <w:szCs w:val="24"/>
        </w:rPr>
        <w:t xml:space="preserve"> and therefore cannot prove that Irish funerary blood drinking </w:t>
      </w:r>
      <w:r w:rsidR="00CF3A7E">
        <w:rPr>
          <w:sz w:val="24"/>
          <w:szCs w:val="24"/>
        </w:rPr>
        <w:t>originated from this</w:t>
      </w:r>
      <w:r w:rsidR="000D4219">
        <w:rPr>
          <w:sz w:val="24"/>
          <w:szCs w:val="24"/>
        </w:rPr>
        <w:t xml:space="preserve"> </w:t>
      </w:r>
      <w:r w:rsidR="0009774D">
        <w:rPr>
          <w:sz w:val="24"/>
          <w:szCs w:val="24"/>
        </w:rPr>
        <w:t xml:space="preserve">allegedly </w:t>
      </w:r>
      <w:r w:rsidR="000D4219">
        <w:rPr>
          <w:sz w:val="24"/>
          <w:szCs w:val="24"/>
        </w:rPr>
        <w:t>ancient practice.</w:t>
      </w:r>
    </w:p>
    <w:p w14:paraId="36908980" w14:textId="3991B6BF" w:rsidR="005C0360" w:rsidRDefault="005C0360" w:rsidP="00E80521">
      <w:pPr>
        <w:ind w:firstLine="720"/>
        <w:rPr>
          <w:sz w:val="24"/>
          <w:szCs w:val="24"/>
        </w:rPr>
      </w:pPr>
      <w:r>
        <w:rPr>
          <w:sz w:val="24"/>
          <w:szCs w:val="24"/>
        </w:rPr>
        <w:t xml:space="preserve">Finally, Rodway seeks potential sources for the custom within Christian religious </w:t>
      </w:r>
      <w:r w:rsidR="000C3A24">
        <w:rPr>
          <w:sz w:val="24"/>
          <w:szCs w:val="24"/>
        </w:rPr>
        <w:t>imagery</w:t>
      </w:r>
      <w:r>
        <w:rPr>
          <w:sz w:val="24"/>
          <w:szCs w:val="24"/>
        </w:rPr>
        <w:t>, specifically the Virgin Mother’s anguish during the Passion of Christ.</w:t>
      </w:r>
      <w:r w:rsidR="00010ECC">
        <w:rPr>
          <w:sz w:val="24"/>
          <w:szCs w:val="24"/>
        </w:rPr>
        <w:t xml:space="preserve"> The evidence for this is </w:t>
      </w:r>
      <w:r w:rsidR="00AA0885">
        <w:rPr>
          <w:sz w:val="24"/>
          <w:szCs w:val="24"/>
        </w:rPr>
        <w:t>referenced</w:t>
      </w:r>
      <w:r w:rsidR="00010ECC">
        <w:rPr>
          <w:sz w:val="24"/>
          <w:szCs w:val="24"/>
        </w:rPr>
        <w:t xml:space="preserve"> </w:t>
      </w:r>
      <w:r w:rsidR="00C3099E">
        <w:rPr>
          <w:sz w:val="24"/>
          <w:szCs w:val="24"/>
        </w:rPr>
        <w:t>from a</w:t>
      </w:r>
      <w:r w:rsidR="00010ECC">
        <w:rPr>
          <w:sz w:val="24"/>
          <w:szCs w:val="24"/>
        </w:rPr>
        <w:t xml:space="preserve"> </w:t>
      </w:r>
      <w:r w:rsidR="00474B0C">
        <w:rPr>
          <w:sz w:val="24"/>
          <w:szCs w:val="24"/>
        </w:rPr>
        <w:t>fifteenth</w:t>
      </w:r>
      <w:r w:rsidR="00010ECC">
        <w:rPr>
          <w:sz w:val="24"/>
          <w:szCs w:val="24"/>
        </w:rPr>
        <w:t xml:space="preserve"> century Irish translation of </w:t>
      </w:r>
      <w:r w:rsidR="00010ECC" w:rsidRPr="00010ECC">
        <w:rPr>
          <w:i/>
          <w:iCs/>
          <w:sz w:val="24"/>
          <w:szCs w:val="24"/>
        </w:rPr>
        <w:t>Liber de Passione Christi</w:t>
      </w:r>
      <w:r w:rsidR="00010ECC">
        <w:rPr>
          <w:i/>
          <w:iCs/>
          <w:sz w:val="24"/>
          <w:szCs w:val="24"/>
        </w:rPr>
        <w:t xml:space="preserve"> </w:t>
      </w:r>
      <w:r w:rsidR="00010ECC">
        <w:rPr>
          <w:sz w:val="24"/>
          <w:szCs w:val="24"/>
        </w:rPr>
        <w:t xml:space="preserve">(pseudo-Barnard), where the Virgin Mary drinks the blood of Christ. </w:t>
      </w:r>
      <w:r w:rsidR="00DB3DA9">
        <w:rPr>
          <w:sz w:val="24"/>
          <w:szCs w:val="24"/>
        </w:rPr>
        <w:t>I</w:t>
      </w:r>
      <w:r w:rsidR="004963E8">
        <w:rPr>
          <w:sz w:val="24"/>
          <w:szCs w:val="24"/>
        </w:rPr>
        <w:t xml:space="preserve">nterestingly, </w:t>
      </w:r>
      <w:r w:rsidR="00F60D17">
        <w:rPr>
          <w:sz w:val="24"/>
          <w:szCs w:val="24"/>
        </w:rPr>
        <w:t xml:space="preserve">he notes </w:t>
      </w:r>
      <w:r w:rsidR="00DB3DA9">
        <w:rPr>
          <w:sz w:val="24"/>
          <w:szCs w:val="24"/>
        </w:rPr>
        <w:t>t</w:t>
      </w:r>
      <w:r w:rsidR="00010ECC">
        <w:rPr>
          <w:sz w:val="24"/>
          <w:szCs w:val="24"/>
        </w:rPr>
        <w:t xml:space="preserve">his </w:t>
      </w:r>
      <w:r w:rsidR="00925100">
        <w:rPr>
          <w:sz w:val="24"/>
          <w:szCs w:val="24"/>
        </w:rPr>
        <w:t>incident</w:t>
      </w:r>
      <w:r w:rsidR="00010ECC">
        <w:rPr>
          <w:sz w:val="24"/>
          <w:szCs w:val="24"/>
        </w:rPr>
        <w:t xml:space="preserve"> is absent from the original Latin</w:t>
      </w:r>
      <w:r w:rsidR="0048341F">
        <w:rPr>
          <w:sz w:val="24"/>
          <w:szCs w:val="24"/>
        </w:rPr>
        <w:t xml:space="preserve"> </w:t>
      </w:r>
      <w:r w:rsidR="009F56A1">
        <w:rPr>
          <w:sz w:val="24"/>
          <w:szCs w:val="24"/>
        </w:rPr>
        <w:t>text and</w:t>
      </w:r>
      <w:r w:rsidR="00010ECC">
        <w:rPr>
          <w:sz w:val="24"/>
          <w:szCs w:val="24"/>
        </w:rPr>
        <w:t xml:space="preserve"> may therefor</w:t>
      </w:r>
      <w:r w:rsidR="009B7068">
        <w:rPr>
          <w:sz w:val="24"/>
          <w:szCs w:val="24"/>
        </w:rPr>
        <w:t>e</w:t>
      </w:r>
      <w:r w:rsidR="00010ECC">
        <w:rPr>
          <w:sz w:val="24"/>
          <w:szCs w:val="24"/>
        </w:rPr>
        <w:t xml:space="preserve"> be an addition </w:t>
      </w:r>
      <w:r w:rsidR="008C4E1C">
        <w:rPr>
          <w:sz w:val="24"/>
          <w:szCs w:val="24"/>
        </w:rPr>
        <w:t>specific to</w:t>
      </w:r>
      <w:r w:rsidR="00010ECC">
        <w:rPr>
          <w:sz w:val="24"/>
          <w:szCs w:val="24"/>
        </w:rPr>
        <w:t xml:space="preserve"> the Irish native tradition, </w:t>
      </w:r>
      <w:r w:rsidR="00D65539">
        <w:rPr>
          <w:sz w:val="24"/>
          <w:szCs w:val="24"/>
        </w:rPr>
        <w:t>relat</w:t>
      </w:r>
      <w:r w:rsidR="00010ECC">
        <w:rPr>
          <w:sz w:val="24"/>
          <w:szCs w:val="24"/>
        </w:rPr>
        <w:t>ing to funerary custom</w:t>
      </w:r>
      <w:r w:rsidR="00CE7D71">
        <w:rPr>
          <w:sz w:val="24"/>
          <w:szCs w:val="24"/>
        </w:rPr>
        <w:t>s</w:t>
      </w:r>
      <w:r w:rsidR="00010ECC">
        <w:rPr>
          <w:sz w:val="24"/>
          <w:szCs w:val="24"/>
        </w:rPr>
        <w:t xml:space="preserve">. </w:t>
      </w:r>
      <w:r w:rsidR="0082589E">
        <w:rPr>
          <w:sz w:val="24"/>
          <w:szCs w:val="24"/>
        </w:rPr>
        <w:t>However</w:t>
      </w:r>
      <w:r w:rsidR="00010ECC">
        <w:rPr>
          <w:sz w:val="24"/>
          <w:szCs w:val="24"/>
        </w:rPr>
        <w:t xml:space="preserve">, </w:t>
      </w:r>
      <w:r w:rsidR="00667DDE">
        <w:rPr>
          <w:sz w:val="24"/>
          <w:szCs w:val="24"/>
        </w:rPr>
        <w:t xml:space="preserve">this </w:t>
      </w:r>
      <w:r w:rsidR="00E22E7B">
        <w:rPr>
          <w:sz w:val="24"/>
          <w:szCs w:val="24"/>
        </w:rPr>
        <w:t>theory</w:t>
      </w:r>
      <w:r w:rsidR="00667DDE">
        <w:rPr>
          <w:sz w:val="24"/>
          <w:szCs w:val="24"/>
        </w:rPr>
        <w:t xml:space="preserve"> loses credibility </w:t>
      </w:r>
      <w:r w:rsidR="009B7068">
        <w:rPr>
          <w:sz w:val="24"/>
          <w:szCs w:val="24"/>
        </w:rPr>
        <w:t>when considering</w:t>
      </w:r>
      <w:r w:rsidR="00010ECC">
        <w:rPr>
          <w:sz w:val="24"/>
          <w:szCs w:val="24"/>
        </w:rPr>
        <w:t xml:space="preserve"> </w:t>
      </w:r>
      <w:r w:rsidR="00023BD9">
        <w:rPr>
          <w:sz w:val="24"/>
          <w:szCs w:val="24"/>
        </w:rPr>
        <w:t>several</w:t>
      </w:r>
      <w:r w:rsidR="00010ECC">
        <w:rPr>
          <w:sz w:val="24"/>
          <w:szCs w:val="24"/>
        </w:rPr>
        <w:t xml:space="preserve"> other European texts relating to the Passion</w:t>
      </w:r>
      <w:r w:rsidR="00E22E7B">
        <w:rPr>
          <w:sz w:val="24"/>
          <w:szCs w:val="24"/>
        </w:rPr>
        <w:t xml:space="preserve"> exist</w:t>
      </w:r>
      <w:r w:rsidR="009B7068">
        <w:rPr>
          <w:sz w:val="24"/>
          <w:szCs w:val="24"/>
        </w:rPr>
        <w:t>,</w:t>
      </w:r>
      <w:r w:rsidR="00010ECC">
        <w:rPr>
          <w:sz w:val="24"/>
          <w:szCs w:val="24"/>
        </w:rPr>
        <w:t xml:space="preserve"> which parallel the imagery of Mary kissing Christ’s wounds or licking his blood, so it cannot be regarded as a wholly Irish custom</w:t>
      </w:r>
      <w:r w:rsidR="009D4CEA">
        <w:rPr>
          <w:sz w:val="24"/>
          <w:szCs w:val="24"/>
        </w:rPr>
        <w:t>.</w:t>
      </w:r>
      <w:r w:rsidR="00010ECC">
        <w:rPr>
          <w:sz w:val="24"/>
          <w:szCs w:val="24"/>
        </w:rPr>
        <w:t xml:space="preserve"> </w:t>
      </w:r>
      <w:r w:rsidR="009D4CEA">
        <w:rPr>
          <w:sz w:val="24"/>
          <w:szCs w:val="24"/>
        </w:rPr>
        <w:t>It appears</w:t>
      </w:r>
      <w:r w:rsidR="00A371AA">
        <w:rPr>
          <w:sz w:val="24"/>
          <w:szCs w:val="24"/>
        </w:rPr>
        <w:t xml:space="preserve"> more</w:t>
      </w:r>
      <w:r w:rsidR="009D4CEA">
        <w:rPr>
          <w:sz w:val="24"/>
          <w:szCs w:val="24"/>
        </w:rPr>
        <w:t xml:space="preserve"> likely</w:t>
      </w:r>
      <w:r w:rsidR="006D7E83">
        <w:rPr>
          <w:sz w:val="24"/>
          <w:szCs w:val="24"/>
        </w:rPr>
        <w:t xml:space="preserve"> to be</w:t>
      </w:r>
      <w:r w:rsidR="00010ECC">
        <w:rPr>
          <w:sz w:val="24"/>
          <w:szCs w:val="24"/>
        </w:rPr>
        <w:t xml:space="preserve"> part of a well-established tradition of writing on this subject. Rodway states that the Virgin Mary is credited with the invention of keening in Ireland, </w:t>
      </w:r>
      <w:r w:rsidR="00E80521">
        <w:rPr>
          <w:sz w:val="24"/>
          <w:szCs w:val="24"/>
        </w:rPr>
        <w:t xml:space="preserve">but it could be argued that the Irish deity Brig was the first woman ever to keen in </w:t>
      </w:r>
      <w:r w:rsidR="00E80521">
        <w:rPr>
          <w:i/>
          <w:iCs/>
          <w:sz w:val="24"/>
          <w:szCs w:val="24"/>
        </w:rPr>
        <w:t xml:space="preserve">The Second Battle of Moytura </w:t>
      </w:r>
      <w:r w:rsidR="00E80521" w:rsidRPr="002B4E10">
        <w:rPr>
          <w:sz w:val="24"/>
          <w:szCs w:val="24"/>
        </w:rPr>
        <w:t>where it</w:t>
      </w:r>
      <w:r w:rsidR="00E80521">
        <w:rPr>
          <w:i/>
          <w:iCs/>
          <w:sz w:val="24"/>
          <w:szCs w:val="24"/>
        </w:rPr>
        <w:t xml:space="preserve"> </w:t>
      </w:r>
      <w:r w:rsidR="00E80521" w:rsidRPr="00E80521">
        <w:rPr>
          <w:sz w:val="24"/>
          <w:szCs w:val="24"/>
        </w:rPr>
        <w:t>states</w:t>
      </w:r>
      <w:r w:rsidR="00E80521">
        <w:rPr>
          <w:sz w:val="24"/>
          <w:szCs w:val="24"/>
        </w:rPr>
        <w:t>: ‘Then Brig came and bewailed her son. She shrieked at first, she cried at last. So then it was for the first time crying and shrieking were heard in Erin.’</w:t>
      </w:r>
      <w:r w:rsidR="00E80521">
        <w:rPr>
          <w:rStyle w:val="FootnoteReference"/>
          <w:sz w:val="24"/>
          <w:szCs w:val="24"/>
        </w:rPr>
        <w:footnoteReference w:id="14"/>
      </w:r>
      <w:r w:rsidR="00E80521">
        <w:rPr>
          <w:sz w:val="24"/>
          <w:szCs w:val="24"/>
        </w:rPr>
        <w:t xml:space="preserve"> </w:t>
      </w:r>
      <w:r w:rsidR="00205BAF">
        <w:rPr>
          <w:sz w:val="24"/>
          <w:szCs w:val="24"/>
        </w:rPr>
        <w:t xml:space="preserve"> Whatever the origins of keening,</w:t>
      </w:r>
      <w:r w:rsidR="002B4E10">
        <w:rPr>
          <w:sz w:val="24"/>
          <w:szCs w:val="24"/>
        </w:rPr>
        <w:t xml:space="preserve"> Rodway </w:t>
      </w:r>
      <w:r w:rsidR="005120FE">
        <w:rPr>
          <w:sz w:val="24"/>
          <w:szCs w:val="24"/>
        </w:rPr>
        <w:t>suggests</w:t>
      </w:r>
      <w:r w:rsidR="00205BAF">
        <w:rPr>
          <w:sz w:val="24"/>
          <w:szCs w:val="24"/>
        </w:rPr>
        <w:t xml:space="preserve"> it</w:t>
      </w:r>
      <w:r w:rsidR="00010ECC">
        <w:rPr>
          <w:sz w:val="24"/>
          <w:szCs w:val="24"/>
        </w:rPr>
        <w:t xml:space="preserve"> ‘does not guarantee a Christian origin’ for the drinking of blood, but takes the position that these Gaelic blood drinking themes derive from European customs relating to the Passion and</w:t>
      </w:r>
      <w:r w:rsidR="00793BEB">
        <w:rPr>
          <w:sz w:val="24"/>
          <w:szCs w:val="24"/>
        </w:rPr>
        <w:t xml:space="preserve"> the Virgin</w:t>
      </w:r>
      <w:r w:rsidR="00010ECC">
        <w:rPr>
          <w:sz w:val="24"/>
          <w:szCs w:val="24"/>
        </w:rPr>
        <w:t xml:space="preserve"> Mary’s grief, rather than some </w:t>
      </w:r>
      <w:r w:rsidR="007E0959">
        <w:rPr>
          <w:sz w:val="24"/>
          <w:szCs w:val="24"/>
        </w:rPr>
        <w:t>pre-Christian tradition.</w:t>
      </w:r>
      <w:r w:rsidR="007F6575">
        <w:rPr>
          <w:rStyle w:val="FootnoteReference"/>
          <w:sz w:val="24"/>
          <w:szCs w:val="24"/>
        </w:rPr>
        <w:footnoteReference w:id="15"/>
      </w:r>
    </w:p>
    <w:p w14:paraId="103AB605" w14:textId="56A79FAD" w:rsidR="001513A4" w:rsidRDefault="001513A4" w:rsidP="002C6BAB">
      <w:pPr>
        <w:ind w:firstLine="720"/>
        <w:rPr>
          <w:sz w:val="24"/>
          <w:szCs w:val="24"/>
        </w:rPr>
      </w:pPr>
    </w:p>
    <w:p w14:paraId="08F5F059" w14:textId="33806129" w:rsidR="00BF056A" w:rsidRDefault="001D6858" w:rsidP="00BF056A">
      <w:pPr>
        <w:ind w:firstLine="720"/>
        <w:rPr>
          <w:sz w:val="24"/>
          <w:szCs w:val="24"/>
        </w:rPr>
      </w:pPr>
      <w:r>
        <w:rPr>
          <w:sz w:val="24"/>
          <w:szCs w:val="24"/>
        </w:rPr>
        <w:t xml:space="preserve">On reviewing the evidence presented by Rodway, it </w:t>
      </w:r>
      <w:r w:rsidR="00440E15">
        <w:rPr>
          <w:sz w:val="24"/>
          <w:szCs w:val="24"/>
        </w:rPr>
        <w:t xml:space="preserve">appears that his findings are </w:t>
      </w:r>
      <w:r w:rsidR="00BF056A">
        <w:rPr>
          <w:sz w:val="24"/>
          <w:szCs w:val="24"/>
        </w:rPr>
        <w:t xml:space="preserve">clear. There is insufficient reliable evidence in the classical accounts to substantiate a claim to an ancient Celtic practice of affectionate cannibalism, and in the case of funerary blood drinking, the anecdotal, poetic and sensationalist nature of the cited examples cannot be accepted as confirmation of the practice. The evidence finds in favour of his </w:t>
      </w:r>
      <w:r w:rsidR="00C425B1">
        <w:rPr>
          <w:sz w:val="24"/>
          <w:szCs w:val="24"/>
        </w:rPr>
        <w:t>theory</w:t>
      </w:r>
      <w:r w:rsidR="00BF056A">
        <w:rPr>
          <w:sz w:val="24"/>
          <w:szCs w:val="24"/>
        </w:rPr>
        <w:t xml:space="preserve"> that the Gaelic blood drinking motif, if it exists at all, is a later custom appearing to stem from Christian religious Passion literature, rather than belonging to any ancient pagan tradition.</w:t>
      </w:r>
    </w:p>
    <w:p w14:paraId="2D892F8F" w14:textId="77777777" w:rsidR="00B26E47" w:rsidRDefault="00B26E47" w:rsidP="00BF056A">
      <w:pPr>
        <w:ind w:firstLine="720"/>
        <w:rPr>
          <w:sz w:val="24"/>
          <w:szCs w:val="24"/>
        </w:rPr>
      </w:pPr>
    </w:p>
    <w:p w14:paraId="7B3DD782" w14:textId="77777777" w:rsidR="00BF056A" w:rsidRDefault="00BF056A" w:rsidP="00BF056A">
      <w:pPr>
        <w:ind w:firstLine="720"/>
        <w:rPr>
          <w:sz w:val="24"/>
          <w:szCs w:val="24"/>
        </w:rPr>
      </w:pPr>
    </w:p>
    <w:p w14:paraId="21A6C1B4" w14:textId="77777777" w:rsidR="00B26E47" w:rsidRDefault="00B26E47">
      <w:pPr>
        <w:rPr>
          <w:sz w:val="24"/>
          <w:szCs w:val="24"/>
        </w:rPr>
      </w:pPr>
      <w:r>
        <w:rPr>
          <w:sz w:val="24"/>
          <w:szCs w:val="24"/>
        </w:rPr>
        <w:br w:type="page"/>
      </w:r>
    </w:p>
    <w:p w14:paraId="427B0E18" w14:textId="02F239F9" w:rsidR="00B26E47" w:rsidRDefault="00E12F25" w:rsidP="00B26E47">
      <w:pPr>
        <w:pStyle w:val="Bibliography"/>
        <w:ind w:left="720" w:hanging="720"/>
        <w:rPr>
          <w:sz w:val="24"/>
          <w:szCs w:val="24"/>
        </w:rPr>
      </w:pPr>
      <w:r>
        <w:rPr>
          <w:sz w:val="24"/>
          <w:szCs w:val="24"/>
        </w:rPr>
        <w:lastRenderedPageBreak/>
        <w:t>Bibliography:</w:t>
      </w:r>
      <w:r w:rsidR="00BF056A">
        <w:rPr>
          <w:sz w:val="24"/>
          <w:szCs w:val="24"/>
        </w:rPr>
        <w:t xml:space="preserve"> </w:t>
      </w:r>
    </w:p>
    <w:p w14:paraId="05D8827E" w14:textId="77777777" w:rsidR="00B26E47" w:rsidRDefault="00B26E47" w:rsidP="00B26E47">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Cross, Tom P. and Slover, Clark Harris, </w:t>
      </w:r>
      <w:r>
        <w:rPr>
          <w:i/>
          <w:iCs/>
          <w:noProof/>
        </w:rPr>
        <w:t>Ancient Irish Tales.</w:t>
      </w:r>
      <w:r>
        <w:rPr>
          <w:noProof/>
        </w:rPr>
        <w:t xml:space="preserve"> (USA: Barnes and Noble 1996)</w:t>
      </w:r>
    </w:p>
    <w:p w14:paraId="5E12D218" w14:textId="1133157E" w:rsidR="00B26E47" w:rsidRDefault="00B26E47" w:rsidP="00B26E47">
      <w:pPr>
        <w:pStyle w:val="Bibliography"/>
        <w:ind w:left="720" w:hanging="720"/>
        <w:rPr>
          <w:noProof/>
        </w:rPr>
      </w:pPr>
      <w:r>
        <w:rPr>
          <w:noProof/>
        </w:rPr>
        <w:t xml:space="preserve">Rodway, Simon, 'Affectionate Cannibalism and the Blood Drinking Motif in Gaelic Literature', </w:t>
      </w:r>
      <w:r>
        <w:rPr>
          <w:i/>
          <w:iCs/>
          <w:noProof/>
        </w:rPr>
        <w:t xml:space="preserve">Cambrian Medieval Celtic Studies </w:t>
      </w:r>
      <w:r>
        <w:rPr>
          <w:noProof/>
        </w:rPr>
        <w:t>74, (2017) 47-65</w:t>
      </w:r>
    </w:p>
    <w:p w14:paraId="1EB75824" w14:textId="1312D703" w:rsidR="00B26E47" w:rsidRDefault="00B26E47" w:rsidP="00B26E47">
      <w:pPr>
        <w:pStyle w:val="Bibliography"/>
        <w:ind w:left="720" w:hanging="720"/>
        <w:rPr>
          <w:sz w:val="24"/>
          <w:szCs w:val="24"/>
        </w:rPr>
      </w:pPr>
      <w:r>
        <w:fldChar w:fldCharType="end"/>
      </w:r>
    </w:p>
    <w:p w14:paraId="702CE8F2" w14:textId="4F0163C4" w:rsidR="00BF056A" w:rsidRDefault="00BF056A" w:rsidP="00E12F25">
      <w:pPr>
        <w:rPr>
          <w:sz w:val="24"/>
          <w:szCs w:val="24"/>
        </w:rPr>
      </w:pPr>
    </w:p>
    <w:p w14:paraId="3D79F882" w14:textId="77777777" w:rsidR="00E12F25" w:rsidRPr="004B2822" w:rsidRDefault="00E12F25" w:rsidP="00E12F25">
      <w:pPr>
        <w:rPr>
          <w:sz w:val="24"/>
          <w:szCs w:val="24"/>
        </w:rPr>
      </w:pPr>
    </w:p>
    <w:p w14:paraId="65F3C51E" w14:textId="05F18EBE" w:rsidR="00BF056A" w:rsidRDefault="00BF056A" w:rsidP="00BF056A">
      <w:pPr>
        <w:ind w:firstLine="720"/>
        <w:rPr>
          <w:sz w:val="24"/>
          <w:szCs w:val="24"/>
        </w:rPr>
      </w:pPr>
    </w:p>
    <w:p w14:paraId="081CA5F2" w14:textId="77777777" w:rsidR="00BF056A" w:rsidRPr="006D3F0F" w:rsidRDefault="00BF056A" w:rsidP="00BF056A">
      <w:pPr>
        <w:rPr>
          <w:sz w:val="24"/>
          <w:szCs w:val="24"/>
        </w:rPr>
      </w:pPr>
      <w:r>
        <w:rPr>
          <w:sz w:val="24"/>
          <w:szCs w:val="24"/>
        </w:rPr>
        <w:tab/>
      </w:r>
    </w:p>
    <w:p w14:paraId="11615841" w14:textId="4E16F401" w:rsidR="006D3F0F" w:rsidRPr="006D3F0F" w:rsidRDefault="006D3F0F" w:rsidP="00BF056A">
      <w:pPr>
        <w:ind w:firstLine="720"/>
        <w:rPr>
          <w:sz w:val="24"/>
          <w:szCs w:val="24"/>
        </w:rPr>
      </w:pPr>
    </w:p>
    <w:sectPr w:rsidR="006D3F0F" w:rsidRPr="006D3F0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A9400B" w14:textId="77777777" w:rsidR="001A5262" w:rsidRDefault="001A5262" w:rsidP="00EB6CDC">
      <w:pPr>
        <w:spacing w:after="0" w:line="240" w:lineRule="auto"/>
      </w:pPr>
      <w:r>
        <w:separator/>
      </w:r>
    </w:p>
  </w:endnote>
  <w:endnote w:type="continuationSeparator" w:id="0">
    <w:p w14:paraId="2EE0EA4C" w14:textId="77777777" w:rsidR="001A5262" w:rsidRDefault="001A5262" w:rsidP="00EB6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F32640" w14:textId="77777777" w:rsidR="001A5262" w:rsidRDefault="001A5262" w:rsidP="00EB6CDC">
      <w:pPr>
        <w:spacing w:after="0" w:line="240" w:lineRule="auto"/>
      </w:pPr>
      <w:r>
        <w:separator/>
      </w:r>
    </w:p>
  </w:footnote>
  <w:footnote w:type="continuationSeparator" w:id="0">
    <w:p w14:paraId="491F7099" w14:textId="77777777" w:rsidR="001A5262" w:rsidRDefault="001A5262" w:rsidP="00EB6CDC">
      <w:pPr>
        <w:spacing w:after="0" w:line="240" w:lineRule="auto"/>
      </w:pPr>
      <w:r>
        <w:continuationSeparator/>
      </w:r>
    </w:p>
  </w:footnote>
  <w:footnote w:id="1">
    <w:p w14:paraId="311D23E6" w14:textId="0DBC6913" w:rsidR="00A22DB7" w:rsidRPr="00A22DB7" w:rsidRDefault="00A22DB7">
      <w:pPr>
        <w:pStyle w:val="FootnoteText"/>
      </w:pPr>
      <w:r>
        <w:rPr>
          <w:rStyle w:val="FootnoteReference"/>
        </w:rPr>
        <w:footnoteRef/>
      </w:r>
      <w:r>
        <w:t xml:space="preserve"> Simon Rodway, ‘Affectionate Cannibalism and the Blood Drinking Motif’, </w:t>
      </w:r>
      <w:r>
        <w:rPr>
          <w:i/>
          <w:iCs/>
        </w:rPr>
        <w:t xml:space="preserve">Cambrian Medieval Celtic Studies, </w:t>
      </w:r>
      <w:r>
        <w:t xml:space="preserve">74 </w:t>
      </w:r>
      <w:r w:rsidR="00B26E47">
        <w:t>(</w:t>
      </w:r>
      <w:r>
        <w:t>2017), p.</w:t>
      </w:r>
      <w:r w:rsidR="004E35FE">
        <w:t>47</w:t>
      </w:r>
      <w:r>
        <w:t>.</w:t>
      </w:r>
    </w:p>
  </w:footnote>
  <w:footnote w:id="2">
    <w:p w14:paraId="3B28C96E" w14:textId="1F6C02F5" w:rsidR="009E6D55" w:rsidRDefault="009E6D55">
      <w:pPr>
        <w:pStyle w:val="FootnoteText"/>
      </w:pPr>
      <w:r>
        <w:rPr>
          <w:rStyle w:val="FootnoteReference"/>
        </w:rPr>
        <w:footnoteRef/>
      </w:r>
      <w:r>
        <w:t xml:space="preserve"> Ibid. p.</w:t>
      </w:r>
      <w:r w:rsidR="004E35FE">
        <w:t>48</w:t>
      </w:r>
      <w:r w:rsidR="008A431E">
        <w:t>.</w:t>
      </w:r>
    </w:p>
  </w:footnote>
  <w:footnote w:id="3">
    <w:p w14:paraId="5C7D39B9" w14:textId="6B6A396F" w:rsidR="008A431E" w:rsidRDefault="008A431E">
      <w:pPr>
        <w:pStyle w:val="FootnoteText"/>
      </w:pPr>
      <w:r>
        <w:rPr>
          <w:rStyle w:val="FootnoteReference"/>
        </w:rPr>
        <w:footnoteRef/>
      </w:r>
      <w:r>
        <w:t xml:space="preserve"> Ibid. p.</w:t>
      </w:r>
      <w:r w:rsidR="004E35FE">
        <w:t>48</w:t>
      </w:r>
      <w:r>
        <w:t>.</w:t>
      </w:r>
    </w:p>
  </w:footnote>
  <w:footnote w:id="4">
    <w:p w14:paraId="50B0597F" w14:textId="1F4E8181" w:rsidR="004E35FE" w:rsidRDefault="004E35FE">
      <w:pPr>
        <w:pStyle w:val="FootnoteText"/>
      </w:pPr>
      <w:r>
        <w:rPr>
          <w:rStyle w:val="FootnoteReference"/>
        </w:rPr>
        <w:footnoteRef/>
      </w:r>
      <w:r>
        <w:t xml:space="preserve"> Ibid. p.49.</w:t>
      </w:r>
    </w:p>
  </w:footnote>
  <w:footnote w:id="5">
    <w:p w14:paraId="239DB11A" w14:textId="38B9AB3D" w:rsidR="004E35FE" w:rsidRDefault="004E35FE">
      <w:pPr>
        <w:pStyle w:val="FootnoteText"/>
      </w:pPr>
      <w:r>
        <w:rPr>
          <w:rStyle w:val="FootnoteReference"/>
        </w:rPr>
        <w:footnoteRef/>
      </w:r>
      <w:r>
        <w:t xml:space="preserve"> Ibid. p.49.</w:t>
      </w:r>
    </w:p>
  </w:footnote>
  <w:footnote w:id="6">
    <w:p w14:paraId="1CF9F60D" w14:textId="25C59E1F" w:rsidR="00225F89" w:rsidRDefault="00225F89">
      <w:pPr>
        <w:pStyle w:val="FootnoteText"/>
      </w:pPr>
      <w:r>
        <w:rPr>
          <w:rStyle w:val="FootnoteReference"/>
        </w:rPr>
        <w:footnoteRef/>
      </w:r>
      <w:r>
        <w:t xml:space="preserve"> Rodway, Cannibalism, p.50.</w:t>
      </w:r>
    </w:p>
  </w:footnote>
  <w:footnote w:id="7">
    <w:p w14:paraId="2DE159AD" w14:textId="698F04A6" w:rsidR="003154CF" w:rsidRDefault="003154CF">
      <w:pPr>
        <w:pStyle w:val="FootnoteText"/>
      </w:pPr>
      <w:r>
        <w:rPr>
          <w:rStyle w:val="FootnoteReference"/>
        </w:rPr>
        <w:footnoteRef/>
      </w:r>
      <w:r>
        <w:t xml:space="preserve"> </w:t>
      </w:r>
      <w:r w:rsidR="008E6039">
        <w:t>Ibid.</w:t>
      </w:r>
      <w:r>
        <w:t xml:space="preserve"> p.51.</w:t>
      </w:r>
    </w:p>
  </w:footnote>
  <w:footnote w:id="8">
    <w:p w14:paraId="129BACE5" w14:textId="4DD10F50" w:rsidR="00A157AB" w:rsidRDefault="00A157AB">
      <w:pPr>
        <w:pStyle w:val="FootnoteText"/>
      </w:pPr>
      <w:r>
        <w:rPr>
          <w:rStyle w:val="FootnoteReference"/>
        </w:rPr>
        <w:footnoteRef/>
      </w:r>
      <w:r>
        <w:t xml:space="preserve"> </w:t>
      </w:r>
      <w:r w:rsidR="00BE3EC6">
        <w:t>Ibid.</w:t>
      </w:r>
      <w:r>
        <w:t xml:space="preserve"> p.52.</w:t>
      </w:r>
    </w:p>
  </w:footnote>
  <w:footnote w:id="9">
    <w:p w14:paraId="71651214" w14:textId="21BA771F" w:rsidR="00C31E0B" w:rsidRDefault="00C31E0B">
      <w:pPr>
        <w:pStyle w:val="FootnoteText"/>
      </w:pPr>
      <w:r>
        <w:rPr>
          <w:rStyle w:val="FootnoteReference"/>
        </w:rPr>
        <w:footnoteRef/>
      </w:r>
      <w:r>
        <w:t xml:space="preserve"> </w:t>
      </w:r>
      <w:r w:rsidR="00BE3EC6">
        <w:t>Rodway, Cannibalism,</w:t>
      </w:r>
      <w:r>
        <w:t xml:space="preserve"> p.53.</w:t>
      </w:r>
    </w:p>
  </w:footnote>
  <w:footnote w:id="10">
    <w:p w14:paraId="41246508" w14:textId="21C4FE64" w:rsidR="006A73F2" w:rsidRDefault="006A73F2">
      <w:pPr>
        <w:pStyle w:val="FootnoteText"/>
      </w:pPr>
      <w:r>
        <w:rPr>
          <w:rStyle w:val="FootnoteReference"/>
        </w:rPr>
        <w:footnoteRef/>
      </w:r>
      <w:r>
        <w:t xml:space="preserve"> Ibid. p.57.</w:t>
      </w:r>
    </w:p>
  </w:footnote>
  <w:footnote w:id="11">
    <w:p w14:paraId="07D29594" w14:textId="33BD4958" w:rsidR="006A73F2" w:rsidRDefault="006A73F2">
      <w:pPr>
        <w:pStyle w:val="FootnoteText"/>
      </w:pPr>
      <w:r>
        <w:rPr>
          <w:rStyle w:val="FootnoteReference"/>
        </w:rPr>
        <w:footnoteRef/>
      </w:r>
      <w:r>
        <w:t xml:space="preserve"> Ibid. p.57.</w:t>
      </w:r>
    </w:p>
  </w:footnote>
  <w:footnote w:id="12">
    <w:p w14:paraId="2BC59FB3" w14:textId="11C0350D" w:rsidR="006A73F2" w:rsidRDefault="006A73F2">
      <w:pPr>
        <w:pStyle w:val="FootnoteText"/>
      </w:pPr>
      <w:r>
        <w:rPr>
          <w:rStyle w:val="FootnoteReference"/>
        </w:rPr>
        <w:footnoteRef/>
      </w:r>
      <w:r>
        <w:t xml:space="preserve"> Ibid. p.59.</w:t>
      </w:r>
    </w:p>
  </w:footnote>
  <w:footnote w:id="13">
    <w:p w14:paraId="561B9950" w14:textId="4B7D0F72" w:rsidR="00BF056A" w:rsidRDefault="00BF056A">
      <w:pPr>
        <w:pStyle w:val="FootnoteText"/>
      </w:pPr>
      <w:r>
        <w:rPr>
          <w:rStyle w:val="FootnoteReference"/>
        </w:rPr>
        <w:footnoteRef/>
      </w:r>
      <w:r>
        <w:t xml:space="preserve"> Rodway, Cannibalism, p.6</w:t>
      </w:r>
      <w:r w:rsidR="007423DE">
        <w:t>1.</w:t>
      </w:r>
    </w:p>
  </w:footnote>
  <w:footnote w:id="14">
    <w:p w14:paraId="0BD41AB0" w14:textId="64EAB4AD" w:rsidR="00E80521" w:rsidRDefault="00E80521">
      <w:pPr>
        <w:pStyle w:val="FootnoteText"/>
      </w:pPr>
      <w:r>
        <w:rPr>
          <w:rStyle w:val="FootnoteReference"/>
        </w:rPr>
        <w:footnoteRef/>
      </w:r>
      <w:r>
        <w:t xml:space="preserve"> Cross and Slover, Irish Tales, pp. 42–43.</w:t>
      </w:r>
    </w:p>
  </w:footnote>
  <w:footnote w:id="15">
    <w:p w14:paraId="0212F2F1" w14:textId="407EAA13" w:rsidR="007F6575" w:rsidRDefault="007F6575">
      <w:pPr>
        <w:pStyle w:val="FootnoteText"/>
      </w:pPr>
      <w:r>
        <w:rPr>
          <w:rStyle w:val="FootnoteReference"/>
        </w:rPr>
        <w:footnoteRef/>
      </w:r>
      <w:r>
        <w:t xml:space="preserve"> </w:t>
      </w:r>
      <w:r w:rsidR="00E875CD">
        <w:t>Rodway, Cannibalism,</w:t>
      </w:r>
      <w:r>
        <w:t xml:space="preserve"> p.64.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0334332"/>
      <w:docPartObj>
        <w:docPartGallery w:val="Page Numbers (Top of Page)"/>
        <w:docPartUnique/>
      </w:docPartObj>
    </w:sdtPr>
    <w:sdtEndPr>
      <w:rPr>
        <w:noProof/>
      </w:rPr>
    </w:sdtEndPr>
    <w:sdtContent>
      <w:p w14:paraId="7C875C7E" w14:textId="0BB0925D" w:rsidR="00EB6CDC" w:rsidRDefault="00EB6CD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0304BA" w14:textId="77777777" w:rsidR="00EB6CDC" w:rsidRDefault="00EB6C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FA8"/>
    <w:rsid w:val="0000594B"/>
    <w:rsid w:val="00010ECC"/>
    <w:rsid w:val="00014297"/>
    <w:rsid w:val="00023BD9"/>
    <w:rsid w:val="000378A8"/>
    <w:rsid w:val="00044047"/>
    <w:rsid w:val="00052C4A"/>
    <w:rsid w:val="00054BFD"/>
    <w:rsid w:val="00055DB4"/>
    <w:rsid w:val="00064B6B"/>
    <w:rsid w:val="00091718"/>
    <w:rsid w:val="000959B1"/>
    <w:rsid w:val="0009774D"/>
    <w:rsid w:val="000C3A24"/>
    <w:rsid w:val="000C58D9"/>
    <w:rsid w:val="000D4219"/>
    <w:rsid w:val="0010166E"/>
    <w:rsid w:val="0010241E"/>
    <w:rsid w:val="00105629"/>
    <w:rsid w:val="001303FA"/>
    <w:rsid w:val="001458A8"/>
    <w:rsid w:val="001513A4"/>
    <w:rsid w:val="00164FA2"/>
    <w:rsid w:val="00165FC4"/>
    <w:rsid w:val="00171789"/>
    <w:rsid w:val="00193AB7"/>
    <w:rsid w:val="001A5262"/>
    <w:rsid w:val="001B0201"/>
    <w:rsid w:val="001B3255"/>
    <w:rsid w:val="001B71B6"/>
    <w:rsid w:val="001C6DCC"/>
    <w:rsid w:val="001D1F67"/>
    <w:rsid w:val="001D6383"/>
    <w:rsid w:val="001D6858"/>
    <w:rsid w:val="001F66FC"/>
    <w:rsid w:val="001F7CCA"/>
    <w:rsid w:val="002043DA"/>
    <w:rsid w:val="00205BAF"/>
    <w:rsid w:val="00225F89"/>
    <w:rsid w:val="00241347"/>
    <w:rsid w:val="00247284"/>
    <w:rsid w:val="002542D9"/>
    <w:rsid w:val="002545F8"/>
    <w:rsid w:val="00271033"/>
    <w:rsid w:val="00275523"/>
    <w:rsid w:val="00280A57"/>
    <w:rsid w:val="002A6C5E"/>
    <w:rsid w:val="002B4E10"/>
    <w:rsid w:val="002B5E31"/>
    <w:rsid w:val="002C6BAB"/>
    <w:rsid w:val="002E26C5"/>
    <w:rsid w:val="002E4284"/>
    <w:rsid w:val="003001BF"/>
    <w:rsid w:val="00304E0E"/>
    <w:rsid w:val="003103A7"/>
    <w:rsid w:val="0031202B"/>
    <w:rsid w:val="003141CC"/>
    <w:rsid w:val="003154CF"/>
    <w:rsid w:val="003329AB"/>
    <w:rsid w:val="003406BD"/>
    <w:rsid w:val="00346907"/>
    <w:rsid w:val="00360185"/>
    <w:rsid w:val="003626E6"/>
    <w:rsid w:val="00365E60"/>
    <w:rsid w:val="003668EA"/>
    <w:rsid w:val="00387072"/>
    <w:rsid w:val="00390CE3"/>
    <w:rsid w:val="003A3A0C"/>
    <w:rsid w:val="003C3E45"/>
    <w:rsid w:val="003C5B52"/>
    <w:rsid w:val="003E2419"/>
    <w:rsid w:val="003F4B6C"/>
    <w:rsid w:val="00402DE5"/>
    <w:rsid w:val="00403542"/>
    <w:rsid w:val="004205C6"/>
    <w:rsid w:val="00427B65"/>
    <w:rsid w:val="004341F4"/>
    <w:rsid w:val="00440C02"/>
    <w:rsid w:val="00440E15"/>
    <w:rsid w:val="004501D3"/>
    <w:rsid w:val="00450FFD"/>
    <w:rsid w:val="00470175"/>
    <w:rsid w:val="00474B0C"/>
    <w:rsid w:val="00476756"/>
    <w:rsid w:val="0048341F"/>
    <w:rsid w:val="004963E8"/>
    <w:rsid w:val="004A426D"/>
    <w:rsid w:val="004B2822"/>
    <w:rsid w:val="004B28EC"/>
    <w:rsid w:val="004C1408"/>
    <w:rsid w:val="004E0DF3"/>
    <w:rsid w:val="004E35FE"/>
    <w:rsid w:val="004E4172"/>
    <w:rsid w:val="004F3735"/>
    <w:rsid w:val="00501110"/>
    <w:rsid w:val="005120FE"/>
    <w:rsid w:val="005372EE"/>
    <w:rsid w:val="00544D18"/>
    <w:rsid w:val="00557C6E"/>
    <w:rsid w:val="005637F3"/>
    <w:rsid w:val="00563E11"/>
    <w:rsid w:val="00586BC7"/>
    <w:rsid w:val="00591FB3"/>
    <w:rsid w:val="005B64E6"/>
    <w:rsid w:val="005C0360"/>
    <w:rsid w:val="005C1A51"/>
    <w:rsid w:val="005D560A"/>
    <w:rsid w:val="005F67F8"/>
    <w:rsid w:val="00601F5F"/>
    <w:rsid w:val="00627AEE"/>
    <w:rsid w:val="006351B6"/>
    <w:rsid w:val="00642EB9"/>
    <w:rsid w:val="00645784"/>
    <w:rsid w:val="00654B71"/>
    <w:rsid w:val="00657291"/>
    <w:rsid w:val="00664813"/>
    <w:rsid w:val="00667DDE"/>
    <w:rsid w:val="0067268B"/>
    <w:rsid w:val="00674B7C"/>
    <w:rsid w:val="00675593"/>
    <w:rsid w:val="006756F7"/>
    <w:rsid w:val="00675CF6"/>
    <w:rsid w:val="00681C8D"/>
    <w:rsid w:val="00685645"/>
    <w:rsid w:val="006902A0"/>
    <w:rsid w:val="00692D31"/>
    <w:rsid w:val="0069639C"/>
    <w:rsid w:val="006A0EBC"/>
    <w:rsid w:val="006A5F3C"/>
    <w:rsid w:val="006A73F2"/>
    <w:rsid w:val="006B2F3A"/>
    <w:rsid w:val="006C0A93"/>
    <w:rsid w:val="006D173F"/>
    <w:rsid w:val="006D3F0F"/>
    <w:rsid w:val="006D7E83"/>
    <w:rsid w:val="006E1A28"/>
    <w:rsid w:val="006E1DE0"/>
    <w:rsid w:val="006E4A95"/>
    <w:rsid w:val="006F7273"/>
    <w:rsid w:val="006F7CC2"/>
    <w:rsid w:val="0070521A"/>
    <w:rsid w:val="0071270A"/>
    <w:rsid w:val="00714CD7"/>
    <w:rsid w:val="00721DDB"/>
    <w:rsid w:val="0073348F"/>
    <w:rsid w:val="007423DE"/>
    <w:rsid w:val="0075267B"/>
    <w:rsid w:val="007572C6"/>
    <w:rsid w:val="007726FC"/>
    <w:rsid w:val="00793BEB"/>
    <w:rsid w:val="007957C9"/>
    <w:rsid w:val="007A0379"/>
    <w:rsid w:val="007D23B3"/>
    <w:rsid w:val="007D41A5"/>
    <w:rsid w:val="007D6FA8"/>
    <w:rsid w:val="007E0959"/>
    <w:rsid w:val="007E420D"/>
    <w:rsid w:val="007F52E8"/>
    <w:rsid w:val="007F6575"/>
    <w:rsid w:val="00805917"/>
    <w:rsid w:val="00814A9C"/>
    <w:rsid w:val="00815C4B"/>
    <w:rsid w:val="0082589E"/>
    <w:rsid w:val="00831505"/>
    <w:rsid w:val="008419F3"/>
    <w:rsid w:val="00852B1B"/>
    <w:rsid w:val="00854998"/>
    <w:rsid w:val="0085770D"/>
    <w:rsid w:val="00875E95"/>
    <w:rsid w:val="008942E8"/>
    <w:rsid w:val="008971A8"/>
    <w:rsid w:val="008A431E"/>
    <w:rsid w:val="008A4E9E"/>
    <w:rsid w:val="008A680A"/>
    <w:rsid w:val="008A6FB1"/>
    <w:rsid w:val="008C3722"/>
    <w:rsid w:val="008C4E1C"/>
    <w:rsid w:val="008D573D"/>
    <w:rsid w:val="008E1404"/>
    <w:rsid w:val="008E6039"/>
    <w:rsid w:val="00910E21"/>
    <w:rsid w:val="00912E4B"/>
    <w:rsid w:val="00921067"/>
    <w:rsid w:val="009226ED"/>
    <w:rsid w:val="00925100"/>
    <w:rsid w:val="00936074"/>
    <w:rsid w:val="00944EDC"/>
    <w:rsid w:val="00946446"/>
    <w:rsid w:val="009548E0"/>
    <w:rsid w:val="00963A69"/>
    <w:rsid w:val="00965EAF"/>
    <w:rsid w:val="00966A0C"/>
    <w:rsid w:val="00975856"/>
    <w:rsid w:val="00985AE3"/>
    <w:rsid w:val="009B7068"/>
    <w:rsid w:val="009C3BEE"/>
    <w:rsid w:val="009D4CEA"/>
    <w:rsid w:val="009E6D55"/>
    <w:rsid w:val="009F56A1"/>
    <w:rsid w:val="00A00270"/>
    <w:rsid w:val="00A0540F"/>
    <w:rsid w:val="00A061E6"/>
    <w:rsid w:val="00A157AB"/>
    <w:rsid w:val="00A22DB7"/>
    <w:rsid w:val="00A30D9A"/>
    <w:rsid w:val="00A371AA"/>
    <w:rsid w:val="00A43B54"/>
    <w:rsid w:val="00A5114D"/>
    <w:rsid w:val="00A54513"/>
    <w:rsid w:val="00A70370"/>
    <w:rsid w:val="00A75D58"/>
    <w:rsid w:val="00A77351"/>
    <w:rsid w:val="00A93618"/>
    <w:rsid w:val="00AA055D"/>
    <w:rsid w:val="00AA0885"/>
    <w:rsid w:val="00AA2514"/>
    <w:rsid w:val="00AA3EFE"/>
    <w:rsid w:val="00AB4FB5"/>
    <w:rsid w:val="00AC3C12"/>
    <w:rsid w:val="00AF2B5A"/>
    <w:rsid w:val="00AF5F4D"/>
    <w:rsid w:val="00B00EAB"/>
    <w:rsid w:val="00B06DF7"/>
    <w:rsid w:val="00B21651"/>
    <w:rsid w:val="00B21A20"/>
    <w:rsid w:val="00B26E47"/>
    <w:rsid w:val="00B65942"/>
    <w:rsid w:val="00B7613C"/>
    <w:rsid w:val="00B86850"/>
    <w:rsid w:val="00B94BD7"/>
    <w:rsid w:val="00B96A86"/>
    <w:rsid w:val="00BA5D9B"/>
    <w:rsid w:val="00BB3903"/>
    <w:rsid w:val="00BC12AD"/>
    <w:rsid w:val="00BC6F6D"/>
    <w:rsid w:val="00BD37B9"/>
    <w:rsid w:val="00BE1F3B"/>
    <w:rsid w:val="00BE3EC6"/>
    <w:rsid w:val="00BF056A"/>
    <w:rsid w:val="00C00376"/>
    <w:rsid w:val="00C01FDC"/>
    <w:rsid w:val="00C3099E"/>
    <w:rsid w:val="00C31E0B"/>
    <w:rsid w:val="00C362F3"/>
    <w:rsid w:val="00C425B1"/>
    <w:rsid w:val="00C61F2D"/>
    <w:rsid w:val="00C71E02"/>
    <w:rsid w:val="00CB1513"/>
    <w:rsid w:val="00CE7D71"/>
    <w:rsid w:val="00CF13A9"/>
    <w:rsid w:val="00CF3A7E"/>
    <w:rsid w:val="00D109A8"/>
    <w:rsid w:val="00D35580"/>
    <w:rsid w:val="00D35AC2"/>
    <w:rsid w:val="00D427C8"/>
    <w:rsid w:val="00D504BF"/>
    <w:rsid w:val="00D525D3"/>
    <w:rsid w:val="00D54D31"/>
    <w:rsid w:val="00D63319"/>
    <w:rsid w:val="00D65539"/>
    <w:rsid w:val="00DA1D36"/>
    <w:rsid w:val="00DA3B6C"/>
    <w:rsid w:val="00DA53FC"/>
    <w:rsid w:val="00DB260E"/>
    <w:rsid w:val="00DB3DA9"/>
    <w:rsid w:val="00DB59E6"/>
    <w:rsid w:val="00DC355F"/>
    <w:rsid w:val="00DD3BE0"/>
    <w:rsid w:val="00DD4AF3"/>
    <w:rsid w:val="00DE0795"/>
    <w:rsid w:val="00DE4862"/>
    <w:rsid w:val="00DF3EA7"/>
    <w:rsid w:val="00DF6610"/>
    <w:rsid w:val="00E06C74"/>
    <w:rsid w:val="00E11DCF"/>
    <w:rsid w:val="00E12F25"/>
    <w:rsid w:val="00E22E7B"/>
    <w:rsid w:val="00E25865"/>
    <w:rsid w:val="00E539C2"/>
    <w:rsid w:val="00E61608"/>
    <w:rsid w:val="00E664EA"/>
    <w:rsid w:val="00E80521"/>
    <w:rsid w:val="00E875CD"/>
    <w:rsid w:val="00E91214"/>
    <w:rsid w:val="00E950AB"/>
    <w:rsid w:val="00E97004"/>
    <w:rsid w:val="00EA1AE6"/>
    <w:rsid w:val="00EB6CDC"/>
    <w:rsid w:val="00EF0826"/>
    <w:rsid w:val="00F40F92"/>
    <w:rsid w:val="00F50DB2"/>
    <w:rsid w:val="00F51588"/>
    <w:rsid w:val="00F60D17"/>
    <w:rsid w:val="00F75E8A"/>
    <w:rsid w:val="00F76583"/>
    <w:rsid w:val="00F8479A"/>
    <w:rsid w:val="00F963E5"/>
    <w:rsid w:val="00F9733E"/>
    <w:rsid w:val="00FB1693"/>
    <w:rsid w:val="00FC52FC"/>
    <w:rsid w:val="00FE6BED"/>
    <w:rsid w:val="00FF00E2"/>
    <w:rsid w:val="00FF1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A783B"/>
  <w15:chartTrackingRefBased/>
  <w15:docId w15:val="{4EC8FEEB-6258-45FF-B73B-0B5F312A4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A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CDC"/>
  </w:style>
  <w:style w:type="paragraph" w:styleId="Footer">
    <w:name w:val="footer"/>
    <w:basedOn w:val="Normal"/>
    <w:link w:val="FooterChar"/>
    <w:uiPriority w:val="99"/>
    <w:unhideWhenUsed/>
    <w:rsid w:val="00EB6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CDC"/>
  </w:style>
  <w:style w:type="paragraph" w:styleId="FootnoteText">
    <w:name w:val="footnote text"/>
    <w:basedOn w:val="Normal"/>
    <w:link w:val="FootnoteTextChar"/>
    <w:uiPriority w:val="99"/>
    <w:unhideWhenUsed/>
    <w:rsid w:val="00A22DB7"/>
    <w:pPr>
      <w:spacing w:after="0" w:line="240" w:lineRule="auto"/>
    </w:pPr>
    <w:rPr>
      <w:sz w:val="20"/>
      <w:szCs w:val="20"/>
    </w:rPr>
  </w:style>
  <w:style w:type="character" w:customStyle="1" w:styleId="FootnoteTextChar">
    <w:name w:val="Footnote Text Char"/>
    <w:basedOn w:val="DefaultParagraphFont"/>
    <w:link w:val="FootnoteText"/>
    <w:uiPriority w:val="99"/>
    <w:rsid w:val="00A22DB7"/>
    <w:rPr>
      <w:sz w:val="20"/>
      <w:szCs w:val="20"/>
    </w:rPr>
  </w:style>
  <w:style w:type="character" w:styleId="FootnoteReference">
    <w:name w:val="footnote reference"/>
    <w:basedOn w:val="DefaultParagraphFont"/>
    <w:uiPriority w:val="99"/>
    <w:semiHidden/>
    <w:unhideWhenUsed/>
    <w:rsid w:val="00A22DB7"/>
    <w:rPr>
      <w:vertAlign w:val="superscript"/>
    </w:rPr>
  </w:style>
  <w:style w:type="character" w:customStyle="1" w:styleId="Heading1Char">
    <w:name w:val="Heading 1 Char"/>
    <w:basedOn w:val="DefaultParagraphFont"/>
    <w:link w:val="Heading1"/>
    <w:uiPriority w:val="9"/>
    <w:rsid w:val="003A3A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5F4D"/>
  </w:style>
  <w:style w:type="paragraph" w:styleId="BalloonText">
    <w:name w:val="Balloon Text"/>
    <w:basedOn w:val="Normal"/>
    <w:link w:val="BalloonTextChar"/>
    <w:uiPriority w:val="99"/>
    <w:semiHidden/>
    <w:unhideWhenUsed/>
    <w:rsid w:val="00D35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A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971644">
      <w:bodyDiv w:val="1"/>
      <w:marLeft w:val="0"/>
      <w:marRight w:val="0"/>
      <w:marTop w:val="0"/>
      <w:marBottom w:val="0"/>
      <w:divBdr>
        <w:top w:val="none" w:sz="0" w:space="0" w:color="auto"/>
        <w:left w:val="none" w:sz="0" w:space="0" w:color="auto"/>
        <w:bottom w:val="none" w:sz="0" w:space="0" w:color="auto"/>
        <w:right w:val="none" w:sz="0" w:space="0" w:color="auto"/>
      </w:divBdr>
    </w:div>
    <w:div w:id="1951694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2A2495-FE8F-40E6-A1FC-F0BD1BCB2A69}">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Cro96</b:Tag>
    <b:SourceType>Book</b:SourceType>
    <b:Guid>{41AC0AD4-5F9F-4846-8467-BC31B7101054}</b:Guid>
    <b:Author>
      <b:Author>
        <b:NameList>
          <b:Person>
            <b:Last>Cross</b:Last>
            <b:First>Tom.</b:First>
            <b:Middle>P, and Slover, Clark Harris</b:Middle>
          </b:Person>
        </b:NameList>
      </b:Author>
    </b:Author>
    <b:Title>Ancient Irish Tales</b:Title>
    <b:Year>1996</b:Year>
    <b:Publisher>Barnes and Noble</b:Publisher>
    <b:RefOrder>1</b:RefOrder>
  </b:Source>
  <b:Source>
    <b:Tag>Rod17</b:Tag>
    <b:SourceType>JournalArticle</b:SourceType>
    <b:Guid>{02F3BFB8-14B4-47A8-AB24-B9D055B63871}</b:Guid>
    <b:Title>'Affectionate Cannibalism and the Blood Drinking Motif in Gaelic Literature',</b:Title>
    <b:Year>(Winter 2017)</b:Year>
    <b:Author>
      <b:Author>
        <b:NameList>
          <b:Person>
            <b:Last>Rodway</b:Last>
            <b:First>Simon,</b:First>
          </b:Person>
        </b:NameList>
      </b:Author>
    </b:Author>
    <b:JournalName>Cambrian Medieval Celtic Studies 74</b:JournalName>
    <b:Pages>47-65</b:Pages>
    <b:RefOrder>2</b:RefOrder>
  </b:Source>
</b:Sources>
</file>

<file path=customXml/itemProps1.xml><?xml version="1.0" encoding="utf-8"?>
<ds:datastoreItem xmlns:ds="http://schemas.openxmlformats.org/officeDocument/2006/customXml" ds:itemID="{E0A4B007-7AD3-47F7-B8DB-8A6E4AA62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5</Pages>
  <Words>1892</Words>
  <Characters>10787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dc:creator>
  <cp:keywords/>
  <dc:description/>
  <cp:lastModifiedBy>Samantha Jane Maclaren (2011977)</cp:lastModifiedBy>
  <cp:revision>275</cp:revision>
  <cp:lastPrinted>2020-10-09T14:36:00Z</cp:lastPrinted>
  <dcterms:created xsi:type="dcterms:W3CDTF">2020-10-02T13:10:00Z</dcterms:created>
  <dcterms:modified xsi:type="dcterms:W3CDTF">2020-10-15T08:44:00Z</dcterms:modified>
</cp:coreProperties>
</file>