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w:hAnsi="Times New Roman" w:cs="Times New Roman"/>
          <w:i w:val="0"/>
          <w:iCs w:val="0"/>
          <w:sz w:val="24"/>
          <w:szCs w:val="24"/>
        </w:rPr>
        <w:t xml:space="preserve">                         </w:t>
      </w:r>
      <w:r>
        <w:rPr>
          <w:rFonts w:hint="default" w:ascii="Times New Roman Bold" w:hAnsi="Times New Roman Bold" w:cs="Times New Roman Bold"/>
          <w:b/>
          <w:bCs/>
          <w:i w:val="0"/>
          <w:iCs w:val="0"/>
          <w:sz w:val="24"/>
          <w:szCs w:val="24"/>
        </w:rPr>
        <w:t xml:space="preserve"> Mini-Proposal Design</w:t>
      </w:r>
    </w:p>
    <w:p>
      <w:pPr>
        <w:numPr>
          <w:ilvl w:val="0"/>
          <w:numId w:val="0"/>
        </w:numPr>
        <w:spacing w:line="360" w:lineRule="auto"/>
        <w:jc w:val="center"/>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Xueting Xiong</w:t>
      </w: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1. Title</w:t>
      </w:r>
    </w:p>
    <w:p>
      <w:pPr>
        <w:numPr>
          <w:ilvl w:val="0"/>
          <w:numId w:val="0"/>
        </w:numPr>
        <w:spacing w:line="360" w:lineRule="auto"/>
        <w:ind w:firstLine="360" w:firstLineChars="150"/>
        <w:jc w:val="center"/>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The impact of online platform mediated collaborative learning on IELTS Writing targeted at college students in international programs</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2.Aims of the investigation</w:t>
      </w:r>
    </w:p>
    <w:p>
      <w:pPr>
        <w:numPr>
          <w:ilvl w:val="0"/>
          <w:numId w:val="0"/>
        </w:numPr>
        <w:spacing w:line="360" w:lineRule="auto"/>
        <w:ind w:firstLine="480" w:firstLineChars="20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This empirical research is conducted in an attempt to explore whether online platform mediated collaborative learning is a productive approach in enhancing college students’ linguistic competence in their learning of English writing, particularly IELTS writing, which is integrated into an English writing course lasting for two years in those students’ college academic learning. In addition, such online collaborative learning mechanism is employed with the purpose of developing students’ IELTS writing skills and enhancing their performance in the IELTS test. The overarching research questions are listed as follows:</w:t>
      </w: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Why does online platform mediated collaborative learning occur in IELTS Writing?</w:t>
      </w: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How can online platform mediated collaborative learning be integrated into IELTS Writing? </w:t>
      </w: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What are students' perceptions about the role of online platform mediated collaborative learning?</w:t>
      </w: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What are the effects of integrating online platform mediated collaborative learning into IELTS Writing in terms of students’ learning outcomes? </w:t>
      </w:r>
    </w:p>
    <w:p>
      <w:pPr>
        <w:numPr>
          <w:ilvl w:val="0"/>
          <w:numId w:val="0"/>
        </w:numPr>
        <w:spacing w:line="360" w:lineRule="auto"/>
        <w:rPr>
          <w:rFonts w:hint="default" w:ascii="Times New Roman" w:hAnsi="Times New Roman" w:cs="Times New Roman"/>
          <w:i w:val="0"/>
          <w:iCs w:val="0"/>
          <w:sz w:val="24"/>
          <w:szCs w:val="24"/>
        </w:rPr>
      </w:pPr>
    </w:p>
    <w:p>
      <w:pPr>
        <w:numPr>
          <w:ilvl w:val="0"/>
          <w:numId w:val="1"/>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The rationale and main conceptual themes for the investigation</w:t>
      </w: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3.1 Rationale for this study</w:t>
      </w: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In recent decades, teaching in tertiary education classrooms on a global scale has transformed from a solely face-to-face classroom environment to one that is either online or a blend of the two. It is possible that more sophisticated e-learning can be achieved with the support of innovative information technologies, thus facilitating  more rapid growth of online environments, especially some online platforms for academic learning, such as Google.doc or Wikis, support communication,participation and collaboration and allow students to engage in authentic learning tasks(Goold, Coldwell&amp;Craig, 2010). </w:t>
      </w:r>
    </w:p>
    <w:p>
      <w:pPr>
        <w:numPr>
          <w:ilvl w:val="0"/>
          <w:numId w:val="0"/>
        </w:numPr>
        <w:spacing w:line="360" w:lineRule="auto"/>
        <w:ind w:firstLine="600" w:firstLineChars="250"/>
        <w:rPr>
          <w:rFonts w:hint="default" w:ascii="Times New Roman" w:hAnsi="Times New Roman" w:cs="Times New Roman"/>
          <w:i w:val="0"/>
          <w:iCs w:val="0"/>
          <w:sz w:val="24"/>
          <w:szCs w:val="24"/>
        </w:rPr>
      </w:pP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In China, there are also some similar online platforms, typically exemplified by Dingding and Tencent, which have been extensively utilised all around the nation particularly during the quarantine due to the outbreak of coronavirus. Even Teachers who are accustomed to the traditional instructor-learner transmission model in the classroom have to change their attitudes towards online learning and keep up with the pace of technological innovation. In effect, such transformation can better cater to the learning demand of college students who are too reliant on digital resources to live without them. As for my students who are in the international programs in our college, they are entitled to studying overseas in their senior or junior year if they can meet the requirement of IELTS test. However, most of them have encountered numerous obstacles in learning the writing skills and often feel frustrated only to find no progress in spite of their tremendous efforts.This is largely due to the fact that the time allocated for the course of English writing is too limited and students’ potential of autonomous learning cannot be fulfilled. </w:t>
      </w:r>
    </w:p>
    <w:p>
      <w:pPr>
        <w:numPr>
          <w:ilvl w:val="0"/>
          <w:numId w:val="0"/>
        </w:numPr>
        <w:spacing w:line="360" w:lineRule="auto"/>
        <w:ind w:firstLine="600" w:firstLineChars="250"/>
        <w:rPr>
          <w:rFonts w:hint="default" w:ascii="Times New Roman" w:hAnsi="Times New Roman" w:cs="Times New Roman"/>
          <w:i w:val="0"/>
          <w:iCs w:val="0"/>
          <w:sz w:val="24"/>
          <w:szCs w:val="24"/>
        </w:rPr>
      </w:pP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In order to resolve those problems, A new model for learning English writing skills with the integration of online platform mediated collaborative learning into the course of English writing is proposed to exert far-reaching influence on improving students’ learning outcomes and raising their awareness of autonomous learning. This model provides a new form of social interaction that is both learner-empowered and includes techniques such as dialogic teaching and peer feedback. Moreover, as Internet serves as a medium for communication,communicative and task-based learning have also to be highlighted. More specifically, online information-sharing and discussion forum in the aforementioned learning platform can be accessible for both teachers and students to share authentic materials related to the topics in writing and upload their reflective journals if possible ,therefore playing a supplementary part in the writing curriculum. Such topic-oriented discussion is conducive to identifying and tackling problems correlated with their work, which can enhance learners’ linguistic and communicative competence which is an essential prerequisite for students to achieve their goals in English writing.</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3.2 Conceptual themes for this investigation</w:t>
      </w:r>
    </w:p>
    <w:p>
      <w:pPr>
        <w:numPr>
          <w:ilvl w:val="0"/>
          <w:numId w:val="0"/>
        </w:numPr>
        <w:spacing w:line="360" w:lineRule="auto"/>
        <w:ind w:firstLine="480" w:firstLineChars="20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In general, a socio-cultural theoretical framework is applied into this empirical research, which places emphasis on students’ learning during participation in online communities of practice. Specifically, online platform, which serves as a digital instructional tool based on the conceptual themes of CMC(computer-mediated communication) and LMS(language management systems) is advocated to be incorporated in the course of IELTS Writing. Meanwhile, collaborative learning mediated by such online platform would be explored on the basis of dialogic teaching on instructors’ part and peer feedback,particularly online peer tutoring among students.</w:t>
      </w: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3.2.1 Socio-cultural theory and dialogic teaching</w:t>
      </w:r>
    </w:p>
    <w:p>
      <w:pPr>
        <w:numPr>
          <w:ilvl w:val="0"/>
          <w:numId w:val="0"/>
        </w:numPr>
        <w:spacing w:line="360" w:lineRule="auto"/>
        <w:ind w:firstLine="480" w:firstLineChars="20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Vygotsky’s Socio-cultural theory which plays an active,interactive and collaborative role in learners’ entire learning process will be used as the general  theoretical framework. In particular,the role of social interaction and language should be prioritised as essential mediators of the whole learning process(Vygotsky, 1978). A  rising body of studies investigating the impact of dialogic teaching on students’ collaboration and learning outcomes have been supportive of this assertion. In such context, dialogic teaching can be defined as an approach which highlights the function of teacher talk used to engage students in the joint construction of knowledge. More specifically, instead of facilitating teacher-student interaction, student-student interaction should be promoted by using teacher talk to a larger extent, which has been demonstrated to be of huge significance. This is due to the fact that it creates a more symmetrical environment with regard to power and status differentials between students, which is more conducive to their collaborative learning and co-construction of knowledge.(Hardman&amp;Hardman, 2016, quoted in Alghasab et al. , 2019) </w:t>
      </w:r>
    </w:p>
    <w:p>
      <w:pPr>
        <w:numPr>
          <w:ilvl w:val="0"/>
          <w:numId w:val="0"/>
        </w:numPr>
        <w:spacing w:line="360" w:lineRule="auto"/>
        <w:ind w:firstLine="600" w:firstLineChars="250"/>
        <w:rPr>
          <w:rFonts w:hint="default" w:ascii="Times New Roman" w:hAnsi="Times New Roman" w:cs="Times New Roman"/>
          <w:i w:val="0"/>
          <w:iCs w:val="0"/>
          <w:sz w:val="24"/>
          <w:szCs w:val="24"/>
        </w:rPr>
      </w:pPr>
    </w:p>
    <w:p>
      <w:pPr>
        <w:numPr>
          <w:ilvl w:val="0"/>
          <w:numId w:val="0"/>
        </w:numPr>
        <w:spacing w:line="360" w:lineRule="auto"/>
        <w:ind w:firstLine="480" w:firstLineChars="20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With reference to the above theoretical foundation, even in virtual learning environment, instructors also should make every effort to set collaborative ground rules, promote joint construction of meaning and create an open,</w:t>
      </w:r>
      <w:r>
        <w:rPr>
          <w:rFonts w:hint="eastAsia" w:ascii="Times New Roman" w:hAnsi="Times New Roman" w:cs="Times New Roman"/>
          <w:i w:val="0"/>
          <w:iCs w:val="0"/>
          <w:sz w:val="24"/>
          <w:szCs w:val="24"/>
          <w:lang w:val="en-US" w:eastAsia="zh-Hans"/>
        </w:rPr>
        <w:t>interactive</w:t>
      </w:r>
      <w:r>
        <w:rPr>
          <w:rFonts w:hint="default" w:ascii="Times New Roman" w:hAnsi="Times New Roman" w:cs="Times New Roman"/>
          <w:i w:val="0"/>
          <w:iCs w:val="0"/>
          <w:sz w:val="24"/>
          <w:szCs w:val="24"/>
        </w:rPr>
        <w:t xml:space="preserve"> and motivating atmosphere </w:t>
      </w:r>
      <w:r>
        <w:rPr>
          <w:rFonts w:hint="eastAsia" w:ascii="Times New Roman" w:hAnsi="Times New Roman" w:cs="Times New Roman"/>
          <w:i w:val="0"/>
          <w:iCs w:val="0"/>
          <w:sz w:val="24"/>
          <w:szCs w:val="24"/>
          <w:lang w:val="en-US" w:eastAsia="zh-Hans"/>
        </w:rPr>
        <w:t>online</w:t>
      </w:r>
      <w:r>
        <w:rPr>
          <w:rFonts w:hint="default" w:ascii="Times New Roman" w:hAnsi="Times New Roman" w:cs="Times New Roman"/>
          <w:i w:val="0"/>
          <w:iCs w:val="0"/>
          <w:sz w:val="24"/>
          <w:szCs w:val="24"/>
          <w:lang w:eastAsia="zh-Hans"/>
        </w:rPr>
        <w:t xml:space="preserve"> </w:t>
      </w:r>
      <w:r>
        <w:rPr>
          <w:rFonts w:hint="default" w:ascii="Times New Roman" w:hAnsi="Times New Roman" w:cs="Times New Roman"/>
          <w:i w:val="0"/>
          <w:iCs w:val="0"/>
          <w:sz w:val="24"/>
          <w:szCs w:val="24"/>
        </w:rPr>
        <w:t xml:space="preserve">for students. Moreover, providing learning resources related to objectives of this course for students to discuss and construct their own reflective journals and giving feedback when necessary can be characterised as a heuristic process of learning that can scaffold students to tackle problems independently or more preferably with the help of their peers in English writing class. Such moves are also closely linked with Alexander’s principles of a dialogic pedagogy since “they are collective, reciprocal, supportive, cumulative and purposeful”(Alexander,2008, quoted in Alghasab et al. , 2019, p.13). </w:t>
      </w:r>
    </w:p>
    <w:p>
      <w:pPr>
        <w:numPr>
          <w:ilvl w:val="0"/>
          <w:numId w:val="0"/>
        </w:numPr>
        <w:spacing w:line="360" w:lineRule="auto"/>
        <w:ind w:firstLine="480" w:firstLineChars="200"/>
        <w:rPr>
          <w:rFonts w:hint="default" w:ascii="Times New Roman" w:hAnsi="Times New Roman" w:cs="Times New Roman"/>
          <w:i w:val="0"/>
          <w:iCs w:val="0"/>
          <w:sz w:val="24"/>
          <w:szCs w:val="24"/>
        </w:rPr>
      </w:pPr>
    </w:p>
    <w:p>
      <w:pPr>
        <w:numPr>
          <w:ilvl w:val="0"/>
          <w:numId w:val="0"/>
        </w:numPr>
        <w:spacing w:line="360" w:lineRule="auto"/>
        <w:ind w:firstLine="360" w:firstLineChars="1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To summarise, following Vygotsky’s theory,it can be revealed that the support of online collaborative learning and peer tutoring activities may add social meaning to the writing process and thus enhance students’ progress.</w:t>
      </w:r>
    </w:p>
    <w:p>
      <w:pPr>
        <w:numPr>
          <w:ilvl w:val="0"/>
          <w:numId w:val="0"/>
        </w:numPr>
        <w:spacing w:line="360" w:lineRule="auto"/>
        <w:ind w:firstLine="360" w:firstLineChars="150"/>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 xml:space="preserve">3.2.2 Collaborative learning and peer feedback </w:t>
      </w: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It is universally agreed that collaborative learning is an effective approach of L2 teaching and offers a truly conducive environment for autonomous learning of language which involves pairs or groups of learners in the classroom or outside the classroom. More specifically, student learning can be facilitated depending on the socially structured exchange of information among learners in groups where learners are held accountable for their own learning and are motivated to promote their peers’ learning. </w:t>
      </w:r>
    </w:p>
    <w:p>
      <w:pPr>
        <w:numPr>
          <w:ilvl w:val="0"/>
          <w:numId w:val="0"/>
        </w:numPr>
        <w:spacing w:line="360" w:lineRule="auto"/>
        <w:ind w:firstLine="600" w:firstLineChars="250"/>
        <w:rPr>
          <w:rFonts w:hint="default" w:ascii="Times New Roman" w:hAnsi="Times New Roman" w:cs="Times New Roman"/>
          <w:i w:val="0"/>
          <w:iCs w:val="0"/>
          <w:sz w:val="24"/>
          <w:szCs w:val="24"/>
        </w:rPr>
      </w:pPr>
    </w:p>
    <w:p>
      <w:pPr>
        <w:numPr>
          <w:ilvl w:val="0"/>
          <w:numId w:val="0"/>
        </w:numPr>
        <w:spacing w:line="360" w:lineRule="auto"/>
        <w:ind w:firstLine="480" w:firstLineChars="20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Moreover, Yygotskian social constructivist learning theory suggests that learning takes place when people participate in communities of practice with online tools mediated .(Lin&amp;Yang, 2011)In terms of online platform mediated collaborative learning, peer feedback, particularly peer tutoring may be of greater importance compared with aforementioned dialogic teaching. Students are encouraged to comment on their peers’ writing in both written and oral formats online through active engagement, which has become an integral pedagogical approach in English writing. </w:t>
      </w:r>
    </w:p>
    <w:p>
      <w:pPr>
        <w:numPr>
          <w:ilvl w:val="0"/>
          <w:numId w:val="0"/>
        </w:numPr>
        <w:spacing w:line="360" w:lineRule="auto"/>
        <w:ind w:firstLine="480" w:firstLineChars="200"/>
        <w:rPr>
          <w:rFonts w:hint="default" w:ascii="Times New Roman" w:hAnsi="Times New Roman" w:cs="Times New Roman"/>
          <w:i w:val="0"/>
          <w:iCs w:val="0"/>
          <w:sz w:val="24"/>
          <w:szCs w:val="24"/>
        </w:rPr>
      </w:pPr>
    </w:p>
    <w:p>
      <w:pPr>
        <w:numPr>
          <w:ilvl w:val="0"/>
          <w:numId w:val="0"/>
        </w:numPr>
        <w:spacing w:line="360" w:lineRule="auto"/>
        <w:ind w:firstLine="480" w:firstLineChars="20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Online peer tutoring, a specific form of peer feedback among students, provide students with the opportunity to take part in online writing activities with the aid of  tools and resources of their cultural community (Lin&amp;Yang, 2013). It has also been widely agreed among Chinese college English teachers that this new learning model can motivate students with high levels of linguistic and communicative competence to take the initiative to be in charge of some learning activities, hence generating meaningful social interactions that facilitate their peers’ language development and their own improvement of both language proficiency and leadership.</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3.2.3 CMC &amp; LMS in blended learning</w:t>
      </w:r>
    </w:p>
    <w:p>
      <w:pPr>
        <w:numPr>
          <w:ilvl w:val="0"/>
          <w:numId w:val="0"/>
        </w:numPr>
        <w:spacing w:line="360" w:lineRule="auto"/>
        <w:ind w:firstLine="480" w:firstLineChars="20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In addition, there is a significant body of research indicating that CMC(computer mediated communication) has been increasingly utilised as an indispensable instructional tool in the field of education with the advancement of information technology. Such online environments can provide dialogic teaching and online peer tutoring with an effective platform outside of classroom. Therefore, it has been adopted as a productive digital tool among college instructors and students internationally and the vast majority of them take positive attitudes towards CMC.There </w:t>
      </w:r>
      <w:r>
        <w:rPr>
          <w:rFonts w:hint="default" w:ascii="Times New Roman" w:hAnsi="Times New Roman" w:cs="Times New Roman"/>
          <w:i w:val="0"/>
          <w:iCs w:val="0"/>
          <w:sz w:val="24"/>
          <w:szCs w:val="24"/>
        </w:rPr>
        <w:t>are</w:t>
      </w:r>
      <w:r>
        <w:rPr>
          <w:rFonts w:hint="default" w:ascii="Times New Roman" w:hAnsi="Times New Roman" w:cs="Times New Roman"/>
          <w:i w:val="0"/>
          <w:iCs w:val="0"/>
          <w:sz w:val="24"/>
          <w:szCs w:val="24"/>
        </w:rPr>
        <w:t xml:space="preserve"> also evidence</w:t>
      </w:r>
      <w:r>
        <w:rPr>
          <w:rFonts w:hint="default" w:ascii="Times New Roman" w:hAnsi="Times New Roman" w:cs="Times New Roman"/>
          <w:i w:val="0"/>
          <w:iCs w:val="0"/>
          <w:sz w:val="24"/>
          <w:szCs w:val="24"/>
        </w:rPr>
        <w:t>s</w:t>
      </w:r>
      <w:bookmarkStart w:id="0" w:name="_GoBack"/>
      <w:bookmarkEnd w:id="0"/>
      <w:r>
        <w:rPr>
          <w:rFonts w:hint="default" w:ascii="Times New Roman" w:hAnsi="Times New Roman" w:cs="Times New Roman"/>
          <w:i w:val="0"/>
          <w:iCs w:val="0"/>
          <w:sz w:val="24"/>
          <w:szCs w:val="24"/>
        </w:rPr>
        <w:t xml:space="preserve"> confirm</w:t>
      </w:r>
      <w:r>
        <w:rPr>
          <w:rFonts w:hint="default" w:ascii="Times New Roman" w:hAnsi="Times New Roman" w:cs="Times New Roman"/>
          <w:i w:val="0"/>
          <w:iCs w:val="0"/>
          <w:sz w:val="24"/>
          <w:szCs w:val="24"/>
        </w:rPr>
        <w:t>ing</w:t>
      </w:r>
      <w:r>
        <w:rPr>
          <w:rFonts w:hint="default" w:ascii="Times New Roman" w:hAnsi="Times New Roman" w:cs="Times New Roman"/>
          <w:i w:val="0"/>
          <w:iCs w:val="0"/>
          <w:sz w:val="24"/>
          <w:szCs w:val="24"/>
        </w:rPr>
        <w:t xml:space="preserve"> that CMC exerts tremendous influence on students’ learning performance, some of whom have reaped substantial benefits from L2 learning via this tool. The evidence suggests that the use of CMC in L2 learning can enhance students’ engagement in their learning process, and more specifically in the aspect of writing. (Liaw&amp;Johnson,2001;Sullivan&amp;Pratt, 1996, quoted in Ferriman, 2013 ) Furthermore, Learning Management Systems(LMS) are also being integrated in the curriculum by many educational institutions to extend teaching and learning beyond classroom. The experimental evidence has also been obtained to prove that online bulletin boards, a prevalent form of asynchronous CMC, can be advantageous for teachers and students to facilitate their interaction concerning undergraduates’ performance in academic essay writing in English with the integration of LMSs such as Blackboard, Moodle and Nicenet (Ferriman, 2013). Furthermore, it has also been corroborated that online discussion forums provide an authenticity in writing and therefore play a significantly supplementary role in writing (Lata&amp;Luhach,2014). Similarly, the online instructional platform Dingding involved in LMS prevails among Chinese teachers and students especially after the outbreak of coronavirus pandemic. During the period when the public had to be kept in quarantine, this platform created a flexible and interactive setting for teachers to impart knowledge and facilitate collaborative learning among students outside of the classroom. Such typical features of online learning can provide students with diversified learning experiences, more opportunities to communicate with their teachers and peers beyond the classroom and support their autonomous learning. In this learning context, both synchronous and asynchronous modes of technology add new dimension to teaching and learning.</w:t>
      </w:r>
    </w:p>
    <w:p>
      <w:pPr>
        <w:numPr>
          <w:ilvl w:val="0"/>
          <w:numId w:val="0"/>
        </w:numPr>
        <w:spacing w:line="360" w:lineRule="auto"/>
        <w:ind w:firstLine="600" w:firstLineChars="250"/>
        <w:rPr>
          <w:rFonts w:hint="default" w:ascii="Times New Roman" w:hAnsi="Times New Roman" w:cs="Times New Roman"/>
          <w:i w:val="0"/>
          <w:iCs w:val="0"/>
          <w:sz w:val="24"/>
          <w:szCs w:val="24"/>
        </w:rPr>
      </w:pP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However, since the virtual classroom is intrinsically different from the campus-based classroom,where students and instructors meet face-to-face(F2F), a large number of researchers claim that these differences must be taken into account for successful CMC and LMS outcomes. It has been empirically proved that F2F is best for joint-decision making, and successful task achievement is dependent on choosing the right medium for the right task. Likewise, Adrianson and Hjelmquist(1999) claim that F2F is better and also preferred by students for discussing and responding to ideas,whilst CMC is more effective in information-sharing. More importantly, CMC tasks also need to be structured since critical thinking can be more considerably promoted to an increasingly advanced level under the circumstance that knowledge is co-constructed within a structured as opposed to an unstructured CMC environment (Aviv et al.,2003, quoted in Ferriman, 2013 ). In other words, students are more inclined to participate online as long as such participation is goal-driven.</w:t>
      </w:r>
    </w:p>
    <w:p>
      <w:pPr>
        <w:numPr>
          <w:ilvl w:val="0"/>
          <w:numId w:val="0"/>
        </w:numPr>
        <w:spacing w:line="360" w:lineRule="auto"/>
        <w:ind w:firstLine="600" w:firstLineChars="250"/>
        <w:rPr>
          <w:rFonts w:hint="default" w:ascii="Times New Roman" w:hAnsi="Times New Roman" w:cs="Times New Roman"/>
          <w:i w:val="0"/>
          <w:iCs w:val="0"/>
          <w:sz w:val="24"/>
          <w:szCs w:val="24"/>
        </w:rPr>
      </w:pPr>
    </w:p>
    <w:p>
      <w:pPr>
        <w:numPr>
          <w:ilvl w:val="0"/>
          <w:numId w:val="0"/>
        </w:numPr>
        <w:spacing w:line="360" w:lineRule="auto"/>
        <w:ind w:firstLine="480" w:firstLineChars="20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To sum up, CMC seems more appropriate to be served as a digital tool for teachers and students to share and store information, based on which they can have simple discussion .By contrast, F2F plays a more significant role in engaging students into deeper discussion based on the sharing information. As these tasks are complementary to certain extent, the optimal solution would be to use both CMC and F2F. Therefore, blended learning, a pedagogical combination of the virtual and the physical class, has become prevalent in post-pandemic period.</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4.Methodology</w:t>
      </w: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 xml:space="preserve">4.1 Participants  </w:t>
      </w:r>
    </w:p>
    <w:p>
      <w:pPr>
        <w:numPr>
          <w:ilvl w:val="0"/>
          <w:numId w:val="0"/>
        </w:numPr>
        <w:spacing w:line="360" w:lineRule="auto"/>
        <w:ind w:firstLine="480"/>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A total of 60 students involved in two separate classes are expected to participate in this study. They are sophomores aged between 19 and 21 years old who are in the international programs in our college with half of them from the school of food science and engineering and the other half from advertising. The teaching objectives of all the English courses mainly revolve around IELTS test as students in this program enjoy the opportunity to study abroad in the colleges either in the UK or in the USA which are in partnership with ours when they are juniors or seniors. IELTS Band 6 is a precondition for them to have access to this 2+2 or 3+1 program.</w:t>
      </w:r>
    </w:p>
    <w:p>
      <w:pPr>
        <w:numPr>
          <w:ilvl w:val="0"/>
          <w:numId w:val="0"/>
        </w:numPr>
        <w:spacing w:line="360" w:lineRule="auto"/>
        <w:ind w:firstLine="480"/>
        <w:rPr>
          <w:rFonts w:hint="default" w:ascii="Times New Roman" w:hAnsi="Times New Roman" w:cs="Times New Roman"/>
          <w:b w:val="0"/>
          <w:bCs w:val="0"/>
          <w:i w:val="0"/>
          <w:iCs w:val="0"/>
          <w:sz w:val="24"/>
          <w:szCs w:val="24"/>
        </w:rPr>
      </w:pPr>
    </w:p>
    <w:p>
      <w:pPr>
        <w:numPr>
          <w:ilvl w:val="0"/>
          <w:numId w:val="0"/>
        </w:numPr>
        <w:spacing w:line="360" w:lineRule="auto"/>
        <w:ind w:firstLine="480"/>
        <w:rPr>
          <w:rFonts w:hint="default" w:ascii="Times New Roman" w:hAnsi="Times New Roman" w:cs="Times New Roman"/>
          <w:i w:val="0"/>
          <w:iCs w:val="0"/>
          <w:sz w:val="24"/>
          <w:szCs w:val="24"/>
        </w:rPr>
      </w:pPr>
      <w:r>
        <w:rPr>
          <w:rFonts w:hint="default" w:ascii="Times New Roman" w:hAnsi="Times New Roman" w:cs="Times New Roman"/>
          <w:b w:val="0"/>
          <w:bCs w:val="0"/>
          <w:i w:val="0"/>
          <w:iCs w:val="0"/>
          <w:sz w:val="24"/>
          <w:szCs w:val="24"/>
        </w:rPr>
        <w:t xml:space="preserve">There are two different groups with 30 students involved separately. Group One is the experimental group that would be engaged in </w:t>
      </w:r>
      <w:r>
        <w:rPr>
          <w:rFonts w:hint="default" w:ascii="Times New Roman" w:hAnsi="Times New Roman" w:cs="Times New Roman"/>
          <w:i w:val="0"/>
          <w:iCs w:val="0"/>
          <w:sz w:val="24"/>
          <w:szCs w:val="24"/>
        </w:rPr>
        <w:t>online platform mediated collaborative learning together with traditional F2F instruction. On the contrary, Group Two is the control group with no online learning incorporated in the course.  With respect to students’ performance in English writing in their freshmen year, it can be observed that both groups share an overall similar linguistic competence. As a result, it is estimated that there may be no remarkable differences in their performance of the pre-test and the results of post-test can indicate whether students’ writing skills can be improved with the support of online platform mediated collaborative learning, which can provide more compelling experimental evidence .</w:t>
      </w:r>
    </w:p>
    <w:p>
      <w:pPr>
        <w:numPr>
          <w:ilvl w:val="0"/>
          <w:numId w:val="0"/>
        </w:numPr>
        <w:spacing w:line="360" w:lineRule="auto"/>
        <w:ind w:firstLine="480"/>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4.2 Research design settings</w:t>
      </w:r>
    </w:p>
    <w:p>
      <w:pPr>
        <w:numPr>
          <w:ilvl w:val="0"/>
          <w:numId w:val="0"/>
        </w:numPr>
        <w:spacing w:line="360" w:lineRule="auto"/>
        <w:ind w:firstLine="480" w:firstLineChars="20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This empirical research is designed to be conducted in the third semester of English writing course since the teaching objectives for this semester pertains to the second task of IELTS, namely, academic essay writing. There are a diversity of topics involved in this task, ranging from education to technology. Quality and comprehensible input ,such as authentic materials from foreign journals is integral in laying a solid foundation for students’ information storage and absorption, and therefore topic-oriented discussion and reflective journals based on those learning materials are of vital importance for students to expand their scope of knowledge and cultivate their critical thinking. During this process, both teachers’ guidance through dialogic teaching and informative feedback coupled with students’ peer feedback have positive effect on students’ online learning experiences and outcomes. In an attempt to fulfill those tasks more productively, students in the experimental group are planned to be divided into five small groups with a student playing the leading and facilitating role in each group. The five group leaders should be chosen following the principle that they are willing and capable to shoulder this responsibilities of engaging group members into collaborative learning with the assistance of the teacher. Additionally, it is suggested that their linguistic and communicative competence could be preferably above the average level.</w:t>
      </w:r>
    </w:p>
    <w:p>
      <w:pPr>
        <w:numPr>
          <w:ilvl w:val="0"/>
          <w:numId w:val="0"/>
        </w:numPr>
        <w:spacing w:line="360" w:lineRule="auto"/>
        <w:ind w:firstLine="480" w:firstLineChars="200"/>
        <w:rPr>
          <w:rFonts w:hint="default" w:ascii="Times New Roman" w:hAnsi="Times New Roman" w:cs="Times New Roman"/>
          <w:i w:val="0"/>
          <w:iCs w:val="0"/>
          <w:sz w:val="24"/>
          <w:szCs w:val="24"/>
        </w:rPr>
      </w:pPr>
    </w:p>
    <w:p>
      <w:pPr>
        <w:numPr>
          <w:ilvl w:val="0"/>
          <w:numId w:val="0"/>
        </w:numPr>
        <w:spacing w:line="360" w:lineRule="auto"/>
        <w:ind w:firstLine="48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 The Chinese online learning platform Dingding serves as the mediated virtual tool utilised by teachers and students to achieve the goals mentioned above mainly by virtue of collaborative learning. Both synchronous and asynchronous modes of technology have been developed to be incorporated in such online learning environment. For example, students in the same group can arrange the time when they can discuss simultaneously about the topic of the article from foreign journals chosen by the teacher per week through negotiation. Leaders are in charge of facilitating the discussion and guaranteeing that every group member is involved in the discussion where both peer tutoring and feedback take place. The student who is competent in information synthesis in each group can volunteer or be recommended to fulfill this task of writing down summary of each discussion, which can be collected together as the portfolio at the end of the semester. Apart from such informal output, students are also expected to take notes systematically with reference to teachers’ information sharing and write reflective journals critically on the basis of articles they read. They can upload their notes and reflective journals per week via the assignment-sharing function of Dingding where the teacher can have access to their assignments and give both oral and written feedback online and the excellent assignments can be accessible to other students in the class. Such asynchronous mode of technology can be of great assistance for the teacher to improve the efficiency and effectiveness of offering feedback and for students to reap tremendous benefits of positive peer influence.</w:t>
      </w:r>
    </w:p>
    <w:p>
      <w:pPr>
        <w:numPr>
          <w:ilvl w:val="0"/>
          <w:numId w:val="0"/>
        </w:numPr>
        <w:spacing w:line="360" w:lineRule="auto"/>
        <w:ind w:firstLine="480"/>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4.3 Research procedures(data collection methods&amp;data analysis methods)</w:t>
      </w:r>
    </w:p>
    <w:p>
      <w:pPr>
        <w:numPr>
          <w:ilvl w:val="0"/>
          <w:numId w:val="0"/>
        </w:numPr>
        <w:spacing w:line="360" w:lineRule="auto"/>
        <w:rPr>
          <w:rFonts w:hint="default" w:ascii="Times New Roman" w:hAnsi="Times New Roman" w:cs="Times New Roman"/>
          <w:i w:val="0"/>
          <w:iCs w:val="0"/>
          <w:sz w:val="24"/>
          <w:szCs w:val="24"/>
        </w:rPr>
      </w:pPr>
      <w:r>
        <w:rPr>
          <w:rFonts w:hint="default" w:ascii="Times New Roman Bold" w:hAnsi="Times New Roman Bold" w:cs="Times New Roman Bold"/>
          <w:b/>
          <w:bCs/>
          <w:i w:val="0"/>
          <w:iCs w:val="0"/>
          <w:sz w:val="24"/>
          <w:szCs w:val="24"/>
        </w:rPr>
        <w:t xml:space="preserve">    </w:t>
      </w:r>
      <w:r>
        <w:rPr>
          <w:rFonts w:hint="default" w:ascii="Times New Roman" w:hAnsi="Times New Roman" w:cs="Times New Roman"/>
          <w:i w:val="0"/>
          <w:iCs w:val="0"/>
          <w:sz w:val="24"/>
          <w:szCs w:val="24"/>
        </w:rPr>
        <w:t xml:space="preserve"> A mixed-method approach with three quantitative and qualitative methods involved-questionnaire,interview and writing tests are expected to be analysed to provide a triangulated interpretation(Cresqwell &amp; Plano Clark, 2007).</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     At the beginning of the semester when IELTS writing is involved, online questionnaire will be designed with the purpose of basically identifying perceptions and attitudes of students in the experimental class towards online platform mediated collaborative learning. Additionally, students in both experimental and control group have to participate in the pre-test which serves as the simulated examination of the second task of IELTS writing. All of them are expected to finish the test of a 250-word academic essay within 40 minutes and so to find out their starting level of writing skills for academic essay based on the official marking criteria from four aspects,namely, task response,lexical resources,grammatical range and accuracy as well as coherence and cohesion. During this semester, the course will be instructed by the same teacher in those two different classes, both of which are engaged in the same teaching and learning environment in the F2F classroom. However, the students in the experimental class will be guided to take advantage of the online learning platform Dingding with collaborative learning integrated outside of classroom.The aforementioned collaborative learning activities will be carried out online to serve as a supplementary part for F2F classroom learning. At the end of the semester, another online questionnaire will be created to find out perceptions of students in the experimental class regarding the role online platform mediated collaborative learning plays in their learning of academic essay writing skills in the whole semester and more importantly to see whether there are some different perceptions compared with the result of the questionnaire shared at the beginning of the semester. Furthermore, both post-test and semi-structured interviews will be held in the experimental group whilst only post-test will be carried out in the control group. On the last day of the course, for the first session, all the students in both groups are expected to participate in the post-test with the same requirement of pre-test. The results of such tests in different groups can indicate their different degrees of progress in writing performance, thus shedding new light on the impact of online platform mediated collaborative learning on ILETS writing. Furthermore, a semi-structured interview will be held between the teacher who acts as the interviewer and five group leaders in the experimental class . Eight specific non-leading questions concerning the design of this course and online activities are predicted to be answered within 10 minutes for each interviewee so that the 45-min session time limit could not be exceeded. During this process, the interviewer’s questions can vary slightly according to interviewees’ different answers. Since group leaders are more committed to online collaborative learning, their answers would be of huge significance for the teacher to reflect on and gain deeper insights into the effectiveness of teaching content and strategies, which may result in far-reaching pedagogical implication for the teacher.</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ind w:firstLine="48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In terms of data analysis, it should be illustrated from two main aspects including both quantitative and qualitative analysis. The numerical responses to questionnaires are estimated to be analysed quantitatively using the SPSS statistical software. By contrast, the qualitative textual data from students’ interviews will be transcribed into word script. Coding will be applied in the transcribed recordings of the interviews, which presents itself in three levels according to the degree of abstractness. Firstly, words on the perceptions of online activities will be selected with “local” terms retained. Secondly, a qualitative analysis of those terms will be made by summarising meanings, classifying ideas and grouping similar ones together. Finally, further abstracting will be done when themes emerge from the interviews(Yang et al., 2013). In the meantime, </w:t>
      </w:r>
      <w:r>
        <w:rPr>
          <w:rFonts w:hint="eastAsia" w:ascii="Times New Roman" w:hAnsi="Times New Roman" w:cs="Times New Roman"/>
          <w:i w:val="0"/>
          <w:iCs w:val="0"/>
          <w:sz w:val="24"/>
          <w:szCs w:val="24"/>
          <w:lang w:eastAsia="zh-CN"/>
        </w:rPr>
        <w:t>the interviews will be record</w:t>
      </w:r>
      <w:r>
        <w:rPr>
          <w:rFonts w:hint="default" w:ascii="Times New Roman" w:hAnsi="Times New Roman" w:cs="Times New Roman"/>
          <w:i w:val="0"/>
          <w:iCs w:val="0"/>
          <w:sz w:val="24"/>
          <w:szCs w:val="24"/>
          <w:lang w:eastAsia="zh-CN"/>
        </w:rPr>
        <w:t>ed with interviewees’ permissions, which</w:t>
      </w:r>
      <w:r>
        <w:rPr>
          <w:rFonts w:hint="eastAsia" w:ascii="Times New Roman" w:hAnsi="Times New Roman" w:cs="Times New Roman"/>
          <w:i w:val="0"/>
          <w:iCs w:val="0"/>
          <w:sz w:val="24"/>
          <w:szCs w:val="24"/>
          <w:lang w:eastAsia="zh-CN"/>
        </w:rPr>
        <w:t xml:space="preserve"> allows </w:t>
      </w:r>
      <w:r>
        <w:rPr>
          <w:rFonts w:hint="default" w:ascii="Times New Roman" w:hAnsi="Times New Roman" w:cs="Times New Roman"/>
          <w:i w:val="0"/>
          <w:iCs w:val="0"/>
          <w:sz w:val="24"/>
          <w:szCs w:val="24"/>
          <w:lang w:eastAsia="zh-CN"/>
        </w:rPr>
        <w:t>the interviewer</w:t>
      </w:r>
      <w:r>
        <w:rPr>
          <w:rFonts w:hint="eastAsia" w:ascii="Times New Roman" w:hAnsi="Times New Roman" w:cs="Times New Roman"/>
          <w:i w:val="0"/>
          <w:iCs w:val="0"/>
          <w:sz w:val="24"/>
          <w:szCs w:val="24"/>
          <w:lang w:eastAsia="zh-CN"/>
        </w:rPr>
        <w:t xml:space="preserve"> to concentrate on the interview. </w:t>
      </w:r>
      <w:r>
        <w:rPr>
          <w:rFonts w:hint="default" w:ascii="Times New Roman" w:hAnsi="Times New Roman" w:cs="Times New Roman"/>
          <w:i w:val="0"/>
          <w:iCs w:val="0"/>
          <w:sz w:val="24"/>
          <w:szCs w:val="24"/>
        </w:rPr>
        <w:t>Moreover, with regard to written tests,since they are arranged to be held in the classroom with no interruption of electronic devices, the authenticity can be better guaranteed. They will be marked by two different teachers following the same official marking criteria mentioned above and the average scores will be calculated. The results of such tests can compare students’ changes in writing performance in two different groups and serve as compelling evidence of the impact of online platform mediated collaborative learning on IELTS writing.</w:t>
      </w:r>
    </w:p>
    <w:p>
      <w:pPr>
        <w:numPr>
          <w:ilvl w:val="0"/>
          <w:numId w:val="0"/>
        </w:numPr>
        <w:spacing w:line="360" w:lineRule="auto"/>
        <w:ind w:firstLine="480"/>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4.4 Ethical issues</w:t>
      </w: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b w:val="0"/>
          <w:bCs w:val="0"/>
          <w:i w:val="0"/>
          <w:iCs w:val="0"/>
          <w:sz w:val="24"/>
          <w:szCs w:val="24"/>
        </w:rPr>
        <w:t>In this empirical research, two groups of students are anticipated to be involved. It is morally sound to inform those students of the procedures and purpose of this research and ask for their consent since</w:t>
      </w:r>
      <w:r>
        <w:rPr>
          <w:rFonts w:hint="default" w:ascii="Times New Roman" w:hAnsi="Times New Roman" w:cs="Times New Roman"/>
          <w:i w:val="0"/>
          <w:iCs w:val="0"/>
          <w:sz w:val="24"/>
          <w:szCs w:val="24"/>
        </w:rPr>
        <w:t xml:space="preserve"> ethical issues can never be underestimated in educational research,</w:t>
      </w:r>
      <w:r>
        <w:rPr>
          <w:rFonts w:hint="default" w:ascii="Times New Roman" w:hAnsi="Times New Roman" w:cs="Times New Roman"/>
          <w:i w:val="0"/>
          <w:iCs w:val="0"/>
          <w:sz w:val="24"/>
          <w:szCs w:val="24"/>
          <w:lang w:eastAsia="zh-CN"/>
        </w:rPr>
        <w:t xml:space="preserve"> </w:t>
      </w:r>
      <w:r>
        <w:rPr>
          <w:rFonts w:hint="default" w:ascii="Times New Roman" w:hAnsi="Times New Roman" w:cs="Times New Roman"/>
          <w:i w:val="0"/>
          <w:iCs w:val="0"/>
          <w:sz w:val="24"/>
          <w:szCs w:val="24"/>
        </w:rPr>
        <w:t xml:space="preserve">particularly in the studies involving different participants. </w:t>
      </w:r>
      <w:r>
        <w:rPr>
          <w:rFonts w:hint="eastAsia" w:ascii="Times New Roman" w:hAnsi="Times New Roman" w:cs="Times New Roman"/>
          <w:i w:val="0"/>
          <w:iCs w:val="0"/>
          <w:sz w:val="24"/>
          <w:szCs w:val="24"/>
          <w:lang w:val="en-US" w:eastAsia="zh-Hans"/>
        </w:rPr>
        <w:t>In</w:t>
      </w:r>
      <w:r>
        <w:rPr>
          <w:rFonts w:hint="default" w:ascii="Times New Roman" w:hAnsi="Times New Roman" w:cs="Times New Roman"/>
          <w:i w:val="0"/>
          <w:iCs w:val="0"/>
          <w:sz w:val="24"/>
          <w:szCs w:val="24"/>
          <w:lang w:eastAsia="zh-Hans"/>
        </w:rPr>
        <w:t xml:space="preserve"> the light of students’ perceptions of the role </w:t>
      </w:r>
      <w:r>
        <w:rPr>
          <w:rFonts w:hint="default" w:ascii="Times New Roman" w:hAnsi="Times New Roman" w:cs="Times New Roman"/>
          <w:i w:val="0"/>
          <w:iCs w:val="0"/>
          <w:sz w:val="24"/>
          <w:szCs w:val="24"/>
        </w:rPr>
        <w:t>online platform mediated collaborative learning plays in their IELTS writing learning, two aspects of ethical issues should be taken into consideration, including</w:t>
      </w:r>
      <w:r>
        <w:rPr>
          <w:rFonts w:hint="default" w:ascii="Times New Roman" w:hAnsi="Times New Roman" w:cs="Times New Roman"/>
          <w:i w:val="0"/>
          <w:iCs w:val="0"/>
          <w:sz w:val="24"/>
          <w:szCs w:val="24"/>
          <w:lang w:eastAsia="zh-CN"/>
        </w:rPr>
        <w:t xml:space="preserve"> </w:t>
      </w:r>
      <w:r>
        <w:rPr>
          <w:rFonts w:hint="default" w:ascii="Times New Roman" w:hAnsi="Times New Roman" w:cs="Times New Roman"/>
          <w:i w:val="0"/>
          <w:iCs w:val="0"/>
          <w:sz w:val="24"/>
          <w:szCs w:val="24"/>
        </w:rPr>
        <w:t>confidentiality and anonymity together with informed consent.</w:t>
      </w:r>
    </w:p>
    <w:p>
      <w:pPr>
        <w:numPr>
          <w:ilvl w:val="0"/>
          <w:numId w:val="0"/>
        </w:numPr>
        <w:spacing w:line="360" w:lineRule="auto"/>
        <w:ind w:firstLine="601" w:firstLineChars="250"/>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 xml:space="preserve"> </w:t>
      </w: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lang w:eastAsia="zh-CN"/>
        </w:rPr>
        <w:t xml:space="preserve">4.4.1 </w:t>
      </w:r>
      <w:r>
        <w:rPr>
          <w:rFonts w:hint="default" w:ascii="Times New Roman Bold" w:hAnsi="Times New Roman Bold" w:cs="Times New Roman Bold"/>
          <w:b/>
          <w:bCs/>
          <w:i w:val="0"/>
          <w:iCs w:val="0"/>
          <w:sz w:val="24"/>
          <w:szCs w:val="24"/>
        </w:rPr>
        <w:t>Confidentiality and Anonymity</w:t>
      </w: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It should be underlined that confidentiality and anonymity are inextricably intertwined and demonstrate their own characteristics regarding ethical issues in social science research. Such factors have to be taken into account particularly for </w:t>
      </w:r>
      <w:r>
        <w:rPr>
          <w:rFonts w:hint="default" w:ascii="Times New Roman" w:hAnsi="Times New Roman" w:cs="Times New Roman"/>
          <w:i w:val="0"/>
          <w:iCs w:val="0"/>
          <w:sz w:val="24"/>
          <w:szCs w:val="24"/>
          <w:lang w:eastAsia="zh-CN"/>
        </w:rPr>
        <w:t>the</w:t>
      </w:r>
      <w:r>
        <w:rPr>
          <w:rFonts w:hint="default" w:ascii="Times New Roman" w:hAnsi="Times New Roman" w:cs="Times New Roman"/>
          <w:i w:val="0"/>
          <w:iCs w:val="0"/>
          <w:sz w:val="24"/>
          <w:szCs w:val="24"/>
        </w:rPr>
        <w:t xml:space="preserve"> interview adopted as</w:t>
      </w:r>
      <w:r>
        <w:rPr>
          <w:rFonts w:hint="default" w:ascii="Times New Roman" w:hAnsi="Times New Roman" w:cs="Times New Roman"/>
          <w:i w:val="0"/>
          <w:iCs w:val="0"/>
          <w:sz w:val="24"/>
          <w:szCs w:val="24"/>
          <w:lang w:eastAsia="zh-CN"/>
        </w:rPr>
        <w:t xml:space="preserve"> the</w:t>
      </w:r>
      <w:r>
        <w:rPr>
          <w:rFonts w:hint="default" w:ascii="Times New Roman" w:hAnsi="Times New Roman" w:cs="Times New Roman"/>
          <w:i w:val="0"/>
          <w:iCs w:val="0"/>
          <w:sz w:val="24"/>
          <w:szCs w:val="24"/>
        </w:rPr>
        <w:t xml:space="preserve"> data collection method. </w:t>
      </w:r>
    </w:p>
    <w:p>
      <w:pPr>
        <w:numPr>
          <w:ilvl w:val="0"/>
          <w:numId w:val="0"/>
        </w:numPr>
        <w:spacing w:line="360" w:lineRule="auto"/>
        <w:ind w:firstLine="600" w:firstLineChars="250"/>
        <w:rPr>
          <w:rFonts w:hint="default" w:ascii="Times New Roman" w:hAnsi="Times New Roman" w:cs="Times New Roman"/>
          <w:i w:val="0"/>
          <w:iCs w:val="0"/>
          <w:sz w:val="24"/>
          <w:szCs w:val="24"/>
        </w:rPr>
      </w:pPr>
    </w:p>
    <w:p>
      <w:pPr>
        <w:numPr>
          <w:ilvl w:val="0"/>
          <w:numId w:val="0"/>
        </w:numPr>
        <w:spacing w:line="360" w:lineRule="auto"/>
        <w:ind w:firstLine="480" w:firstLineChars="200"/>
        <w:rPr>
          <w:rFonts w:hint="default" w:ascii="Times New Roman" w:hAnsi="Times New Roman" w:cs="Times New Roman"/>
          <w:i w:val="0"/>
          <w:iCs w:val="0"/>
          <w:sz w:val="24"/>
          <w:szCs w:val="24"/>
          <w:lang w:eastAsia="zh-CN"/>
        </w:rPr>
      </w:pPr>
      <w:r>
        <w:rPr>
          <w:rFonts w:hint="default" w:ascii="Times New Roman" w:hAnsi="Times New Roman" w:cs="Times New Roman"/>
          <w:i w:val="0"/>
          <w:iCs w:val="0"/>
          <w:sz w:val="24"/>
          <w:szCs w:val="24"/>
        </w:rPr>
        <w:t xml:space="preserve">Specifically, from my perspective, confidentiality is self-contradictory to some degree since the findings of the research can by no means be kept in privacy, otherwise, the significant result yielded from the study can not be accessible. However, researchers are responsible for protecting the participants’ identity and related information. It has been proposed that </w:t>
      </w:r>
      <w:r>
        <w:rPr>
          <w:rFonts w:hint="default" w:ascii="Times New Roman" w:hAnsi="Times New Roman" w:cs="Times New Roman"/>
          <w:i w:val="0"/>
          <w:iCs w:val="0"/>
          <w:sz w:val="24"/>
          <w:szCs w:val="24"/>
          <w:lang w:eastAsia="zh-CN"/>
        </w:rPr>
        <w:t>t</w:t>
      </w:r>
      <w:r>
        <w:rPr>
          <w:rFonts w:hint="default" w:ascii="Times New Roman" w:hAnsi="Times New Roman" w:cs="Times New Roman"/>
          <w:i w:val="0"/>
          <w:iCs w:val="0"/>
          <w:sz w:val="24"/>
          <w:szCs w:val="24"/>
        </w:rPr>
        <w:t xml:space="preserve">here is a conflict between the right to know and the commitment to confidentiality over the source, especially the data, which has been gathered from the research(Pring, 2004). As a result, the researcher plays an essential role in maintaining the balance between them. </w:t>
      </w:r>
      <w:r>
        <w:rPr>
          <w:rFonts w:hint="default" w:ascii="Times New Roman" w:hAnsi="Times New Roman" w:cs="Times New Roman"/>
          <w:i w:val="0"/>
          <w:iCs w:val="0"/>
          <w:sz w:val="24"/>
          <w:szCs w:val="24"/>
          <w:lang w:eastAsia="zh-CN"/>
        </w:rPr>
        <w:t xml:space="preserve">In terms of my research, making the oral promise that </w:t>
      </w:r>
      <w:r>
        <w:rPr>
          <w:rFonts w:hint="default" w:ascii="Times New Roman" w:hAnsi="Times New Roman" w:cs="Times New Roman"/>
          <w:i w:val="0"/>
          <w:iCs w:val="0"/>
          <w:sz w:val="24"/>
          <w:szCs w:val="24"/>
        </w:rPr>
        <w:t xml:space="preserve">the </w:t>
      </w:r>
      <w:r>
        <w:rPr>
          <w:rFonts w:hint="default" w:ascii="Times New Roman" w:hAnsi="Times New Roman" w:cs="Times New Roman"/>
          <w:i w:val="0"/>
          <w:iCs w:val="0"/>
          <w:sz w:val="24"/>
          <w:szCs w:val="24"/>
          <w:lang w:eastAsia="zh-CN"/>
        </w:rPr>
        <w:t>personal information of</w:t>
      </w:r>
      <w:r>
        <w:rPr>
          <w:rFonts w:hint="default" w:ascii="Times New Roman" w:hAnsi="Times New Roman" w:cs="Times New Roman"/>
          <w:i w:val="0"/>
          <w:iCs w:val="0"/>
          <w:sz w:val="24"/>
          <w:szCs w:val="24"/>
        </w:rPr>
        <w:t xml:space="preserve"> </w:t>
      </w:r>
      <w:r>
        <w:rPr>
          <w:rFonts w:hint="default" w:ascii="Times New Roman" w:hAnsi="Times New Roman" w:cs="Times New Roman"/>
          <w:i w:val="0"/>
          <w:iCs w:val="0"/>
          <w:sz w:val="24"/>
          <w:szCs w:val="24"/>
          <w:lang w:eastAsia="zh-CN"/>
        </w:rPr>
        <w:t>five students engaged into the interview and students involved in questionnaires and written tests will not be disclosed is insufficient</w:t>
      </w:r>
      <w:r>
        <w:rPr>
          <w:rFonts w:hint="default" w:ascii="Times New Roman" w:hAnsi="Times New Roman" w:cs="Times New Roman"/>
          <w:i w:val="0"/>
          <w:iCs w:val="0"/>
          <w:sz w:val="24"/>
          <w:szCs w:val="24"/>
        </w:rPr>
        <w:t>, relevant written information ought to be also provided .</w:t>
      </w:r>
      <w:r>
        <w:rPr>
          <w:rFonts w:hint="default" w:ascii="Times New Roman" w:hAnsi="Times New Roman" w:cs="Times New Roman"/>
          <w:i w:val="0"/>
          <w:iCs w:val="0"/>
          <w:sz w:val="24"/>
          <w:szCs w:val="24"/>
          <w:lang w:eastAsia="zh-CN"/>
        </w:rPr>
        <w:t xml:space="preserve"> </w:t>
      </w:r>
    </w:p>
    <w:p>
      <w:pPr>
        <w:numPr>
          <w:ilvl w:val="0"/>
          <w:numId w:val="0"/>
        </w:numPr>
        <w:spacing w:line="360" w:lineRule="auto"/>
        <w:ind w:firstLine="480" w:firstLineChars="200"/>
        <w:rPr>
          <w:rFonts w:hint="default" w:ascii="Times New Roman" w:hAnsi="Times New Roman" w:cs="Times New Roman"/>
          <w:i w:val="0"/>
          <w:iCs w:val="0"/>
          <w:sz w:val="24"/>
          <w:szCs w:val="24"/>
          <w:lang w:eastAsia="zh-CN"/>
        </w:rPr>
      </w:pP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By comparison, it is easier to deal with anonymity since it is chiefly concerned with keeping names unknown. As for all the participants involved in this research, their names should be guaranteed to be kept anonymous. Therefore I designate them as student A, student B, student C,student D and student E respectively when findings and discussion have to be illustrated in the final article.</w:t>
      </w:r>
    </w:p>
    <w:p>
      <w:pPr>
        <w:numPr>
          <w:ilvl w:val="0"/>
          <w:numId w:val="0"/>
        </w:numPr>
        <w:spacing w:line="360" w:lineRule="auto"/>
        <w:ind w:firstLine="600" w:firstLineChars="250"/>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4.4.2 Informed Consent</w:t>
      </w:r>
    </w:p>
    <w:p>
      <w:pPr>
        <w:numPr>
          <w:ilvl w:val="0"/>
          <w:numId w:val="0"/>
        </w:numPr>
        <w:spacing w:line="360" w:lineRule="auto"/>
        <w:ind w:firstLine="600" w:firstLineChars="250"/>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Undeniably, participants should consent to be engaged in the research. And they are entitled to be informed of the content and aims of the study. Newby (2010) claims that They should know the specific reasons of being chosen as participants and the limits of their involvement. They should also be informed that whether they can  have access to research results and comment on the analysis and conclusions or not. In terms of the interview </w:t>
      </w:r>
      <w:r>
        <w:rPr>
          <w:rFonts w:hint="default" w:ascii="Times New Roman" w:hAnsi="Times New Roman" w:cs="Times New Roman"/>
          <w:i w:val="0"/>
          <w:iCs w:val="0"/>
          <w:sz w:val="24"/>
          <w:szCs w:val="24"/>
          <w:lang w:eastAsia="zh-CN"/>
        </w:rPr>
        <w:t>recorded</w:t>
      </w:r>
      <w:r>
        <w:rPr>
          <w:rFonts w:hint="default" w:ascii="Times New Roman" w:hAnsi="Times New Roman" w:cs="Times New Roman"/>
          <w:i w:val="0"/>
          <w:iCs w:val="0"/>
          <w:sz w:val="24"/>
          <w:szCs w:val="24"/>
        </w:rPr>
        <w:t xml:space="preserve"> in th</w:t>
      </w:r>
      <w:r>
        <w:rPr>
          <w:rFonts w:hint="default" w:ascii="Times New Roman" w:hAnsi="Times New Roman" w:cs="Times New Roman"/>
          <w:i w:val="0"/>
          <w:iCs w:val="0"/>
          <w:sz w:val="24"/>
          <w:szCs w:val="24"/>
          <w:lang w:eastAsia="zh-CN"/>
        </w:rPr>
        <w:t>is</w:t>
      </w:r>
      <w:r>
        <w:rPr>
          <w:rFonts w:hint="default" w:ascii="Times New Roman" w:hAnsi="Times New Roman" w:cs="Times New Roman"/>
          <w:i w:val="0"/>
          <w:iCs w:val="0"/>
          <w:sz w:val="24"/>
          <w:szCs w:val="24"/>
        </w:rPr>
        <w:t xml:space="preserve"> study, the importance of asking for their permission should be highlighted as </w:t>
      </w:r>
      <w:r>
        <w:rPr>
          <w:rFonts w:hint="default" w:ascii="Times New Roman" w:hAnsi="Times New Roman" w:cs="Times New Roman"/>
          <w:i w:val="0"/>
          <w:iCs w:val="0"/>
          <w:sz w:val="24"/>
          <w:szCs w:val="24"/>
          <w:lang w:eastAsia="zh-CN"/>
        </w:rPr>
        <w:t xml:space="preserve">it has been stressed </w:t>
      </w:r>
      <w:r>
        <w:rPr>
          <w:rFonts w:hint="default" w:ascii="Times New Roman" w:hAnsi="Times New Roman" w:cs="Times New Roman"/>
          <w:i w:val="0"/>
          <w:iCs w:val="0"/>
          <w:sz w:val="24"/>
          <w:szCs w:val="24"/>
        </w:rPr>
        <w:t xml:space="preserve">that ethical research should involve getting the informed consent of those participants the interviewer is going to interview, question, observe or take material from (Bell, 1993). With regard to </w:t>
      </w:r>
      <w:r>
        <w:rPr>
          <w:rFonts w:hint="default" w:ascii="Times New Roman" w:hAnsi="Times New Roman" w:cs="Times New Roman"/>
          <w:i w:val="0"/>
          <w:iCs w:val="0"/>
          <w:sz w:val="24"/>
          <w:szCs w:val="24"/>
          <w:lang w:eastAsia="zh-CN"/>
        </w:rPr>
        <w:t xml:space="preserve">the proposed </w:t>
      </w:r>
      <w:r>
        <w:rPr>
          <w:rFonts w:hint="default" w:ascii="Times New Roman" w:hAnsi="Times New Roman" w:cs="Times New Roman"/>
          <w:i w:val="0"/>
          <w:iCs w:val="0"/>
          <w:sz w:val="24"/>
          <w:szCs w:val="24"/>
        </w:rPr>
        <w:t xml:space="preserve">research , the teacher could first provide both written and oral information for </w:t>
      </w:r>
      <w:r>
        <w:rPr>
          <w:rFonts w:hint="default" w:ascii="Times New Roman" w:hAnsi="Times New Roman" w:cs="Times New Roman"/>
          <w:i w:val="0"/>
          <w:iCs w:val="0"/>
          <w:sz w:val="24"/>
          <w:szCs w:val="24"/>
          <w:lang w:eastAsia="zh-CN"/>
        </w:rPr>
        <w:t>students</w:t>
      </w:r>
      <w:r>
        <w:rPr>
          <w:rFonts w:hint="default" w:ascii="Times New Roman" w:hAnsi="Times New Roman" w:cs="Times New Roman"/>
          <w:i w:val="0"/>
          <w:iCs w:val="0"/>
          <w:sz w:val="24"/>
          <w:szCs w:val="24"/>
        </w:rPr>
        <w:t xml:space="preserve"> who then should decide whether to sign or not. This is advanced by Hart and Bond (1995), claiming that it would be better to give the participants time to read and re-read the protocol at their own pace, and to negotiate any additions or changes to it with the researcher.</w:t>
      </w:r>
    </w:p>
    <w:p>
      <w:pPr>
        <w:numPr>
          <w:ilvl w:val="0"/>
          <w:numId w:val="0"/>
        </w:numPr>
        <w:spacing w:line="360" w:lineRule="auto"/>
        <w:rPr>
          <w:rFonts w:hint="default" w:ascii="Times New Roman Bold" w:hAnsi="Times New Roman Bold" w:cs="Times New Roman Bold"/>
          <w:b/>
          <w:bCs/>
          <w:i w:val="0"/>
          <w:iCs w:val="0"/>
          <w:sz w:val="24"/>
          <w:szCs w:val="24"/>
        </w:rPr>
      </w:pPr>
    </w:p>
    <w:p>
      <w:pPr>
        <w:numPr>
          <w:ilvl w:val="0"/>
          <w:numId w:val="2"/>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Timetable for the proposed project</w:t>
      </w:r>
    </w:p>
    <w:p>
      <w:pPr>
        <w:numPr>
          <w:ilvl w:val="0"/>
          <w:numId w:val="0"/>
        </w:numPr>
        <w:spacing w:line="360" w:lineRule="auto"/>
        <w:rPr>
          <w:rFonts w:hint="default" w:ascii="Times New Roman Bold" w:hAnsi="Times New Roman Bold" w:cs="Times New Roman Bold"/>
          <w:b/>
          <w:bCs/>
          <w:i w:val="0"/>
          <w:iCs w:val="0"/>
          <w:sz w:val="24"/>
          <w:szCs w:val="24"/>
        </w:rPr>
      </w:pPr>
    </w:p>
    <w:tbl>
      <w:tblPr>
        <w:tblStyle w:val="4"/>
        <w:tblW w:w="8328"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391"/>
        <w:gridCol w:w="1341"/>
        <w:gridCol w:w="55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07" w:hRule="atLeast"/>
          <w:jc w:val="center"/>
        </w:trPr>
        <w:tc>
          <w:tcPr>
            <w:tcW w:w="1391" w:type="dxa"/>
            <w:tcBorders>
              <w:top w:val="single" w:color="auto" w:sz="4" w:space="0"/>
              <w:left w:val="single" w:color="auto" w:sz="4" w:space="0"/>
              <w:bottom w:val="single" w:color="auto" w:sz="4" w:space="0"/>
              <w:right w:val="single" w:color="auto" w:sz="4" w:space="0"/>
            </w:tcBorders>
            <w:noWrap w:val="0"/>
            <w:vAlign w:val="center"/>
          </w:tcPr>
          <w:p>
            <w:pPr>
              <w:jc w:val="center"/>
              <w:rPr>
                <w:rFonts w:eastAsia="华文中宋"/>
                <w:sz w:val="24"/>
                <w:szCs w:val="24"/>
              </w:rPr>
            </w:pPr>
            <w:r>
              <w:rPr>
                <w:rFonts w:hint="default" w:ascii="Times New Roman Bold" w:hAnsi="Times New Roman Bold" w:cs="Times New Roman Bold"/>
                <w:b/>
                <w:bCs/>
                <w:i w:val="0"/>
                <w:iCs w:val="0"/>
                <w:sz w:val="24"/>
                <w:szCs w:val="24"/>
              </w:rPr>
              <w:t>Starting Time</w:t>
            </w:r>
          </w:p>
        </w:tc>
        <w:tc>
          <w:tcPr>
            <w:tcW w:w="1341" w:type="dxa"/>
            <w:tcBorders>
              <w:top w:val="single" w:color="auto" w:sz="4" w:space="0"/>
              <w:left w:val="single" w:color="auto" w:sz="4" w:space="0"/>
              <w:bottom w:val="single" w:color="auto" w:sz="4" w:space="0"/>
              <w:right w:val="single" w:color="auto" w:sz="4" w:space="0"/>
            </w:tcBorders>
            <w:noWrap w:val="0"/>
            <w:vAlign w:val="center"/>
          </w:tcPr>
          <w:p>
            <w:pPr>
              <w:jc w:val="center"/>
              <w:rPr>
                <w:rFonts w:eastAsia="华文中宋"/>
                <w:sz w:val="24"/>
                <w:szCs w:val="24"/>
              </w:rPr>
            </w:pPr>
            <w:r>
              <w:rPr>
                <w:rFonts w:hint="default" w:ascii="Times New Roman Bold" w:hAnsi="Times New Roman Bold" w:cs="Times New Roman Bold"/>
                <w:b/>
                <w:bCs/>
                <w:i w:val="0"/>
                <w:iCs w:val="0"/>
                <w:sz w:val="24"/>
                <w:szCs w:val="24"/>
              </w:rPr>
              <w:t>Ending Time</w:t>
            </w:r>
          </w:p>
        </w:tc>
        <w:tc>
          <w:tcPr>
            <w:tcW w:w="5596" w:type="dxa"/>
            <w:tcBorders>
              <w:top w:val="single" w:color="auto" w:sz="4" w:space="0"/>
              <w:left w:val="single" w:color="auto" w:sz="4" w:space="0"/>
              <w:bottom w:val="single" w:color="auto" w:sz="4" w:space="0"/>
              <w:right w:val="single" w:color="auto" w:sz="4" w:space="0"/>
            </w:tcBorders>
            <w:noWrap w:val="0"/>
            <w:vAlign w:val="center"/>
          </w:tcPr>
          <w:p>
            <w:pPr>
              <w:jc w:val="center"/>
              <w:rPr>
                <w:rFonts w:eastAsia="华文中宋"/>
                <w:sz w:val="24"/>
                <w:szCs w:val="24"/>
              </w:rPr>
            </w:pPr>
            <w:r>
              <w:rPr>
                <w:rFonts w:hint="default" w:ascii="Times New Roman Bold" w:hAnsi="Times New Roman Bold" w:cs="Times New Roman Bold"/>
                <w:b/>
                <w:bCs/>
                <w:i w:val="0"/>
                <w:iCs w:val="0"/>
                <w:sz w:val="24"/>
                <w:szCs w:val="24"/>
              </w:rPr>
              <w:t>Focus of Research</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90" w:hRule="atLeast"/>
          <w:jc w:val="center"/>
        </w:trPr>
        <w:tc>
          <w:tcPr>
            <w:tcW w:w="1391" w:type="dxa"/>
            <w:tcBorders>
              <w:top w:val="single" w:color="auto" w:sz="4" w:space="0"/>
              <w:left w:val="single" w:color="auto" w:sz="4" w:space="0"/>
              <w:bottom w:val="single" w:color="auto" w:sz="4" w:space="0"/>
              <w:right w:val="single" w:color="auto" w:sz="4" w:space="0"/>
            </w:tcBorders>
            <w:noWrap w:val="0"/>
            <w:vAlign w:val="center"/>
          </w:tcPr>
          <w:p>
            <w:pPr>
              <w:rPr>
                <w:rFonts w:hint="eastAsia" w:eastAsia="华文中宋"/>
                <w:sz w:val="24"/>
                <w:szCs w:val="24"/>
              </w:rPr>
            </w:pPr>
            <w:r>
              <w:rPr>
                <w:rFonts w:hint="default" w:ascii="Times New Roman" w:hAnsi="Times New Roman" w:cs="Times New Roman"/>
                <w:i w:val="0"/>
                <w:iCs w:val="0"/>
                <w:sz w:val="24"/>
                <w:szCs w:val="24"/>
              </w:rPr>
              <w:t>July 2021</w:t>
            </w:r>
          </w:p>
        </w:tc>
        <w:tc>
          <w:tcPr>
            <w:tcW w:w="1341" w:type="dxa"/>
            <w:tcBorders>
              <w:top w:val="single" w:color="auto" w:sz="4" w:space="0"/>
              <w:left w:val="single" w:color="auto" w:sz="4" w:space="0"/>
              <w:bottom w:val="single" w:color="auto" w:sz="4" w:space="0"/>
              <w:right w:val="single" w:color="auto" w:sz="4" w:space="0"/>
            </w:tcBorders>
            <w:noWrap w:val="0"/>
            <w:vAlign w:val="top"/>
          </w:tcPr>
          <w:p>
            <w:pPr>
              <w:jc w:val="center"/>
              <w:rPr>
                <w:rFonts w:hint="default" w:ascii="Times New Roman" w:hAnsi="Times New Roman" w:cs="Times New Roman"/>
                <w:i w:val="0"/>
                <w:iCs w:val="0"/>
                <w:sz w:val="24"/>
                <w:szCs w:val="24"/>
              </w:rPr>
            </w:pPr>
          </w:p>
          <w:p>
            <w:pPr>
              <w:jc w:val="center"/>
              <w:rPr>
                <w:rFonts w:hint="default" w:ascii="Times New Roman" w:hAnsi="Times New Roman" w:cs="Times New Roman"/>
                <w:i w:val="0"/>
                <w:iCs w:val="0"/>
                <w:sz w:val="24"/>
                <w:szCs w:val="24"/>
              </w:rPr>
            </w:pPr>
          </w:p>
          <w:p>
            <w:pPr>
              <w:jc w:val="both"/>
              <w:rPr>
                <w:rFonts w:hint="default" w:ascii="Times New Roman" w:hAnsi="Times New Roman" w:cs="Times New Roman"/>
                <w:i w:val="0"/>
                <w:iCs w:val="0"/>
                <w:sz w:val="24"/>
                <w:szCs w:val="24"/>
              </w:rPr>
            </w:pPr>
          </w:p>
          <w:p>
            <w:pPr>
              <w:jc w:val="both"/>
              <w:rPr>
                <w:rFonts w:hint="eastAsia" w:ascii="Times New Roman" w:hAnsi="Times New Roman" w:cs="Times New Roman"/>
                <w:i w:val="0"/>
                <w:iCs w:val="0"/>
                <w:sz w:val="24"/>
                <w:szCs w:val="24"/>
              </w:rPr>
            </w:pPr>
            <w:r>
              <w:rPr>
                <w:rFonts w:hint="default" w:ascii="Times New Roman" w:hAnsi="Times New Roman" w:cs="Times New Roman"/>
                <w:i w:val="0"/>
                <w:iCs w:val="0"/>
                <w:sz w:val="24"/>
                <w:szCs w:val="24"/>
              </w:rPr>
              <w:t>September 2021</w:t>
            </w:r>
          </w:p>
          <w:p>
            <w:pPr>
              <w:rPr>
                <w:rFonts w:eastAsia="华文中宋"/>
                <w:sz w:val="24"/>
                <w:szCs w:val="24"/>
              </w:rPr>
            </w:pPr>
          </w:p>
          <w:p>
            <w:pPr>
              <w:rPr>
                <w:rFonts w:hint="eastAsia" w:eastAsia="华文中宋"/>
                <w:sz w:val="24"/>
                <w:szCs w:val="24"/>
              </w:rPr>
            </w:pPr>
          </w:p>
          <w:p>
            <w:pPr>
              <w:rPr>
                <w:rFonts w:hint="eastAsia" w:eastAsia="华文中宋"/>
                <w:sz w:val="24"/>
                <w:szCs w:val="24"/>
              </w:rPr>
            </w:pPr>
            <w:r>
              <w:rPr>
                <w:rFonts w:hint="eastAsia" w:eastAsia="华文中宋"/>
                <w:sz w:val="24"/>
                <w:szCs w:val="24"/>
              </w:rPr>
              <w:t xml:space="preserve">  </w:t>
            </w:r>
          </w:p>
        </w:tc>
        <w:tc>
          <w:tcPr>
            <w:tcW w:w="5596" w:type="dxa"/>
            <w:tcBorders>
              <w:top w:val="single" w:color="auto" w:sz="4" w:space="0"/>
              <w:left w:val="single" w:color="auto" w:sz="4" w:space="0"/>
              <w:bottom w:val="single" w:color="auto" w:sz="4" w:space="0"/>
              <w:right w:val="single" w:color="auto" w:sz="4" w:space="0"/>
            </w:tcBorders>
            <w:noWrap w:val="0"/>
            <w:vAlign w:val="top"/>
          </w:tcPr>
          <w:p>
            <w:pPr>
              <w:jc w:val="center"/>
              <w:rPr>
                <w:rFonts w:hint="default" w:ascii="Times New Roman Italic" w:hAnsi="Times New Roman Italic" w:cs="Times New Roman Italic"/>
                <w:i/>
                <w:iCs/>
                <w:sz w:val="24"/>
                <w:szCs w:val="24"/>
              </w:rPr>
            </w:pPr>
            <w:r>
              <w:rPr>
                <w:rFonts w:hint="default" w:ascii="Times New Roman Bold" w:hAnsi="Times New Roman Bold" w:cs="Times New Roman Bold"/>
                <w:b/>
                <w:bCs/>
                <w:i w:val="0"/>
                <w:iCs w:val="0"/>
                <w:sz w:val="24"/>
                <w:szCs w:val="24"/>
              </w:rPr>
              <w:t xml:space="preserve">Preparations for the research: </w:t>
            </w:r>
          </w:p>
          <w:p>
            <w:pPr>
              <w:ind w:left="240" w:hanging="240" w:hangingChars="100"/>
              <w:jc w:val="left"/>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1. curriculum design and lesson plans regrading this course of IELTS Writing;</w:t>
            </w:r>
          </w:p>
          <w:p>
            <w:pPr>
              <w:ind w:left="360" w:hanging="360" w:hangingChars="150"/>
              <w:jc w:val="left"/>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2. collection of authentic materials from foreign</w:t>
            </w:r>
          </w:p>
          <w:p>
            <w:pPr>
              <w:ind w:firstLine="240" w:firstLineChars="100"/>
              <w:jc w:val="left"/>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journals pertinent to this course;</w:t>
            </w:r>
          </w:p>
          <w:p>
            <w:pPr>
              <w:jc w:val="left"/>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3. questionnaire and pre-test design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25" w:hRule="atLeast"/>
          <w:jc w:val="center"/>
        </w:trPr>
        <w:tc>
          <w:tcPr>
            <w:tcW w:w="1391" w:type="dxa"/>
            <w:tcBorders>
              <w:top w:val="single" w:color="auto" w:sz="4" w:space="0"/>
              <w:left w:val="single" w:color="auto" w:sz="4" w:space="0"/>
              <w:bottom w:val="single" w:color="auto" w:sz="4" w:space="0"/>
              <w:right w:val="single" w:color="auto" w:sz="4" w:space="0"/>
            </w:tcBorders>
            <w:noWrap w:val="0"/>
            <w:vAlign w:val="center"/>
          </w:tcPr>
          <w:p>
            <w:pPr>
              <w:jc w:val="both"/>
              <w:rPr>
                <w:rFonts w:hint="default" w:ascii="Times New Roman" w:hAnsi="Times New Roman" w:cs="Times New Roman"/>
                <w:i w:val="0"/>
                <w:iCs w:val="0"/>
                <w:sz w:val="24"/>
                <w:szCs w:val="24"/>
              </w:rPr>
            </w:pPr>
          </w:p>
          <w:p>
            <w:pPr>
              <w:jc w:val="both"/>
              <w:rPr>
                <w:rFonts w:hint="eastAsia" w:ascii="Times New Roman" w:hAnsi="Times New Roman" w:cs="Times New Roman"/>
                <w:i w:val="0"/>
                <w:iCs w:val="0"/>
                <w:sz w:val="24"/>
                <w:szCs w:val="24"/>
              </w:rPr>
            </w:pPr>
            <w:r>
              <w:rPr>
                <w:rFonts w:hint="default" w:ascii="Times New Roman" w:hAnsi="Times New Roman" w:cs="Times New Roman"/>
                <w:i w:val="0"/>
                <w:iCs w:val="0"/>
                <w:sz w:val="24"/>
                <w:szCs w:val="24"/>
              </w:rPr>
              <w:t>September 2021</w:t>
            </w:r>
          </w:p>
          <w:p>
            <w:pPr>
              <w:jc w:val="center"/>
              <w:rPr>
                <w:rFonts w:hint="eastAsia" w:eastAsia="华文中宋"/>
                <w:sz w:val="24"/>
                <w:szCs w:val="24"/>
              </w:rPr>
            </w:pPr>
          </w:p>
        </w:tc>
        <w:tc>
          <w:tcPr>
            <w:tcW w:w="1341" w:type="dxa"/>
            <w:tcBorders>
              <w:top w:val="single" w:color="auto" w:sz="4" w:space="0"/>
              <w:left w:val="single" w:color="auto" w:sz="4" w:space="0"/>
              <w:bottom w:val="single" w:color="auto" w:sz="4" w:space="0"/>
              <w:right w:val="single" w:color="auto" w:sz="4" w:space="0"/>
            </w:tcBorders>
            <w:noWrap w:val="0"/>
            <w:vAlign w:val="top"/>
          </w:tcPr>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jc w:val="both"/>
              <w:rPr>
                <w:rFonts w:hint="default" w:ascii="Times New Roman" w:hAnsi="Times New Roman" w:cs="Times New Roman"/>
                <w:i w:val="0"/>
                <w:iCs w:val="0"/>
                <w:sz w:val="24"/>
                <w:szCs w:val="24"/>
              </w:rPr>
            </w:pPr>
          </w:p>
          <w:p>
            <w:pPr>
              <w:ind w:firstLine="240" w:firstLineChars="100"/>
              <w:jc w:val="both"/>
              <w:rPr>
                <w:rFonts w:hint="eastAsia" w:ascii="Times New Roman" w:hAnsi="Times New Roman" w:cs="Times New Roman"/>
                <w:i w:val="0"/>
                <w:iCs w:val="0"/>
                <w:sz w:val="24"/>
                <w:szCs w:val="24"/>
              </w:rPr>
            </w:pPr>
            <w:r>
              <w:rPr>
                <w:rFonts w:hint="default" w:ascii="Times New Roman" w:hAnsi="Times New Roman" w:cs="Times New Roman"/>
                <w:i w:val="0"/>
                <w:iCs w:val="0"/>
                <w:sz w:val="24"/>
                <w:szCs w:val="24"/>
              </w:rPr>
              <w:t>January</w:t>
            </w:r>
          </w:p>
          <w:p>
            <w:pPr>
              <w:jc w:val="center"/>
              <w:rPr>
                <w:rFonts w:hint="eastAsia" w:eastAsia="华文中宋"/>
                <w:sz w:val="24"/>
                <w:szCs w:val="24"/>
              </w:rPr>
            </w:pPr>
            <w:r>
              <w:rPr>
                <w:rFonts w:hint="default" w:ascii="Times New Roman" w:hAnsi="Times New Roman" w:cs="Times New Roman"/>
                <w:i w:val="0"/>
                <w:iCs w:val="0"/>
                <w:sz w:val="24"/>
                <w:szCs w:val="24"/>
              </w:rPr>
              <w:t>2022</w:t>
            </w:r>
          </w:p>
        </w:tc>
        <w:tc>
          <w:tcPr>
            <w:tcW w:w="5596" w:type="dxa"/>
            <w:tcBorders>
              <w:top w:val="single" w:color="auto" w:sz="4" w:space="0"/>
              <w:left w:val="single" w:color="auto" w:sz="4" w:space="0"/>
              <w:bottom w:val="single" w:color="auto" w:sz="4" w:space="0"/>
              <w:right w:val="single" w:color="auto" w:sz="4" w:space="0"/>
            </w:tcBorders>
            <w:noWrap w:val="0"/>
            <w:vAlign w:val="top"/>
          </w:tcPr>
          <w:p>
            <w:pPr>
              <w:numPr>
                <w:ilvl w:val="0"/>
                <w:numId w:val="0"/>
              </w:numPr>
              <w:ind w:firstLine="480" w:firstLineChars="200"/>
              <w:jc w:val="left"/>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Conducting process of the research:</w:t>
            </w:r>
          </w:p>
          <w:p>
            <w:pPr>
              <w:numPr>
                <w:ilvl w:val="0"/>
                <w:numId w:val="0"/>
              </w:numPr>
              <w:ind w:left="240" w:hanging="240" w:hangingChars="100"/>
              <w:jc w:val="left"/>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1. At the beginning of the semester, students in the             experimental group are informed to fill in the questionnaire online and participate in the pre-test   whereas students in the control group only fulfill the task of pre-test;</w:t>
            </w:r>
          </w:p>
          <w:p>
            <w:pPr>
              <w:numPr>
                <w:ilvl w:val="0"/>
                <w:numId w:val="0"/>
              </w:numPr>
              <w:ind w:left="240" w:hanging="240" w:hangingChars="100"/>
              <w:jc w:val="left"/>
              <w:rPr>
                <w:rFonts w:hint="eastAsia" w:ascii="Times New Roman" w:hAnsi="Times New Roman" w:cs="Times New Roman"/>
                <w:i w:val="0"/>
                <w:iCs w:val="0"/>
                <w:sz w:val="24"/>
                <w:szCs w:val="24"/>
              </w:rPr>
            </w:pPr>
            <w:r>
              <w:rPr>
                <w:rFonts w:hint="default" w:ascii="Times New Roman" w:hAnsi="Times New Roman" w:cs="Times New Roman"/>
                <w:i w:val="0"/>
                <w:iCs w:val="0"/>
                <w:sz w:val="24"/>
                <w:szCs w:val="24"/>
              </w:rPr>
              <w:t>2. Experimental teaching is planned to be carried out                with online platform mediated collaborative learning integrated in experimental group;</w:t>
            </w:r>
          </w:p>
          <w:p>
            <w:pPr>
              <w:numPr>
                <w:ilvl w:val="0"/>
                <w:numId w:val="0"/>
              </w:numPr>
              <w:ind w:left="240" w:hanging="240" w:hangingChars="100"/>
              <w:jc w:val="left"/>
              <w:rPr>
                <w:rFonts w:hint="eastAsia" w:eastAsia="华文中宋"/>
                <w:sz w:val="24"/>
                <w:szCs w:val="24"/>
              </w:rPr>
            </w:pPr>
            <w:r>
              <w:rPr>
                <w:rFonts w:hint="default" w:ascii="Times New Roman" w:hAnsi="Times New Roman" w:cs="Times New Roman"/>
                <w:i w:val="0"/>
                <w:iCs w:val="0"/>
                <w:sz w:val="24"/>
                <w:szCs w:val="24"/>
              </w:rPr>
              <w:t>3. At the end of the semester, students in the experimental group are informed to fill in another questionnaire online and participate in the post-test whereas students in the control group only fulfill the task of post-test. Besides, five group leaders in the experimental group are expected to be engaged into the semi-structured interviews with the teacher.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25" w:hRule="atLeast"/>
          <w:jc w:val="center"/>
        </w:trPr>
        <w:tc>
          <w:tcPr>
            <w:tcW w:w="1391" w:type="dxa"/>
            <w:tcBorders>
              <w:top w:val="single" w:color="auto" w:sz="4" w:space="0"/>
              <w:left w:val="single" w:color="auto" w:sz="4" w:space="0"/>
              <w:bottom w:val="single" w:color="auto" w:sz="4" w:space="0"/>
              <w:right w:val="single" w:color="auto" w:sz="4" w:space="0"/>
            </w:tcBorders>
            <w:noWrap w:val="0"/>
            <w:vAlign w:val="center"/>
          </w:tcPr>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eastAsia" w:ascii="Times New Roman" w:hAnsi="Times New Roman" w:cs="Times New Roman"/>
                <w:i w:val="0"/>
                <w:iCs w:val="0"/>
                <w:sz w:val="24"/>
                <w:szCs w:val="24"/>
              </w:rPr>
            </w:pPr>
            <w:r>
              <w:rPr>
                <w:rFonts w:hint="default" w:ascii="Times New Roman" w:hAnsi="Times New Roman" w:cs="Times New Roman"/>
                <w:i w:val="0"/>
                <w:iCs w:val="0"/>
                <w:sz w:val="24"/>
                <w:szCs w:val="24"/>
              </w:rPr>
              <w:t>January</w:t>
            </w:r>
          </w:p>
          <w:p>
            <w:pPr>
              <w:jc w:val="center"/>
              <w:rPr>
                <w:rFonts w:hint="eastAsia" w:eastAsia="华文中宋"/>
                <w:sz w:val="24"/>
                <w:szCs w:val="24"/>
              </w:rPr>
            </w:pPr>
            <w:r>
              <w:rPr>
                <w:rFonts w:hint="default" w:ascii="Times New Roman" w:hAnsi="Times New Roman" w:cs="Times New Roman"/>
                <w:i w:val="0"/>
                <w:iCs w:val="0"/>
                <w:sz w:val="24"/>
                <w:szCs w:val="24"/>
              </w:rPr>
              <w:t>2022</w:t>
            </w:r>
          </w:p>
        </w:tc>
        <w:tc>
          <w:tcPr>
            <w:tcW w:w="1341" w:type="dxa"/>
            <w:tcBorders>
              <w:top w:val="single" w:color="auto" w:sz="4" w:space="0"/>
              <w:left w:val="single" w:color="auto" w:sz="4" w:space="0"/>
              <w:bottom w:val="single" w:color="auto" w:sz="4" w:space="0"/>
              <w:right w:val="single" w:color="auto" w:sz="4" w:space="0"/>
            </w:tcBorders>
            <w:noWrap w:val="0"/>
            <w:vAlign w:val="top"/>
          </w:tcPr>
          <w:p>
            <w:pPr>
              <w:jc w:val="center"/>
              <w:rPr>
                <w:rFonts w:hint="eastAsia" w:eastAsia="华文中宋"/>
                <w:sz w:val="24"/>
                <w:szCs w:val="24"/>
              </w:rPr>
            </w:pPr>
          </w:p>
          <w:p>
            <w:pPr>
              <w:rPr>
                <w:rFonts w:hint="eastAsia" w:eastAsia="华文中宋"/>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p>
          <w:p>
            <w:pPr>
              <w:ind w:firstLine="240" w:firstLineChars="100"/>
              <w:jc w:val="both"/>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March </w:t>
            </w:r>
          </w:p>
          <w:p>
            <w:pPr>
              <w:ind w:firstLine="240" w:firstLineChars="100"/>
              <w:jc w:val="both"/>
              <w:rPr>
                <w:rFonts w:hint="eastAsia" w:eastAsia="华文中宋"/>
                <w:sz w:val="24"/>
                <w:szCs w:val="24"/>
              </w:rPr>
            </w:pPr>
            <w:r>
              <w:rPr>
                <w:rFonts w:hint="default" w:ascii="Times New Roman" w:hAnsi="Times New Roman" w:cs="Times New Roman"/>
                <w:i w:val="0"/>
                <w:iCs w:val="0"/>
                <w:sz w:val="24"/>
                <w:szCs w:val="24"/>
              </w:rPr>
              <w:t>2022</w:t>
            </w:r>
          </w:p>
        </w:tc>
        <w:tc>
          <w:tcPr>
            <w:tcW w:w="5596" w:type="dxa"/>
            <w:tcBorders>
              <w:top w:val="single" w:color="auto" w:sz="4" w:space="0"/>
              <w:left w:val="single" w:color="auto" w:sz="4" w:space="0"/>
              <w:bottom w:val="single" w:color="auto" w:sz="4" w:space="0"/>
              <w:right w:val="single" w:color="auto" w:sz="4" w:space="0"/>
            </w:tcBorders>
            <w:noWrap w:val="0"/>
            <w:vAlign w:val="top"/>
          </w:tcPr>
          <w:p>
            <w:pPr>
              <w:numPr>
                <w:ilvl w:val="0"/>
                <w:numId w:val="0"/>
              </w:numPr>
              <w:ind w:firstLine="480" w:firstLineChars="200"/>
              <w:jc w:val="left"/>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Data analysis of the research:</w:t>
            </w:r>
          </w:p>
          <w:p>
            <w:pPr>
              <w:numPr>
                <w:ilvl w:val="0"/>
                <w:numId w:val="0"/>
              </w:numPr>
              <w:ind w:left="240" w:hanging="240" w:hangingChars="100"/>
              <w:jc w:val="left"/>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1.The numerical responses to two separate questionnaires are estimated to be analysed quantitatively using the SPSS statistical software;</w:t>
            </w:r>
          </w:p>
          <w:p>
            <w:pPr>
              <w:numPr>
                <w:ilvl w:val="0"/>
                <w:numId w:val="0"/>
              </w:numPr>
              <w:ind w:left="240" w:hanging="240" w:hangingChars="100"/>
              <w:jc w:val="left"/>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2.The qualitative textual data from students’ interviews will be transcribed and evaluated with the aid of a text analysis software named PASW Text Analytics for Surveys;</w:t>
            </w:r>
          </w:p>
          <w:p>
            <w:pPr>
              <w:numPr>
                <w:ilvl w:val="0"/>
                <w:numId w:val="0"/>
              </w:numPr>
              <w:ind w:left="240" w:hanging="240" w:hangingChars="100"/>
              <w:jc w:val="left"/>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3.Written tests will be marked by two different teachers following the same official marking criteria mentioned above and the average scores will be calculated.</w:t>
            </w:r>
          </w:p>
          <w:p>
            <w:pPr>
              <w:jc w:val="center"/>
              <w:rPr>
                <w:rFonts w:hint="eastAsia" w:ascii="Times New Roman" w:hAnsi="Times New Roman" w:cs="Times New Roman"/>
                <w:i w:val="0"/>
                <w:iCs w:val="0"/>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25" w:hRule="atLeast"/>
          <w:jc w:val="center"/>
        </w:trPr>
        <w:tc>
          <w:tcPr>
            <w:tcW w:w="1391" w:type="dxa"/>
            <w:tcBorders>
              <w:top w:val="single" w:color="auto" w:sz="4" w:space="0"/>
              <w:left w:val="single" w:color="auto" w:sz="4" w:space="0"/>
              <w:bottom w:val="single" w:color="auto" w:sz="4" w:space="0"/>
              <w:right w:val="single" w:color="auto" w:sz="4" w:space="0"/>
            </w:tcBorders>
            <w:noWrap w:val="0"/>
            <w:vAlign w:val="center"/>
          </w:tcPr>
          <w:p>
            <w:pPr>
              <w:ind w:firstLine="240" w:firstLineChars="100"/>
              <w:jc w:val="both"/>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March </w:t>
            </w:r>
          </w:p>
          <w:p>
            <w:pPr>
              <w:jc w:val="center"/>
              <w:rPr>
                <w:rFonts w:hint="eastAsia" w:eastAsia="华文中宋"/>
                <w:sz w:val="24"/>
                <w:szCs w:val="24"/>
              </w:rPr>
            </w:pPr>
            <w:r>
              <w:rPr>
                <w:rFonts w:hint="default" w:ascii="Times New Roman" w:hAnsi="Times New Roman" w:cs="Times New Roman"/>
                <w:i w:val="0"/>
                <w:iCs w:val="0"/>
                <w:sz w:val="24"/>
                <w:szCs w:val="24"/>
              </w:rPr>
              <w:t>2022</w:t>
            </w:r>
          </w:p>
        </w:tc>
        <w:tc>
          <w:tcPr>
            <w:tcW w:w="1341" w:type="dxa"/>
            <w:tcBorders>
              <w:top w:val="single" w:color="auto" w:sz="4" w:space="0"/>
              <w:left w:val="single" w:color="auto" w:sz="4" w:space="0"/>
              <w:bottom w:val="single" w:color="auto" w:sz="4" w:space="0"/>
              <w:right w:val="single" w:color="auto" w:sz="4" w:space="0"/>
            </w:tcBorders>
            <w:noWrap w:val="0"/>
            <w:vAlign w:val="top"/>
          </w:tcPr>
          <w:p>
            <w:pPr>
              <w:jc w:val="center"/>
              <w:rPr>
                <w:rFonts w:hint="eastAsia" w:eastAsia="华文中宋"/>
                <w:sz w:val="24"/>
                <w:szCs w:val="24"/>
              </w:rPr>
            </w:pPr>
          </w:p>
          <w:p>
            <w:pPr>
              <w:ind w:firstLine="240" w:firstLineChars="100"/>
              <w:jc w:val="both"/>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June</w:t>
            </w:r>
          </w:p>
          <w:p>
            <w:pPr>
              <w:ind w:firstLine="240" w:firstLineChars="100"/>
              <w:jc w:val="both"/>
              <w:rPr>
                <w:rFonts w:hint="eastAsia" w:eastAsia="华文中宋"/>
                <w:sz w:val="24"/>
                <w:szCs w:val="24"/>
              </w:rPr>
            </w:pPr>
            <w:r>
              <w:rPr>
                <w:rFonts w:hint="default" w:ascii="Times New Roman" w:hAnsi="Times New Roman" w:cs="Times New Roman"/>
                <w:i w:val="0"/>
                <w:iCs w:val="0"/>
                <w:sz w:val="24"/>
                <w:szCs w:val="24"/>
              </w:rPr>
              <w:t>2022</w:t>
            </w:r>
          </w:p>
        </w:tc>
        <w:tc>
          <w:tcPr>
            <w:tcW w:w="5596" w:type="dxa"/>
            <w:tcBorders>
              <w:top w:val="single" w:color="auto" w:sz="4" w:space="0"/>
              <w:left w:val="single" w:color="auto" w:sz="4" w:space="0"/>
              <w:bottom w:val="single" w:color="auto" w:sz="4" w:space="0"/>
              <w:right w:val="single" w:color="auto" w:sz="4" w:space="0"/>
            </w:tcBorders>
            <w:noWrap w:val="0"/>
            <w:vAlign w:val="top"/>
          </w:tcPr>
          <w:p>
            <w:pPr>
              <w:numPr>
                <w:ilvl w:val="0"/>
                <w:numId w:val="0"/>
              </w:numPr>
              <w:ind w:left="240" w:hanging="240" w:hangingChars="100"/>
              <w:jc w:val="center"/>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Results of the research:</w:t>
            </w:r>
          </w:p>
          <w:p>
            <w:pPr>
              <w:numPr>
                <w:ilvl w:val="0"/>
                <w:numId w:val="0"/>
              </w:numPr>
              <w:ind w:left="240" w:hanging="240" w:hangingChars="100"/>
              <w:jc w:val="left"/>
              <w:rPr>
                <w:rFonts w:hint="default" w:ascii="Times New Roman" w:hAnsi="Times New Roman" w:cs="Times New Roman"/>
                <w:b w:val="0"/>
                <w:bCs w:val="0"/>
                <w:i w:val="0"/>
                <w:iCs w:val="0"/>
                <w:sz w:val="24"/>
                <w:szCs w:val="24"/>
              </w:rPr>
            </w:pPr>
            <w:r>
              <w:rPr>
                <w:rFonts w:hint="default" w:ascii="Times New Roman" w:hAnsi="Times New Roman" w:cs="Times New Roman"/>
                <w:b w:val="0"/>
                <w:bCs w:val="0"/>
                <w:i w:val="0"/>
                <w:iCs w:val="0"/>
                <w:sz w:val="24"/>
                <w:szCs w:val="24"/>
              </w:rPr>
              <w:t>1. research paper published in journals</w:t>
            </w:r>
          </w:p>
          <w:p>
            <w:pPr>
              <w:numPr>
                <w:ilvl w:val="0"/>
                <w:numId w:val="0"/>
              </w:numPr>
              <w:ind w:left="240" w:hanging="240" w:hangingChars="100"/>
              <w:jc w:val="left"/>
              <w:rPr>
                <w:rFonts w:eastAsia="华文中宋"/>
                <w:sz w:val="24"/>
                <w:szCs w:val="24"/>
              </w:rPr>
            </w:pPr>
            <w:r>
              <w:rPr>
                <w:rFonts w:hint="default" w:ascii="Times New Roman" w:hAnsi="Times New Roman" w:cs="Times New Roman"/>
                <w:b w:val="0"/>
                <w:bCs w:val="0"/>
                <w:i w:val="0"/>
                <w:iCs w:val="0"/>
                <w:sz w:val="24"/>
                <w:szCs w:val="24"/>
              </w:rPr>
              <w:t xml:space="preserve">2. seminar held with teachers to delve into pedagogical implications of this research </w:t>
            </w:r>
          </w:p>
        </w:tc>
      </w:tr>
    </w:tbl>
    <w:p/>
    <w:p/>
    <w:p/>
    <w:p/>
    <w:p/>
    <w:p/>
    <w:p/>
    <w:p/>
    <w:p/>
    <w:p/>
    <w:p/>
    <w:p/>
    <w:p/>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Bold" w:hAnsi="Times New Roman Bold" w:cs="Times New Roman Bold"/>
          <w:b/>
          <w:bCs/>
          <w:i w:val="0"/>
          <w:iCs w:val="0"/>
          <w:sz w:val="24"/>
          <w:szCs w:val="24"/>
        </w:rPr>
      </w:pPr>
      <w:r>
        <w:rPr>
          <w:rFonts w:hint="default" w:ascii="Times New Roman Bold" w:hAnsi="Times New Roman Bold" w:cs="Times New Roman Bold"/>
          <w:b/>
          <w:bCs/>
          <w:i w:val="0"/>
          <w:iCs w:val="0"/>
          <w:sz w:val="24"/>
          <w:szCs w:val="24"/>
        </w:rPr>
        <w:t>Bibliography</w:t>
      </w:r>
    </w:p>
    <w:p>
      <w:pPr>
        <w:numPr>
          <w:ilvl w:val="0"/>
          <w:numId w:val="0"/>
        </w:numPr>
        <w:spacing w:line="360" w:lineRule="auto"/>
        <w:rPr>
          <w:rFonts w:hint="default" w:ascii="Times New Roman Bold" w:hAnsi="Times New Roman Bold" w:cs="Times New Roman Bold"/>
          <w:b/>
          <w:bCs/>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Adrianson, L. &amp; Hjelmquist, E. 1999. Group processes in solving two problems: face-to-face and computer-mediated communication. Behaviour&amp;Information Technology. [E-journal].</w:t>
      </w:r>
      <w:r>
        <w:rPr>
          <w:rFonts w:hint="default" w:ascii="Times New Roman" w:hAnsi="Times New Roman" w:cs="Times New Roman"/>
          <w:b w:val="0"/>
          <w:bCs w:val="0"/>
          <w:i w:val="0"/>
          <w:iCs w:val="0"/>
          <w:sz w:val="24"/>
          <w:szCs w:val="24"/>
        </w:rPr>
        <w:t xml:space="preserve"> 18(3), pp.179-198.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https://doi-org.ezproxy.uwtsd.ac.uk/10.1080/014492999119075.</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11</w:t>
      </w:r>
      <w:r>
        <w:rPr>
          <w:rFonts w:hint="default" w:ascii="Times New Roman" w:hAnsi="Times New Roman" w:cs="Times New Roman"/>
          <w:i w:val="0"/>
          <w:iCs w:val="0"/>
          <w:sz w:val="24"/>
          <w:szCs w:val="24"/>
          <w:vertAlign w:val="superscript"/>
        </w:rPr>
        <w:t>th</w:t>
      </w:r>
      <w:r>
        <w:rPr>
          <w:rFonts w:hint="default" w:ascii="Times New Roman" w:hAnsi="Times New Roman" w:cs="Times New Roman"/>
          <w:i w:val="0"/>
          <w:iCs w:val="0"/>
          <w:sz w:val="24"/>
          <w:szCs w:val="24"/>
        </w:rPr>
        <w:t xml:space="preserve">  April 2021.</w:t>
      </w:r>
    </w:p>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Alghasab, M., Hardman, J. &amp; Handley, Z. 2019. Teacher-student interaction on wikis: Fostering collaborative learning and writing. [E-journal].</w:t>
      </w:r>
      <w:r>
        <w:rPr>
          <w:rFonts w:hint="default" w:ascii="Times New Roman" w:hAnsi="Times New Roman" w:cs="Times New Roman"/>
          <w:b w:val="0"/>
          <w:bCs w:val="0"/>
          <w:i w:val="0"/>
          <w:iCs w:val="0"/>
          <w:sz w:val="24"/>
          <w:szCs w:val="24"/>
        </w:rPr>
        <w:t xml:space="preserve"> 21, pp.10-20.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https://doi.org/10.1016/j.lcsi.2018.12.002.</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17</w:t>
      </w:r>
      <w:r>
        <w:rPr>
          <w:rFonts w:hint="default" w:ascii="Times New Roman" w:hAnsi="Times New Roman" w:cs="Times New Roman"/>
          <w:i w:val="0"/>
          <w:iCs w:val="0"/>
          <w:sz w:val="24"/>
          <w:szCs w:val="24"/>
          <w:vertAlign w:val="superscript"/>
        </w:rPr>
        <w:t>st</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Bell, J.</w:t>
      </w:r>
      <w:r>
        <w:rPr>
          <w:rFonts w:hint="eastAsia" w:ascii="Times New Roman" w:hAnsi="Times New Roman" w:cs="Times New Roman"/>
          <w:i w:val="0"/>
          <w:iCs w:val="0"/>
          <w:sz w:val="24"/>
          <w:szCs w:val="24"/>
          <w:lang w:eastAsia="zh-CN"/>
        </w:rPr>
        <w:t>,</w:t>
      </w:r>
      <w:r>
        <w:rPr>
          <w:rFonts w:hint="default" w:ascii="Times New Roman" w:hAnsi="Times New Roman" w:cs="Times New Roman"/>
          <w:i w:val="0"/>
          <w:iCs w:val="0"/>
          <w:sz w:val="24"/>
          <w:szCs w:val="24"/>
        </w:rPr>
        <w:t xml:space="preserve"> 1993</w:t>
      </w:r>
      <w:r>
        <w:rPr>
          <w:rFonts w:hint="eastAsia" w:ascii="Times New Roman" w:hAnsi="Times New Roman" w:cs="Times New Roman"/>
          <w:i w:val="0"/>
          <w:iCs w:val="0"/>
          <w:sz w:val="24"/>
          <w:szCs w:val="24"/>
          <w:lang w:eastAsia="zh-CN"/>
        </w:rPr>
        <w:t>.</w:t>
      </w:r>
      <w:r>
        <w:rPr>
          <w:rFonts w:hint="default" w:ascii="Times New Roman" w:hAnsi="Times New Roman" w:cs="Times New Roman"/>
          <w:i w:val="0"/>
          <w:iCs w:val="0"/>
          <w:sz w:val="24"/>
          <w:szCs w:val="24"/>
        </w:rPr>
        <w:t xml:space="preserve"> </w:t>
      </w:r>
      <w:r>
        <w:rPr>
          <w:rFonts w:hint="default" w:ascii="Times New Roman Italic" w:hAnsi="Times New Roman Italic" w:cs="Times New Roman Italic"/>
          <w:i/>
          <w:iCs/>
          <w:sz w:val="24"/>
          <w:szCs w:val="24"/>
        </w:rPr>
        <w:t>Doing Your Research Project: A Guide for First-time Researchers in Education and Social Science.</w:t>
      </w:r>
      <w:r>
        <w:rPr>
          <w:rFonts w:hint="default" w:ascii="Times New Roman" w:hAnsi="Times New Roman" w:cs="Times New Roman"/>
          <w:i w:val="0"/>
          <w:iCs w:val="0"/>
          <w:sz w:val="24"/>
          <w:szCs w:val="24"/>
        </w:rPr>
        <w:t xml:space="preserve"> Buckingham: Open University Press.</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Chu S.K.W., Capio, C.M., van Aalst, J.C.W. &amp; Cheng, E.W.L. 2017. Evaluating the use of a social media tool for collaborative group writing of secondary school students in Hong Kong. Computers&amp;Education. [E-journal].</w:t>
      </w:r>
      <w:r>
        <w:rPr>
          <w:rFonts w:hint="default" w:ascii="Times New Roman" w:hAnsi="Times New Roman" w:cs="Times New Roman"/>
          <w:b w:val="0"/>
          <w:bCs w:val="0"/>
          <w:i w:val="0"/>
          <w:iCs w:val="0"/>
          <w:sz w:val="24"/>
          <w:szCs w:val="24"/>
        </w:rPr>
        <w:t xml:space="preserve"> 110, pp.170-180.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https://dox.doi.org/10.1016/j.compedu.2017.03.006.</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17</w:t>
      </w:r>
      <w:r>
        <w:rPr>
          <w:rFonts w:hint="default" w:ascii="Times New Roman" w:hAnsi="Times New Roman" w:cs="Times New Roman"/>
          <w:i w:val="0"/>
          <w:iCs w:val="0"/>
          <w:sz w:val="24"/>
          <w:szCs w:val="24"/>
          <w:vertAlign w:val="superscript"/>
        </w:rPr>
        <w:t>st</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Creswell, J.W. &amp; Plano Clark, V.L. 2007. </w:t>
      </w:r>
      <w:r>
        <w:rPr>
          <w:rFonts w:hint="default" w:ascii="Times New Roman Italic" w:hAnsi="Times New Roman Italic" w:cs="Times New Roman Italic"/>
          <w:i/>
          <w:iCs/>
          <w:sz w:val="24"/>
          <w:szCs w:val="24"/>
        </w:rPr>
        <w:t>Designing and Conducting Mixed Methods Research.</w:t>
      </w:r>
      <w:r>
        <w:rPr>
          <w:rFonts w:hint="default" w:ascii="Times New Roman" w:hAnsi="Times New Roman" w:cs="Times New Roman"/>
          <w:i w:val="0"/>
          <w:iCs w:val="0"/>
          <w:sz w:val="24"/>
          <w:szCs w:val="24"/>
        </w:rPr>
        <w:t xml:space="preserve"> SAGE Publications, Inc., Thousand Oaks.</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Ferriman, N. 2013. The impact of blended e-learning on undergraduate academic essay writing in English(L2). </w:t>
      </w:r>
      <w:r>
        <w:rPr>
          <w:rFonts w:hint="default" w:ascii="Times New Roman Italic" w:hAnsi="Times New Roman Italic" w:cs="Times New Roman Italic"/>
          <w:i/>
          <w:iCs/>
          <w:sz w:val="24"/>
          <w:szCs w:val="24"/>
        </w:rPr>
        <w:t>Computers&amp;Education.</w:t>
      </w:r>
      <w:r>
        <w:rPr>
          <w:rFonts w:hint="default" w:ascii="Times New Roman" w:hAnsi="Times New Roman" w:cs="Times New Roman"/>
          <w:i w:val="0"/>
          <w:iCs w:val="0"/>
          <w:sz w:val="24"/>
          <w:szCs w:val="24"/>
        </w:rPr>
        <w:t xml:space="preserve"> [E-journal].</w:t>
      </w:r>
      <w:r>
        <w:rPr>
          <w:rFonts w:hint="default" w:ascii="Times New Roman" w:hAnsi="Times New Roman" w:cs="Times New Roman"/>
          <w:b w:val="0"/>
          <w:bCs w:val="0"/>
          <w:i w:val="0"/>
          <w:iCs w:val="0"/>
          <w:sz w:val="24"/>
          <w:szCs w:val="24"/>
        </w:rPr>
        <w:t xml:space="preserve"> 60, pp.10-20.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https://dx.doi.org/10.1016/j.compedu.2012.07.008.</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17</w:t>
      </w:r>
      <w:r>
        <w:rPr>
          <w:rFonts w:hint="default" w:ascii="Times New Roman" w:hAnsi="Times New Roman" w:cs="Times New Roman"/>
          <w:i w:val="0"/>
          <w:iCs w:val="0"/>
          <w:sz w:val="24"/>
          <w:szCs w:val="24"/>
          <w:vertAlign w:val="superscript"/>
        </w:rPr>
        <w:t>st</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Goold, A., Coldwell, J.,&amp;Craig, A. 2010. An examination of the role of e-tutor. </w:t>
      </w:r>
      <w:r>
        <w:rPr>
          <w:rFonts w:hint="default" w:ascii="Times New Roman Italic" w:hAnsi="Times New Roman Italic" w:cs="Times New Roman Italic"/>
          <w:i/>
          <w:iCs/>
          <w:sz w:val="24"/>
          <w:szCs w:val="24"/>
        </w:rPr>
        <w:t xml:space="preserve">Australasian Journal of Educational Technology. </w:t>
      </w:r>
      <w:r>
        <w:rPr>
          <w:rFonts w:hint="default" w:ascii="Times New Roman" w:hAnsi="Times New Roman" w:cs="Times New Roman"/>
          <w:i w:val="0"/>
          <w:iCs w:val="0"/>
          <w:sz w:val="24"/>
          <w:szCs w:val="24"/>
        </w:rPr>
        <w:t>[E-journal].</w:t>
      </w:r>
      <w:r>
        <w:rPr>
          <w:rFonts w:hint="default" w:ascii="Times New Roman" w:hAnsi="Times New Roman" w:cs="Times New Roman"/>
          <w:b w:val="0"/>
          <w:bCs w:val="0"/>
          <w:i w:val="0"/>
          <w:iCs w:val="0"/>
          <w:sz w:val="24"/>
          <w:szCs w:val="24"/>
        </w:rPr>
        <w:t xml:space="preserve"> 26(5), pp.704-716. </w:t>
      </w:r>
      <w:r>
        <w:rPr>
          <w:rFonts w:hint="default" w:ascii="Times New Roman" w:hAnsi="Times New Roman" w:cs="Times New Roman"/>
          <w:i w:val="0"/>
          <w:iCs w:val="0"/>
          <w:sz w:val="24"/>
          <w:szCs w:val="24"/>
        </w:rPr>
        <w:t>Available at: 10.14742/ajet.1060 Accessed 11</w:t>
      </w:r>
      <w:r>
        <w:rPr>
          <w:rFonts w:hint="default" w:ascii="Times New Roman" w:hAnsi="Times New Roman" w:cs="Times New Roman"/>
          <w:i w:val="0"/>
          <w:iCs w:val="0"/>
          <w:sz w:val="24"/>
          <w:szCs w:val="24"/>
          <w:vertAlign w:val="superscript"/>
        </w:rPr>
        <w:t>st</w:t>
      </w:r>
      <w:r>
        <w:rPr>
          <w:rFonts w:hint="default" w:ascii="Times New Roman" w:hAnsi="Times New Roman" w:cs="Times New Roman"/>
          <w:i w:val="0"/>
          <w:iCs w:val="0"/>
          <w:sz w:val="24"/>
          <w:szCs w:val="24"/>
        </w:rPr>
        <w:t xml:space="preserve"> April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Hart,</w:t>
      </w:r>
      <w:r>
        <w:rPr>
          <w:rFonts w:hint="eastAsia" w:ascii="Times New Roman" w:hAnsi="Times New Roman" w:cs="Times New Roman"/>
          <w:i w:val="0"/>
          <w:iCs w:val="0"/>
          <w:sz w:val="24"/>
          <w:szCs w:val="24"/>
          <w:lang w:eastAsia="zh-CN"/>
        </w:rPr>
        <w:t xml:space="preserve"> </w:t>
      </w:r>
      <w:r>
        <w:rPr>
          <w:rFonts w:hint="default" w:ascii="Times New Roman" w:hAnsi="Times New Roman" w:cs="Times New Roman"/>
          <w:i w:val="0"/>
          <w:iCs w:val="0"/>
          <w:sz w:val="24"/>
          <w:szCs w:val="24"/>
        </w:rPr>
        <w:t>E. and Bond, M. 1995</w:t>
      </w:r>
      <w:r>
        <w:rPr>
          <w:rFonts w:hint="eastAsia" w:ascii="Times New Roman" w:hAnsi="Times New Roman" w:cs="Times New Roman"/>
          <w:i w:val="0"/>
          <w:iCs w:val="0"/>
          <w:sz w:val="24"/>
          <w:szCs w:val="24"/>
          <w:lang w:eastAsia="zh-CN"/>
        </w:rPr>
        <w:t>.</w:t>
      </w:r>
      <w:r>
        <w:rPr>
          <w:rFonts w:hint="default" w:ascii="Times New Roman" w:hAnsi="Times New Roman" w:cs="Times New Roman"/>
          <w:i w:val="0"/>
          <w:iCs w:val="0"/>
          <w:sz w:val="24"/>
          <w:szCs w:val="24"/>
        </w:rPr>
        <w:t xml:space="preserve"> </w:t>
      </w:r>
      <w:r>
        <w:rPr>
          <w:rFonts w:hint="default" w:ascii="Times New Roman Italic" w:hAnsi="Times New Roman Italic" w:cs="Times New Roman Italic"/>
          <w:i/>
          <w:iCs/>
          <w:sz w:val="24"/>
          <w:szCs w:val="24"/>
        </w:rPr>
        <w:t>Action research for health and social care: a guide to practice</w:t>
      </w:r>
      <w:r>
        <w:rPr>
          <w:rFonts w:hint="eastAsia" w:ascii="Times New Roman" w:hAnsi="Times New Roman" w:cs="Times New Roman"/>
          <w:i w:val="0"/>
          <w:iCs w:val="0"/>
          <w:sz w:val="24"/>
          <w:szCs w:val="24"/>
          <w:lang w:eastAsia="zh-CN"/>
        </w:rPr>
        <w:t>.</w:t>
      </w:r>
      <w:r>
        <w:rPr>
          <w:rFonts w:hint="default" w:ascii="Times New Roman" w:hAnsi="Times New Roman" w:cs="Times New Roman"/>
          <w:i w:val="0"/>
          <w:iCs w:val="0"/>
          <w:sz w:val="24"/>
          <w:szCs w:val="24"/>
        </w:rPr>
        <w:t xml:space="preserve"> Buckingham: Open University Press.</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Lata, P. &amp; Luhach, S. 2014. An exploratory investigation of online forum mediated collaborative learning of speech writing: A case study. i-manager’s Journal on English Language Teaching. 4(1), pp. 18-28. </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eastAsia" w:ascii="Times New Roman" w:hAnsi="Times New Roman" w:cs="Times New Roman"/>
          <w:i w:val="0"/>
          <w:iCs w:val="0"/>
          <w:sz w:val="24"/>
          <w:szCs w:val="24"/>
          <w:lang w:eastAsia="zh-CN"/>
        </w:rPr>
      </w:pPr>
      <w:r>
        <w:rPr>
          <w:rFonts w:hint="default" w:ascii="Times New Roman" w:hAnsi="Times New Roman" w:cs="Times New Roman"/>
          <w:i w:val="0"/>
          <w:iCs w:val="0"/>
          <w:sz w:val="24"/>
          <w:szCs w:val="24"/>
        </w:rPr>
        <w:t>Lin, W.C. &amp; Yang, S.C. 2013. Exploring students’ perceptions of integrating wiki technology and peer feedback into English writing course.</w:t>
      </w:r>
      <w:r>
        <w:rPr>
          <w:rFonts w:hint="default" w:ascii="Times New Roman Italic" w:hAnsi="Times New Roman Italic" w:cs="Times New Roman Italic"/>
          <w:i/>
          <w:iCs/>
          <w:sz w:val="24"/>
          <w:szCs w:val="24"/>
        </w:rPr>
        <w:t xml:space="preserve">English Teaching: Practice and Critique. </w:t>
      </w:r>
      <w:r>
        <w:rPr>
          <w:rFonts w:hint="default" w:ascii="Times New Roman" w:hAnsi="Times New Roman" w:cs="Times New Roman"/>
          <w:i w:val="0"/>
          <w:iCs w:val="0"/>
          <w:sz w:val="24"/>
          <w:szCs w:val="24"/>
        </w:rPr>
        <w:t>[E-journal].</w:t>
      </w:r>
      <w:r>
        <w:rPr>
          <w:rFonts w:hint="default" w:ascii="Times New Roman" w:hAnsi="Times New Roman" w:cs="Times New Roman"/>
          <w:b w:val="0"/>
          <w:bCs w:val="0"/>
          <w:i w:val="0"/>
          <w:iCs w:val="0"/>
          <w:sz w:val="24"/>
          <w:szCs w:val="24"/>
        </w:rPr>
        <w:t xml:space="preserve"> 10(2), pp.88-103.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https://education.waikato.ac.nz/research/files/2011v10n2dial1.pdf.</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17</w:t>
      </w:r>
      <w:r>
        <w:rPr>
          <w:rFonts w:hint="default" w:ascii="Times New Roman" w:hAnsi="Times New Roman" w:cs="Times New Roman"/>
          <w:i w:val="0"/>
          <w:iCs w:val="0"/>
          <w:sz w:val="24"/>
          <w:szCs w:val="24"/>
          <w:vertAlign w:val="superscript"/>
        </w:rPr>
        <w:t>st</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Lin, W.C. &amp; Yang, S.C. 2013. Exploring the roles of Google.doc and peer e-tutors in English writing. </w:t>
      </w:r>
      <w:r>
        <w:rPr>
          <w:rFonts w:hint="default" w:ascii="Times New Roman Italic" w:hAnsi="Times New Roman Italic" w:cs="Times New Roman Italic"/>
          <w:i/>
          <w:iCs/>
          <w:sz w:val="24"/>
          <w:szCs w:val="24"/>
        </w:rPr>
        <w:t xml:space="preserve">English Teaching:Practice and Critique. </w:t>
      </w:r>
      <w:r>
        <w:rPr>
          <w:rFonts w:hint="default" w:ascii="Times New Roman" w:hAnsi="Times New Roman" w:cs="Times New Roman"/>
          <w:i w:val="0"/>
          <w:iCs w:val="0"/>
          <w:sz w:val="24"/>
          <w:szCs w:val="24"/>
        </w:rPr>
        <w:t>[E-journal].</w:t>
      </w:r>
      <w:r>
        <w:rPr>
          <w:rFonts w:hint="default" w:ascii="Times New Roman" w:hAnsi="Times New Roman" w:cs="Times New Roman"/>
          <w:b w:val="0"/>
          <w:bCs w:val="0"/>
          <w:i w:val="0"/>
          <w:iCs w:val="0"/>
          <w:sz w:val="24"/>
          <w:szCs w:val="24"/>
        </w:rPr>
        <w:t xml:space="preserve"> 12(1), pp.79-90.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https://education.waikato.ac.nz/research/files/2013v12n1dial1.pdf.</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17</w:t>
      </w:r>
      <w:r>
        <w:rPr>
          <w:rFonts w:hint="default" w:ascii="Times New Roman" w:hAnsi="Times New Roman" w:cs="Times New Roman"/>
          <w:i w:val="0"/>
          <w:iCs w:val="0"/>
          <w:sz w:val="24"/>
          <w:szCs w:val="24"/>
          <w:vertAlign w:val="superscript"/>
        </w:rPr>
        <w:t>st</w:t>
      </w:r>
      <w:r>
        <w:rPr>
          <w:rFonts w:hint="default" w:ascii="Times New Roman" w:hAnsi="Times New Roman" w:cs="Times New Roman"/>
          <w:i w:val="0"/>
          <w:iCs w:val="0"/>
          <w:sz w:val="24"/>
          <w:szCs w:val="24"/>
        </w:rPr>
        <w:t xml:space="preserve"> March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Newby, P. 2010</w:t>
      </w:r>
      <w:r>
        <w:rPr>
          <w:rFonts w:hint="eastAsia" w:ascii="Times New Roman" w:hAnsi="Times New Roman" w:cs="Times New Roman"/>
          <w:i w:val="0"/>
          <w:iCs w:val="0"/>
          <w:sz w:val="24"/>
          <w:szCs w:val="24"/>
          <w:lang w:eastAsia="zh-CN"/>
        </w:rPr>
        <w:t>.</w:t>
      </w:r>
      <w:r>
        <w:rPr>
          <w:rFonts w:hint="default" w:ascii="Times New Roman" w:hAnsi="Times New Roman" w:cs="Times New Roman"/>
          <w:i w:val="0"/>
          <w:iCs w:val="0"/>
          <w:sz w:val="24"/>
          <w:szCs w:val="24"/>
        </w:rPr>
        <w:t xml:space="preserve"> </w:t>
      </w:r>
      <w:r>
        <w:rPr>
          <w:rFonts w:hint="default" w:ascii="Times New Roman Italic" w:hAnsi="Times New Roman Italic" w:cs="Times New Roman Italic"/>
          <w:i/>
          <w:iCs/>
          <w:sz w:val="24"/>
          <w:szCs w:val="24"/>
        </w:rPr>
        <w:t>Research Methods for Education</w:t>
      </w:r>
      <w:r>
        <w:rPr>
          <w:rFonts w:hint="eastAsia" w:ascii="Times New Roman" w:hAnsi="Times New Roman" w:cs="Times New Roman"/>
          <w:i w:val="0"/>
          <w:iCs w:val="0"/>
          <w:sz w:val="24"/>
          <w:szCs w:val="24"/>
          <w:lang w:eastAsia="zh-CN"/>
        </w:rPr>
        <w:t>.</w:t>
      </w:r>
      <w:r>
        <w:rPr>
          <w:rFonts w:hint="default" w:ascii="Times New Roman" w:hAnsi="Times New Roman" w:cs="Times New Roman"/>
          <w:i w:val="0"/>
          <w:iCs w:val="0"/>
          <w:sz w:val="24"/>
          <w:szCs w:val="24"/>
        </w:rPr>
        <w:t xml:space="preserve"> Harlow: Pearson Education Ltd.</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Pring, R. 2004</w:t>
      </w:r>
      <w:r>
        <w:rPr>
          <w:rFonts w:hint="eastAsia" w:ascii="Times New Roman" w:hAnsi="Times New Roman" w:cs="Times New Roman"/>
          <w:i w:val="0"/>
          <w:iCs w:val="0"/>
          <w:sz w:val="24"/>
          <w:szCs w:val="24"/>
          <w:lang w:eastAsia="zh-CN"/>
        </w:rPr>
        <w:t>.</w:t>
      </w:r>
      <w:r>
        <w:rPr>
          <w:rFonts w:hint="default" w:ascii="Times New Roman" w:hAnsi="Times New Roman" w:cs="Times New Roman"/>
          <w:i w:val="0"/>
          <w:iCs w:val="0"/>
          <w:sz w:val="24"/>
          <w:szCs w:val="24"/>
        </w:rPr>
        <w:t xml:space="preserve"> </w:t>
      </w:r>
      <w:r>
        <w:rPr>
          <w:rFonts w:hint="default" w:ascii="Times New Roman Italic" w:hAnsi="Times New Roman Italic" w:cs="Times New Roman Italic"/>
          <w:i/>
          <w:iCs/>
          <w:sz w:val="24"/>
          <w:szCs w:val="24"/>
        </w:rPr>
        <w:t>Philosophy of Educational Research</w:t>
      </w:r>
      <w:r>
        <w:rPr>
          <w:rFonts w:hint="default" w:ascii="Times New Roman Italic" w:hAnsi="Times New Roman Italic" w:cs="Times New Roman Italic"/>
          <w:i/>
          <w:iCs/>
          <w:sz w:val="24"/>
          <w:szCs w:val="24"/>
          <w:lang w:eastAsia="zh-CN"/>
        </w:rPr>
        <w:t>.</w:t>
      </w:r>
      <w:r>
        <w:rPr>
          <w:rFonts w:hint="default" w:ascii="Times New Roman" w:hAnsi="Times New Roman" w:cs="Times New Roman"/>
          <w:i w:val="0"/>
          <w:iCs w:val="0"/>
          <w:sz w:val="24"/>
          <w:szCs w:val="24"/>
        </w:rPr>
        <w:t xml:space="preserve"> London: Continuum. </w:t>
      </w:r>
    </w:p>
    <w:p>
      <w:pPr>
        <w:numPr>
          <w:ilvl w:val="0"/>
          <w:numId w:val="0"/>
        </w:numPr>
        <w:spacing w:line="360" w:lineRule="auto"/>
        <w:rPr>
          <w:rFonts w:hint="eastAsia" w:ascii="Times New Roman" w:hAnsi="Times New Roman" w:cs="Times New Roman"/>
          <w:i w:val="0"/>
          <w:iCs w:val="0"/>
          <w:sz w:val="24"/>
          <w:szCs w:val="24"/>
          <w:lang w:eastAsia="zh-CN"/>
        </w:rPr>
      </w:pPr>
    </w:p>
    <w:p>
      <w:pPr>
        <w:numPr>
          <w:ilvl w:val="0"/>
          <w:numId w:val="0"/>
        </w:numPr>
        <w:spacing w:line="360" w:lineRule="auto"/>
        <w:rPr>
          <w:rFonts w:hint="default" w:ascii="Times New Roman" w:hAnsi="Times New Roman" w:cs="Times New Roman"/>
          <w:i w:val="0"/>
          <w:iCs w:val="0"/>
          <w:sz w:val="24"/>
          <w:szCs w:val="24"/>
          <w:lang w:eastAsia="zh-CN"/>
        </w:rPr>
      </w:pPr>
      <w:r>
        <w:rPr>
          <w:rFonts w:hint="default" w:ascii="Times New Roman" w:hAnsi="Times New Roman" w:cs="Times New Roman"/>
          <w:i w:val="0"/>
          <w:iCs w:val="0"/>
          <w:sz w:val="24"/>
          <w:szCs w:val="24"/>
          <w:lang w:eastAsia="zh-CN"/>
        </w:rPr>
        <w:t>Vygotsky, L.S. 1978.</w:t>
      </w:r>
      <w:r>
        <w:rPr>
          <w:rFonts w:hint="default" w:ascii="Times New Roman Italic" w:hAnsi="Times New Roman Italic" w:cs="Times New Roman Italic"/>
          <w:i/>
          <w:iCs/>
          <w:sz w:val="24"/>
          <w:szCs w:val="24"/>
          <w:lang w:eastAsia="zh-CN"/>
        </w:rPr>
        <w:t xml:space="preserve"> Mind in society: The development of higher psychological processes.</w:t>
      </w:r>
      <w:r>
        <w:rPr>
          <w:rFonts w:hint="default" w:ascii="Times New Roman" w:hAnsi="Times New Roman" w:cs="Times New Roman"/>
          <w:i w:val="0"/>
          <w:iCs w:val="0"/>
          <w:sz w:val="24"/>
          <w:szCs w:val="24"/>
          <w:lang w:eastAsia="zh-CN"/>
        </w:rPr>
        <w:t xml:space="preserve"> Cambridge, MA: Cambridge University Press.</w:t>
      </w:r>
    </w:p>
    <w:p>
      <w:pPr>
        <w:numPr>
          <w:ilvl w:val="0"/>
          <w:numId w:val="0"/>
        </w:numPr>
        <w:spacing w:line="360" w:lineRule="auto"/>
        <w:rPr>
          <w:rFonts w:hint="default" w:ascii="Times New Roman" w:hAnsi="Times New Roman" w:cs="Times New Roman"/>
          <w:i w:val="0"/>
          <w:iCs w:val="0"/>
          <w:sz w:val="24"/>
          <w:szCs w:val="24"/>
          <w:lang w:eastAsia="zh-CN"/>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Yang, L.X., Wang, S.E., Chang, H.C., &amp; Sheng, J. 2013. </w:t>
      </w:r>
      <w:r>
        <w:rPr>
          <w:rFonts w:hint="default" w:ascii="Times New Roman Italic" w:hAnsi="Times New Roman Italic" w:cs="Times New Roman Italic"/>
          <w:i/>
          <w:iCs/>
          <w:sz w:val="24"/>
          <w:szCs w:val="24"/>
        </w:rPr>
        <w:t xml:space="preserve">Qualitative Research in Applied Linguistics. </w:t>
      </w:r>
      <w:r>
        <w:rPr>
          <w:rFonts w:hint="default" w:ascii="Times New Roman" w:hAnsi="Times New Roman" w:cs="Times New Roman"/>
          <w:i w:val="0"/>
          <w:iCs w:val="0"/>
          <w:sz w:val="24"/>
          <w:szCs w:val="24"/>
        </w:rPr>
        <w:t>Beijing: Foreign Language Teaching and Research Press.</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r>
        <w:rPr>
          <w:rFonts w:hint="default" w:ascii="Times New Roman" w:hAnsi="Times New Roman" w:cs="Times New Roman"/>
          <w:i w:val="0"/>
          <w:iCs w:val="0"/>
          <w:sz w:val="24"/>
          <w:szCs w:val="24"/>
        </w:rPr>
        <w:t xml:space="preserve">Yu, S. &amp; Lee, I. 2016. Exploring Chinese students’ strategy use in a cooperative peer feedback writing group. </w:t>
      </w:r>
      <w:r>
        <w:rPr>
          <w:rFonts w:hint="default" w:ascii="Times New Roman Italic" w:hAnsi="Times New Roman Italic" w:cs="Times New Roman Italic"/>
          <w:i/>
          <w:iCs/>
          <w:sz w:val="24"/>
          <w:szCs w:val="24"/>
        </w:rPr>
        <w:t>System.</w:t>
      </w:r>
      <w:r>
        <w:rPr>
          <w:rFonts w:hint="default" w:ascii="Times New Roman" w:hAnsi="Times New Roman" w:cs="Times New Roman"/>
          <w:i w:val="0"/>
          <w:iCs w:val="0"/>
          <w:sz w:val="24"/>
          <w:szCs w:val="24"/>
        </w:rPr>
        <w:t xml:space="preserve"> [E-journal].</w:t>
      </w:r>
      <w:r>
        <w:rPr>
          <w:rFonts w:hint="default" w:ascii="Times New Roman" w:hAnsi="Times New Roman" w:cs="Times New Roman"/>
          <w:b w:val="0"/>
          <w:bCs w:val="0"/>
          <w:i w:val="0"/>
          <w:iCs w:val="0"/>
          <w:sz w:val="24"/>
          <w:szCs w:val="24"/>
        </w:rPr>
        <w:t xml:space="preserve"> 58, pp.1-11. </w:t>
      </w:r>
      <w:r>
        <w:rPr>
          <w:rFonts w:hint="default" w:ascii="Times New Roman" w:hAnsi="Times New Roman" w:cs="Times New Roman"/>
          <w:i w:val="0"/>
          <w:iCs w:val="0"/>
          <w:sz w:val="24"/>
          <w:szCs w:val="24"/>
        </w:rPr>
        <w:t xml:space="preserve">Available at: </w:t>
      </w:r>
      <w:r>
        <w:rPr>
          <w:rFonts w:hint="default" w:ascii="Times New Roman" w:hAnsi="Times New Roman" w:cs="Times New Roman"/>
          <w:i w:val="0"/>
          <w:iCs w:val="0"/>
          <w:sz w:val="24"/>
          <w:szCs w:val="24"/>
        </w:rPr>
        <w:fldChar w:fldCharType="begin"/>
      </w:r>
      <w:r>
        <w:rPr>
          <w:rFonts w:hint="default" w:ascii="Times New Roman" w:hAnsi="Times New Roman" w:cs="Times New Roman"/>
          <w:i w:val="0"/>
          <w:iCs w:val="0"/>
          <w:sz w:val="24"/>
          <w:szCs w:val="24"/>
        </w:rPr>
        <w:instrText xml:space="preserve"> HYPERLINK "https://doi-org.ezproxy.uwtsd.ac.uk/10.1111/j.1467-9922.2004.00247.x." </w:instrText>
      </w:r>
      <w:r>
        <w:rPr>
          <w:rFonts w:hint="default" w:ascii="Times New Roman" w:hAnsi="Times New Roman" w:cs="Times New Roman"/>
          <w:i w:val="0"/>
          <w:iCs w:val="0"/>
          <w:sz w:val="24"/>
          <w:szCs w:val="24"/>
        </w:rPr>
        <w:fldChar w:fldCharType="separate"/>
      </w:r>
      <w:r>
        <w:rPr>
          <w:rStyle w:val="3"/>
          <w:rFonts w:hint="default" w:ascii="Times New Roman" w:hAnsi="Times New Roman" w:cs="Times New Roman"/>
          <w:i w:val="0"/>
          <w:iCs w:val="0"/>
          <w:sz w:val="24"/>
          <w:szCs w:val="24"/>
        </w:rPr>
        <w:t>https://dox.doi.org/10.1016/j.system.2016.02.005.</w:t>
      </w:r>
      <w:r>
        <w:rPr>
          <w:rFonts w:hint="default" w:ascii="Times New Roman" w:hAnsi="Times New Roman" w:cs="Times New Roman"/>
          <w:i w:val="0"/>
          <w:iCs w:val="0"/>
          <w:sz w:val="24"/>
          <w:szCs w:val="24"/>
        </w:rPr>
        <w:fldChar w:fldCharType="end"/>
      </w:r>
      <w:r>
        <w:rPr>
          <w:rFonts w:hint="default" w:ascii="Times New Roman" w:hAnsi="Times New Roman" w:cs="Times New Roman"/>
          <w:i w:val="0"/>
          <w:iCs w:val="0"/>
          <w:sz w:val="24"/>
          <w:szCs w:val="24"/>
        </w:rPr>
        <w:t xml:space="preserve"> Accessed 2</w:t>
      </w:r>
      <w:r>
        <w:rPr>
          <w:rFonts w:hint="default" w:ascii="Times New Roman" w:hAnsi="Times New Roman" w:cs="Times New Roman"/>
          <w:i w:val="0"/>
          <w:iCs w:val="0"/>
          <w:sz w:val="24"/>
          <w:szCs w:val="24"/>
          <w:vertAlign w:val="superscript"/>
        </w:rPr>
        <w:t>nd</w:t>
      </w:r>
      <w:r>
        <w:rPr>
          <w:rFonts w:hint="default" w:ascii="Times New Roman" w:hAnsi="Times New Roman" w:cs="Times New Roman"/>
          <w:i w:val="0"/>
          <w:iCs w:val="0"/>
          <w:sz w:val="24"/>
          <w:szCs w:val="24"/>
        </w:rPr>
        <w:t xml:space="preserve"> April 2021.</w:t>
      </w: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p>
    <w:p>
      <w:pPr>
        <w:rPr>
          <w:rFonts w:hint="eastAsia"/>
          <w:sz w:val="24"/>
          <w:szCs w:val="24"/>
          <w:lang w:eastAsia="zh-CN"/>
        </w:rPr>
      </w:pPr>
    </w:p>
    <w:p>
      <w:pPr>
        <w:numPr>
          <w:ilvl w:val="0"/>
          <w:numId w:val="0"/>
        </w:numPr>
        <w:spacing w:line="360" w:lineRule="auto"/>
        <w:rPr>
          <w:rFonts w:hint="default" w:ascii="Times New Roman" w:hAnsi="Times New Roman" w:cs="Times New Roman"/>
          <w:i w:val="0"/>
          <w:iCs w:val="0"/>
          <w:sz w:val="24"/>
          <w:szCs w:val="24"/>
        </w:rPr>
      </w:pPr>
    </w:p>
    <w:p>
      <w:pPr>
        <w:numPr>
          <w:ilvl w:val="0"/>
          <w:numId w:val="0"/>
        </w:numPr>
        <w:spacing w:line="360" w:lineRule="auto"/>
        <w:rPr>
          <w:rFonts w:hint="default" w:ascii="Times New Roman" w:hAnsi="Times New Roman" w:cs="Times New Roman"/>
          <w:i w:val="0"/>
          <w:iCs w:val="0"/>
          <w:sz w:val="24"/>
          <w:szCs w:val="24"/>
        </w:rPr>
      </w:pPr>
    </w:p>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panose1 w:val="02000000000000000000"/>
    <w:charset w:val="86"/>
    <w:family w:val="auto"/>
    <w:pitch w:val="default"/>
    <w:sig w:usb0="A00002BF" w:usb1="38CF7CFA" w:usb2="00082016" w:usb3="00000000" w:csb0="00040001" w:csb1="00000000"/>
  </w:font>
  <w:font w:name="方正黑体_GBK">
    <w:altName w:val="苹方-简"/>
    <w:panose1 w:val="02000000000000000000"/>
    <w:charset w:val="00"/>
    <w:family w:val="auto"/>
    <w:pitch w:val="default"/>
    <w:sig w:usb0="00000001" w:usb1="08000000" w:usb2="00000000" w:usb3="00000000" w:csb0="00040000" w:csb1="0000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AEFPCL+TimesNewRoman">
    <w:altName w:val="苹方-简"/>
    <w:panose1 w:val="00000000000000000000"/>
    <w:charset w:val="00"/>
    <w:family w:val="roman"/>
    <w:pitch w:val="default"/>
    <w:sig w:usb0="00000000" w:usb1="00000000" w:usb2="00000010" w:usb3="00000000" w:csb0="00040000" w:csb1="00000000"/>
  </w:font>
  <w:font w:name="PMingLiU">
    <w:altName w:val="宋体-繁"/>
    <w:panose1 w:val="02020500000000000000"/>
    <w:charset w:val="00"/>
    <w:family w:val="roman"/>
    <w:pitch w:val="default"/>
    <w:sig w:usb0="00000000" w:usb1="00000000" w:usb2="00000016" w:usb3="00000000" w:csb0="00100001" w:csb1="00000000"/>
  </w:font>
  <w:font w:name="Comic Sans MS">
    <w:panose1 w:val="030F0902030302020204"/>
    <w:charset w:val="00"/>
    <w:family w:val="script"/>
    <w:pitch w:val="default"/>
    <w:sig w:usb0="00000287" w:usb1="00000000" w:usb2="00000000" w:usb3="00000000" w:csb0="2000009F" w:csb1="00000000"/>
  </w:font>
  <w:font w:name="Cheltenham-Book">
    <w:altName w:val="苹方-简"/>
    <w:panose1 w:val="00000000000000000000"/>
    <w:charset w:val="00"/>
    <w:family w:val="roman"/>
    <w:pitch w:val="default"/>
    <w:sig w:usb0="00000000" w:usb1="00000000" w:usb2="00000000" w:usb3="00000000" w:csb0="00000001" w:csb1="00000000"/>
  </w:font>
  <w:font w:name="宋体-繁">
    <w:panose1 w:val="02010600040101010101"/>
    <w:charset w:val="86"/>
    <w:family w:val="auto"/>
    <w:pitch w:val="default"/>
    <w:sig w:usb0="00000287" w:usb1="080F0000" w:usb2="00000000" w:usb3="00000000" w:csb0="0004009F" w:csb1="DFD70000"/>
  </w:font>
  <w:font w:name="Comic Sans MS Regular">
    <w:panose1 w:val="030F0902030302020204"/>
    <w:charset w:val="00"/>
    <w:family w:val="auto"/>
    <w:pitch w:val="default"/>
    <w:sig w:usb0="00000287" w:usb1="00000000" w:usb2="00000000" w:usb3="00000000" w:csb0="2000009F" w:csb1="00000000"/>
  </w:font>
  <w:font w:name="Times New Roman Regular">
    <w:panose1 w:val="02020503050405090304"/>
    <w:charset w:val="00"/>
    <w:family w:val="auto"/>
    <w:pitch w:val="default"/>
    <w:sig w:usb0="E0000AFF" w:usb1="00007843" w:usb2="00000001" w:usb3="00000000" w:csb0="400001BF" w:csb1="DFF70000"/>
  </w:font>
  <w:font w:name="冬青黑体简体中文">
    <w:panose1 w:val="020B0300000000000000"/>
    <w:charset w:val="86"/>
    <w:family w:val="auto"/>
    <w:pitch w:val="default"/>
    <w:sig w:usb0="A00002BF" w:usb1="1ACF7CFA" w:usb2="00000016" w:usb3="00000000" w:csb0="00060007" w:csb1="00000000"/>
  </w:font>
  <w:font w:name="Times New Roman Bold">
    <w:panose1 w:val="02020503050405090304"/>
    <w:charset w:val="00"/>
    <w:family w:val="auto"/>
    <w:pitch w:val="default"/>
    <w:sig w:usb0="E0000AFF" w:usb1="00007843" w:usb2="00000001" w:usb3="00000000" w:csb0="400001BF" w:csb1="DFF70000"/>
  </w:font>
  <w:font w:name="Times New Roman Italic">
    <w:panose1 w:val="02020503050405090304"/>
    <w:charset w:val="00"/>
    <w:family w:val="auto"/>
    <w:pitch w:val="default"/>
    <w:sig w:usb0="E0000AFF" w:usb1="00007843" w:usb2="00000001" w:usb3="00000000" w:csb0="400001BF" w:csb1="DFF70000"/>
  </w:font>
  <w:font w:name="Arial">
    <w:panose1 w:val="020B0604020202090204"/>
    <w:charset w:val="00"/>
    <w:family w:val="auto"/>
    <w:pitch w:val="default"/>
    <w:sig w:usb0="E0000AFF" w:usb1="00007843" w:usb2="00000001" w:usb3="00000000" w:csb0="400001BF" w:csb1="DFF70000"/>
  </w:font>
  <w:font w:name="公文小标宋简">
    <w:altName w:val="苹方-简"/>
    <w:panose1 w:val="02010609010101010101"/>
    <w:charset w:val="00"/>
    <w:family w:val="modern"/>
    <w:pitch w:val="default"/>
    <w:sig w:usb0="00000000" w:usb1="00000000" w:usb2="00000010" w:usb3="00000000" w:csb0="00040000" w:csb1="00000000"/>
  </w:font>
  <w:font w:name="黑体">
    <w:altName w:val="汉仪中黑KW"/>
    <w:panose1 w:val="02010609060101010101"/>
    <w:charset w:val="00"/>
    <w:family w:val="modern"/>
    <w:pitch w:val="default"/>
    <w:sig w:usb0="00000000" w:usb1="00000000" w:usb2="00000016" w:usb3="00000000" w:csb0="00040001" w:csb1="00000000"/>
  </w:font>
  <w:font w:name="仿宋_GB2312">
    <w:altName w:val="方正仿宋_GBK"/>
    <w:panose1 w:val="020B0604020202020204"/>
    <w:charset w:val="00"/>
    <w:family w:val="auto"/>
    <w:pitch w:val="default"/>
    <w:sig w:usb0="00000000" w:usb1="00000000" w:usb2="00000000" w:usb3="00000000" w:csb0="00040000" w:csb1="00000000"/>
  </w:font>
  <w:font w:name="华文中宋">
    <w:altName w:val="苹方-简"/>
    <w:panose1 w:val="02010600040101010101"/>
    <w:charset w:val="00"/>
    <w:family w:val="auto"/>
    <w:pitch w:val="default"/>
    <w:sig w:usb0="00000000" w:usb1="00000000" w:usb2="00000010" w:usb3="00000000" w:csb0="0004009F" w:csb1="00000000"/>
  </w:font>
  <w:font w:name="Songti TC Light">
    <w:panose1 w:val="02010600040101010101"/>
    <w:charset w:val="86"/>
    <w:family w:val="auto"/>
    <w:pitch w:val="default"/>
    <w:sig w:usb0="00000287" w:usb1="080F0000" w:usb2="00000000" w:usb3="00000000" w:csb0="0004009F" w:csb1="DFD70000"/>
  </w:font>
  <w:font w:name="汉仪中黑KW">
    <w:panose1 w:val="00020600040101010101"/>
    <w:charset w:val="86"/>
    <w:family w:val="auto"/>
    <w:pitch w:val="default"/>
    <w:sig w:usb0="A00002BF" w:usb1="18EF7CFA" w:usb2="00000016" w:usb3="00000000" w:csb0="00040000" w:csb1="00000000"/>
  </w:font>
  <w:font w:name="方正仿宋_GBK">
    <w:panose1 w:val="02000000000000000000"/>
    <w:charset w:val="86"/>
    <w:family w:val="auto"/>
    <w:pitch w:val="default"/>
    <w:sig w:usb0="A00002BF" w:usb1="38CF7CFA" w:usb2="00082016" w:usb3="00000000" w:csb0="00040001" w:csb1="00000000"/>
  </w:font>
  <w:font w:name="Times">
    <w:panose1 w:val="00000500000000020000"/>
    <w:charset w:val="00"/>
    <w:family w:val="roman"/>
    <w:pitch w:val="default"/>
    <w:sig w:usb0="E00002FF" w:usb1="5000205A" w:usb2="00000000" w:usb3="00000000" w:csb0="2000019F" w:csb1="4F010000"/>
  </w:font>
  <w:font w:name="Lucida Grande">
    <w:panose1 w:val="020B0600040502020204"/>
    <w:charset w:val="00"/>
    <w:family w:val="auto"/>
    <w:pitch w:val="default"/>
    <w:sig w:usb0="E1000AEF" w:usb1="5000A1FF" w:usb2="00000000" w:usb3="00000000" w:csb0="200001BF" w:csb1="4F010000"/>
  </w:font>
  <w:font w:name="Code">
    <w:altName w:val="苹方-简"/>
    <w:panose1 w:val="00000000000000000000"/>
    <w:charset w:val="00"/>
    <w:family w:val="swiss"/>
    <w:pitch w:val="default"/>
    <w:sig w:usb0="00000000" w:usb1="00000000" w:usb2="00000010" w:usb3="00000000" w:csb0="00040000" w:csb1="00000000"/>
  </w:font>
  <w:font w:name="RealpagePAL3">
    <w:altName w:val="苹方-简"/>
    <w:panose1 w:val="00000000000000000000"/>
    <w:charset w:val="00"/>
    <w:family w:val="swiss"/>
    <w:pitch w:val="default"/>
    <w:sig w:usb0="00000000" w:usb1="00000000" w:usb2="00000000" w:usb3="00000000" w:csb0="00000001" w:csb1="00000000"/>
  </w:font>
  <w:font w:name="AdobeSongStd-Light">
    <w:altName w:val="苹方-简"/>
    <w:panose1 w:val="00000000000000000000"/>
    <w:charset w:val="00"/>
    <w:family w:val="auto"/>
    <w:pitch w:val="default"/>
    <w:sig w:usb0="00000000" w:usb1="00000000" w:usb2="00000010" w:usb3="00000000" w:csb0="0004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06BD93C"/>
    <w:multiLevelType w:val="singleLevel"/>
    <w:tmpl w:val="606BD93C"/>
    <w:lvl w:ilvl="0" w:tentative="0">
      <w:start w:val="3"/>
      <w:numFmt w:val="decimal"/>
      <w:suff w:val="nothing"/>
      <w:lvlText w:val="%1."/>
      <w:lvlJc w:val="left"/>
    </w:lvl>
  </w:abstractNum>
  <w:abstractNum w:abstractNumId="1">
    <w:nsid w:val="606FB78E"/>
    <w:multiLevelType w:val="singleLevel"/>
    <w:tmpl w:val="606FB78E"/>
    <w:lvl w:ilvl="0" w:tentative="0">
      <w:start w:val="5"/>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1"/>
  <w:doNotDisplayPageBoundaries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FDE3E58"/>
    <w:rsid w:val="2FDFA834"/>
    <w:rsid w:val="3EFF59F2"/>
    <w:rsid w:val="6BAF0551"/>
    <w:rsid w:val="6CAE9067"/>
    <w:rsid w:val="775F50B0"/>
    <w:rsid w:val="77EF064B"/>
    <w:rsid w:val="7CF79A4D"/>
    <w:rsid w:val="7FDE3E58"/>
    <w:rsid w:val="7FEE27B5"/>
    <w:rsid w:val="7FFF6228"/>
    <w:rsid w:val="CDBC8FA9"/>
    <w:rsid w:val="FD7BB069"/>
    <w:rsid w:val="FE7F7A09"/>
    <w:rsid w:val="FFDF4B27"/>
    <w:rsid w:val="FFFAE0B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4">
    <w:name w:val="Normal Table"/>
    <w:semiHidden/>
    <w:qFormat/>
    <w:uiPriority w:val="0"/>
    <w:tblPr>
      <w:tblCellMar>
        <w:top w:w="0" w:type="dxa"/>
        <w:left w:w="108" w:type="dxa"/>
        <w:bottom w:w="0" w:type="dxa"/>
        <w:right w:w="108" w:type="dxa"/>
      </w:tblCellMar>
    </w:tblPr>
  </w:style>
  <w:style w:type="character" w:styleId="3">
    <w:name w:val="Hyperlink"/>
    <w:basedOn w:val="2"/>
    <w:qFormat/>
    <w:uiPriority w:val="0"/>
    <w:rPr>
      <w:color w:val="0000FF"/>
      <w:u w:val="single"/>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Office_2.6.1.4274_F1E327BC-269C-435d-A152-05C5408002CA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2021-04-07T01:07:00Z</dcterms:created>
  <dc:creator>wangyuwen</dc:creator>
  <cp:lastModifiedBy>wangyuwen</cp:lastModifiedBy>
  <dcterms:modified xsi:type="dcterms:W3CDTF">2021-04-25T19:22:44Z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2052-2.6.1.4274</vt:lpwstr>
  </property>
</Properties>
</file>