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314CEC" w14:textId="77777777" w:rsidR="005B6B3E" w:rsidRPr="005B6B3E" w:rsidRDefault="005B6B3E">
      <w:pPr>
        <w:rPr>
          <w:b/>
          <w:sz w:val="32"/>
          <w:szCs w:val="32"/>
        </w:rPr>
      </w:pPr>
      <w:r w:rsidRPr="005B6B3E">
        <w:rPr>
          <w:b/>
          <w:sz w:val="32"/>
          <w:szCs w:val="32"/>
        </w:rPr>
        <w:t>Examples of UK legislations:</w:t>
      </w:r>
      <w:bookmarkStart w:id="0" w:name="_GoBack"/>
      <w:bookmarkEnd w:id="0"/>
      <w:r w:rsidRPr="005B6B3E">
        <w:rPr>
          <w:b/>
          <w:sz w:val="32"/>
          <w:szCs w:val="32"/>
        </w:rPr>
        <w:t xml:space="preserve"> </w:t>
      </w:r>
    </w:p>
    <w:p w14:paraId="5560C064" w14:textId="77777777" w:rsidR="005B6B3E" w:rsidRPr="005B6B3E" w:rsidRDefault="005B6B3E">
      <w:pPr>
        <w:rPr>
          <w:b/>
        </w:rPr>
      </w:pPr>
      <w:r w:rsidRPr="005B6B3E">
        <w:rPr>
          <w:b/>
        </w:rPr>
        <w:t>Climate Change Act (2008):</w:t>
      </w:r>
    </w:p>
    <w:p w14:paraId="7BC1A12E" w14:textId="77777777" w:rsidR="005B6B3E" w:rsidRPr="005B6B3E" w:rsidRDefault="005B6B3E">
      <w:r w:rsidRPr="005B6B3E">
        <w:t xml:space="preserve"> The Climate Change Act sets in place a legally binding agreement target to reduce carbon dioxide emissions by at least 80% by the year 2050 (based on 1990 levels as detailed in the Kyoto Protocol), The government must report every five years on progress through ‘carbon budgets’. Much of the ensuing legislation is in place to ensure the UK meets those targets, and will likely</w:t>
      </w:r>
      <w:r>
        <w:t xml:space="preserve">. </w:t>
      </w:r>
    </w:p>
    <w:p w14:paraId="4E514E48" w14:textId="77777777" w:rsidR="005B6B3E" w:rsidRPr="005B6B3E" w:rsidRDefault="005B6B3E">
      <w:pPr>
        <w:rPr>
          <w:b/>
        </w:rPr>
      </w:pPr>
      <w:r w:rsidRPr="005B6B3E">
        <w:rPr>
          <w:b/>
        </w:rPr>
        <w:t>Energy Performance Certificates (EPCs) and Display Energy Certificates (DECs):</w:t>
      </w:r>
    </w:p>
    <w:p w14:paraId="203501A4" w14:textId="77777777" w:rsidR="005B6B3E" w:rsidRPr="005B6B3E" w:rsidRDefault="005B6B3E">
      <w:r w:rsidRPr="005B6B3E">
        <w:t xml:space="preserve"> EPCs are required when buildings are constructed, sold or rented out and when existing buildings undergo major alterations. An EPC provides residential and commercial buildings with an asset rating and is a calculation based on the Reduced Data Standard Assessment Procedure (</w:t>
      </w:r>
      <w:proofErr w:type="spellStart"/>
      <w:r w:rsidRPr="005B6B3E">
        <w:t>RdSAP</w:t>
      </w:r>
      <w:proofErr w:type="spellEnd"/>
      <w:r w:rsidRPr="005B6B3E">
        <w:t xml:space="preserve">) software. The </w:t>
      </w:r>
      <w:proofErr w:type="spellStart"/>
      <w:r w:rsidRPr="005B6B3E">
        <w:t>RdSAP</w:t>
      </w:r>
      <w:proofErr w:type="spellEnd"/>
      <w:r w:rsidRPr="005B6B3E">
        <w:t xml:space="preserve"> methodology has, however, been shown on several occasions to be flawed, with the EPC assessment itself sometimes relying on assumptions as well, and contributes to the controversy around design versus as built compliance; the so-called ‘energy performance gap’ of buildings. EPCs show the energy demand of a building on a scale between A–G, and provide recommendations to occupants on how to improve the rating. Since 4 January 2009 every commercial building over 50m2 has required an EPC for sale or letting; sellers and prospective landlords must make this available free of charge to prospective buyers or tenants before a property is viewed, or when written information is provided about the building as a result of a request by a prospective purchaser. EPCs are also required for all new construction work over 50m2 . DECs are required for public buildings with a total useful floor area of 500m2 or more and were created as a direct response to the EU Energy Performance of Building Directive (above). Despite using the same A-G scale as EPCs, DECs differ as they show actual energy use of a building and the associated carbon dioxide emissions, and also provide a comprehensive Advisory Report (AR) that details how to reduce emissions from the building further. There is a penalty system in place for organizations that do not display an up-to-date DEC or have an AR.</w:t>
      </w:r>
    </w:p>
    <w:p w14:paraId="2C8CB01E" w14:textId="77777777" w:rsidR="005B6B3E" w:rsidRPr="005B6B3E" w:rsidRDefault="005B6B3E">
      <w:pPr>
        <w:rPr>
          <w:b/>
        </w:rPr>
      </w:pPr>
      <w:r w:rsidRPr="005B6B3E">
        <w:rPr>
          <w:b/>
        </w:rPr>
        <w:t>CRC Energy Efficiency Scheme The Carbon Reduction Commitment (CRC):</w:t>
      </w:r>
    </w:p>
    <w:p w14:paraId="2C4D49F0" w14:textId="77777777" w:rsidR="005B6B3E" w:rsidRPr="005B6B3E" w:rsidRDefault="005B6B3E">
      <w:r w:rsidRPr="005B6B3E">
        <w:t xml:space="preserve"> Energy Efficiency Scheme is a mandatory carbon trading system designed as both a ‘carrot and stick’ to </w:t>
      </w:r>
      <w:proofErr w:type="spellStart"/>
      <w:r w:rsidRPr="005B6B3E">
        <w:t>incentivise</w:t>
      </w:r>
      <w:proofErr w:type="spellEnd"/>
      <w:r w:rsidRPr="005B6B3E">
        <w:t xml:space="preserve"> large public and 8 private sector </w:t>
      </w:r>
      <w:proofErr w:type="spellStart"/>
      <w:r w:rsidRPr="005B6B3E">
        <w:t>organisations</w:t>
      </w:r>
      <w:proofErr w:type="spellEnd"/>
      <w:r w:rsidRPr="005B6B3E">
        <w:t xml:space="preserve">, which are responsible for around 10% of total UK greenhouse gas emissions, to reduce their environmental impact. It rewards businesses that adopt energy efficiency measures, and punishes those that remain passive by forcing them to buy carbon credits. The scheme works in tandem with the existing European Union Emissions Trading Scheme (EU ETS) and climate change agreements. It applies to </w:t>
      </w:r>
      <w:proofErr w:type="spellStart"/>
      <w:r w:rsidRPr="005B6B3E">
        <w:t>organisations</w:t>
      </w:r>
      <w:proofErr w:type="spellEnd"/>
      <w:r w:rsidRPr="005B6B3E">
        <w:t xml:space="preserve"> with one or more half-hourly electrical meter readings over 6,000mwh in 2008, which includes many large contractors.</w:t>
      </w:r>
    </w:p>
    <w:p w14:paraId="45FDB4C7" w14:textId="080B8979" w:rsidR="005B4FB4" w:rsidRPr="009F74CD" w:rsidRDefault="005B6B3E">
      <w:pPr>
        <w:rPr>
          <w:b/>
        </w:rPr>
      </w:pPr>
      <w:r w:rsidRPr="005B6B3E">
        <w:rPr>
          <w:b/>
        </w:rPr>
        <w:t>Source:</w:t>
      </w:r>
      <w:r w:rsidRPr="005B6B3E">
        <w:t xml:space="preserve"> CIOB, (2013). </w:t>
      </w:r>
      <w:r w:rsidRPr="005B6B3E">
        <w:rPr>
          <w:i/>
        </w:rPr>
        <w:t>Environmental Legislation and Incentives in the UK</w:t>
      </w:r>
      <w:r w:rsidRPr="005B6B3E">
        <w:t>. [online] Available at: http://www.carbonaction2050.com/sites/carbonaction.ciobrebuild.io1dev.com/files/document-attachment/4%20-%20Environmental%20Legislation%20and%20Incentives%20in%20the%20UK.pdf [Accessed 24 Nov. 201</w:t>
      </w:r>
      <w:r w:rsidR="009F74CD">
        <w:t>9</w:t>
      </w:r>
      <w:r w:rsidRPr="005B6B3E">
        <w:t>].</w:t>
      </w:r>
    </w:p>
    <w:sectPr w:rsidR="005B4FB4" w:rsidRPr="009F74C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6B3E"/>
    <w:rsid w:val="00312033"/>
    <w:rsid w:val="005B6B3E"/>
    <w:rsid w:val="006F1B5A"/>
    <w:rsid w:val="007C5602"/>
    <w:rsid w:val="009F74CD"/>
    <w:rsid w:val="00E648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1F93F"/>
  <w15:chartTrackingRefBased/>
  <w15:docId w15:val="{ADAEE01D-3570-4B0B-8F26-2F3DB3F5F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484</Words>
  <Characters>2765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Husam Helmi</dc:creator>
  <cp:keywords/>
  <dc:description/>
  <cp:lastModifiedBy> </cp:lastModifiedBy>
  <cp:revision>4</cp:revision>
  <dcterms:created xsi:type="dcterms:W3CDTF">2016-11-24T10:35:00Z</dcterms:created>
  <dcterms:modified xsi:type="dcterms:W3CDTF">2019-12-09T22:17:00Z</dcterms:modified>
</cp:coreProperties>
</file>