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DBDD8C0" w14:textId="5A9B8FAB" w:rsidR="00354AF6" w:rsidRDefault="00E36D0F" w:rsidP="00797D41">
      <w:pPr>
        <w:spacing w:before="240" w:line="360" w:lineRule="auto"/>
        <w:jc w:val="center"/>
        <w:rPr>
          <w:rFonts w:ascii="Times New Roman" w:hAnsi="Times New Roman" w:cs="Times New Roman"/>
          <w:b/>
          <w:bCs/>
          <w:sz w:val="36"/>
          <w:szCs w:val="36"/>
        </w:rPr>
      </w:pPr>
      <w:r w:rsidRPr="00E36D0F">
        <w:rPr>
          <w:rFonts w:ascii="Times New Roman" w:hAnsi="Times New Roman" w:cs="Times New Roman"/>
          <w:b/>
          <w:bCs/>
          <w:noProof/>
          <w:sz w:val="36"/>
          <w:szCs w:val="36"/>
        </w:rPr>
        <w:drawing>
          <wp:inline distT="0" distB="0" distL="0" distR="0" wp14:anchorId="1CE3689E" wp14:editId="5B31328A">
            <wp:extent cx="1501270" cy="701101"/>
            <wp:effectExtent l="0" t="0" r="3810" b="3810"/>
            <wp:docPr id="162798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989564" name=""/>
                    <pic:cNvPicPr/>
                  </pic:nvPicPr>
                  <pic:blipFill>
                    <a:blip r:embed="rId7"/>
                    <a:stretch>
                      <a:fillRect/>
                    </a:stretch>
                  </pic:blipFill>
                  <pic:spPr>
                    <a:xfrm>
                      <a:off x="0" y="0"/>
                      <a:ext cx="1501270" cy="701101"/>
                    </a:xfrm>
                    <a:prstGeom prst="rect">
                      <a:avLst/>
                    </a:prstGeom>
                  </pic:spPr>
                </pic:pic>
              </a:graphicData>
            </a:graphic>
          </wp:inline>
        </w:drawing>
      </w:r>
    </w:p>
    <w:p w14:paraId="1B86F92F" w14:textId="2B84CFDE" w:rsidR="009A63CD" w:rsidRDefault="00D03F94" w:rsidP="009F1C33">
      <w:pPr>
        <w:spacing w:before="240" w:line="360" w:lineRule="auto"/>
        <w:jc w:val="center"/>
        <w:rPr>
          <w:rFonts w:ascii="Times New Roman" w:hAnsi="Times New Roman" w:cs="Times New Roman"/>
          <w:b/>
          <w:bCs/>
          <w:sz w:val="36"/>
          <w:szCs w:val="36"/>
        </w:rPr>
      </w:pPr>
      <w:r>
        <w:rPr>
          <w:rFonts w:ascii="Times New Roman" w:hAnsi="Times New Roman" w:cs="Times New Roman"/>
          <w:b/>
          <w:bCs/>
          <w:sz w:val="36"/>
          <w:szCs w:val="36"/>
        </w:rPr>
        <w:t>NAME</w:t>
      </w:r>
      <w:r w:rsidR="00512EA7">
        <w:rPr>
          <w:rFonts w:ascii="Times New Roman" w:hAnsi="Times New Roman" w:cs="Times New Roman"/>
          <w:b/>
          <w:bCs/>
          <w:sz w:val="36"/>
          <w:szCs w:val="36"/>
        </w:rPr>
        <w:t>:</w:t>
      </w:r>
      <w:r w:rsidR="002B5E1F">
        <w:rPr>
          <w:rFonts w:ascii="Times New Roman" w:hAnsi="Times New Roman" w:cs="Times New Roman"/>
          <w:b/>
          <w:bCs/>
          <w:sz w:val="36"/>
          <w:szCs w:val="36"/>
        </w:rPr>
        <w:t xml:space="preserve"> </w:t>
      </w:r>
      <w:r w:rsidR="00CF2EE6">
        <w:rPr>
          <w:rFonts w:ascii="Times New Roman" w:hAnsi="Times New Roman" w:cs="Times New Roman"/>
          <w:b/>
          <w:bCs/>
          <w:sz w:val="36"/>
          <w:szCs w:val="36"/>
        </w:rPr>
        <w:t xml:space="preserve">JANAT KICONCO </w:t>
      </w:r>
    </w:p>
    <w:p w14:paraId="162EBDC6" w14:textId="115EAAC8" w:rsidR="00354AF6" w:rsidRDefault="00FB12D3" w:rsidP="006A6706">
      <w:pPr>
        <w:spacing w:before="240"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NUMBER</w:t>
      </w:r>
      <w:r w:rsidR="007E31E6">
        <w:rPr>
          <w:rFonts w:ascii="Times New Roman" w:hAnsi="Times New Roman" w:cs="Times New Roman"/>
          <w:b/>
          <w:bCs/>
          <w:sz w:val="36"/>
          <w:szCs w:val="36"/>
        </w:rPr>
        <w:t xml:space="preserve">: </w:t>
      </w:r>
      <w:r w:rsidR="00C81EB1">
        <w:rPr>
          <w:rFonts w:ascii="Times New Roman" w:hAnsi="Times New Roman" w:cs="Times New Roman"/>
          <w:b/>
          <w:bCs/>
          <w:sz w:val="36"/>
          <w:szCs w:val="36"/>
        </w:rPr>
        <w:t xml:space="preserve"> </w:t>
      </w:r>
      <w:r w:rsidR="0088574F">
        <w:rPr>
          <w:rFonts w:ascii="Times New Roman" w:hAnsi="Times New Roman" w:cs="Times New Roman"/>
          <w:b/>
          <w:bCs/>
          <w:sz w:val="36"/>
          <w:szCs w:val="36"/>
        </w:rPr>
        <w:t>2426595</w:t>
      </w:r>
    </w:p>
    <w:p w14:paraId="721EDE2D" w14:textId="42C4E269" w:rsidR="00797D41" w:rsidRPr="00797D41" w:rsidRDefault="00797D41" w:rsidP="00797D41">
      <w:pPr>
        <w:spacing w:before="240" w:line="360" w:lineRule="auto"/>
        <w:jc w:val="center"/>
        <w:rPr>
          <w:rFonts w:ascii="Times New Roman" w:hAnsi="Times New Roman" w:cs="Times New Roman"/>
          <w:sz w:val="36"/>
          <w:szCs w:val="36"/>
        </w:rPr>
      </w:pPr>
      <w:r w:rsidRPr="00797D41">
        <w:rPr>
          <w:rFonts w:ascii="Times New Roman" w:hAnsi="Times New Roman" w:cs="Times New Roman"/>
          <w:b/>
          <w:bCs/>
          <w:sz w:val="36"/>
          <w:szCs w:val="36"/>
        </w:rPr>
        <w:t>MODULE CODE:</w:t>
      </w:r>
      <w:r w:rsidRPr="00797D41">
        <w:rPr>
          <w:rFonts w:ascii="Times New Roman" w:hAnsi="Times New Roman" w:cs="Times New Roman"/>
          <w:sz w:val="36"/>
          <w:szCs w:val="36"/>
        </w:rPr>
        <w:t xml:space="preserve"> BMHP5021</w:t>
      </w:r>
    </w:p>
    <w:p w14:paraId="069B4B77" w14:textId="1DB3934A" w:rsidR="0000350C" w:rsidRPr="00797D41" w:rsidRDefault="00797D41" w:rsidP="00797D41">
      <w:pPr>
        <w:spacing w:before="240" w:line="360" w:lineRule="auto"/>
        <w:jc w:val="center"/>
        <w:rPr>
          <w:rFonts w:ascii="Times New Roman" w:hAnsi="Times New Roman" w:cs="Times New Roman"/>
          <w:sz w:val="36"/>
          <w:szCs w:val="36"/>
        </w:rPr>
      </w:pPr>
      <w:r w:rsidRPr="00797D41">
        <w:rPr>
          <w:rFonts w:ascii="Times New Roman" w:hAnsi="Times New Roman" w:cs="Times New Roman"/>
          <w:b/>
          <w:bCs/>
          <w:sz w:val="36"/>
          <w:szCs w:val="36"/>
        </w:rPr>
        <w:t>MODULE:</w:t>
      </w:r>
      <w:r w:rsidRPr="00797D41">
        <w:rPr>
          <w:rFonts w:ascii="Times New Roman" w:hAnsi="Times New Roman" w:cs="Times New Roman"/>
          <w:sz w:val="36"/>
          <w:szCs w:val="36"/>
        </w:rPr>
        <w:t xml:space="preserve"> PROTECTING AND SUPPORTING FAMILIES IN HEALTH AND CARE</w:t>
      </w:r>
      <w:r w:rsidRPr="00797D41">
        <w:rPr>
          <w:rFonts w:ascii="Times New Roman" w:hAnsi="Times New Roman" w:cs="Times New Roman"/>
          <w:sz w:val="36"/>
          <w:szCs w:val="36"/>
        </w:rPr>
        <w:br w:type="page"/>
      </w:r>
    </w:p>
    <w:sdt>
      <w:sdtPr>
        <w:rPr>
          <w:rFonts w:ascii="Times New Roman" w:eastAsia="Arial" w:hAnsi="Times New Roman" w:cs="Times New Roman"/>
          <w:color w:val="auto"/>
          <w:sz w:val="24"/>
          <w:szCs w:val="24"/>
          <w:lang w:val="en-GB" w:eastAsia="en-IN"/>
        </w:rPr>
        <w:id w:val="68092299"/>
        <w:docPartObj>
          <w:docPartGallery w:val="Table of Contents"/>
          <w:docPartUnique/>
        </w:docPartObj>
      </w:sdtPr>
      <w:sdtEndPr>
        <w:rPr>
          <w:b/>
          <w:bCs/>
          <w:noProof/>
        </w:rPr>
      </w:sdtEndPr>
      <w:sdtContent>
        <w:p w14:paraId="19AE19E6" w14:textId="6B74FC81" w:rsidR="00225F66" w:rsidRPr="00225F66" w:rsidRDefault="00225F66" w:rsidP="00225F66">
          <w:pPr>
            <w:pStyle w:val="TOCHeading"/>
            <w:spacing w:line="360" w:lineRule="auto"/>
            <w:jc w:val="center"/>
            <w:rPr>
              <w:rFonts w:ascii="Times New Roman" w:hAnsi="Times New Roman" w:cs="Times New Roman"/>
              <w:b/>
              <w:bCs/>
              <w:color w:val="auto"/>
              <w:sz w:val="24"/>
              <w:szCs w:val="24"/>
            </w:rPr>
          </w:pPr>
          <w:r w:rsidRPr="00225F66">
            <w:rPr>
              <w:rFonts w:ascii="Times New Roman" w:hAnsi="Times New Roman" w:cs="Times New Roman"/>
              <w:b/>
              <w:bCs/>
              <w:color w:val="auto"/>
              <w:sz w:val="24"/>
              <w:szCs w:val="24"/>
            </w:rPr>
            <w:t>Table of Contents</w:t>
          </w:r>
        </w:p>
        <w:p w14:paraId="5F586B54" w14:textId="1444ED3E" w:rsidR="00225F66" w:rsidRPr="00225F66" w:rsidRDefault="00225F66" w:rsidP="00225F66">
          <w:pPr>
            <w:pStyle w:val="TOC1"/>
            <w:tabs>
              <w:tab w:val="right" w:leader="dot" w:pos="9350"/>
            </w:tabs>
            <w:spacing w:line="360" w:lineRule="auto"/>
            <w:jc w:val="both"/>
            <w:rPr>
              <w:rFonts w:ascii="Times New Roman" w:hAnsi="Times New Roman" w:cs="Times New Roman"/>
              <w:noProof/>
              <w:sz w:val="24"/>
              <w:szCs w:val="24"/>
            </w:rPr>
          </w:pPr>
          <w:r w:rsidRPr="00225F66">
            <w:rPr>
              <w:rFonts w:ascii="Times New Roman" w:hAnsi="Times New Roman" w:cs="Times New Roman"/>
              <w:sz w:val="24"/>
              <w:szCs w:val="24"/>
            </w:rPr>
            <w:fldChar w:fldCharType="begin"/>
          </w:r>
          <w:r w:rsidRPr="00225F66">
            <w:rPr>
              <w:rFonts w:ascii="Times New Roman" w:hAnsi="Times New Roman" w:cs="Times New Roman"/>
              <w:sz w:val="24"/>
              <w:szCs w:val="24"/>
            </w:rPr>
            <w:instrText xml:space="preserve"> TOC \o "1-3" \h \z \u </w:instrText>
          </w:r>
          <w:r w:rsidRPr="00225F66">
            <w:rPr>
              <w:rFonts w:ascii="Times New Roman" w:hAnsi="Times New Roman" w:cs="Times New Roman"/>
              <w:sz w:val="24"/>
              <w:szCs w:val="24"/>
            </w:rPr>
            <w:fldChar w:fldCharType="separate"/>
          </w:r>
          <w:hyperlink w:anchor="_Toc236412058" w:history="1">
            <w:r w:rsidRPr="00225F66">
              <w:rPr>
                <w:rStyle w:val="Hyperlink"/>
                <w:rFonts w:ascii="Times New Roman" w:hAnsi="Times New Roman" w:cs="Times New Roman"/>
                <w:noProof/>
                <w:sz w:val="24"/>
                <w:szCs w:val="24"/>
              </w:rPr>
              <w:t>1. Introduction</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_Toc236412058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3</w:t>
            </w:r>
            <w:r w:rsidRPr="00225F66">
              <w:rPr>
                <w:rFonts w:ascii="Times New Roman" w:hAnsi="Times New Roman" w:cs="Times New Roman"/>
                <w:noProof/>
                <w:webHidden/>
                <w:sz w:val="24"/>
                <w:szCs w:val="24"/>
              </w:rPr>
              <w:fldChar w:fldCharType="end"/>
            </w:r>
          </w:hyperlink>
        </w:p>
        <w:p w14:paraId="5E1A5DF7" w14:textId="59DFFE1D" w:rsidR="00225F66" w:rsidRPr="00225F66" w:rsidRDefault="00225F66" w:rsidP="00225F66">
          <w:pPr>
            <w:pStyle w:val="TOC1"/>
            <w:tabs>
              <w:tab w:val="right" w:leader="dot" w:pos="9350"/>
            </w:tabs>
            <w:spacing w:line="360" w:lineRule="auto"/>
            <w:jc w:val="both"/>
            <w:rPr>
              <w:rFonts w:ascii="Times New Roman" w:hAnsi="Times New Roman" w:cs="Times New Roman"/>
              <w:noProof/>
              <w:sz w:val="24"/>
              <w:szCs w:val="24"/>
            </w:rPr>
          </w:pPr>
          <w:hyperlink w:anchor="_Toc236412059" w:history="1">
            <w:r w:rsidRPr="00225F66">
              <w:rPr>
                <w:rStyle w:val="Hyperlink"/>
                <w:rFonts w:ascii="Times New Roman" w:hAnsi="Times New Roman" w:cs="Times New Roman"/>
                <w:noProof/>
                <w:sz w:val="24"/>
                <w:szCs w:val="24"/>
              </w:rPr>
              <w:t>2. The Early Help system</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_Toc236412059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3</w:t>
            </w:r>
            <w:r w:rsidRPr="00225F66">
              <w:rPr>
                <w:rFonts w:ascii="Times New Roman" w:hAnsi="Times New Roman" w:cs="Times New Roman"/>
                <w:noProof/>
                <w:webHidden/>
                <w:sz w:val="24"/>
                <w:szCs w:val="24"/>
              </w:rPr>
              <w:fldChar w:fldCharType="end"/>
            </w:r>
          </w:hyperlink>
        </w:p>
        <w:p w14:paraId="3493AE83" w14:textId="70FC7798" w:rsidR="00225F66" w:rsidRPr="00225F66" w:rsidRDefault="00225F66" w:rsidP="00225F66">
          <w:pPr>
            <w:pStyle w:val="TOC1"/>
            <w:tabs>
              <w:tab w:val="right" w:leader="dot" w:pos="9350"/>
            </w:tabs>
            <w:spacing w:line="360" w:lineRule="auto"/>
            <w:jc w:val="both"/>
            <w:rPr>
              <w:rFonts w:ascii="Times New Roman" w:hAnsi="Times New Roman" w:cs="Times New Roman"/>
              <w:noProof/>
              <w:sz w:val="24"/>
              <w:szCs w:val="24"/>
            </w:rPr>
          </w:pPr>
          <w:hyperlink w:anchor="_Toc236412060" w:history="1">
            <w:r w:rsidRPr="00225F66">
              <w:rPr>
                <w:rStyle w:val="Hyperlink"/>
                <w:rFonts w:ascii="Times New Roman" w:hAnsi="Times New Roman" w:cs="Times New Roman"/>
                <w:noProof/>
                <w:sz w:val="24"/>
                <w:szCs w:val="24"/>
              </w:rPr>
              <w:t>3. Multi-agency working</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_Toc236412060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4</w:t>
            </w:r>
            <w:r w:rsidRPr="00225F66">
              <w:rPr>
                <w:rFonts w:ascii="Times New Roman" w:hAnsi="Times New Roman" w:cs="Times New Roman"/>
                <w:noProof/>
                <w:webHidden/>
                <w:sz w:val="24"/>
                <w:szCs w:val="24"/>
              </w:rPr>
              <w:fldChar w:fldCharType="end"/>
            </w:r>
          </w:hyperlink>
        </w:p>
        <w:p w14:paraId="209AB301" w14:textId="275961F0" w:rsidR="00225F66" w:rsidRPr="00225F66" w:rsidRDefault="00225F66" w:rsidP="00225F66">
          <w:pPr>
            <w:pStyle w:val="TOC1"/>
            <w:tabs>
              <w:tab w:val="right" w:leader="dot" w:pos="9350"/>
            </w:tabs>
            <w:spacing w:line="360" w:lineRule="auto"/>
            <w:jc w:val="both"/>
            <w:rPr>
              <w:rFonts w:ascii="Times New Roman" w:hAnsi="Times New Roman" w:cs="Times New Roman"/>
              <w:noProof/>
              <w:sz w:val="24"/>
              <w:szCs w:val="24"/>
            </w:rPr>
          </w:pPr>
          <w:hyperlink w:anchor="_Toc236412061" w:history="1">
            <w:r w:rsidRPr="00225F66">
              <w:rPr>
                <w:rStyle w:val="Hyperlink"/>
                <w:rFonts w:ascii="Times New Roman" w:hAnsi="Times New Roman" w:cs="Times New Roman"/>
                <w:noProof/>
                <w:sz w:val="24"/>
                <w:szCs w:val="24"/>
              </w:rPr>
              <w:t>4. Evaluation of the local authority websites</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_Toc236412061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5</w:t>
            </w:r>
            <w:r w:rsidRPr="00225F66">
              <w:rPr>
                <w:rFonts w:ascii="Times New Roman" w:hAnsi="Times New Roman" w:cs="Times New Roman"/>
                <w:noProof/>
                <w:webHidden/>
                <w:sz w:val="24"/>
                <w:szCs w:val="24"/>
              </w:rPr>
              <w:fldChar w:fldCharType="end"/>
            </w:r>
          </w:hyperlink>
        </w:p>
        <w:p w14:paraId="69D1F7EA" w14:textId="7B1E59C6" w:rsidR="00225F66" w:rsidRPr="00225F66" w:rsidRDefault="00225F66" w:rsidP="00225F66">
          <w:pPr>
            <w:pStyle w:val="TOC2"/>
            <w:tabs>
              <w:tab w:val="right" w:leader="dot" w:pos="9350"/>
            </w:tabs>
            <w:spacing w:line="360" w:lineRule="auto"/>
            <w:jc w:val="both"/>
            <w:rPr>
              <w:rFonts w:ascii="Times New Roman" w:hAnsi="Times New Roman" w:cs="Times New Roman"/>
              <w:noProof/>
              <w:sz w:val="24"/>
              <w:szCs w:val="24"/>
            </w:rPr>
          </w:pPr>
          <w:hyperlink w:anchor="_Toc236412062" w:history="1">
            <w:r w:rsidRPr="00225F66">
              <w:rPr>
                <w:rStyle w:val="Hyperlink"/>
                <w:rFonts w:ascii="Times New Roman" w:hAnsi="Times New Roman" w:cs="Times New Roman"/>
                <w:noProof/>
                <w:sz w:val="24"/>
                <w:szCs w:val="24"/>
              </w:rPr>
              <w:t>4.1 Nottinghamshire County Council</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_Toc236412062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5</w:t>
            </w:r>
            <w:r w:rsidRPr="00225F66">
              <w:rPr>
                <w:rFonts w:ascii="Times New Roman" w:hAnsi="Times New Roman" w:cs="Times New Roman"/>
                <w:noProof/>
                <w:webHidden/>
                <w:sz w:val="24"/>
                <w:szCs w:val="24"/>
              </w:rPr>
              <w:fldChar w:fldCharType="end"/>
            </w:r>
          </w:hyperlink>
        </w:p>
        <w:p w14:paraId="3720C1F2" w14:textId="4661812B" w:rsidR="00225F66" w:rsidRPr="00225F66" w:rsidRDefault="00225F66" w:rsidP="00225F66">
          <w:pPr>
            <w:pStyle w:val="TOC2"/>
            <w:tabs>
              <w:tab w:val="right" w:leader="dot" w:pos="9350"/>
            </w:tabs>
            <w:spacing w:line="360" w:lineRule="auto"/>
            <w:jc w:val="both"/>
            <w:rPr>
              <w:rFonts w:ascii="Times New Roman" w:hAnsi="Times New Roman" w:cs="Times New Roman"/>
              <w:noProof/>
              <w:sz w:val="24"/>
              <w:szCs w:val="24"/>
            </w:rPr>
          </w:pPr>
          <w:hyperlink w:anchor="_Toc236412063" w:history="1">
            <w:r w:rsidRPr="00225F66">
              <w:rPr>
                <w:rStyle w:val="Hyperlink"/>
                <w:rFonts w:ascii="Times New Roman" w:hAnsi="Times New Roman" w:cs="Times New Roman"/>
                <w:noProof/>
                <w:sz w:val="24"/>
                <w:szCs w:val="24"/>
              </w:rPr>
              <w:t>4.2 Tower Hamlets Council</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_Toc236412063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5</w:t>
            </w:r>
            <w:r w:rsidRPr="00225F66">
              <w:rPr>
                <w:rFonts w:ascii="Times New Roman" w:hAnsi="Times New Roman" w:cs="Times New Roman"/>
                <w:noProof/>
                <w:webHidden/>
                <w:sz w:val="24"/>
                <w:szCs w:val="24"/>
              </w:rPr>
              <w:fldChar w:fldCharType="end"/>
            </w:r>
          </w:hyperlink>
        </w:p>
        <w:p w14:paraId="7EBD3701" w14:textId="4BBAAC4A" w:rsidR="00225F66" w:rsidRPr="00225F66" w:rsidRDefault="00225F66" w:rsidP="00225F66">
          <w:pPr>
            <w:pStyle w:val="TOC2"/>
            <w:tabs>
              <w:tab w:val="right" w:leader="dot" w:pos="9350"/>
            </w:tabs>
            <w:spacing w:line="360" w:lineRule="auto"/>
            <w:jc w:val="both"/>
            <w:rPr>
              <w:rFonts w:ascii="Times New Roman" w:hAnsi="Times New Roman" w:cs="Times New Roman"/>
              <w:noProof/>
              <w:sz w:val="24"/>
              <w:szCs w:val="24"/>
            </w:rPr>
          </w:pPr>
          <w:hyperlink w:anchor="_Toc236412064" w:history="1">
            <w:r w:rsidRPr="00225F66">
              <w:rPr>
                <w:rStyle w:val="Hyperlink"/>
                <w:rFonts w:ascii="Times New Roman" w:hAnsi="Times New Roman" w:cs="Times New Roman"/>
                <w:noProof/>
                <w:sz w:val="24"/>
                <w:szCs w:val="24"/>
              </w:rPr>
              <w:t>4.3 Leeds City Council</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_Toc236412064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6</w:t>
            </w:r>
            <w:r w:rsidRPr="00225F66">
              <w:rPr>
                <w:rFonts w:ascii="Times New Roman" w:hAnsi="Times New Roman" w:cs="Times New Roman"/>
                <w:noProof/>
                <w:webHidden/>
                <w:sz w:val="24"/>
                <w:szCs w:val="24"/>
              </w:rPr>
              <w:fldChar w:fldCharType="end"/>
            </w:r>
          </w:hyperlink>
        </w:p>
        <w:p w14:paraId="3BF41641" w14:textId="1BA02007" w:rsidR="00225F66" w:rsidRPr="00225F66" w:rsidRDefault="00225F66" w:rsidP="00225F66">
          <w:pPr>
            <w:pStyle w:val="TOC1"/>
            <w:tabs>
              <w:tab w:val="right" w:leader="dot" w:pos="9350"/>
            </w:tabs>
            <w:spacing w:line="360" w:lineRule="auto"/>
            <w:jc w:val="both"/>
            <w:rPr>
              <w:rFonts w:ascii="Times New Roman" w:hAnsi="Times New Roman" w:cs="Times New Roman"/>
              <w:noProof/>
              <w:sz w:val="24"/>
              <w:szCs w:val="24"/>
            </w:rPr>
          </w:pPr>
          <w:hyperlink w:anchor="_Toc236412065" w:history="1">
            <w:r w:rsidRPr="00225F66">
              <w:rPr>
                <w:rStyle w:val="Hyperlink"/>
                <w:rFonts w:ascii="Times New Roman" w:hAnsi="Times New Roman" w:cs="Times New Roman"/>
                <w:noProof/>
                <w:sz w:val="24"/>
                <w:szCs w:val="24"/>
              </w:rPr>
              <w:t>5. Comparative analysis</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_Toc236412065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7</w:t>
            </w:r>
            <w:r w:rsidRPr="00225F66">
              <w:rPr>
                <w:rFonts w:ascii="Times New Roman" w:hAnsi="Times New Roman" w:cs="Times New Roman"/>
                <w:noProof/>
                <w:webHidden/>
                <w:sz w:val="24"/>
                <w:szCs w:val="24"/>
              </w:rPr>
              <w:fldChar w:fldCharType="end"/>
            </w:r>
          </w:hyperlink>
        </w:p>
        <w:p w14:paraId="1E067CE1" w14:textId="43977DF6" w:rsidR="00225F66" w:rsidRPr="00225F66" w:rsidRDefault="00225F66" w:rsidP="00225F66">
          <w:pPr>
            <w:pStyle w:val="TOC1"/>
            <w:tabs>
              <w:tab w:val="right" w:leader="dot" w:pos="9350"/>
            </w:tabs>
            <w:spacing w:line="360" w:lineRule="auto"/>
            <w:jc w:val="both"/>
            <w:rPr>
              <w:rFonts w:ascii="Times New Roman" w:hAnsi="Times New Roman" w:cs="Times New Roman"/>
              <w:noProof/>
              <w:sz w:val="24"/>
              <w:szCs w:val="24"/>
            </w:rPr>
          </w:pPr>
          <w:hyperlink w:anchor="_Toc236412066" w:history="1">
            <w:r w:rsidRPr="00225F66">
              <w:rPr>
                <w:rStyle w:val="Hyperlink"/>
                <w:rFonts w:ascii="Times New Roman" w:hAnsi="Times New Roman" w:cs="Times New Roman"/>
                <w:noProof/>
                <w:sz w:val="24"/>
                <w:szCs w:val="24"/>
              </w:rPr>
              <w:t>6. Conclusion and recommendations</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_Toc236412066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7</w:t>
            </w:r>
            <w:r w:rsidRPr="00225F66">
              <w:rPr>
                <w:rFonts w:ascii="Times New Roman" w:hAnsi="Times New Roman" w:cs="Times New Roman"/>
                <w:noProof/>
                <w:webHidden/>
                <w:sz w:val="24"/>
                <w:szCs w:val="24"/>
              </w:rPr>
              <w:fldChar w:fldCharType="end"/>
            </w:r>
          </w:hyperlink>
        </w:p>
        <w:p w14:paraId="79F17F3A" w14:textId="08325252" w:rsidR="00225F66" w:rsidRPr="00225F66" w:rsidRDefault="00225F66" w:rsidP="00225F66">
          <w:pPr>
            <w:pStyle w:val="TOC1"/>
            <w:tabs>
              <w:tab w:val="right" w:leader="dot" w:pos="9350"/>
            </w:tabs>
            <w:spacing w:line="360" w:lineRule="auto"/>
            <w:jc w:val="both"/>
            <w:rPr>
              <w:rFonts w:ascii="Times New Roman" w:hAnsi="Times New Roman" w:cs="Times New Roman"/>
              <w:noProof/>
              <w:sz w:val="24"/>
              <w:szCs w:val="24"/>
            </w:rPr>
          </w:pPr>
          <w:hyperlink w:anchor="_Toc236412067" w:history="1">
            <w:r w:rsidRPr="00225F66">
              <w:rPr>
                <w:rStyle w:val="Hyperlink"/>
                <w:rFonts w:ascii="Times New Roman" w:hAnsi="Times New Roman" w:cs="Times New Roman"/>
                <w:noProof/>
                <w:sz w:val="24"/>
                <w:szCs w:val="24"/>
              </w:rPr>
              <w:t>References</w:t>
            </w:r>
            <w:r w:rsidRPr="00225F66">
              <w:rPr>
                <w:rFonts w:ascii="Times New Roman" w:hAnsi="Times New Roman" w:cs="Times New Roman"/>
                <w:noProof/>
                <w:webHidden/>
                <w:sz w:val="24"/>
                <w:szCs w:val="24"/>
              </w:rPr>
              <w:tab/>
            </w:r>
            <w:r w:rsidRPr="00225F66">
              <w:rPr>
                <w:rFonts w:ascii="Times New Roman" w:hAnsi="Times New Roman" w:cs="Times New Roman"/>
                <w:noProof/>
                <w:webHidden/>
                <w:sz w:val="24"/>
                <w:szCs w:val="24"/>
              </w:rPr>
              <w:fldChar w:fldCharType="begin"/>
            </w:r>
            <w:r w:rsidRPr="00225F66">
              <w:rPr>
                <w:rFonts w:ascii="Times New Roman" w:hAnsi="Times New Roman" w:cs="Times New Roman"/>
                <w:noProof/>
                <w:webHidden/>
                <w:sz w:val="24"/>
                <w:szCs w:val="24"/>
              </w:rPr>
              <w:instrText xml:space="preserve"> PAGEREF _Toc236412067 \h </w:instrText>
            </w:r>
            <w:r w:rsidRPr="00225F66">
              <w:rPr>
                <w:rFonts w:ascii="Times New Roman" w:hAnsi="Times New Roman" w:cs="Times New Roman"/>
                <w:noProof/>
                <w:webHidden/>
                <w:sz w:val="24"/>
                <w:szCs w:val="24"/>
              </w:rPr>
            </w:r>
            <w:r w:rsidRPr="00225F66">
              <w:rPr>
                <w:rFonts w:ascii="Times New Roman" w:hAnsi="Times New Roman" w:cs="Times New Roman"/>
                <w:noProof/>
                <w:webHidden/>
                <w:sz w:val="24"/>
                <w:szCs w:val="24"/>
              </w:rPr>
              <w:fldChar w:fldCharType="separate"/>
            </w:r>
            <w:r w:rsidRPr="00225F66">
              <w:rPr>
                <w:rFonts w:ascii="Times New Roman" w:hAnsi="Times New Roman" w:cs="Times New Roman"/>
                <w:noProof/>
                <w:webHidden/>
                <w:sz w:val="24"/>
                <w:szCs w:val="24"/>
              </w:rPr>
              <w:t>9</w:t>
            </w:r>
            <w:r w:rsidRPr="00225F66">
              <w:rPr>
                <w:rFonts w:ascii="Times New Roman" w:hAnsi="Times New Roman" w:cs="Times New Roman"/>
                <w:noProof/>
                <w:webHidden/>
                <w:sz w:val="24"/>
                <w:szCs w:val="24"/>
              </w:rPr>
              <w:fldChar w:fldCharType="end"/>
            </w:r>
          </w:hyperlink>
        </w:p>
        <w:p w14:paraId="47245217" w14:textId="0D8CBE80" w:rsidR="00225F66" w:rsidRDefault="00225F66" w:rsidP="00225F66">
          <w:pPr>
            <w:spacing w:line="360" w:lineRule="auto"/>
            <w:jc w:val="both"/>
          </w:pPr>
          <w:r w:rsidRPr="00225F66">
            <w:rPr>
              <w:rFonts w:ascii="Times New Roman" w:hAnsi="Times New Roman" w:cs="Times New Roman"/>
              <w:b/>
              <w:bCs/>
              <w:noProof/>
              <w:sz w:val="24"/>
              <w:szCs w:val="24"/>
            </w:rPr>
            <w:fldChar w:fldCharType="end"/>
          </w:r>
        </w:p>
      </w:sdtContent>
    </w:sdt>
    <w:p w14:paraId="00000002" w14:textId="5FCE28F0" w:rsidR="00F85483" w:rsidRDefault="009F0810">
      <w:pPr>
        <w:spacing w:before="200" w:after="80" w:line="360" w:lineRule="auto"/>
        <w:jc w:val="both"/>
        <w:rPr>
          <w:rFonts w:ascii="Times New Roman" w:eastAsia="Times New Roman" w:hAnsi="Times New Roman" w:cs="Times New Roman"/>
          <w:b/>
          <w:bCs/>
          <w:sz w:val="24"/>
          <w:szCs w:val="24"/>
        </w:rPr>
      </w:pPr>
      <w:r>
        <w:br w:type="page"/>
      </w:r>
    </w:p>
    <w:p w14:paraId="00000003" w14:textId="77777777" w:rsidR="00F85483" w:rsidRDefault="009F0810" w:rsidP="00C96086">
      <w:pPr>
        <w:pStyle w:val="Heading1"/>
      </w:pPr>
      <w:bookmarkStart w:id="0" w:name="_Toc236412058"/>
      <w:r>
        <w:lastRenderedPageBreak/>
        <w:t>1. Introduction</w:t>
      </w:r>
      <w:bookmarkEnd w:id="0"/>
      <w:r>
        <w:t xml:space="preserve"> </w:t>
      </w:r>
    </w:p>
    <w:p w14:paraId="00000004" w14:textId="77777777"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Early Help is a vital component of the UK child safeguarding policy as it helps in identifying the emerging needs and offering assistance prior to escalating to the level where statutory intervention is required. In the case of early help, it is crucial for local authorities to ensure that there are no difficulties in receiving relevant information about this program through adequate communication. The current report will analyse the methods of communicating Early Help services used by three English local a</w:t>
      </w:r>
      <w:r>
        <w:rPr>
          <w:rFonts w:ascii="Times New Roman" w:eastAsia="Times New Roman" w:hAnsi="Times New Roman" w:cs="Times New Roman"/>
          <w:sz w:val="24"/>
          <w:szCs w:val="24"/>
        </w:rPr>
        <w:t>uthorities, Nottinghamshire County Council, Tower Hamlets Council and Leeds City Council; these were selected because of its diverse contexts. At first, the report will give information about the Early Help program and its relevance to multi-agency collaboration in safeguarding and helping families. After that, it will evaluate the effectiveness of communication methods used on local authorities' websites based on the same set of criteria. Apart from this, the report will critically identify which local aut</w:t>
      </w:r>
      <w:r>
        <w:rPr>
          <w:rFonts w:ascii="Times New Roman" w:eastAsia="Times New Roman" w:hAnsi="Times New Roman" w:cs="Times New Roman"/>
          <w:sz w:val="24"/>
          <w:szCs w:val="24"/>
        </w:rPr>
        <w:t>hority communicates most effectively and will offer recommendations for improvement.</w:t>
      </w:r>
    </w:p>
    <w:p w14:paraId="00000005" w14:textId="77777777" w:rsidR="00F85483" w:rsidRDefault="009F0810" w:rsidP="00C96086">
      <w:pPr>
        <w:pStyle w:val="Heading1"/>
      </w:pPr>
      <w:bookmarkStart w:id="1" w:name="_Toc236412059"/>
      <w:r>
        <w:t>2. The Early Help system</w:t>
      </w:r>
      <w:bookmarkEnd w:id="1"/>
    </w:p>
    <w:p w14:paraId="00000006" w14:textId="4A9CC5A4"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Early Help is a preventative service where assistance is provided to children and families as soon as additional needs arise without reaching a level which would necessitate child protection action being taken. The Department of Education believes that Early Help is a crucial element of safeguarding since the early resolution of any problem would ensure that the health, development and education of children would be improved without creating lasting damage (Brophy, 2006). According to the Early Help System </w:t>
      </w:r>
      <w:r>
        <w:rPr>
          <w:rFonts w:ascii="Times New Roman" w:eastAsia="Times New Roman" w:hAnsi="Times New Roman" w:cs="Times New Roman"/>
          <w:sz w:val="24"/>
          <w:szCs w:val="24"/>
        </w:rPr>
        <w:t xml:space="preserve">Guide, Early Help support services can be accessed by all those families who are facing a variety of problems ranging from non-school attendance to parental mental ill-health, domestic violence, poverty, substance abuse and </w:t>
      </w:r>
      <w:r w:rsidR="00C96086">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problems. Early Help services are offered voluntarily and should be offered collaboratively with the family so as to increase resilience and promote good outcomes. Instead of considering only individual problems, Early Help takes a whole family approach towards supporting children.</w:t>
      </w:r>
    </w:p>
    <w:p w14:paraId="00000007" w14:textId="7F4CE017"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Early Help practice has its main legal justification set out in the </w:t>
      </w:r>
      <w:r>
        <w:rPr>
          <w:rFonts w:ascii="Times New Roman" w:eastAsia="Times New Roman" w:hAnsi="Times New Roman" w:cs="Times New Roman"/>
          <w:b/>
          <w:bCs/>
          <w:i/>
          <w:iCs/>
          <w:sz w:val="24"/>
          <w:szCs w:val="24"/>
        </w:rPr>
        <w:t>Children Act 1989</w:t>
      </w:r>
      <w:r>
        <w:rPr>
          <w:rFonts w:ascii="Times New Roman" w:eastAsia="Times New Roman" w:hAnsi="Times New Roman" w:cs="Times New Roman"/>
          <w:sz w:val="24"/>
          <w:szCs w:val="24"/>
        </w:rPr>
        <w:t xml:space="preserve"> through Section 17 and also reinforced by the </w:t>
      </w:r>
      <w:r>
        <w:rPr>
          <w:rFonts w:ascii="Times New Roman" w:eastAsia="Times New Roman" w:hAnsi="Times New Roman" w:cs="Times New Roman"/>
          <w:b/>
          <w:bCs/>
          <w:i/>
          <w:iCs/>
          <w:sz w:val="24"/>
          <w:szCs w:val="24"/>
        </w:rPr>
        <w:t>Children Act 2004</w:t>
      </w:r>
      <w:r>
        <w:rPr>
          <w:rFonts w:ascii="Times New Roman" w:eastAsia="Times New Roman" w:hAnsi="Times New Roman" w:cs="Times New Roman"/>
          <w:sz w:val="24"/>
          <w:szCs w:val="24"/>
        </w:rPr>
        <w:t xml:space="preserve"> in view of promoting inter-agency working following </w:t>
      </w:r>
      <w:r w:rsidR="00B53946">
        <w:rPr>
          <w:rFonts w:ascii="Times New Roman" w:eastAsia="Times New Roman" w:hAnsi="Times New Roman" w:cs="Times New Roman"/>
          <w:sz w:val="24"/>
          <w:szCs w:val="24"/>
        </w:rPr>
        <w:t>Every</w:t>
      </w:r>
      <w:r>
        <w:rPr>
          <w:rFonts w:ascii="Times New Roman" w:eastAsia="Times New Roman" w:hAnsi="Times New Roman" w:cs="Times New Roman"/>
          <w:sz w:val="24"/>
          <w:szCs w:val="24"/>
        </w:rPr>
        <w:t xml:space="preserve"> Child Matters reforms. Besides this, the revised Guidance: Working Together to Safeguard Children 2026 emphasizes the significance of delivering help prior to risks becoming </w:t>
      </w:r>
      <w:r>
        <w:rPr>
          <w:rFonts w:ascii="Times New Roman" w:eastAsia="Times New Roman" w:hAnsi="Times New Roman" w:cs="Times New Roman"/>
          <w:sz w:val="24"/>
          <w:szCs w:val="24"/>
        </w:rPr>
        <w:lastRenderedPageBreak/>
        <w:t>critical (Parton, 2006). The new Working Together guidance makes safeguarding practice compatible with the Families First Partnership Programme through the concept of Family Help combining Targeted Early Help and Section 17 Child in Need help. Therefore, Early Help cannot be considered a separate intervention practice; rather, it is an integrated form of support which will allow professionals to make an appropriate response to children's needs without escalating into statutory safeguarding services unnecess</w:t>
      </w:r>
      <w:r>
        <w:rPr>
          <w:rFonts w:ascii="Times New Roman" w:eastAsia="Times New Roman" w:hAnsi="Times New Roman" w:cs="Times New Roman"/>
          <w:sz w:val="24"/>
          <w:szCs w:val="24"/>
        </w:rPr>
        <w:t>arily.</w:t>
      </w:r>
    </w:p>
    <w:p w14:paraId="00000008" w14:textId="77777777" w:rsidR="00F85483" w:rsidRDefault="009F0810" w:rsidP="00E801B2">
      <w:pPr>
        <w:pStyle w:val="Heading1"/>
      </w:pPr>
      <w:bookmarkStart w:id="2" w:name="_Toc236412060"/>
      <w:r>
        <w:t>3. Multi-agency working</w:t>
      </w:r>
      <w:bookmarkEnd w:id="2"/>
    </w:p>
    <w:p w14:paraId="00000009" w14:textId="77777777"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Multi-agency working is a crucial ingredient for successful Early Help as the problems faced by children are not always within the purview of one single organisation. As it has been stated in Working Together to Safeguard Children 2026, the safeguarding of children is a shared responsibility, and the professionals belonging to the health sector, education sector, children's social care, police force and other community services have to collaborate in the best interest of the child and the family (MacAlister</w:t>
      </w:r>
      <w:r>
        <w:rPr>
          <w:rFonts w:ascii="Times New Roman" w:eastAsia="Times New Roman" w:hAnsi="Times New Roman" w:cs="Times New Roman"/>
          <w:sz w:val="24"/>
          <w:szCs w:val="24"/>
        </w:rPr>
        <w:t>, 2022). In the case of statutory partnership for safeguarding, the local authority, the Integrated Care Board (health), and the police hold equal responsibilities in coordinating safeguarding arrangements at the local level. The safeguarding partners need to ensure effective governance and joint decision making which helps in the provision of timely support to children.</w:t>
      </w:r>
    </w:p>
    <w:p w14:paraId="0000000A" w14:textId="29519ADF"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exchange of information plays an important role in partnership working. Professionals are required to share necessary information legally and quickly, knowing that any legislation like the UK GDPR and the </w:t>
      </w:r>
      <w:r>
        <w:rPr>
          <w:rFonts w:ascii="Times New Roman" w:eastAsia="Times New Roman" w:hAnsi="Times New Roman" w:cs="Times New Roman"/>
          <w:b/>
          <w:bCs/>
          <w:i/>
          <w:iCs/>
          <w:sz w:val="24"/>
          <w:szCs w:val="24"/>
        </w:rPr>
        <w:t>Data Protection Act 2018</w:t>
      </w:r>
      <w:r>
        <w:rPr>
          <w:rFonts w:ascii="Times New Roman" w:eastAsia="Times New Roman" w:hAnsi="Times New Roman" w:cs="Times New Roman"/>
          <w:sz w:val="24"/>
          <w:szCs w:val="24"/>
        </w:rPr>
        <w:t xml:space="preserve"> cannot be used as an obstacle for protecting children. Communication allows professionals to have a complete understanding of the situation in a family, avoid duplication of work and coordinate the intervention before the risk increases (Walsh, 2003). The statutory guidance for 2026 also introduces the concept of Family Help, which motivates professionals to provide coordinated support to children in order to solve issues of discrimination, inequality and contextual safeguarding. It is also clear that mult</w:t>
      </w:r>
      <w:r>
        <w:rPr>
          <w:rFonts w:ascii="Times New Roman" w:eastAsia="Times New Roman" w:hAnsi="Times New Roman" w:cs="Times New Roman"/>
          <w:sz w:val="24"/>
          <w:szCs w:val="24"/>
        </w:rPr>
        <w:t xml:space="preserve">i-agency collaboration allows improving the </w:t>
      </w:r>
      <w:r w:rsidR="001C2E12">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process, strengthening accountability and making sure that families get the necessary support (Carter, 2007). Once Early Help is going to work, local authorities must ensure that there are proper partnerships visible on the website so that families realize that they receive coordinated services.</w:t>
      </w:r>
    </w:p>
    <w:p w14:paraId="0000000B" w14:textId="000858FD" w:rsidR="00F85483" w:rsidRDefault="009F0810" w:rsidP="00EB43C0">
      <w:pPr>
        <w:pStyle w:val="Heading1"/>
      </w:pPr>
      <w:bookmarkStart w:id="3" w:name="_Toc236412061"/>
      <w:r>
        <w:lastRenderedPageBreak/>
        <w:t xml:space="preserve">4. Evaluation of the </w:t>
      </w:r>
      <w:r w:rsidR="00EE17F7">
        <w:t>l</w:t>
      </w:r>
      <w:r>
        <w:t xml:space="preserve">ocal </w:t>
      </w:r>
      <w:r w:rsidR="00EE17F7">
        <w:t>a</w:t>
      </w:r>
      <w:r>
        <w:t xml:space="preserve">uthority </w:t>
      </w:r>
      <w:r w:rsidR="00EE17F7">
        <w:t>w</w:t>
      </w:r>
      <w:r>
        <w:t>ebsites</w:t>
      </w:r>
      <w:bookmarkEnd w:id="3"/>
      <w:r>
        <w:t xml:space="preserve"> </w:t>
      </w:r>
    </w:p>
    <w:p w14:paraId="0000000C" w14:textId="77777777" w:rsidR="00F85483" w:rsidRDefault="009F0810" w:rsidP="00EB43C0">
      <w:pPr>
        <w:pStyle w:val="Heading2"/>
      </w:pPr>
      <w:bookmarkStart w:id="4" w:name="_Toc236412062"/>
      <w:r>
        <w:t>4.1 Nottinghamshire County Council</w:t>
      </w:r>
      <w:bookmarkEnd w:id="4"/>
    </w:p>
    <w:p w14:paraId="0000000D" w14:textId="77777777"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Early Help guidance is also accessible via the website of Nottinghamshire County Council in addition to the Notts Help Yourself guide. In contrast, even though this website is accessible through the council search engine, users are often directed to outside websites, which means that more time needs to be spent in order to reach the actual support. Such fragmented organization of the website could negatively affect parents who need urgent help, especially when they are under pressure. Besides this, the webs</w:t>
      </w:r>
      <w:r>
        <w:rPr>
          <w:rFonts w:ascii="Times New Roman" w:eastAsia="Times New Roman" w:hAnsi="Times New Roman" w:cs="Times New Roman"/>
          <w:sz w:val="24"/>
          <w:szCs w:val="24"/>
        </w:rPr>
        <w:t xml:space="preserve">ite contains detailed information about Early Help services, Family Hub Networks and the Early Help Unit, and thus represents an elaborate system of support (Nottinghamshire, 2026). The website includes professional terms like "Pathway to Provision" and mentions assessments that might not be clear to ordinary people. </w:t>
      </w:r>
    </w:p>
    <w:p w14:paraId="0000000E" w14:textId="77777777"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this, there are additional sources explaining all these terms; parents with no prior knowledge about children services might find it difficult to understand the language used on the website (Walsh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2012). Referral information provided in different web pages is also inconsistent since they contain a statement that referral forms are meant for professionals, meaning that parents will have to use other means to get support. The accessibility aspect is satisfactory since the contact information and family services can be accessed via the online directory. Besides, since the information can be found on more than one website, it will take extra time for the families to find the appropriate service. The eff</w:t>
      </w:r>
      <w:r>
        <w:rPr>
          <w:rFonts w:ascii="Times New Roman" w:eastAsia="Times New Roman" w:hAnsi="Times New Roman" w:cs="Times New Roman"/>
          <w:sz w:val="24"/>
          <w:szCs w:val="24"/>
        </w:rPr>
        <w:t>ective factor is that the partnership working from the council is demonstrated well by means of Family Hubs and Early Help Services, but the Families First Partnership reform and the Family Help Model 2026 are not referred based on scenarios.</w:t>
      </w:r>
    </w:p>
    <w:p w14:paraId="0000000F" w14:textId="77777777" w:rsidR="00F85483" w:rsidRDefault="009F0810" w:rsidP="00EB43C0">
      <w:pPr>
        <w:pStyle w:val="Heading2"/>
      </w:pPr>
      <w:bookmarkStart w:id="5" w:name="_Toc236412063"/>
      <w:r>
        <w:t>4.2 Tower Hamlets Council</w:t>
      </w:r>
      <w:bookmarkEnd w:id="5"/>
    </w:p>
    <w:p w14:paraId="00000010" w14:textId="41B7EF51"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Early Help information from Tower Hamlets Council is offered on its website page which is easy to find by either searching on the homepage or typing in the web address. Such an approach facilitates families' access to the information and is considered to be a best practice as the safeguarding information is made available to the public. The council explains the meaning of Early Help and also offers information on Children's and Family Centres, Best Start Family Hubs and the Early Help enquiry procedure </w:t>
      </w:r>
      <w:r>
        <w:rPr>
          <w:rFonts w:ascii="Times New Roman" w:eastAsia="Times New Roman" w:hAnsi="Times New Roman" w:cs="Times New Roman"/>
          <w:sz w:val="24"/>
          <w:szCs w:val="24"/>
        </w:rPr>
        <w:t xml:space="preserve">(Towerhamlets, 2026). In comparison to the other two </w:t>
      </w:r>
      <w:r>
        <w:rPr>
          <w:rFonts w:ascii="Times New Roman" w:eastAsia="Times New Roman" w:hAnsi="Times New Roman" w:cs="Times New Roman"/>
          <w:sz w:val="24"/>
          <w:szCs w:val="24"/>
        </w:rPr>
        <w:lastRenderedPageBreak/>
        <w:t>authorities, Tower Hamlets makes use of more easily comprehensible language; it does not use technical safeguarding terms; instead, it gives practical advice on how the families can find the necessary services on their own. The information about how the families can contact the council, fill in the enquiry form, and get the needed support is clear</w:t>
      </w:r>
      <w:r w:rsidR="0015360E">
        <w:rPr>
          <w:rFonts w:ascii="Times New Roman" w:eastAsia="Times New Roman" w:hAnsi="Times New Roman" w:cs="Times New Roman"/>
          <w:sz w:val="24"/>
          <w:szCs w:val="24"/>
        </w:rPr>
        <w:t>; and a</w:t>
      </w:r>
      <w:r>
        <w:rPr>
          <w:rFonts w:ascii="Times New Roman" w:eastAsia="Times New Roman" w:hAnsi="Times New Roman" w:cs="Times New Roman"/>
          <w:sz w:val="24"/>
          <w:szCs w:val="24"/>
        </w:rPr>
        <w:t>lso, there is information in various languages provided on the website.</w:t>
      </w:r>
    </w:p>
    <w:p w14:paraId="00000011" w14:textId="77777777"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this, while there are certain services provided using the dedicated Family Hub and Local Offer web pages, the connections between these services tend to be good enough. The web site also promotes collaboration through the explanation of the ways the education, health and social care establishments work together in order to provide assistance to children and their parents. Thus, the published strategies prove that the council pays much attention to the prevention of problems and collaboration (Tow</w:t>
      </w:r>
      <w:r>
        <w:rPr>
          <w:rFonts w:ascii="Times New Roman" w:eastAsia="Times New Roman" w:hAnsi="Times New Roman" w:cs="Times New Roman"/>
          <w:sz w:val="24"/>
          <w:szCs w:val="24"/>
        </w:rPr>
        <w:t>erhamlets, 2026). In addition, although additional information concerning the Family Help approach could have been included, the web site demonstrates a number of key ideas presented in Working Together to Safeguard Children 2026.</w:t>
      </w:r>
    </w:p>
    <w:p w14:paraId="00000012" w14:textId="77777777" w:rsidR="00F85483" w:rsidRDefault="009F0810" w:rsidP="00EB43C0">
      <w:pPr>
        <w:pStyle w:val="Heading2"/>
      </w:pPr>
      <w:bookmarkStart w:id="6" w:name="_Toc236412064"/>
      <w:r>
        <w:t>4.3 Leeds City Council</w:t>
      </w:r>
      <w:bookmarkEnd w:id="6"/>
    </w:p>
    <w:p w14:paraId="00000013" w14:textId="77777777"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Extensive information on Early Help, Family Hubs and safeguarding services can be obtained from Leeds City Council; but the information is scattered over a number of websites like the council website, the Leeds Local Offer and the Family Information Service. Besides, this is an example of diverse services, it also means that parents will have to go through many web pages to find any useful information, thus decreasing the ease of use for those not familiar with the system of local authorities. The website o</w:t>
      </w:r>
      <w:r>
        <w:rPr>
          <w:rFonts w:ascii="Times New Roman" w:eastAsia="Times New Roman" w:hAnsi="Times New Roman" w:cs="Times New Roman"/>
          <w:sz w:val="24"/>
          <w:szCs w:val="24"/>
        </w:rPr>
        <w:t>ffers comprehensive information on cluster partnerships, Family Hubs and safeguarding partnerships; all this points to well-established infrastructure of the organisation (Leeds, 2026). In addition, still, many of the terms used are professional rather than understandable to parents. "Cluster partnerships" and "safeguarding frameworks" are just a few examples.</w:t>
      </w:r>
    </w:p>
    <w:p w14:paraId="00000014" w14:textId="77777777"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illustration of the multi-agency collaboration in Leeds is presented by the inclusion of the role of schools, health professionals and social care and voluntary agencies in its Early Help framework. Hence, this shows the statutory requirement for collaborative efforts in the provision of services. The fact that there are some web pages that show that the content of the site is still under review or was recently updated shows that this information is being reviewed to make it conform with the new developm</w:t>
      </w:r>
      <w:r>
        <w:rPr>
          <w:rFonts w:ascii="Times New Roman" w:eastAsia="Times New Roman" w:hAnsi="Times New Roman" w:cs="Times New Roman"/>
          <w:sz w:val="24"/>
          <w:szCs w:val="24"/>
        </w:rPr>
        <w:t xml:space="preserve">ents in relation to safeguarding requirements (GOV.UK, 2026). </w:t>
      </w:r>
      <w:r>
        <w:rPr>
          <w:rFonts w:ascii="Times New Roman" w:eastAsia="Times New Roman" w:hAnsi="Times New Roman" w:cs="Times New Roman"/>
          <w:sz w:val="24"/>
          <w:szCs w:val="24"/>
        </w:rPr>
        <w:lastRenderedPageBreak/>
        <w:t>As such, while Leeds provides extensive services, the user experience is more complicated than that of Tower Hamlets since families have to go through a more involved online structure before getting help. Henceforth, in general, all the three authorities provide Early Help information in line with their statutory safeguarding roles.</w:t>
      </w:r>
    </w:p>
    <w:p w14:paraId="00000015" w14:textId="77777777" w:rsidR="00F85483" w:rsidRDefault="009F0810" w:rsidP="007F113F">
      <w:pPr>
        <w:pStyle w:val="Heading1"/>
      </w:pPr>
      <w:bookmarkStart w:id="7" w:name="_Toc236412065"/>
      <w:r>
        <w:t>5. Comparative analysis</w:t>
      </w:r>
      <w:bookmarkEnd w:id="7"/>
    </w:p>
    <w:p w14:paraId="00000016" w14:textId="3C8DAC23"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evaluation shows that all three local authorities provide the same type of information which corresponds to the statutory requirements to offer timely support to children and their families. Besides, still the differences lie in terms of the accessibility, ease of navigation, clarity of the language used and presentation of Early Help services (Nspcc, 2026). Among the three councils, Tower Hamlets Council has the most user-friendly website. There are dedicated Early Help pages which are easily accessibl</w:t>
      </w:r>
      <w:r>
        <w:rPr>
          <w:rFonts w:ascii="Times New Roman" w:eastAsia="Times New Roman" w:hAnsi="Times New Roman" w:cs="Times New Roman"/>
          <w:sz w:val="24"/>
          <w:szCs w:val="24"/>
        </w:rPr>
        <w:t xml:space="preserve">e, written in plain English with referrals, contact points and Family Hub information available. In comparison, Nottinghamshire County Council provides complete information yet there are different websites that need to be consulted, the Notts Help Yourself directory being one of them (Nottinghamshire, 2026). </w:t>
      </w:r>
      <w:r w:rsidR="0015360E">
        <w:rPr>
          <w:rFonts w:ascii="Times New Roman" w:eastAsia="Times New Roman" w:hAnsi="Times New Roman" w:cs="Times New Roman"/>
          <w:sz w:val="24"/>
          <w:szCs w:val="24"/>
        </w:rPr>
        <w:t>Besides, e</w:t>
      </w:r>
      <w:r>
        <w:rPr>
          <w:rFonts w:ascii="Times New Roman" w:eastAsia="Times New Roman" w:hAnsi="Times New Roman" w:cs="Times New Roman"/>
          <w:sz w:val="24"/>
          <w:szCs w:val="24"/>
        </w:rPr>
        <w:t xml:space="preserve">ven though there are many resources available in one place, the navigation might be difficult and some professional language might be a hindrance to the parents not familiar with the processes of safeguarding. </w:t>
      </w:r>
      <w:r w:rsidR="00CD6BB6">
        <w:rPr>
          <w:rFonts w:ascii="Times New Roman" w:eastAsia="Times New Roman" w:hAnsi="Times New Roman" w:cs="Times New Roman"/>
          <w:sz w:val="24"/>
          <w:szCs w:val="24"/>
        </w:rPr>
        <w:t xml:space="preserve">In addition, </w:t>
      </w:r>
      <w:r>
        <w:rPr>
          <w:rFonts w:ascii="Times New Roman" w:eastAsia="Times New Roman" w:hAnsi="Times New Roman" w:cs="Times New Roman"/>
          <w:sz w:val="24"/>
          <w:szCs w:val="24"/>
        </w:rPr>
        <w:t>there is Leeds City Council which is characterized by excellent partnership working and numerous Early Help services, yet the information is scattered around the website. Thus, while all four authorities demonstrate the principles in Working Together to Safeguard Children 2026, Tower Hamlets is the best example of combining extensive information with ease of access for the public, which is vital for the effective implementation of Early Help.</w:t>
      </w:r>
    </w:p>
    <w:p w14:paraId="00000017" w14:textId="77777777" w:rsidR="00F85483" w:rsidRDefault="009F0810" w:rsidP="00326C01">
      <w:pPr>
        <w:pStyle w:val="Heading1"/>
      </w:pPr>
      <w:bookmarkStart w:id="8" w:name="_Toc236412066"/>
      <w:r>
        <w:t>6. Conclusion and recommendations</w:t>
      </w:r>
      <w:bookmarkEnd w:id="8"/>
      <w:r>
        <w:t xml:space="preserve"> </w:t>
      </w:r>
    </w:p>
    <w:p w14:paraId="00000018" w14:textId="13932F81"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Early Help is one of the essential elements of safeguarding because it gives children and families an opportunity to get the proper assistance without having problems become statutory interventions. Multi-agency working improves this process inasmuch as it guarantees that educational institutions, health organi</w:t>
      </w:r>
      <w:r w:rsidR="00B15928">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ations, social service organizations and the community will work together to provide family-</w:t>
      </w:r>
      <w:r w:rsidR="00B30AE6">
        <w:rPr>
          <w:rFonts w:ascii="Times New Roman" w:eastAsia="Times New Roman" w:hAnsi="Times New Roman" w:cs="Times New Roman"/>
          <w:sz w:val="24"/>
          <w:szCs w:val="24"/>
        </w:rPr>
        <w:t>centred</w:t>
      </w:r>
      <w:r>
        <w:rPr>
          <w:rFonts w:ascii="Times New Roman" w:eastAsia="Times New Roman" w:hAnsi="Times New Roman" w:cs="Times New Roman"/>
          <w:sz w:val="24"/>
          <w:szCs w:val="24"/>
        </w:rPr>
        <w:t xml:space="preserve"> assistance. The comparison of the three websites of the local authorities proves that all of them provide useful information regarding Early Help, but the </w:t>
      </w:r>
      <w:r>
        <w:rPr>
          <w:rFonts w:ascii="Times New Roman" w:eastAsia="Times New Roman" w:hAnsi="Times New Roman" w:cs="Times New Roman"/>
          <w:sz w:val="24"/>
          <w:szCs w:val="24"/>
        </w:rPr>
        <w:lastRenderedPageBreak/>
        <w:t>level of accessibility of the information differs significantly. The best website in terms of its navigation, understandable language and clear referral path is the website of Tower Hamlets. Nottinghamshire and Leeds provide great assistance but need improvement in the field of navigation and the use of professional language. Thus, the success of the Early Help website depends not only on the amount of information but also on the way it is accessible for families.</w:t>
      </w:r>
    </w:p>
    <w:p w14:paraId="00000019" w14:textId="77777777" w:rsidR="00F85483" w:rsidRDefault="009F0810">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this assessment, three recommendations can be made; first, it is suggested that local authorities make their websites easier to navigate through developing one Early Help website which will help in avoiding any superfluous redirections from one webpage to another. Then, it is recommended to replace any technical language with plain English explanation and visual guidance for better understanding on the part of parents and carers (Milte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Apart from this, last it is advised that councils keep their webpages up-to-date and provide the correct information regarding Families First Partnership Programme and Working Together to Safeguard Children 2026.</w:t>
      </w:r>
      <w:r>
        <w:br w:type="page"/>
      </w:r>
    </w:p>
    <w:p w14:paraId="0000001A" w14:textId="77777777" w:rsidR="00F85483" w:rsidRDefault="009F0810" w:rsidP="00C40262">
      <w:pPr>
        <w:pStyle w:val="Heading1"/>
      </w:pPr>
      <w:bookmarkStart w:id="9" w:name="_Toc236412067"/>
      <w:r>
        <w:lastRenderedPageBreak/>
        <w:t>References</w:t>
      </w:r>
      <w:bookmarkEnd w:id="9"/>
    </w:p>
    <w:p w14:paraId="0000001B"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Bennett, H. and Meers, J., (2025). Devolving digitalisation: local government, local welfare and the digital welfare state. </w:t>
      </w:r>
      <w:r>
        <w:rPr>
          <w:rFonts w:ascii="Times New Roman" w:eastAsia="Times New Roman" w:hAnsi="Times New Roman" w:cs="Times New Roman"/>
          <w:i/>
          <w:iCs/>
          <w:sz w:val="24"/>
          <w:szCs w:val="24"/>
        </w:rPr>
        <w:t>Journal of Social Welfare and Family Law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47</w:t>
      </w:r>
      <w:r>
        <w:rPr>
          <w:rFonts w:ascii="Times New Roman" w:eastAsia="Times New Roman" w:hAnsi="Times New Roman" w:cs="Times New Roman"/>
          <w:sz w:val="24"/>
          <w:szCs w:val="24"/>
        </w:rPr>
        <w:t>(2-3), pp.356-373.</w:t>
      </w:r>
    </w:p>
    <w:p w14:paraId="0000001C"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Brophy, J., (2006). </w:t>
      </w:r>
      <w:r>
        <w:rPr>
          <w:rFonts w:ascii="Times New Roman" w:eastAsia="Times New Roman" w:hAnsi="Times New Roman" w:cs="Times New Roman"/>
          <w:i/>
          <w:iCs/>
          <w:sz w:val="24"/>
          <w:szCs w:val="24"/>
        </w:rPr>
        <w:t>Child care proceedings under the Children Act 1989</w:t>
      </w:r>
      <w:r>
        <w:rPr>
          <w:rFonts w:ascii="Times New Roman" w:eastAsia="Times New Roman" w:hAnsi="Times New Roman" w:cs="Times New Roman"/>
          <w:sz w:val="24"/>
          <w:szCs w:val="24"/>
        </w:rPr>
        <w:t>. London: Department for Constitutional Affairs.</w:t>
      </w:r>
    </w:p>
    <w:p w14:paraId="0000001D"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Carter, B., Cummings, J. and Cooper, L., (2007). An exploration of best practice in multi‐agency working and the experiences of families of children with complex health needs. What works well and what needs to be done to improve practice for the future?. </w:t>
      </w:r>
      <w:r>
        <w:rPr>
          <w:rFonts w:ascii="Times New Roman" w:eastAsia="Times New Roman" w:hAnsi="Times New Roman" w:cs="Times New Roman"/>
          <w:i/>
          <w:iCs/>
          <w:sz w:val="24"/>
          <w:szCs w:val="24"/>
        </w:rPr>
        <w:t>Journal of clinical nursing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rPr>
        <w:t>(3), pp.527-539.</w:t>
      </w:r>
    </w:p>
    <w:p w14:paraId="0000001E"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(2026). </w:t>
      </w:r>
      <w:r>
        <w:rPr>
          <w:rFonts w:ascii="Times New Roman" w:eastAsia="Times New Roman" w:hAnsi="Times New Roman" w:cs="Times New Roman"/>
          <w:i/>
          <w:iCs/>
          <w:sz w:val="24"/>
          <w:szCs w:val="24"/>
        </w:rPr>
        <w:t xml:space="preserve">The best place to find government services and information. </w:t>
      </w:r>
      <w:r>
        <w:rPr>
          <w:rFonts w:ascii="Times New Roman" w:eastAsia="Times New Roman" w:hAnsi="Times New Roman" w:cs="Times New Roman"/>
          <w:sz w:val="24"/>
          <w:szCs w:val="24"/>
        </w:rPr>
        <w:t>Available at: https://www.gov.uk/ [Accessed on: 31 July 2026]</w:t>
      </w:r>
    </w:p>
    <w:p w14:paraId="0000001F"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Leeds, (2026). </w:t>
      </w:r>
      <w:r>
        <w:rPr>
          <w:rFonts w:ascii="Times New Roman" w:eastAsia="Times New Roman" w:hAnsi="Times New Roman" w:cs="Times New Roman"/>
          <w:i/>
          <w:iCs/>
          <w:sz w:val="24"/>
          <w:szCs w:val="24"/>
        </w:rPr>
        <w:t>Leeds City Council</w:t>
      </w:r>
      <w:r>
        <w:rPr>
          <w:rFonts w:ascii="Times New Roman" w:eastAsia="Times New Roman" w:hAnsi="Times New Roman" w:cs="Times New Roman"/>
          <w:sz w:val="24"/>
          <w:szCs w:val="24"/>
        </w:rPr>
        <w:t>. Available at: https://www.leeds.gov.uk/ [Accessed on: 31 July 2026]</w:t>
      </w:r>
    </w:p>
    <w:p w14:paraId="00000020"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MacAlister, J., (2022). The independent review of children’s social care. </w:t>
      </w:r>
      <w:r>
        <w:rPr>
          <w:rFonts w:ascii="Times New Roman" w:eastAsia="Times New Roman" w:hAnsi="Times New Roman" w:cs="Times New Roman"/>
          <w:i/>
          <w:iCs/>
          <w:sz w:val="24"/>
          <w:szCs w:val="24"/>
        </w:rPr>
        <w:t>UK: UK Government</w:t>
      </w:r>
      <w:r>
        <w:rPr>
          <w:rFonts w:ascii="Times New Roman" w:eastAsia="Times New Roman" w:hAnsi="Times New Roman" w:cs="Times New Roman"/>
          <w:sz w:val="24"/>
          <w:szCs w:val="24"/>
        </w:rPr>
        <w:t>, pp.29-40.</w:t>
      </w:r>
    </w:p>
    <w:p w14:paraId="00000021"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Milte, R., Jemere, D., Lay, K., Hutchinson, C., Thomas, J., Murray, J. and Ratcliffe, J., (2023). A scoping review of the use of visual tools and adapted easy-read approaches in Quality-of-Life instruments for adults. </w:t>
      </w:r>
      <w:r>
        <w:rPr>
          <w:rFonts w:ascii="Times New Roman" w:eastAsia="Times New Roman" w:hAnsi="Times New Roman" w:cs="Times New Roman"/>
          <w:i/>
          <w:iCs/>
          <w:sz w:val="24"/>
          <w:szCs w:val="24"/>
        </w:rPr>
        <w:t>Quality of Life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32</w:t>
      </w:r>
      <w:r>
        <w:rPr>
          <w:rFonts w:ascii="Times New Roman" w:eastAsia="Times New Roman" w:hAnsi="Times New Roman" w:cs="Times New Roman"/>
          <w:sz w:val="24"/>
          <w:szCs w:val="24"/>
        </w:rPr>
        <w:t>(12), pp.3291-3308.</w:t>
      </w:r>
    </w:p>
    <w:p w14:paraId="00000022"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Nottinghamshire, (2026). </w:t>
      </w:r>
      <w:r>
        <w:rPr>
          <w:rFonts w:ascii="Times New Roman" w:eastAsia="Times New Roman" w:hAnsi="Times New Roman" w:cs="Times New Roman"/>
          <w:i/>
          <w:iCs/>
          <w:sz w:val="24"/>
          <w:szCs w:val="24"/>
        </w:rPr>
        <w:t>Nottinghamshire.gov.uk.</w:t>
      </w:r>
      <w:r>
        <w:rPr>
          <w:rFonts w:ascii="Times New Roman" w:eastAsia="Times New Roman" w:hAnsi="Times New Roman" w:cs="Times New Roman"/>
          <w:sz w:val="24"/>
          <w:szCs w:val="24"/>
        </w:rPr>
        <w:t xml:space="preserve"> Available at: https://www.nottinghamshire.gov.uk/ [Accessed on: 31 July 2026]</w:t>
      </w:r>
    </w:p>
    <w:p w14:paraId="00000023"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Nspcc, (2026). </w:t>
      </w:r>
      <w:r>
        <w:rPr>
          <w:rFonts w:ascii="Times New Roman" w:eastAsia="Times New Roman" w:hAnsi="Times New Roman" w:cs="Times New Roman"/>
          <w:i/>
          <w:iCs/>
          <w:sz w:val="24"/>
          <w:szCs w:val="24"/>
        </w:rPr>
        <w:t>Training and resources in safeguarding and child protection.</w:t>
      </w:r>
      <w:r>
        <w:rPr>
          <w:rFonts w:ascii="Times New Roman" w:eastAsia="Times New Roman" w:hAnsi="Times New Roman" w:cs="Times New Roman"/>
          <w:sz w:val="24"/>
          <w:szCs w:val="24"/>
        </w:rPr>
        <w:t xml:space="preserve"> Available at: https://learning.nspcc.org.uk/ [Accessed on: 31 July 2026]</w:t>
      </w:r>
    </w:p>
    <w:p w14:paraId="00000024"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Parton, N., (2006). ‘Every Child Matters’: The shift to prevention whilst strengthening protection in children's services in England. </w:t>
      </w:r>
      <w:r>
        <w:rPr>
          <w:rFonts w:ascii="Times New Roman" w:eastAsia="Times New Roman" w:hAnsi="Times New Roman" w:cs="Times New Roman"/>
          <w:i/>
          <w:iCs/>
          <w:sz w:val="24"/>
          <w:szCs w:val="24"/>
        </w:rPr>
        <w:t>Children and youth services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28</w:t>
      </w:r>
      <w:r>
        <w:rPr>
          <w:rFonts w:ascii="Times New Roman" w:eastAsia="Times New Roman" w:hAnsi="Times New Roman" w:cs="Times New Roman"/>
          <w:sz w:val="24"/>
          <w:szCs w:val="24"/>
        </w:rPr>
        <w:t>(8), pp.976-992.</w:t>
      </w:r>
    </w:p>
    <w:p w14:paraId="00000025"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Towerhamlets, (2026). </w:t>
      </w:r>
      <w:r>
        <w:rPr>
          <w:rFonts w:ascii="Times New Roman" w:eastAsia="Times New Roman" w:hAnsi="Times New Roman" w:cs="Times New Roman"/>
          <w:i/>
          <w:iCs/>
          <w:sz w:val="24"/>
          <w:szCs w:val="24"/>
        </w:rPr>
        <w:t>About us.</w:t>
      </w:r>
      <w:r>
        <w:rPr>
          <w:rFonts w:ascii="Times New Roman" w:eastAsia="Times New Roman" w:hAnsi="Times New Roman" w:cs="Times New Roman"/>
          <w:sz w:val="24"/>
          <w:szCs w:val="24"/>
        </w:rPr>
        <w:t xml:space="preserve"> Available at: https://www.towerhamlets.gov.uk/Home.aspx [Accessed on: 31 July 2026]</w:t>
      </w:r>
    </w:p>
    <w:p w14:paraId="00000026"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Walsh, A.M., Hyde, M.K., Hamilton, K. and White, K.M., (2012). Predictive modelling: parents’ decision making to use online child health information to increase their understanding and/or diagnose or treat their child’s health. </w:t>
      </w:r>
      <w:r>
        <w:rPr>
          <w:rFonts w:ascii="Times New Roman" w:eastAsia="Times New Roman" w:hAnsi="Times New Roman" w:cs="Times New Roman"/>
          <w:i/>
          <w:iCs/>
          <w:sz w:val="24"/>
          <w:szCs w:val="24"/>
        </w:rPr>
        <w:t>BMC medical informatics and decision making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(1), p.144.</w:t>
      </w:r>
    </w:p>
    <w:p w14:paraId="00000027"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Walsh, F., (2003). Family resilience: A framework for clinical practice. </w:t>
      </w:r>
      <w:r>
        <w:rPr>
          <w:rFonts w:ascii="Times New Roman" w:eastAsia="Times New Roman" w:hAnsi="Times New Roman" w:cs="Times New Roman"/>
          <w:i/>
          <w:iCs/>
          <w:sz w:val="24"/>
          <w:szCs w:val="24"/>
        </w:rPr>
        <w:t>Family process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42</w:t>
      </w:r>
      <w:r>
        <w:rPr>
          <w:rFonts w:ascii="Times New Roman" w:eastAsia="Times New Roman" w:hAnsi="Times New Roman" w:cs="Times New Roman"/>
          <w:sz w:val="24"/>
          <w:szCs w:val="24"/>
        </w:rPr>
        <w:t>(1), pp.1-18.</w:t>
      </w:r>
    </w:p>
    <w:p w14:paraId="00000028" w14:textId="77777777" w:rsidR="00F85483" w:rsidRDefault="009F081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29" w14:textId="77777777" w:rsidR="00F85483" w:rsidRDefault="00F85483">
      <w:pPr>
        <w:spacing w:before="200" w:line="360" w:lineRule="auto"/>
        <w:jc w:val="both"/>
        <w:rPr>
          <w:rFonts w:ascii="Times New Roman" w:eastAsia="Times New Roman" w:hAnsi="Times New Roman" w:cs="Times New Roman"/>
          <w:sz w:val="24"/>
          <w:szCs w:val="24"/>
        </w:rPr>
      </w:pPr>
    </w:p>
    <w:sectPr w:rsidR="00F85483" w:rsidSect="0000350C">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7BFC7D" w14:textId="77777777" w:rsidR="00C51379" w:rsidRDefault="00C51379" w:rsidP="0000350C">
      <w:pPr>
        <w:spacing w:line="240" w:lineRule="auto"/>
      </w:pPr>
      <w:r>
        <w:separator/>
      </w:r>
    </w:p>
  </w:endnote>
  <w:endnote w:type="continuationSeparator" w:id="0">
    <w:p w14:paraId="0A3B7DAA" w14:textId="77777777" w:rsidR="00C51379" w:rsidRDefault="00C51379" w:rsidP="000035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9FE4ABDC-7443-403E-A01E-74F8D731714E}"/>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B185A17E-E122-214A-BA05-FF172E1E06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Times New Roman" w:hAnsi="Times New Roman" w:cs="Times New Roman"/>
      </w:rPr>
      <w:id w:val="-1977135605"/>
      <w:docPartObj>
        <w:docPartGallery w:val="Page Numbers (Bottom of Page)"/>
        <w:docPartUnique/>
      </w:docPartObj>
    </w:sdtPr>
    <w:sdtEndPr>
      <w:rPr>
        <w:color w:val="7F7F7F" w:themeColor="background1" w:themeShade="7F"/>
        <w:spacing w:val="60"/>
      </w:rPr>
    </w:sdtEndPr>
    <w:sdtContent>
      <w:p w14:paraId="2B3F7D44" w14:textId="740D5973" w:rsidR="0000350C" w:rsidRPr="0000350C" w:rsidRDefault="0000350C">
        <w:pPr>
          <w:pStyle w:val="Footer"/>
          <w:pBdr>
            <w:top w:val="single" w:sz="4" w:space="1" w:color="D9D9D9" w:themeColor="background1" w:themeShade="D9"/>
          </w:pBdr>
          <w:jc w:val="right"/>
          <w:rPr>
            <w:rFonts w:ascii="Times New Roman" w:hAnsi="Times New Roman" w:cs="Times New Roman"/>
          </w:rPr>
        </w:pPr>
        <w:r w:rsidRPr="0000350C">
          <w:rPr>
            <w:rFonts w:ascii="Times New Roman" w:hAnsi="Times New Roman" w:cs="Times New Roman"/>
          </w:rPr>
          <w:fldChar w:fldCharType="begin"/>
        </w:r>
        <w:r w:rsidRPr="0000350C">
          <w:rPr>
            <w:rFonts w:ascii="Times New Roman" w:hAnsi="Times New Roman" w:cs="Times New Roman"/>
          </w:rPr>
          <w:instrText xml:space="preserve"> PAGE   \* MERGEFORMAT </w:instrText>
        </w:r>
        <w:r w:rsidRPr="0000350C">
          <w:rPr>
            <w:rFonts w:ascii="Times New Roman" w:hAnsi="Times New Roman" w:cs="Times New Roman"/>
          </w:rPr>
          <w:fldChar w:fldCharType="separate"/>
        </w:r>
        <w:r w:rsidRPr="0000350C">
          <w:rPr>
            <w:rFonts w:ascii="Times New Roman" w:hAnsi="Times New Roman" w:cs="Times New Roman"/>
            <w:noProof/>
          </w:rPr>
          <w:t>2</w:t>
        </w:r>
        <w:r w:rsidRPr="0000350C">
          <w:rPr>
            <w:rFonts w:ascii="Times New Roman" w:hAnsi="Times New Roman" w:cs="Times New Roman"/>
            <w:noProof/>
          </w:rPr>
          <w:fldChar w:fldCharType="end"/>
        </w:r>
        <w:r w:rsidRPr="0000350C">
          <w:rPr>
            <w:rFonts w:ascii="Times New Roman" w:hAnsi="Times New Roman" w:cs="Times New Roman"/>
          </w:rPr>
          <w:t xml:space="preserve"> | </w:t>
        </w:r>
        <w:r w:rsidRPr="0000350C">
          <w:rPr>
            <w:rFonts w:ascii="Times New Roman" w:hAnsi="Times New Roman" w:cs="Times New Roman"/>
            <w:color w:val="7F7F7F" w:themeColor="background1" w:themeShade="7F"/>
            <w:spacing w:val="60"/>
          </w:rPr>
          <w:t>Page</w:t>
        </w:r>
      </w:p>
    </w:sdtContent>
  </w:sdt>
  <w:p w14:paraId="6D70E0D8" w14:textId="77777777" w:rsidR="0000350C" w:rsidRDefault="00003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7695A7" w14:textId="77777777" w:rsidR="00C51379" w:rsidRDefault="00C51379" w:rsidP="0000350C">
      <w:pPr>
        <w:spacing w:line="240" w:lineRule="auto"/>
      </w:pPr>
      <w:r>
        <w:separator/>
      </w:r>
    </w:p>
  </w:footnote>
  <w:footnote w:type="continuationSeparator" w:id="0">
    <w:p w14:paraId="24A5F9BC" w14:textId="77777777" w:rsidR="00C51379" w:rsidRDefault="00C51379" w:rsidP="0000350C">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483"/>
    <w:rsid w:val="0000350C"/>
    <w:rsid w:val="0015360E"/>
    <w:rsid w:val="001C2E12"/>
    <w:rsid w:val="00225F66"/>
    <w:rsid w:val="002969A8"/>
    <w:rsid w:val="002A6986"/>
    <w:rsid w:val="002B5E1F"/>
    <w:rsid w:val="00326C01"/>
    <w:rsid w:val="00354AF6"/>
    <w:rsid w:val="00387825"/>
    <w:rsid w:val="00423834"/>
    <w:rsid w:val="0043007D"/>
    <w:rsid w:val="00512EA7"/>
    <w:rsid w:val="005E2459"/>
    <w:rsid w:val="00666D6D"/>
    <w:rsid w:val="006A6706"/>
    <w:rsid w:val="007760BC"/>
    <w:rsid w:val="00797D41"/>
    <w:rsid w:val="007E31E6"/>
    <w:rsid w:val="007F113F"/>
    <w:rsid w:val="008419E7"/>
    <w:rsid w:val="0088574F"/>
    <w:rsid w:val="009A63CD"/>
    <w:rsid w:val="009F1C33"/>
    <w:rsid w:val="00B15928"/>
    <w:rsid w:val="00B30AE6"/>
    <w:rsid w:val="00B53946"/>
    <w:rsid w:val="00C40262"/>
    <w:rsid w:val="00C51379"/>
    <w:rsid w:val="00C81EB1"/>
    <w:rsid w:val="00C96086"/>
    <w:rsid w:val="00CB01E6"/>
    <w:rsid w:val="00CD6BB6"/>
    <w:rsid w:val="00CF2EE6"/>
    <w:rsid w:val="00D03F94"/>
    <w:rsid w:val="00DB20B1"/>
    <w:rsid w:val="00E36D0F"/>
    <w:rsid w:val="00E801B2"/>
    <w:rsid w:val="00EB43C0"/>
    <w:rsid w:val="00EE17F7"/>
    <w:rsid w:val="00F85483"/>
    <w:rsid w:val="00FB12D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CB491"/>
  <w15:docId w15:val="{9B3B1FBA-D559-41BC-A84D-11F30CCE0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9608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Heading1"/>
    <w:next w:val="Normal"/>
    <w:uiPriority w:val="9"/>
    <w:unhideWhenUsed/>
    <w:qFormat/>
    <w:rsid w:val="00EB43C0"/>
    <w:pPr>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0350C"/>
    <w:pPr>
      <w:tabs>
        <w:tab w:val="center" w:pos="4513"/>
        <w:tab w:val="right" w:pos="9026"/>
      </w:tabs>
      <w:spacing w:line="240" w:lineRule="auto"/>
    </w:pPr>
  </w:style>
  <w:style w:type="character" w:customStyle="1" w:styleId="HeaderChar">
    <w:name w:val="Header Char"/>
    <w:basedOn w:val="DefaultParagraphFont"/>
    <w:link w:val="Header"/>
    <w:uiPriority w:val="99"/>
    <w:rsid w:val="0000350C"/>
  </w:style>
  <w:style w:type="paragraph" w:styleId="Footer">
    <w:name w:val="footer"/>
    <w:basedOn w:val="Normal"/>
    <w:link w:val="FooterChar"/>
    <w:uiPriority w:val="99"/>
    <w:unhideWhenUsed/>
    <w:rsid w:val="0000350C"/>
    <w:pPr>
      <w:tabs>
        <w:tab w:val="center" w:pos="4513"/>
        <w:tab w:val="right" w:pos="9026"/>
      </w:tabs>
      <w:spacing w:line="240" w:lineRule="auto"/>
    </w:pPr>
  </w:style>
  <w:style w:type="character" w:customStyle="1" w:styleId="FooterChar">
    <w:name w:val="Footer Char"/>
    <w:basedOn w:val="DefaultParagraphFont"/>
    <w:link w:val="Footer"/>
    <w:uiPriority w:val="99"/>
    <w:rsid w:val="0000350C"/>
  </w:style>
  <w:style w:type="paragraph" w:styleId="TOCHeading">
    <w:name w:val="TOC Heading"/>
    <w:basedOn w:val="Heading1"/>
    <w:next w:val="Normal"/>
    <w:uiPriority w:val="39"/>
    <w:unhideWhenUsed/>
    <w:qFormat/>
    <w:rsid w:val="00225F6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25F66"/>
    <w:pPr>
      <w:spacing w:after="100"/>
    </w:pPr>
  </w:style>
  <w:style w:type="paragraph" w:styleId="TOC2">
    <w:name w:val="toc 2"/>
    <w:basedOn w:val="Normal"/>
    <w:next w:val="Normal"/>
    <w:autoRedefine/>
    <w:uiPriority w:val="39"/>
    <w:unhideWhenUsed/>
    <w:rsid w:val="00225F66"/>
    <w:pPr>
      <w:spacing w:after="100"/>
      <w:ind w:left="220"/>
    </w:pPr>
  </w:style>
  <w:style w:type="character" w:styleId="Hyperlink">
    <w:name w:val="Hyperlink"/>
    <w:basedOn w:val="DefaultParagraphFont"/>
    <w:uiPriority w:val="99"/>
    <w:unhideWhenUsed/>
    <w:rsid w:val="00225F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20B6E-DB03-4273-B7D0-CB3DD69B93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2553</Words>
  <Characters>14557</Characters>
  <Application>Microsoft Office Word</Application>
  <DocSecurity>0</DocSecurity>
  <Lines>121</Lines>
  <Paragraphs>34</Paragraphs>
  <ScaleCrop>false</ScaleCrop>
  <Company/>
  <LinksUpToDate>false</LinksUpToDate>
  <CharactersWithSpaces>17076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Janat Kiconco (2426595)</cp:lastModifiedBy>
  <cp:revision>2</cp:revision>
  <dcterms:created xsi:type="dcterms:W3CDTF">2026-08-14T09:32:00Z</dcterms:created>
  <dcterms:modified xsi:type="dcterms:W3CDTF">2026-08-14T09:32:00Z</dcterms:modified>
</cp:coreProperties>
</file>