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B6DD4" w14:textId="77777777" w:rsidR="00777287" w:rsidRPr="007319AF" w:rsidRDefault="00777287" w:rsidP="00777287">
      <w:pPr>
        <w:pStyle w:val="Heading1"/>
        <w:rPr>
          <w:rFonts w:eastAsia="Calibri"/>
        </w:rPr>
      </w:pPr>
      <w:bookmarkStart w:id="0" w:name="_Toc162426754"/>
      <w:r w:rsidRPr="007319AF">
        <w:rPr>
          <w:rFonts w:eastAsia="Calibri"/>
        </w:rPr>
        <w:t>A critical Evaluation of Coaching Theory</w:t>
      </w:r>
      <w:bookmarkEnd w:id="0"/>
    </w:p>
    <w:p w14:paraId="58312F89" w14:textId="77777777" w:rsidR="00777287" w:rsidRPr="007319AF" w:rsidRDefault="00777287" w:rsidP="00777287">
      <w:pPr>
        <w:pStyle w:val="Heading2"/>
        <w:rPr>
          <w:rFonts w:eastAsia="Calibri"/>
        </w:rPr>
      </w:pPr>
      <w:bookmarkStart w:id="1" w:name="_Toc162426755"/>
      <w:r w:rsidRPr="007319AF">
        <w:rPr>
          <w:rFonts w:eastAsia="Calibri"/>
        </w:rPr>
        <w:t>Introduction</w:t>
      </w:r>
      <w:bookmarkEnd w:id="1"/>
    </w:p>
    <w:p w14:paraId="71F98C95" w14:textId="77777777" w:rsidR="00777287" w:rsidRPr="007319AF" w:rsidRDefault="00777287" w:rsidP="00777287">
      <w:pPr>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I am currently an employee of the National Health Service (NHS) in Wales, where I deliver a programme based around improving an individual’s perception of change and how to embrace and adapt to it, whether it be an organisational change or a change in a personal circumstance. As part of our team there is another programme being developed around ‘Coaching and Mentoring’, so there is a clear link here where knowledge learned on this module can be put into practice, recognising theory to application.</w:t>
      </w:r>
    </w:p>
    <w:p w14:paraId="0D932CF6" w14:textId="77777777" w:rsidR="00777287" w:rsidRPr="007319AF" w:rsidRDefault="00777287" w:rsidP="00777287">
      <w:pPr>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 xml:space="preserve">Upon embarking on a Coaching and Mentoring module, I quickly realised I had no real knowledge around the underpinning theories or practices of coaching and or mentoring, though I have some experience of coaching/mentoring people in the realm of personal training and in dog training. I was unaware of the separation between what makes a coach and what makes a mentor. I had previously seen the ‘GROW’ model by Whitmore (1992) in a training and development day that I attended through my working role. The model is a framework for structuring a coaching or mentoring session which, in part, I have utilised to some extent in some of my own scenario’s. </w:t>
      </w:r>
    </w:p>
    <w:p w14:paraId="6230A485" w14:textId="77777777" w:rsidR="00777287" w:rsidRPr="007319AF" w:rsidRDefault="00777287" w:rsidP="00777287">
      <w:pPr>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 xml:space="preserve">Although I had heard of the GROW model and used it to some extent, this is where my knowledge ceased. I began some further reading, as prompted on the module, around the Gestalt theory and approach to coaching, which is described as being a needs-based approach to Coaching by Cox et al (2010). I also learned, through our in-person sessions, theories such as Narrative Coaching, where the goal is to bring  individuals  stories to life through making new connections between the coachees story, identity and behaviour Drake (2010). </w:t>
      </w:r>
      <w:r w:rsidRPr="007319AF">
        <w:rPr>
          <w:rFonts w:ascii="Calibri" w:eastAsia="Calibri" w:hAnsi="Calibri" w:cs="Arial"/>
          <w:kern w:val="0"/>
          <w:sz w:val="20"/>
          <w:szCs w:val="20"/>
          <w:lang w:val="en-US"/>
          <w14:ligatures w14:val="none"/>
        </w:rPr>
        <w:t>I also found other coaching ideas like ‘Cognitive</w:t>
      </w:r>
      <w:r w:rsidRPr="007319AF">
        <w:rPr>
          <w:rFonts w:ascii="Calibri" w:eastAsia="Calibri" w:hAnsi="Calibri" w:cs="Arial"/>
          <w:kern w:val="0"/>
          <w:sz w:val="20"/>
          <w:szCs w:val="20"/>
          <w14:ligatures w14:val="none"/>
        </w:rPr>
        <w:t xml:space="preserve"> Behavioural Coaching’ (Cox et al, 2010, Passmore et al, 2016), ‘Ontological Coaching’ (Seiler, 2010), Positive Psychology Coaching and, Psychodynamic Coaching (Cox et al, 2010). There is an overabundance of literature surrounding just coaching without delving into mentoring, and because of this I am going to narrow my focus to just the coaching theories I have come upon which I believe will be most impactful if used within my Organisation.  I will choose two coaching ideas that have been most significant to me within my research, I will review their underpinning theories behind coaching, firstly focusing on the Gestalt approach. I will compare the different ideas and pose my own opinion on my findings. I will also analyse and evaluate their possible usage in my organisation and state which may be more impactful with my reasoning. </w:t>
      </w:r>
    </w:p>
    <w:p w14:paraId="7F246345" w14:textId="77777777" w:rsidR="00777287" w:rsidRPr="007319AF" w:rsidRDefault="00777287" w:rsidP="00777287">
      <w:pPr>
        <w:pStyle w:val="Heading2"/>
        <w:rPr>
          <w:rFonts w:eastAsia="Calibri"/>
        </w:rPr>
      </w:pPr>
      <w:bookmarkStart w:id="2" w:name="_Toc162426756"/>
      <w:r w:rsidRPr="007319AF">
        <w:rPr>
          <w:rFonts w:eastAsia="Calibri"/>
        </w:rPr>
        <w:t>My organisation, my role and integrating a coaching approach</w:t>
      </w:r>
      <w:bookmarkEnd w:id="2"/>
    </w:p>
    <w:p w14:paraId="32014FEB" w14:textId="77777777" w:rsidR="00777287" w:rsidRPr="007319AF" w:rsidRDefault="00777287" w:rsidP="00777287">
      <w:pPr>
        <w:rPr>
          <w:rFonts w:ascii="Calibri" w:eastAsia="Calibri" w:hAnsi="Calibri" w:cs="Arial"/>
          <w:color w:val="000000"/>
          <w:kern w:val="0"/>
          <w:sz w:val="20"/>
          <w:szCs w:val="20"/>
          <w14:ligatures w14:val="none"/>
        </w:rPr>
      </w:pPr>
      <w:r w:rsidRPr="007319AF">
        <w:rPr>
          <w:rFonts w:ascii="Calibri" w:eastAsia="Calibri" w:hAnsi="Calibri" w:cs="Arial"/>
          <w:color w:val="000000"/>
          <w:kern w:val="0"/>
          <w:sz w:val="20"/>
          <w:szCs w:val="20"/>
          <w14:ligatures w14:val="none"/>
        </w:rPr>
        <w:t xml:space="preserve">I have seen in my own organisation and throughout my personal life experiences that humans experience things very differently and this can depend on an immeasurable amount of factors. One of these factors is change, life changes, organisational changes or any change that requires a new or different behaviour from the individual. The necessity of coaching in my Organisation stems from the need for support to staff when they are presented with organisational change. Individuals can resist change, deny it completely or even accept it with lots of emotions and actions in between as presented through the Kublr-Ross change Curve adapted to involve both change management and for people dealing with grief from bereavement (Elrod, P.D. &amp; Tippett, D.D, 2002). The curve represents the stages people may go through when dealing with change. Carl Jung (1971) introduced the idea of ‘introversion and extraversion’ and how people may differ drastically from one and other when directing their energy to handle life’s changes, the aforementioned Johnson (1998) describes differences in personalities when presented with change. This work by Kublr-Ross, Jung and Johnson has only been expanded in recent years, the relevance being the more research that develops around this topic, only strengthens the notion that people experience and handle serious changes in their own individual way. This to me agrees with and compounds the psychology that created the foundation behind a number of coaching approaches and specifically in the two I have discussed, both Gestalt Coaching and Narrative Coaching. </w:t>
      </w:r>
    </w:p>
    <w:p w14:paraId="7763BBF7" w14:textId="77777777" w:rsidR="00777287" w:rsidRPr="007319AF" w:rsidRDefault="00777287" w:rsidP="00777287">
      <w:pPr>
        <w:rPr>
          <w:rFonts w:ascii="Calibri" w:eastAsia="Calibri" w:hAnsi="Calibri" w:cs="Arial"/>
          <w:color w:val="000000"/>
          <w:kern w:val="0"/>
          <w:sz w:val="20"/>
          <w:szCs w:val="20"/>
          <w14:ligatures w14:val="none"/>
        </w:rPr>
      </w:pPr>
      <w:r w:rsidRPr="007319AF">
        <w:rPr>
          <w:rFonts w:ascii="Calibri" w:eastAsia="Calibri" w:hAnsi="Calibri" w:cs="Arial"/>
          <w:color w:val="000000"/>
          <w:kern w:val="0"/>
          <w:sz w:val="20"/>
          <w:szCs w:val="20"/>
          <w14:ligatures w14:val="none"/>
        </w:rPr>
        <w:lastRenderedPageBreak/>
        <w:t>We are currently developing a programme based around delivering service excellence in order to create a positive culture and ensure the best service to our patients. We have the intention to empower people in any role to think and act in ways that prove they have their own impact on a patients Journey. Some of the research we came across highlighted specific barriers to delivering quality service. We identified Staff shortages, burnout, training gaps, financial constraints, competing priorities, technological challenges, and the disparity of digital literacy of staff members. From these barriers we began to design ways in which to tackle them, starting with technological integration, patient feedback systems and training and development. As the criteria to change the landscape of patient/customer service in the NHS for the better grew, so did the recognition that it would be as simple as a staff training programme, it would require a full shift in culture and behaviour. From my research surrounding Gestalt psychology and coaching theory and the Narrative style of coaching, it is my wholehearted belief that adopting a coaching approach in the NHS to empower staff is paramount in this culture shift.</w:t>
      </w:r>
    </w:p>
    <w:p w14:paraId="482EEB84" w14:textId="77777777" w:rsidR="00777287" w:rsidRPr="007319AF" w:rsidRDefault="00777287" w:rsidP="00777287">
      <w:pPr>
        <w:pStyle w:val="Heading2"/>
        <w:rPr>
          <w:rFonts w:eastAsia="Calibri"/>
        </w:rPr>
      </w:pPr>
      <w:bookmarkStart w:id="3" w:name="_Toc162426757"/>
      <w:r w:rsidRPr="007319AF">
        <w:rPr>
          <w:rFonts w:eastAsia="Calibri"/>
        </w:rPr>
        <w:t>Gestalt Approach To Coaching</w:t>
      </w:r>
      <w:bookmarkEnd w:id="3"/>
    </w:p>
    <w:p w14:paraId="4B0DF94D" w14:textId="77777777" w:rsidR="00777287" w:rsidRPr="007319AF" w:rsidRDefault="00777287" w:rsidP="00777287">
      <w:pPr>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‘Gestalt’ a German word roughly translating to pattern or configuration (Cox et al, 2010) was described by Cox (2010) as an idea where people focus on the ‘subjective reality’, which is where all individuals have the capacity to experience situations or events differently. Netuveli and Bartley (2012) state that in a subjective reality, individuals believe ‘perception is reality’. At the time Gestalt theory was introduced it was a common theme that psychologists believed in an ‘objective reality’, which is where if something is physical and visual that is all it is. The idea here being people would experience the same situation and for the most part react in the same way (Cox et al, 2010). Nevis (1987) surmised that the Gestalt approach to coaching formed its basis in Gestalt psychology, emphasising holistic awareness, present-centered focus, and the integration of mind, body, and emotions (Nevis, 1987). In coaching, the Gestalt approach encourages individuals to explore their experiences, perceptions, and behaviours in the present moment (Bergquist, 2006).</w:t>
      </w:r>
    </w:p>
    <w:p w14:paraId="7221CA59" w14:textId="77777777" w:rsidR="00777287" w:rsidRPr="007319AF" w:rsidRDefault="00777287" w:rsidP="00777287">
      <w:pPr>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 xml:space="preserve">A Key principle of Gestalt coaching starts with self-awareness and the strength and continuous improvement of it (Cox et al, 2010). This would involve appreciating, adapting to, and appropriately resolving feelings when they appear (Nevis, 1987). The idea ‘cycle of experience’ adapted by </w:t>
      </w:r>
      <w:bookmarkStart w:id="4" w:name="_Hlk155859268"/>
      <w:r w:rsidRPr="007319AF">
        <w:rPr>
          <w:rFonts w:ascii="Calibri" w:eastAsia="Calibri" w:hAnsi="Calibri" w:cs="Arial"/>
          <w:kern w:val="0"/>
          <w:sz w:val="20"/>
          <w:szCs w:val="20"/>
          <w14:ligatures w14:val="none"/>
        </w:rPr>
        <w:t>Siminovitch and Van Eron (2000)</w:t>
      </w:r>
      <w:bookmarkEnd w:id="4"/>
      <w:r w:rsidRPr="007319AF">
        <w:rPr>
          <w:rFonts w:ascii="Calibri" w:eastAsia="Calibri" w:hAnsi="Calibri" w:cs="Arial"/>
          <w:kern w:val="0"/>
          <w:sz w:val="20"/>
          <w:szCs w:val="20"/>
          <w14:ligatures w14:val="none"/>
        </w:rPr>
        <w:t xml:space="preserve"> was formulated as the learning mechanism for both client and coach, as self-awareness should occur with both. This cycle starts with an individual sensing something is about to happen then becoming aware of what it is, it moves then to ‘mobilizing energy’ creating a feeling of either excitement or anxiety, this shifts to the individual acting on the situation. Once the individual has taken the step to act, they then meet at the ‘boundary’ where contact is made. This is where the consequences of their actions take place before then leading to the closure of the action, where they ‘assimilate their learning’, I believe this is where the self-awareness/self-discovery lies. Siminovitch and Van Eron’s (2000) adaptation suggests this is a continuous cycle for an individual and where formulating this not only lets individuals identify learning experience, but it also encourages it. Bergquist (2006) agrees with the ‘cycle of experience’ and describes ‘Holism’ as a key part to the coaching approach, the exploration of a person’s experience with their related actions. Whilst Cox et al (2010) suggests that the Gestalt coach encourages individuals to take responsibility for their actions and to own their decisions, Nevis (1987) believes this is in order to foster a feeling of self-determination. Other key principles suggest by Cox et al (2010) are that both the coach and client should live in the ‘here and now’, being in the present moment. I am of the opinion that this approach could be very successful, as consciously using the cycle of experience with other techniques thus helping the client find new perspectives through this self-discovery tool would promote personal development. </w:t>
      </w:r>
    </w:p>
    <w:p w14:paraId="155CAE32" w14:textId="77777777" w:rsidR="00777287" w:rsidRPr="007319AF" w:rsidRDefault="00777287" w:rsidP="00777287">
      <w:pPr>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 xml:space="preserve">A drawback to the Gestalt approach is that, “Gestalt practitioners believe that people are always doing the best they can.” (Melnick &amp; Nevis, 2005). Cox et al, (2010) states that the gestalt psychology has a foundation which believes people make the best decision while using the best actions available to them in any circumstance. From my experience This is not always the case. I have seen in my own workplace, individuals are content in their current position with no intention of progressing further. With this opinion, I am unsure how this coaching approach may fare in NHS Wales. </w:t>
      </w:r>
    </w:p>
    <w:p w14:paraId="1F93835E" w14:textId="77777777" w:rsidR="00777287" w:rsidRPr="007319AF" w:rsidRDefault="00777287" w:rsidP="00777287">
      <w:pPr>
        <w:rPr>
          <w:rFonts w:ascii="Calibri" w:eastAsia="Calibri" w:hAnsi="Calibri" w:cs="Arial"/>
          <w:color w:val="000000"/>
          <w:kern w:val="0"/>
          <w:sz w:val="20"/>
          <w:szCs w:val="20"/>
          <w14:ligatures w14:val="none"/>
        </w:rPr>
      </w:pPr>
      <w:bookmarkStart w:id="5" w:name="_Hlk155448373"/>
      <w:r w:rsidRPr="007319AF">
        <w:rPr>
          <w:rFonts w:ascii="Calibri" w:eastAsia="Calibri" w:hAnsi="Calibri" w:cs="Arial"/>
          <w:color w:val="000000"/>
          <w:kern w:val="0"/>
          <w:sz w:val="20"/>
          <w:szCs w:val="20"/>
          <w14:ligatures w14:val="none"/>
        </w:rPr>
        <w:lastRenderedPageBreak/>
        <w:t>I found an impactful piece of writing around Gestalt Coaching by Stevenson (2005), who describes the Gestalt approach to coaching very clearly and describes an aspect he calls ‘evoking experimentation’. This is where the coach would try and spark a change in an individual through creating more self-awareness. Stevenson (2005) describes how this may be used in an organisation, he suggests that an organisation can identify habitual behavioural patterns amongst work staff to evoke change. In my experience, problems at surface level in an organisation often have deeper underlying issues. This can be in relation to the culture of an organisation. Through identifying a negative habitual pattern of behaviour, it is my belief that those in a leadership role could then begin tackling the underlying problems to achieve that eventual surface level change.</w:t>
      </w:r>
    </w:p>
    <w:bookmarkEnd w:id="5"/>
    <w:p w14:paraId="79236065" w14:textId="77777777" w:rsidR="00777287" w:rsidRPr="007319AF" w:rsidRDefault="00777287" w:rsidP="00777287">
      <w:pPr>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Dr Spencer Johnson’s (1998) novel Who Moved My Cheese, describes different personalities and characteristics that might be seen when people are introduced to a change in an organisation. The various characters are on the hunt for cheese when their regular supply was abruptly taken away. The relevance here being, that Johnson (1998) describes one of these personalities, as an individual who would be dismissive of change and adaptation, Johnson named this character ‘Hem’. Johnson (1998) suggests this type of person would not be interested in development or improvement and would like things to stay exactly as they are. This narrative clearly goes against the Gestalt psychology, where people are believed to try their very best in every situation. I believe I have known individuals to present ‘hem’ like characteristics and therefore believe the Gestalt approach would need to adapt and recognise this to be truly successful in NHS Wales.</w:t>
      </w:r>
    </w:p>
    <w:p w14:paraId="5D360C2F" w14:textId="77777777" w:rsidR="00777287" w:rsidRPr="007319AF" w:rsidRDefault="00777287" w:rsidP="00777287">
      <w:pPr>
        <w:rPr>
          <w:rFonts w:ascii="Calibri" w:eastAsia="Calibri" w:hAnsi="Calibri" w:cs="Arial"/>
          <w:kern w:val="0"/>
          <w:sz w:val="20"/>
          <w:szCs w:val="20"/>
          <w14:ligatures w14:val="none"/>
        </w:rPr>
      </w:pPr>
      <w:r w:rsidRPr="007319AF">
        <w:rPr>
          <w:rFonts w:ascii="Calibri" w:eastAsia="Calibri" w:hAnsi="Calibri" w:cs="Arial"/>
          <w:color w:val="000000"/>
          <w:kern w:val="0"/>
          <w:sz w:val="20"/>
          <w:szCs w:val="20"/>
          <w14:ligatures w14:val="none"/>
        </w:rPr>
        <w:t xml:space="preserve">I feel as though the paper by Stevenson (2005) possibly evidences the coaching approaches’ successful usage in an organisation, and I feel that it could be an impactful method in my own organisation depending on the individuals involved. </w:t>
      </w:r>
      <w:r w:rsidRPr="007319AF">
        <w:rPr>
          <w:rFonts w:ascii="Calibri" w:eastAsia="Calibri" w:hAnsi="Calibri" w:cs="Arial"/>
          <w:kern w:val="0"/>
          <w:sz w:val="20"/>
          <w:szCs w:val="20"/>
          <w14:ligatures w14:val="none"/>
        </w:rPr>
        <w:t xml:space="preserve">In NHS Wales and my organisation specifically, I have identified numerous challenges, including staff burnout, high turnover rates, and maintaining quality patient care amidst resource constraints. Introducing an innovative coaching methodology like Gestalt Coaching could offer a promising avenue to address these issues. </w:t>
      </w:r>
    </w:p>
    <w:p w14:paraId="7D7E4CE6" w14:textId="77777777" w:rsidR="00777287" w:rsidRPr="007319AF" w:rsidRDefault="00777287" w:rsidP="00777287">
      <w:pPr>
        <w:rPr>
          <w:rFonts w:ascii="Calibri" w:eastAsia="Calibri" w:hAnsi="Calibri" w:cs="Arial"/>
          <w:color w:val="000000"/>
          <w:kern w:val="0"/>
          <w:sz w:val="20"/>
          <w:szCs w:val="20"/>
          <w14:ligatures w14:val="none"/>
        </w:rPr>
      </w:pPr>
      <w:r w:rsidRPr="007319AF">
        <w:rPr>
          <w:rFonts w:ascii="Calibri" w:eastAsia="Calibri" w:hAnsi="Calibri" w:cs="Arial"/>
          <w:color w:val="000000"/>
          <w:kern w:val="0"/>
          <w:sz w:val="20"/>
          <w:szCs w:val="20"/>
          <w14:ligatures w14:val="none"/>
        </w:rPr>
        <w:t>Charles Handy (1978) Describes an organisational culture called the existential culture or the ‘person culture’. This culture is based around the individual rather than the organisation. Handy (1978) suggests it is the crucial skill of the individual that is most important asset of the organisation. I personally feel that applying this type of thinking and culture into an organisation can be extremely productive. This would require a focus on the individual which means taking into account their personality differences, different ways of working and their different reactions to organisational changes. I would put forward most of the principles from the Gestalt coaching approach as being useful here because of its holistic approach to the individual, as Bergquist (2006) suggests in the holism principle of Gestalt coaching, where individuals are considered as complex and integrated wholes rather than focusing solely on isolated parts or issues. Gestalt coaching may face challenges in NHS Wales. The Resistance to change Elrod &amp; Tippit (2002) mentions, time constraints, and skill level of coaches could reduce successful implementation. On top of this the hierarchical nature of healthcare systems may pose barriers to open dialogue and self-exploration which are main principles of Gestalt coaching (Hawkins &amp; Shohet, 2012).</w:t>
      </w:r>
    </w:p>
    <w:p w14:paraId="71590DFC" w14:textId="77777777" w:rsidR="00777287" w:rsidRPr="007319AF" w:rsidRDefault="00777287" w:rsidP="00777287">
      <w:pPr>
        <w:pStyle w:val="Heading2"/>
        <w:rPr>
          <w:rFonts w:eastAsia="Calibri"/>
        </w:rPr>
      </w:pPr>
      <w:bookmarkStart w:id="6" w:name="_Toc162426758"/>
      <w:r w:rsidRPr="007319AF">
        <w:rPr>
          <w:rFonts w:eastAsia="Calibri"/>
        </w:rPr>
        <w:t>Narrative Coaching</w:t>
      </w:r>
      <w:bookmarkEnd w:id="6"/>
    </w:p>
    <w:p w14:paraId="007A7543" w14:textId="77777777" w:rsidR="00777287" w:rsidRPr="007319AF" w:rsidRDefault="00777287" w:rsidP="00777287">
      <w:pPr>
        <w:rPr>
          <w:rFonts w:ascii="Calibri" w:eastAsia="Calibri" w:hAnsi="Calibri" w:cs="Arial"/>
          <w:color w:val="000000"/>
          <w:kern w:val="0"/>
          <w:sz w:val="20"/>
          <w:szCs w:val="20"/>
          <w14:ligatures w14:val="none"/>
        </w:rPr>
      </w:pPr>
      <w:r w:rsidRPr="007319AF">
        <w:rPr>
          <w:rFonts w:ascii="Calibri" w:eastAsia="Calibri" w:hAnsi="Calibri" w:cs="Arial"/>
          <w:color w:val="000000"/>
          <w:kern w:val="0"/>
          <w:sz w:val="20"/>
          <w:szCs w:val="20"/>
          <w14:ligatures w14:val="none"/>
        </w:rPr>
        <w:t xml:space="preserve">Another style of coaching that stood out to me during my study is ‘Narrative Coaching’, mainly because I had never encountered this form of coaching before. The idea of a narrative assessment as described by Denborough (2008) was foreign to me. Denborough (2008) noted it is where the coach would attain insight into a coachee’s cognitive and emotional patterns. This reminded me of the idea of journaling and then openly allowing for assessment of your journaled thoughts by the coach. This seemed a little daunting to me but I came across some reading that intrigued me. I read that ‘Narrative Coaching’ aims to </w:t>
      </w:r>
      <w:r w:rsidRPr="007319AF">
        <w:rPr>
          <w:rFonts w:ascii="Calibri" w:eastAsia="Calibri" w:hAnsi="Calibri" w:cs="Arial"/>
          <w:color w:val="000000"/>
          <w:kern w:val="0"/>
          <w:sz w:val="20"/>
          <w:szCs w:val="20"/>
          <w:lang w:val="en-US"/>
          <w14:ligatures w14:val="none"/>
        </w:rPr>
        <w:t xml:space="preserve">help clients create new links between their behaviors, how they see themselves, the actions they make and the narrative behind the action. </w:t>
      </w:r>
      <w:r w:rsidRPr="007319AF">
        <w:rPr>
          <w:rFonts w:ascii="Calibri" w:eastAsia="Calibri" w:hAnsi="Calibri" w:cs="Arial"/>
          <w:color w:val="000000"/>
          <w:kern w:val="0"/>
          <w:sz w:val="20"/>
          <w:szCs w:val="20"/>
          <w14:ligatures w14:val="none"/>
        </w:rPr>
        <w:t xml:space="preserve">The coach wants to identify the client’s motivations and bring their internal stories to life (Drake, 2010). This style of coaching is a relatively recent addition to the coaching landscape and is based heavily around Narrative psychology. Sabrin (1986) notes that in narrative psychology, humans use narrative structures to give meaning to their lives. Sabrin (1986) believe that humans “think, perceive, imagine and make moral choices according to narrative structures”. In later years is has also been described as being rooted in the belief that </w:t>
      </w:r>
      <w:r w:rsidRPr="007319AF">
        <w:rPr>
          <w:rFonts w:ascii="Calibri" w:eastAsia="Calibri" w:hAnsi="Calibri" w:cs="Arial"/>
          <w:color w:val="000000"/>
          <w:kern w:val="0"/>
          <w:sz w:val="20"/>
          <w:szCs w:val="20"/>
          <w14:ligatures w14:val="none"/>
        </w:rPr>
        <w:lastRenderedPageBreak/>
        <w:t xml:space="preserve">individuals construct their identities and make sense of their experiences through storytelling (Grant, 2011). Upon reflection I started to think about narratives I may have built and how they may had been added to by other individuals throughout my life. An example being I do not see myself as academically gifted, and had this narrative strengthened or even posed upon me, where family members had always stated my sibling was the academic brother and I was not skilled in that same way. This narrative I identified was strong within my subconscious. It made me realise the power of writing these thoughts down and offering them to a narrative coach to review could possibly help me change my narrative and cause a profoundly positive impact. </w:t>
      </w:r>
    </w:p>
    <w:p w14:paraId="74F1306D" w14:textId="77777777" w:rsidR="00777287" w:rsidRPr="007319AF" w:rsidRDefault="00777287" w:rsidP="00777287">
      <w:pPr>
        <w:rPr>
          <w:rFonts w:ascii="Calibri" w:eastAsia="Calibri" w:hAnsi="Calibri" w:cs="Arial"/>
          <w:color w:val="000000"/>
          <w:kern w:val="0"/>
          <w:sz w:val="20"/>
          <w:szCs w:val="20"/>
          <w14:ligatures w14:val="none"/>
        </w:rPr>
      </w:pPr>
      <w:r w:rsidRPr="007319AF">
        <w:rPr>
          <w:rFonts w:ascii="Calibri" w:eastAsia="Calibri" w:hAnsi="Calibri" w:cs="Arial"/>
          <w:color w:val="000000"/>
          <w:kern w:val="0"/>
          <w:sz w:val="20"/>
          <w:szCs w:val="20"/>
          <w14:ligatures w14:val="none"/>
        </w:rPr>
        <w:t>I came across further reading from Denborough (2008) which supports the use of a narrative style of coaching using a variation of a method called ‘the tree of life’, a metaphor used to enable coachees to speak about their life events. Denborough (2008) found success utilising the method and the journal suggests success when narrative coaching is implemented, however the coachees in this case were children who had gone through very traumatic issues and were to disclose their narratives as a collective. Though Denborough (2008) suggests this coaching style has been used with success amongst adults, they were specifically those with difficult emotional issues, like having children with disabilities or adults who have had their children removed from their care. I believe this goes beyond coaching in an organisation and leans more into therapy and am not confident it would be successful within my organisation. However, there are aspects I believe could be ustilised, a key one being the art of reframing, where coaches assist clients in reinterpreting their stories in a way that promotes resilience, learning, and positive change (Morgan, 2014). This echoes some of the ideas in Gestalt theory around the cycle of experience and constantly improving your self-awareness as suggested by Stevenson (2005).</w:t>
      </w:r>
    </w:p>
    <w:p w14:paraId="63DBC26D" w14:textId="77777777" w:rsidR="00777287" w:rsidRPr="007319AF" w:rsidRDefault="00777287" w:rsidP="00777287">
      <w:pPr>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Now for all the positives I can see within narrative coaching, there are some significant critiques. Seligman (2009) found that the method is broad and imaginative which may not suit individuals who are more systematic and logical in their working practices. Seligman (2009) suggests these individuals may prefer more directive and structured coaching approaches and further empirical research should be carried out to prove its effectiveness. I would tend to agree with this sentiment, this coupled with my apprehension around coaching rather than therapy that I found in Denborough’s (2008) journal, I would wish to carry out further research and application before looking to apply it as the all-out coaching approach within my organisation. Though I do believe there is a lot of positive principles that can be taken away and used, not just in my organisation but by anyone who is considering coaching and or being coached.</w:t>
      </w:r>
    </w:p>
    <w:p w14:paraId="00BECC82" w14:textId="77777777" w:rsidR="00777287" w:rsidRPr="007319AF" w:rsidRDefault="00777287" w:rsidP="00777287">
      <w:pPr>
        <w:rPr>
          <w:rFonts w:ascii="Calibri" w:eastAsia="Calibri" w:hAnsi="Calibri" w:cs="Arial"/>
          <w:color w:val="000000"/>
          <w:kern w:val="0"/>
          <w:sz w:val="20"/>
          <w:szCs w:val="20"/>
          <w14:ligatures w14:val="none"/>
        </w:rPr>
      </w:pPr>
      <w:r w:rsidRPr="007319AF">
        <w:rPr>
          <w:rFonts w:ascii="Calibri" w:eastAsia="Calibri" w:hAnsi="Calibri" w:cs="Arial"/>
          <w:color w:val="000000"/>
          <w:kern w:val="0"/>
          <w:sz w:val="20"/>
          <w:szCs w:val="20"/>
          <w14:ligatures w14:val="none"/>
        </w:rPr>
        <w:t xml:space="preserve">Narrative Coaching could also have a positive impact in helping to create the ‘person culture’ set forward by Handy (1978), as research suggests by engaging in a reflective dialogue and exploring their narratives, healthcare professionals can gain insights into their beliefs, values, and behaviours, leading to enhanced self-awareness and improved patient care (Drake &amp; Wong, 2016). However, if Narrative coaching was to be implemented some considerations should be made regarding the individual who was in need of coaching, the sustainability of the practice as coaches will need to be adequately trained in order to successfully follow the process, both considerations have time and financial implications. </w:t>
      </w:r>
    </w:p>
    <w:p w14:paraId="32B842D6" w14:textId="77777777" w:rsidR="00777287" w:rsidRPr="007319AF" w:rsidRDefault="00777287" w:rsidP="00777287">
      <w:pPr>
        <w:pStyle w:val="Heading2"/>
        <w:rPr>
          <w:rFonts w:eastAsia="Calibri"/>
        </w:rPr>
      </w:pPr>
      <w:bookmarkStart w:id="7" w:name="_Toc162426759"/>
      <w:r w:rsidRPr="007319AF">
        <w:rPr>
          <w:rFonts w:eastAsia="Calibri"/>
        </w:rPr>
        <w:t>Conclusion</w:t>
      </w:r>
      <w:bookmarkEnd w:id="7"/>
    </w:p>
    <w:p w14:paraId="61E8DAA4" w14:textId="77777777" w:rsidR="00777287" w:rsidRPr="007319AF" w:rsidRDefault="00777287" w:rsidP="00777287">
      <w:pPr>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While narrative coaching holds promise as a means of enhancing personal and professional development among healthcare professionals, its effectiveness within NHS Wales depends on various factors. By fostering self-awareness, empathy, and resilience, narrative coaching can contribute to a more supportive and compassionate healthcare culture. However, careful consideration of training, support, and organizational readiness is necessary to realize the full potential of narrative coaching within NHS Wales.</w:t>
      </w:r>
    </w:p>
    <w:p w14:paraId="3D18B52F" w14:textId="77777777" w:rsidR="00777287" w:rsidRPr="007319AF" w:rsidRDefault="00777287" w:rsidP="00777287">
      <w:pPr>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Gestalt Coaching holds promise as a valuable tool for enhancing staff well-being, improving teamwork, and ultimately, enhancing patient care within NHS Wales. While challenges exist, the potential benefits outweigh the obstacles, making it a compelling avenue for exploration and implementation within the healthcare system.</w:t>
      </w:r>
    </w:p>
    <w:p w14:paraId="77EBA7EF" w14:textId="77777777" w:rsidR="00777287" w:rsidRPr="007319AF" w:rsidRDefault="00777287" w:rsidP="00777287">
      <w:pPr>
        <w:rPr>
          <w:rFonts w:ascii="Calibri" w:eastAsia="Calibri" w:hAnsi="Calibri" w:cs="Arial"/>
          <w:color w:val="000000"/>
          <w:kern w:val="0"/>
          <w:sz w:val="20"/>
          <w:szCs w:val="20"/>
          <w14:ligatures w14:val="none"/>
        </w:rPr>
      </w:pPr>
      <w:r w:rsidRPr="007319AF">
        <w:rPr>
          <w:rFonts w:ascii="Calibri" w:eastAsia="Calibri" w:hAnsi="Calibri" w:cs="Arial"/>
          <w:kern w:val="0"/>
          <w:sz w:val="20"/>
          <w:szCs w:val="20"/>
          <w14:ligatures w14:val="none"/>
        </w:rPr>
        <w:t xml:space="preserve">While both Narrative and Gestalt coaching both hold promise as a means of enhancing personal and professional development among healthcare workers which in my opinion would lead to a positive change in </w:t>
      </w:r>
      <w:r w:rsidRPr="007319AF">
        <w:rPr>
          <w:rFonts w:ascii="Calibri" w:eastAsia="Calibri" w:hAnsi="Calibri" w:cs="Arial"/>
          <w:kern w:val="0"/>
          <w:sz w:val="20"/>
          <w:szCs w:val="20"/>
          <w14:ligatures w14:val="none"/>
        </w:rPr>
        <w:lastRenderedPageBreak/>
        <w:t xml:space="preserve">culture and behaviour. Both approaches and their effectiveness would rely on various factors. By fostering the self-awareness put forward in both approaches, adopting empathy and increasing resilience amongst staff, they could lead to a more supportive and compassionate workplace. The careful consideration of training, support and readying of the organisation in terms of this change would be necessary for their successful implementation. </w:t>
      </w:r>
      <w:r w:rsidRPr="007319AF">
        <w:rPr>
          <w:rFonts w:ascii="Calibri" w:eastAsia="Calibri" w:hAnsi="Calibri" w:cs="Arial"/>
          <w:color w:val="000000"/>
          <w:kern w:val="0"/>
          <w:sz w:val="20"/>
          <w:szCs w:val="20"/>
          <w14:ligatures w14:val="none"/>
        </w:rPr>
        <w:t xml:space="preserve">I believe that both approaches offer positive factors that can be used in my organisation, I believe there is some crossover between the coaching practices in their psychology, the Gestalt approach looking at the whole picture and taking into consideration the individuals perspective and how everyone can experience things individually as suggested by Nevis (1987). Narrative coaching aligns well with this through its foundational belief that everyone builds their own narrative throughout their own life experiences which will differ from one person to the next. </w:t>
      </w:r>
    </w:p>
    <w:p w14:paraId="26967031" w14:textId="77777777" w:rsidR="00777287" w:rsidRPr="007319AF" w:rsidRDefault="00777287" w:rsidP="00777287">
      <w:pPr>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 xml:space="preserve">From my research it is easy to pick out positive aspects from both Narrative and Gestalt coaching, however there are so many more coaching styles to assess it is difficult to say without further analysis which one would be most impactful in NHS Wales. There were 29 discussed throughout the complete handbook of coaching by Cox et al (2010) and it is even mentioned there are up to 128 at that point in time. I believe putting things into practice often changes perspective of usefulness of an idea and without applying theory myself I could not fully comprehend what would work best for my organisation. However, one thing I do wholeheartedly believe is that by embracing a Coaching approach whilst recognising that the approach should not be a ‘one size fits all’ process, my organisation can foster a culture of continuous learning, resilience, and collaboration, ultimately leading to improved outcomes for both staff and patients. </w:t>
      </w:r>
    </w:p>
    <w:p w14:paraId="745ABEB8" w14:textId="77777777" w:rsidR="00777287" w:rsidRPr="007319AF" w:rsidRDefault="00777287" w:rsidP="00777287">
      <w:pPr>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Some of my recommendations to implementing a coaching approach would be to:</w:t>
      </w:r>
    </w:p>
    <w:p w14:paraId="58539E84" w14:textId="77777777" w:rsidR="00777287" w:rsidRPr="007319AF" w:rsidRDefault="00777287" w:rsidP="00777287">
      <w:pPr>
        <w:numPr>
          <w:ilvl w:val="0"/>
          <w:numId w:val="1"/>
        </w:numPr>
        <w:contextualSpacing/>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Conduct a pilot program to assess the feasibility and effectiveness of the chosen coaching approach, or approaches, with a compare and contrast style of analysis within select departments or teams.</w:t>
      </w:r>
    </w:p>
    <w:p w14:paraId="1AF50998" w14:textId="77777777" w:rsidR="00777287" w:rsidRPr="007319AF" w:rsidRDefault="00777287" w:rsidP="00777287">
      <w:pPr>
        <w:numPr>
          <w:ilvl w:val="0"/>
          <w:numId w:val="1"/>
        </w:numPr>
        <w:contextualSpacing/>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Provide ongoing support and resources for coaches and healthcare professionals to ensure the sustainability of a chosen coaching initiative.</w:t>
      </w:r>
    </w:p>
    <w:p w14:paraId="457DC550" w14:textId="77777777" w:rsidR="00777287" w:rsidRPr="007319AF" w:rsidRDefault="00777287" w:rsidP="00777287">
      <w:pPr>
        <w:numPr>
          <w:ilvl w:val="0"/>
          <w:numId w:val="1"/>
        </w:numPr>
        <w:contextualSpacing/>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Foster a culture of openness and receptivity to coaching practices, encouraging active participation and engagement from all NHS stakeholders.</w:t>
      </w:r>
    </w:p>
    <w:p w14:paraId="050777A4" w14:textId="77777777" w:rsidR="00777287" w:rsidRPr="007319AF" w:rsidRDefault="00777287" w:rsidP="00777287">
      <w:pPr>
        <w:rPr>
          <w:rFonts w:ascii="Calibri" w:eastAsia="Calibri" w:hAnsi="Calibri" w:cs="Arial"/>
          <w:b/>
          <w:bCs/>
          <w:kern w:val="0"/>
          <w:sz w:val="20"/>
          <w:szCs w:val="20"/>
          <w14:ligatures w14:val="none"/>
        </w:rPr>
      </w:pPr>
    </w:p>
    <w:p w14:paraId="0A857F6F" w14:textId="77777777" w:rsidR="00777287" w:rsidRPr="007319AF" w:rsidRDefault="00777287" w:rsidP="00777287">
      <w:pPr>
        <w:rPr>
          <w:rFonts w:ascii="Calibri" w:eastAsia="Calibri" w:hAnsi="Calibri" w:cs="Arial"/>
          <w:kern w:val="0"/>
          <w:sz w:val="20"/>
          <w:szCs w:val="20"/>
          <w14:ligatures w14:val="none"/>
        </w:rPr>
      </w:pPr>
    </w:p>
    <w:p w14:paraId="3E768949" w14:textId="77777777" w:rsidR="00777287" w:rsidRPr="007319AF" w:rsidRDefault="00777287" w:rsidP="00777287">
      <w:pPr>
        <w:rPr>
          <w:rFonts w:ascii="Calibri" w:eastAsia="Calibri" w:hAnsi="Calibri" w:cs="Arial"/>
          <w:b/>
          <w:bCs/>
          <w:color w:val="FF0000"/>
          <w:kern w:val="0"/>
          <w:sz w:val="20"/>
          <w:szCs w:val="20"/>
          <w14:ligatures w14:val="none"/>
        </w:rPr>
      </w:pPr>
    </w:p>
    <w:p w14:paraId="647D85B1" w14:textId="77777777" w:rsidR="00777287" w:rsidRPr="007319AF" w:rsidRDefault="00777287" w:rsidP="00777287">
      <w:pPr>
        <w:rPr>
          <w:rFonts w:ascii="Calibri" w:eastAsia="Calibri" w:hAnsi="Calibri" w:cs="Arial"/>
          <w:b/>
          <w:bCs/>
          <w:color w:val="FF0000"/>
          <w:kern w:val="0"/>
          <w:sz w:val="20"/>
          <w:szCs w:val="20"/>
          <w14:ligatures w14:val="none"/>
        </w:rPr>
      </w:pPr>
    </w:p>
    <w:p w14:paraId="3E7EBEC7" w14:textId="77777777" w:rsidR="00777287" w:rsidRPr="007319AF" w:rsidRDefault="00777287" w:rsidP="00777287">
      <w:pPr>
        <w:rPr>
          <w:rFonts w:ascii="Calibri" w:eastAsia="Calibri" w:hAnsi="Calibri" w:cs="Arial"/>
          <w:b/>
          <w:bCs/>
          <w:color w:val="FF0000"/>
          <w:kern w:val="0"/>
          <w:sz w:val="20"/>
          <w:szCs w:val="20"/>
          <w14:ligatures w14:val="none"/>
        </w:rPr>
      </w:pPr>
    </w:p>
    <w:p w14:paraId="1F69AC37" w14:textId="77777777" w:rsidR="00777287" w:rsidRPr="007319AF" w:rsidRDefault="00777287" w:rsidP="00777287">
      <w:pPr>
        <w:rPr>
          <w:rFonts w:ascii="Calibri" w:eastAsia="Calibri" w:hAnsi="Calibri" w:cs="Arial"/>
          <w:b/>
          <w:bCs/>
          <w:color w:val="FF0000"/>
          <w:kern w:val="0"/>
          <w:sz w:val="20"/>
          <w:szCs w:val="20"/>
          <w14:ligatures w14:val="none"/>
        </w:rPr>
      </w:pPr>
    </w:p>
    <w:p w14:paraId="34007E3E" w14:textId="77777777" w:rsidR="00777287" w:rsidRPr="007319AF" w:rsidRDefault="00777287" w:rsidP="00777287">
      <w:pPr>
        <w:rPr>
          <w:rFonts w:ascii="Calibri" w:eastAsia="Calibri" w:hAnsi="Calibri" w:cs="Arial"/>
          <w:b/>
          <w:bCs/>
          <w:color w:val="FF0000"/>
          <w:kern w:val="0"/>
          <w:sz w:val="20"/>
          <w:szCs w:val="20"/>
          <w14:ligatures w14:val="none"/>
        </w:rPr>
      </w:pPr>
    </w:p>
    <w:p w14:paraId="11F7D636" w14:textId="77777777" w:rsidR="00777287" w:rsidRPr="007319AF" w:rsidRDefault="00777287" w:rsidP="00777287">
      <w:pPr>
        <w:rPr>
          <w:rFonts w:ascii="Calibri" w:eastAsia="Calibri" w:hAnsi="Calibri" w:cs="Arial"/>
          <w:b/>
          <w:bCs/>
          <w:color w:val="FF0000"/>
          <w:kern w:val="0"/>
          <w:sz w:val="20"/>
          <w:szCs w:val="20"/>
          <w14:ligatures w14:val="none"/>
        </w:rPr>
      </w:pPr>
    </w:p>
    <w:p w14:paraId="6BE1863E" w14:textId="77777777" w:rsidR="00777287" w:rsidRPr="007319AF" w:rsidRDefault="00777287" w:rsidP="00777287">
      <w:pPr>
        <w:rPr>
          <w:rFonts w:ascii="Calibri" w:eastAsia="Calibri" w:hAnsi="Calibri" w:cs="Arial"/>
          <w:b/>
          <w:bCs/>
          <w:color w:val="FF0000"/>
          <w:kern w:val="0"/>
          <w:sz w:val="20"/>
          <w:szCs w:val="20"/>
          <w14:ligatures w14:val="none"/>
        </w:rPr>
      </w:pPr>
    </w:p>
    <w:p w14:paraId="45E7F44E" w14:textId="77777777" w:rsidR="00777287" w:rsidRPr="007319AF" w:rsidRDefault="00777287" w:rsidP="00777287">
      <w:pPr>
        <w:rPr>
          <w:rFonts w:ascii="Calibri" w:eastAsia="Calibri" w:hAnsi="Calibri" w:cs="Arial"/>
          <w:b/>
          <w:bCs/>
          <w:color w:val="FF0000"/>
          <w:kern w:val="0"/>
          <w:sz w:val="20"/>
          <w:szCs w:val="20"/>
          <w14:ligatures w14:val="none"/>
        </w:rPr>
      </w:pPr>
    </w:p>
    <w:p w14:paraId="6E9430DF" w14:textId="77777777" w:rsidR="00777287" w:rsidRPr="007319AF" w:rsidRDefault="00777287" w:rsidP="00777287">
      <w:pPr>
        <w:rPr>
          <w:rFonts w:ascii="Calibri" w:eastAsia="Calibri" w:hAnsi="Calibri" w:cs="Arial"/>
          <w:b/>
          <w:bCs/>
          <w:color w:val="FF0000"/>
          <w:kern w:val="0"/>
          <w:sz w:val="20"/>
          <w:szCs w:val="20"/>
          <w14:ligatures w14:val="none"/>
        </w:rPr>
      </w:pPr>
    </w:p>
    <w:p w14:paraId="4623C15D" w14:textId="77777777" w:rsidR="00777287" w:rsidRPr="007319AF" w:rsidRDefault="00777287" w:rsidP="00777287">
      <w:pPr>
        <w:rPr>
          <w:rFonts w:ascii="Calibri" w:eastAsia="Calibri" w:hAnsi="Calibri" w:cs="Arial"/>
          <w:b/>
          <w:bCs/>
          <w:color w:val="FF0000"/>
          <w:kern w:val="0"/>
          <w:sz w:val="20"/>
          <w:szCs w:val="20"/>
          <w14:ligatures w14:val="none"/>
        </w:rPr>
      </w:pPr>
    </w:p>
    <w:p w14:paraId="64BDEB6B" w14:textId="77777777" w:rsidR="00777287" w:rsidRPr="007319AF" w:rsidRDefault="00777287" w:rsidP="00777287">
      <w:pPr>
        <w:rPr>
          <w:rFonts w:ascii="Calibri" w:eastAsia="Calibri" w:hAnsi="Calibri" w:cs="Arial"/>
          <w:b/>
          <w:bCs/>
          <w:kern w:val="0"/>
          <w:sz w:val="20"/>
          <w:szCs w:val="20"/>
          <w14:ligatures w14:val="none"/>
        </w:rPr>
      </w:pPr>
    </w:p>
    <w:p w14:paraId="64FD5185" w14:textId="77777777" w:rsidR="00777287" w:rsidRPr="007319AF" w:rsidRDefault="00777287" w:rsidP="00777287">
      <w:pPr>
        <w:rPr>
          <w:rFonts w:ascii="Calibri" w:eastAsia="Calibri" w:hAnsi="Calibri" w:cs="Arial"/>
          <w:b/>
          <w:bCs/>
          <w:kern w:val="0"/>
          <w:sz w:val="20"/>
          <w:szCs w:val="20"/>
          <w14:ligatures w14:val="none"/>
        </w:rPr>
      </w:pPr>
    </w:p>
    <w:p w14:paraId="652D3980" w14:textId="77777777" w:rsidR="00777287" w:rsidRPr="007319AF" w:rsidRDefault="00777287" w:rsidP="00777287">
      <w:pPr>
        <w:rPr>
          <w:rFonts w:ascii="Calibri" w:eastAsia="Calibri" w:hAnsi="Calibri" w:cs="Arial"/>
          <w:b/>
          <w:bCs/>
          <w:kern w:val="0"/>
          <w:sz w:val="20"/>
          <w:szCs w:val="20"/>
          <w14:ligatures w14:val="none"/>
        </w:rPr>
      </w:pPr>
    </w:p>
    <w:p w14:paraId="1303C9B5" w14:textId="77777777" w:rsidR="00777287" w:rsidRPr="007319AF" w:rsidRDefault="00777287" w:rsidP="00777287">
      <w:pPr>
        <w:rPr>
          <w:rFonts w:ascii="Calibri" w:eastAsia="Calibri" w:hAnsi="Calibri" w:cs="Arial"/>
          <w:b/>
          <w:bCs/>
          <w:kern w:val="0"/>
          <w:sz w:val="20"/>
          <w:szCs w:val="20"/>
          <w14:ligatures w14:val="none"/>
        </w:rPr>
      </w:pPr>
    </w:p>
    <w:p w14:paraId="135DCEF1" w14:textId="77777777" w:rsidR="00777287" w:rsidRDefault="00777287" w:rsidP="00777287">
      <w:pPr>
        <w:rPr>
          <w:rFonts w:ascii="Calibri" w:eastAsia="Calibri" w:hAnsi="Calibri" w:cs="Arial"/>
          <w:b/>
          <w:bCs/>
          <w:kern w:val="0"/>
          <w:sz w:val="20"/>
          <w:szCs w:val="20"/>
          <w14:ligatures w14:val="none"/>
        </w:rPr>
      </w:pPr>
    </w:p>
    <w:p w14:paraId="10D8B125" w14:textId="77777777" w:rsidR="00777287" w:rsidRDefault="00777287" w:rsidP="00777287">
      <w:pPr>
        <w:rPr>
          <w:rFonts w:ascii="Calibri" w:eastAsia="Calibri" w:hAnsi="Calibri" w:cs="Arial"/>
          <w:b/>
          <w:bCs/>
          <w:kern w:val="0"/>
          <w:sz w:val="20"/>
          <w:szCs w:val="20"/>
          <w14:ligatures w14:val="none"/>
        </w:rPr>
      </w:pPr>
    </w:p>
    <w:p w14:paraId="641097C1" w14:textId="77777777" w:rsidR="00777287" w:rsidRPr="007319AF" w:rsidRDefault="00777287" w:rsidP="00777287">
      <w:pPr>
        <w:pStyle w:val="Heading2"/>
        <w:rPr>
          <w:rFonts w:eastAsia="Calibri"/>
          <w:color w:val="FF0000"/>
        </w:rPr>
      </w:pPr>
      <w:bookmarkStart w:id="8" w:name="_Toc162426760"/>
      <w:r w:rsidRPr="007319AF">
        <w:rPr>
          <w:rFonts w:eastAsia="Calibri"/>
        </w:rPr>
        <w:t>References</w:t>
      </w:r>
      <w:bookmarkEnd w:id="8"/>
    </w:p>
    <w:p w14:paraId="6B9AB39B"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Bergquist, W. (2006). The Four Approaches to Coaching. International Journal of Coaching in Organizations, 4(2), 32-43.</w:t>
      </w:r>
    </w:p>
    <w:p w14:paraId="28E9421D"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Cox, Bachkirova &amp; Clutterbuck, (2010). The complete handbook of coaching. SAGE. Chicago Style 17th ed. </w:t>
      </w:r>
    </w:p>
    <w:p w14:paraId="179A0F4E"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Denborough, D. (2008). Collective narrative practice: Responding to individuals, groups, and communities who have experienced trauma. Dulwich Centre Publications.</w:t>
      </w:r>
    </w:p>
    <w:p w14:paraId="0C49E2BB"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Drake, D.B (2010) ‘Narrative Coaching’ in Cox, E., Bachkirova, T. and Clutterbuck, D. (Eds). The Complete Handbook of Coaching. London: Sage, pp.120-131.</w:t>
      </w:r>
    </w:p>
    <w:p w14:paraId="098BC6AD"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Drake, D. B., &amp; Wong, K. A. (2016). Narrative coaching: Bringing new possibilities to leadership development and executive coaching. Leadership &amp; Organization Development Journal, 37(8), 1068-1086.</w:t>
      </w:r>
    </w:p>
    <w:p w14:paraId="52518ACD"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 xml:space="preserve">Elrod, P.D. and Tippett, D.D. (2002). </w:t>
      </w:r>
      <w:r w:rsidRPr="007319AF">
        <w:rPr>
          <w:rFonts w:ascii="Calibri" w:eastAsia="Calibri" w:hAnsi="Calibri" w:cs="Arial"/>
          <w:i/>
          <w:iCs/>
          <w:kern w:val="0"/>
          <w:sz w:val="20"/>
          <w:szCs w:val="20"/>
          <w14:ligatures w14:val="none"/>
        </w:rPr>
        <w:t>The “death valley” of change. Journal of organizational change management</w:t>
      </w:r>
      <w:r w:rsidRPr="007319AF">
        <w:rPr>
          <w:rFonts w:ascii="Calibri" w:eastAsia="Calibri" w:hAnsi="Calibri" w:cs="Arial"/>
          <w:kern w:val="0"/>
          <w:sz w:val="20"/>
          <w:szCs w:val="20"/>
          <w14:ligatures w14:val="none"/>
        </w:rPr>
        <w:t>. 15(3), pp.273-291.</w:t>
      </w:r>
    </w:p>
    <w:p w14:paraId="1D46BDE8"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Grant, A. M. (2011). The Third ‘Wave’ of Cognitive Behavioural Therapies: What is New and What is Effective? Trauma and Substance Abuse: Causes, Consequences, and Treatment of Comorbid Disorders (pp. 41–63). American Psychological Association.</w:t>
      </w:r>
    </w:p>
    <w:p w14:paraId="3DF0222E"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 xml:space="preserve">Handy, C. (1978). </w:t>
      </w:r>
      <w:r w:rsidRPr="007319AF">
        <w:rPr>
          <w:rFonts w:ascii="Calibri" w:eastAsia="Calibri" w:hAnsi="Calibri" w:cs="Arial"/>
          <w:i/>
          <w:iCs/>
          <w:kern w:val="0"/>
          <w:sz w:val="20"/>
          <w:szCs w:val="20"/>
          <w14:ligatures w14:val="none"/>
        </w:rPr>
        <w:t>Gods Of Management.</w:t>
      </w:r>
      <w:r w:rsidRPr="007319AF">
        <w:rPr>
          <w:rFonts w:ascii="Calibri" w:eastAsia="Calibri" w:hAnsi="Calibri" w:cs="Arial"/>
          <w:kern w:val="0"/>
          <w:sz w:val="20"/>
          <w:szCs w:val="20"/>
          <w14:ligatures w14:val="none"/>
        </w:rPr>
        <w:t xml:space="preserve"> London: CPI Group (UK) Ltd  </w:t>
      </w:r>
    </w:p>
    <w:p w14:paraId="405C21B1"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Hawkins, P., &amp; Shohet, R. (2012). Supervision in the Helping Professions. McGraw-Hill Education.</w:t>
      </w:r>
    </w:p>
    <w:p w14:paraId="29855B1E"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Johnsons, S, M.D. (1998). Who Moved My Cheese: London:  Vermillion, an imprint of Ebury Publishing</w:t>
      </w:r>
    </w:p>
    <w:p w14:paraId="7C05633D"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 xml:space="preserve">Jung, C.G. Jung (1971). </w:t>
      </w:r>
      <w:r w:rsidRPr="007319AF">
        <w:rPr>
          <w:rFonts w:ascii="Calibri" w:eastAsia="Calibri" w:hAnsi="Calibri" w:cs="Arial"/>
          <w:i/>
          <w:iCs/>
          <w:kern w:val="0"/>
          <w:sz w:val="20"/>
          <w:szCs w:val="20"/>
          <w14:ligatures w14:val="none"/>
        </w:rPr>
        <w:t>Psychological Types</w:t>
      </w:r>
      <w:r w:rsidRPr="007319AF">
        <w:rPr>
          <w:rFonts w:ascii="Calibri" w:eastAsia="Calibri" w:hAnsi="Calibri" w:cs="Arial"/>
          <w:kern w:val="0"/>
          <w:sz w:val="20"/>
          <w:szCs w:val="20"/>
          <w14:ligatures w14:val="none"/>
        </w:rPr>
        <w:t>: Harcourt &amp; Brace 1923; Princeton 1971 </w:t>
      </w:r>
    </w:p>
    <w:p w14:paraId="75BD1717"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Netuveli, G. and Bartley, M. (2009). Perception is reality: Effect of Subjective vs Objective Socio-Economic Position on Quality of life. British Sociological Association. Volume 46. Issue 6.</w:t>
      </w:r>
    </w:p>
    <w:p w14:paraId="722BB7FA"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Melnick, J. &amp; Nevis, S.M. (2005). The willing suspension of disbelief: Optimism. Gestalt Review. 9. 10-26.</w:t>
      </w:r>
    </w:p>
    <w:p w14:paraId="123DDDF2"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Morgan, A. (2013). What is narrative coaching? International Journal of Evidence Based Coaching and Mentoring, 11(2), 1-16.</w:t>
      </w:r>
    </w:p>
    <w:p w14:paraId="6A784495"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Nevis, E. C. (1987). Organizational consulting: A Gestalt approach. Gestalt Journal Press.</w:t>
      </w:r>
    </w:p>
    <w:p w14:paraId="22EC06C3"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 xml:space="preserve">Passmore, Petersen &amp; Freire, (2016) The Wiley-Blackwell Handbook of the Psychology of Coaching and Mentoring. Wiley Blackwell. </w:t>
      </w:r>
    </w:p>
    <w:p w14:paraId="53CC1944" w14:textId="77777777" w:rsidR="00777287" w:rsidRDefault="00777287" w:rsidP="00777287">
      <w:pPr>
        <w:ind w:left="720" w:hanging="720"/>
        <w:rPr>
          <w:rFonts w:ascii="Calibri" w:eastAsia="Calibri" w:hAnsi="Calibri" w:cs="Arial"/>
          <w:kern w:val="0"/>
          <w:sz w:val="20"/>
          <w:szCs w:val="20"/>
          <w14:ligatures w14:val="none"/>
        </w:rPr>
      </w:pPr>
      <w:bookmarkStart w:id="9" w:name="_Hlk162430504"/>
      <w:r w:rsidRPr="007319AF">
        <w:rPr>
          <w:rFonts w:ascii="Calibri" w:eastAsia="Calibri" w:hAnsi="Calibri" w:cs="Arial"/>
          <w:kern w:val="0"/>
          <w:sz w:val="20"/>
          <w:szCs w:val="20"/>
          <w14:ligatures w14:val="none"/>
        </w:rPr>
        <w:t>Sarbin, T. R. (1986). Narrative psychology: The storied nature of human conduct. Praeger. American Anthropological Association.</w:t>
      </w:r>
    </w:p>
    <w:bookmarkEnd w:id="9"/>
    <w:p w14:paraId="57F228E8" w14:textId="77777777" w:rsidR="00777287" w:rsidRDefault="00777287" w:rsidP="00777287">
      <w:pPr>
        <w:ind w:left="720" w:hanging="720"/>
        <w:rPr>
          <w:rFonts w:ascii="Calibri" w:eastAsia="Calibri" w:hAnsi="Calibri" w:cs="Arial"/>
          <w:kern w:val="0"/>
          <w:sz w:val="20"/>
          <w:szCs w:val="20"/>
          <w14:ligatures w14:val="none"/>
        </w:rPr>
      </w:pPr>
      <w:r w:rsidRPr="00777287">
        <w:rPr>
          <w:rFonts w:ascii="Calibri" w:eastAsia="Calibri" w:hAnsi="Calibri" w:cs="Arial"/>
          <w:kern w:val="0"/>
          <w:sz w:val="20"/>
          <w:szCs w:val="20"/>
          <w:lang w:val="it-IT"/>
          <w14:ligatures w14:val="none"/>
        </w:rPr>
        <w:t xml:space="preserve">Siminovitch, D.E. &amp; Van Eron (2006). </w:t>
      </w:r>
      <w:r w:rsidRPr="007319AF">
        <w:rPr>
          <w:rFonts w:ascii="Calibri" w:eastAsia="Calibri" w:hAnsi="Calibri" w:cs="Arial"/>
          <w:kern w:val="0"/>
          <w:sz w:val="20"/>
          <w:szCs w:val="20"/>
          <w14:ligatures w14:val="none"/>
        </w:rPr>
        <w:t>The Pragmatics of Magic The Work of Gestalt Coaching. Semantic Scholoar. The Pragmatics of Magic The Work of Gestalt Coaching | Semantic Scholar [Accessed: 11/01/2024].</w:t>
      </w:r>
    </w:p>
    <w:p w14:paraId="00183902"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Stevenson, H. (2005). Gestalt Coaching. The Organisatino Development Network, Inc. OD Practitioner. VOL. 37. NO, 4</w:t>
      </w:r>
    </w:p>
    <w:p w14:paraId="3C4FA458" w14:textId="77777777" w:rsidR="00777287" w:rsidRPr="007319AF"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t>Sieler, A (2010), ‘Ontological Coaching’, in Cox, E., Bachkirova, T. and Clutterbuck, D. (eds) (2010) The complete handbook of coaching. London: SAGE p.107-119</w:t>
      </w:r>
    </w:p>
    <w:p w14:paraId="56609AA9" w14:textId="77777777" w:rsidR="00777287" w:rsidRPr="00FF6662" w:rsidRDefault="00777287" w:rsidP="00777287">
      <w:pPr>
        <w:ind w:left="720" w:hanging="720"/>
        <w:rPr>
          <w:rFonts w:ascii="Calibri" w:eastAsia="Calibri" w:hAnsi="Calibri" w:cs="Arial"/>
          <w:kern w:val="0"/>
          <w:sz w:val="20"/>
          <w:szCs w:val="20"/>
          <w14:ligatures w14:val="none"/>
        </w:rPr>
      </w:pPr>
      <w:r w:rsidRPr="007319AF">
        <w:rPr>
          <w:rFonts w:ascii="Calibri" w:eastAsia="Calibri" w:hAnsi="Calibri" w:cs="Arial"/>
          <w:kern w:val="0"/>
          <w:sz w:val="20"/>
          <w:szCs w:val="20"/>
          <w14:ligatures w14:val="none"/>
        </w:rPr>
        <w:lastRenderedPageBreak/>
        <w:t xml:space="preserve">Whitmore, J. (1992). Coaching for Performance: The Principles and Practice of Coaching and Leadership. pp.90-125. London Bostond. Nicholas Brealey Publishing. 5th Ed. </w:t>
      </w:r>
    </w:p>
    <w:p w14:paraId="531A32F0" w14:textId="77777777" w:rsidR="00777287" w:rsidRDefault="00777287" w:rsidP="00777287">
      <w:pPr>
        <w:spacing w:after="0" w:line="240" w:lineRule="auto"/>
        <w:rPr>
          <w:rFonts w:ascii="Calibri" w:eastAsia="Calibri" w:hAnsi="Calibri" w:cs="Times New Roman"/>
          <w:b/>
          <w:bCs/>
          <w:kern w:val="0"/>
          <w:sz w:val="20"/>
          <w:szCs w:val="20"/>
          <w14:ligatures w14:val="none"/>
        </w:rPr>
      </w:pPr>
    </w:p>
    <w:p w14:paraId="66934C56" w14:textId="77777777" w:rsidR="00FF67F6" w:rsidRDefault="00FF67F6"/>
    <w:sectPr w:rsidR="00FF67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8F2D83"/>
    <w:multiLevelType w:val="hybridMultilevel"/>
    <w:tmpl w:val="2ECEDF3E"/>
    <w:lvl w:ilvl="0" w:tplc="03F8B4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627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287"/>
    <w:rsid w:val="00777287"/>
    <w:rsid w:val="00CB640C"/>
    <w:rsid w:val="00FF6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27731"/>
  <w15:chartTrackingRefBased/>
  <w15:docId w15:val="{EB2E8778-352B-4B32-8634-73FCAD43E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287"/>
  </w:style>
  <w:style w:type="paragraph" w:styleId="Heading1">
    <w:name w:val="heading 1"/>
    <w:basedOn w:val="Normal"/>
    <w:next w:val="Normal"/>
    <w:link w:val="Heading1Char"/>
    <w:uiPriority w:val="9"/>
    <w:qFormat/>
    <w:rsid w:val="007772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72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72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72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72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72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72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72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72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2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72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72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72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72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72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72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72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7287"/>
    <w:rPr>
      <w:rFonts w:eastAsiaTheme="majorEastAsia" w:cstheme="majorBidi"/>
      <w:color w:val="272727" w:themeColor="text1" w:themeTint="D8"/>
    </w:rPr>
  </w:style>
  <w:style w:type="paragraph" w:styleId="Title">
    <w:name w:val="Title"/>
    <w:basedOn w:val="Normal"/>
    <w:next w:val="Normal"/>
    <w:link w:val="TitleChar"/>
    <w:uiPriority w:val="10"/>
    <w:qFormat/>
    <w:rsid w:val="007772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72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72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72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7287"/>
    <w:pPr>
      <w:spacing w:before="160"/>
      <w:jc w:val="center"/>
    </w:pPr>
    <w:rPr>
      <w:i/>
      <w:iCs/>
      <w:color w:val="404040" w:themeColor="text1" w:themeTint="BF"/>
    </w:rPr>
  </w:style>
  <w:style w:type="character" w:customStyle="1" w:styleId="QuoteChar">
    <w:name w:val="Quote Char"/>
    <w:basedOn w:val="DefaultParagraphFont"/>
    <w:link w:val="Quote"/>
    <w:uiPriority w:val="29"/>
    <w:rsid w:val="00777287"/>
    <w:rPr>
      <w:i/>
      <w:iCs/>
      <w:color w:val="404040" w:themeColor="text1" w:themeTint="BF"/>
    </w:rPr>
  </w:style>
  <w:style w:type="paragraph" w:styleId="ListParagraph">
    <w:name w:val="List Paragraph"/>
    <w:basedOn w:val="Normal"/>
    <w:uiPriority w:val="34"/>
    <w:qFormat/>
    <w:rsid w:val="00777287"/>
    <w:pPr>
      <w:ind w:left="720"/>
      <w:contextualSpacing/>
    </w:pPr>
  </w:style>
  <w:style w:type="character" w:styleId="IntenseEmphasis">
    <w:name w:val="Intense Emphasis"/>
    <w:basedOn w:val="DefaultParagraphFont"/>
    <w:uiPriority w:val="21"/>
    <w:qFormat/>
    <w:rsid w:val="00777287"/>
    <w:rPr>
      <w:i/>
      <w:iCs/>
      <w:color w:val="0F4761" w:themeColor="accent1" w:themeShade="BF"/>
    </w:rPr>
  </w:style>
  <w:style w:type="paragraph" w:styleId="IntenseQuote">
    <w:name w:val="Intense Quote"/>
    <w:basedOn w:val="Normal"/>
    <w:next w:val="Normal"/>
    <w:link w:val="IntenseQuoteChar"/>
    <w:uiPriority w:val="30"/>
    <w:qFormat/>
    <w:rsid w:val="007772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7287"/>
    <w:rPr>
      <w:i/>
      <w:iCs/>
      <w:color w:val="0F4761" w:themeColor="accent1" w:themeShade="BF"/>
    </w:rPr>
  </w:style>
  <w:style w:type="character" w:styleId="IntenseReference">
    <w:name w:val="Intense Reference"/>
    <w:basedOn w:val="DefaultParagraphFont"/>
    <w:uiPriority w:val="32"/>
    <w:qFormat/>
    <w:rsid w:val="0077728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3642</Words>
  <Characters>20764</Characters>
  <Application>Microsoft Office Word</Application>
  <DocSecurity>0</DocSecurity>
  <Lines>173</Lines>
  <Paragraphs>48</Paragraphs>
  <ScaleCrop>false</ScaleCrop>
  <Company/>
  <LinksUpToDate>false</LinksUpToDate>
  <CharactersWithSpaces>24358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Heaton (DHCW - Clinical Directorate)</dc:creator>
  <cp:keywords/>
  <dc:description/>
  <cp:lastModifiedBy>Ben Heaton (DHCW - Clinical Directorate)</cp:lastModifiedBy>
  <cp:revision>1</cp:revision>
  <dcterms:created xsi:type="dcterms:W3CDTF">2024-04-12T12:40:00Z</dcterms:created>
  <dcterms:modified xsi:type="dcterms:W3CDTF">2024-04-12T12:42:00Z</dcterms:modified>
</cp:coreProperties>
</file>