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Calibri"/>
        </w:rPr>
        <w:id w:val="-1316957902"/>
        <w:docPartObj>
          <w:docPartGallery w:val="Cover Pages"/>
          <w:docPartUnique/>
        </w:docPartObj>
      </w:sdtPr>
      <w:sdtEndPr>
        <w:rPr>
          <w:highlight w:val="lightGray"/>
        </w:rPr>
      </w:sdtEndPr>
      <w:sdtContent>
        <w:p w14:paraId="29B978EA" w14:textId="0E4DC662" w:rsidR="00D2557A" w:rsidRPr="00C40FA7" w:rsidRDefault="00D2557A" w:rsidP="00D835E5">
          <w:pPr>
            <w:rPr>
              <w:rFonts w:cs="Calibri"/>
            </w:rPr>
          </w:pPr>
          <w:r w:rsidRPr="00C40FA7">
            <w:rPr>
              <w:rFonts w:cs="Calibri"/>
              <w:noProof/>
            </w:rPr>
            <mc:AlternateContent>
              <mc:Choice Requires="wpg">
                <w:drawing>
                  <wp:anchor distT="0" distB="0" distL="114300" distR="114300" simplePos="0" relativeHeight="251658240" behindDoc="1" locked="0" layoutInCell="1" allowOverlap="1" wp14:anchorId="4B607D9A" wp14:editId="1BDE304B">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456D434" w14:textId="20FE55AF" w:rsidR="00D2557A" w:rsidRDefault="00F15AB9">
                                      <w:pPr>
                                        <w:pStyle w:val="NoSpacing"/>
                                        <w:spacing w:before="120"/>
                                        <w:jc w:val="center"/>
                                        <w:rPr>
                                          <w:color w:val="FFFFFF" w:themeColor="background1"/>
                                        </w:rPr>
                                      </w:pPr>
                                      <w:r>
                                        <w:rPr>
                                          <w:color w:val="FFFFFF" w:themeColor="background1"/>
                                        </w:rPr>
                                        <w:t>Huw Morgan (1750078)</w:t>
                                      </w:r>
                                    </w:p>
                                  </w:sdtContent>
                                </w:sdt>
                                <w:p w14:paraId="4217BA43" w14:textId="2A7C861E" w:rsidR="00D2557A" w:rsidRDefault="00000000" w:rsidP="00AB6FF5">
                                  <w:pPr>
                                    <w:pStyle w:val="NoSpacing"/>
                                    <w:spacing w:before="120"/>
                                    <w:jc w:val="right"/>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B6FF5">
                                        <w:rPr>
                                          <w:caps/>
                                          <w:color w:val="FFFFFF" w:themeColor="background1"/>
                                        </w:rPr>
                                        <w:t xml:space="preserve">     </w:t>
                                      </w:r>
                                    </w:sdtContent>
                                  </w:sdt>
                                  <w:r w:rsidR="00D2557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AB6FF5">
                                        <w:rPr>
                                          <w:color w:val="FFFFFF" w:themeColor="background1"/>
                                        </w:rPr>
                                        <w:t>1750078@student.uwtsd.ac.uk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8DEC0FD" w14:textId="72CC9BEE" w:rsidR="00D2557A" w:rsidRDefault="00AB6FF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56"/>
                                          <w:szCs w:val="56"/>
                                        </w:rPr>
                                        <w:t>How can a student-centred environment be created                 for Level 2 vocational students in A Further Education                INSTITUTION IN WALES?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607D9A" id="Group 105"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456D434" w14:textId="20FE55AF" w:rsidR="00D2557A" w:rsidRDefault="00F15AB9">
                                <w:pPr>
                                  <w:pStyle w:val="NoSpacing"/>
                                  <w:spacing w:before="120"/>
                                  <w:jc w:val="center"/>
                                  <w:rPr>
                                    <w:color w:val="FFFFFF" w:themeColor="background1"/>
                                  </w:rPr>
                                </w:pPr>
                                <w:r>
                                  <w:rPr>
                                    <w:color w:val="FFFFFF" w:themeColor="background1"/>
                                  </w:rPr>
                                  <w:t>Huw Morgan (1750078)</w:t>
                                </w:r>
                              </w:p>
                            </w:sdtContent>
                          </w:sdt>
                          <w:p w14:paraId="4217BA43" w14:textId="2A7C861E" w:rsidR="00D2557A" w:rsidRDefault="00000000" w:rsidP="00AB6FF5">
                            <w:pPr>
                              <w:pStyle w:val="NoSpacing"/>
                              <w:spacing w:before="120"/>
                              <w:jc w:val="right"/>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B6FF5">
                                  <w:rPr>
                                    <w:caps/>
                                    <w:color w:val="FFFFFF" w:themeColor="background1"/>
                                  </w:rPr>
                                  <w:t xml:space="preserve">     </w:t>
                                </w:r>
                              </w:sdtContent>
                            </w:sdt>
                            <w:r w:rsidR="00D2557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AB6FF5">
                                  <w:rPr>
                                    <w:color w:val="FFFFFF" w:themeColor="background1"/>
                                  </w:rPr>
                                  <w:t>1750078@student.uwtsd.ac.uk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8DEC0FD" w14:textId="72CC9BEE" w:rsidR="00D2557A" w:rsidRDefault="00AB6FF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56"/>
                                    <w:szCs w:val="56"/>
                                  </w:rPr>
                                  <w:t>How can a student-centred environment be created                 for Level 2 vocational students in A Further Education                INSTITUTION IN WALES?</w:t>
                                </w:r>
                              </w:p>
                            </w:sdtContent>
                          </w:sdt>
                        </w:txbxContent>
                      </v:textbox>
                    </v:shape>
                    <w10:wrap anchorx="page" anchory="page"/>
                  </v:group>
                </w:pict>
              </mc:Fallback>
            </mc:AlternateContent>
          </w:r>
        </w:p>
        <w:p w14:paraId="1F231B5E" w14:textId="144F6A59" w:rsidR="00D2557A" w:rsidRPr="00C40FA7" w:rsidRDefault="00D2557A" w:rsidP="00D835E5">
          <w:pPr>
            <w:rPr>
              <w:rFonts w:cs="Calibri"/>
              <w:highlight w:val="lightGray"/>
            </w:rPr>
          </w:pPr>
          <w:r w:rsidRPr="00C40FA7">
            <w:rPr>
              <w:rFonts w:cs="Calibri"/>
              <w:highlight w:val="lightGray"/>
            </w:rPr>
            <w:br w:type="page"/>
          </w:r>
        </w:p>
      </w:sdtContent>
    </w:sdt>
    <w:sdt>
      <w:sdtPr>
        <w:rPr>
          <w:rFonts w:ascii="Calibri" w:eastAsia="Times New Roman" w:hAnsi="Calibri" w:cs="Times New Roman"/>
          <w:b w:val="0"/>
          <w:bCs w:val="0"/>
          <w:color w:val="auto"/>
          <w:sz w:val="24"/>
          <w:szCs w:val="24"/>
          <w:lang w:val="en-GB" w:eastAsia="en-GB"/>
        </w:rPr>
        <w:id w:val="1041790620"/>
        <w:docPartObj>
          <w:docPartGallery w:val="Table of Contents"/>
          <w:docPartUnique/>
        </w:docPartObj>
      </w:sdtPr>
      <w:sdtEndPr>
        <w:rPr>
          <w:noProof/>
        </w:rPr>
      </w:sdtEndPr>
      <w:sdtContent>
        <w:p w14:paraId="1390A147" w14:textId="7DA0DB5D" w:rsidR="00BF5779" w:rsidRPr="003524D8" w:rsidRDefault="00BF5779">
          <w:pPr>
            <w:pStyle w:val="TOCHeading"/>
            <w:rPr>
              <w:rStyle w:val="Heading2Char"/>
            </w:rPr>
          </w:pPr>
          <w:r w:rsidRPr="003524D8">
            <w:rPr>
              <w:rStyle w:val="Heading2Char"/>
            </w:rPr>
            <w:t>Table of Contents</w:t>
          </w:r>
        </w:p>
        <w:p w14:paraId="234FC4EC" w14:textId="576189E8" w:rsidR="007A71A7" w:rsidRDefault="00BF5779">
          <w:pPr>
            <w:pStyle w:val="TOC2"/>
            <w:tabs>
              <w:tab w:val="right" w:leader="dot" w:pos="9350"/>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85674557" w:history="1">
            <w:r w:rsidR="007A71A7" w:rsidRPr="001B78D6">
              <w:rPr>
                <w:rStyle w:val="Hyperlink"/>
                <w:rFonts w:eastAsiaTheme="majorEastAsia"/>
                <w:noProof/>
              </w:rPr>
              <w:t>TABLE OF FIGURES</w:t>
            </w:r>
            <w:r w:rsidR="007A71A7">
              <w:rPr>
                <w:noProof/>
                <w:webHidden/>
              </w:rPr>
              <w:tab/>
            </w:r>
            <w:r w:rsidR="007A71A7">
              <w:rPr>
                <w:noProof/>
                <w:webHidden/>
              </w:rPr>
              <w:fldChar w:fldCharType="begin"/>
            </w:r>
            <w:r w:rsidR="007A71A7">
              <w:rPr>
                <w:noProof/>
                <w:webHidden/>
              </w:rPr>
              <w:instrText xml:space="preserve"> PAGEREF _Toc185674557 \h </w:instrText>
            </w:r>
            <w:r w:rsidR="007A71A7">
              <w:rPr>
                <w:noProof/>
                <w:webHidden/>
              </w:rPr>
            </w:r>
            <w:r w:rsidR="007A71A7">
              <w:rPr>
                <w:noProof/>
                <w:webHidden/>
              </w:rPr>
              <w:fldChar w:fldCharType="separate"/>
            </w:r>
            <w:r w:rsidR="007A71A7">
              <w:rPr>
                <w:noProof/>
                <w:webHidden/>
              </w:rPr>
              <w:t>2</w:t>
            </w:r>
            <w:r w:rsidR="007A71A7">
              <w:rPr>
                <w:noProof/>
                <w:webHidden/>
              </w:rPr>
              <w:fldChar w:fldCharType="end"/>
            </w:r>
          </w:hyperlink>
        </w:p>
        <w:p w14:paraId="46425804" w14:textId="71A5965E"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58" w:history="1">
            <w:r w:rsidRPr="001B78D6">
              <w:rPr>
                <w:rStyle w:val="Hyperlink"/>
                <w:rFonts w:eastAsiaTheme="majorEastAsia"/>
                <w:noProof/>
              </w:rPr>
              <w:t>CONVENTIONS</w:t>
            </w:r>
            <w:r>
              <w:rPr>
                <w:noProof/>
                <w:webHidden/>
              </w:rPr>
              <w:tab/>
            </w:r>
            <w:r>
              <w:rPr>
                <w:noProof/>
                <w:webHidden/>
              </w:rPr>
              <w:fldChar w:fldCharType="begin"/>
            </w:r>
            <w:r>
              <w:rPr>
                <w:noProof/>
                <w:webHidden/>
              </w:rPr>
              <w:instrText xml:space="preserve"> PAGEREF _Toc185674558 \h </w:instrText>
            </w:r>
            <w:r>
              <w:rPr>
                <w:noProof/>
                <w:webHidden/>
              </w:rPr>
            </w:r>
            <w:r>
              <w:rPr>
                <w:noProof/>
                <w:webHidden/>
              </w:rPr>
              <w:fldChar w:fldCharType="separate"/>
            </w:r>
            <w:r>
              <w:rPr>
                <w:noProof/>
                <w:webHidden/>
              </w:rPr>
              <w:t>2</w:t>
            </w:r>
            <w:r>
              <w:rPr>
                <w:noProof/>
                <w:webHidden/>
              </w:rPr>
              <w:fldChar w:fldCharType="end"/>
            </w:r>
          </w:hyperlink>
        </w:p>
        <w:p w14:paraId="7A3779D3" w14:textId="61ECD982"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59" w:history="1">
            <w:r w:rsidRPr="001B78D6">
              <w:rPr>
                <w:rStyle w:val="Hyperlink"/>
                <w:rFonts w:eastAsiaTheme="majorEastAsia"/>
                <w:noProof/>
              </w:rPr>
              <w:t>WORD COUNT</w:t>
            </w:r>
            <w:r>
              <w:rPr>
                <w:noProof/>
                <w:webHidden/>
              </w:rPr>
              <w:tab/>
            </w:r>
            <w:r>
              <w:rPr>
                <w:noProof/>
                <w:webHidden/>
              </w:rPr>
              <w:fldChar w:fldCharType="begin"/>
            </w:r>
            <w:r>
              <w:rPr>
                <w:noProof/>
                <w:webHidden/>
              </w:rPr>
              <w:instrText xml:space="preserve"> PAGEREF _Toc185674559 \h </w:instrText>
            </w:r>
            <w:r>
              <w:rPr>
                <w:noProof/>
                <w:webHidden/>
              </w:rPr>
            </w:r>
            <w:r>
              <w:rPr>
                <w:noProof/>
                <w:webHidden/>
              </w:rPr>
              <w:fldChar w:fldCharType="separate"/>
            </w:r>
            <w:r>
              <w:rPr>
                <w:noProof/>
                <w:webHidden/>
              </w:rPr>
              <w:t>2</w:t>
            </w:r>
            <w:r>
              <w:rPr>
                <w:noProof/>
                <w:webHidden/>
              </w:rPr>
              <w:fldChar w:fldCharType="end"/>
            </w:r>
          </w:hyperlink>
        </w:p>
        <w:p w14:paraId="3D4994D4" w14:textId="640DCC30"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0" w:history="1">
            <w:r w:rsidRPr="001B78D6">
              <w:rPr>
                <w:rStyle w:val="Hyperlink"/>
                <w:rFonts w:eastAsiaTheme="majorEastAsia"/>
                <w:noProof/>
              </w:rPr>
              <w:t>ABSTRACT</w:t>
            </w:r>
            <w:r>
              <w:rPr>
                <w:noProof/>
                <w:webHidden/>
              </w:rPr>
              <w:tab/>
            </w:r>
            <w:r>
              <w:rPr>
                <w:noProof/>
                <w:webHidden/>
              </w:rPr>
              <w:fldChar w:fldCharType="begin"/>
            </w:r>
            <w:r>
              <w:rPr>
                <w:noProof/>
                <w:webHidden/>
              </w:rPr>
              <w:instrText xml:space="preserve"> PAGEREF _Toc185674560 \h </w:instrText>
            </w:r>
            <w:r>
              <w:rPr>
                <w:noProof/>
                <w:webHidden/>
              </w:rPr>
            </w:r>
            <w:r>
              <w:rPr>
                <w:noProof/>
                <w:webHidden/>
              </w:rPr>
              <w:fldChar w:fldCharType="separate"/>
            </w:r>
            <w:r>
              <w:rPr>
                <w:noProof/>
                <w:webHidden/>
              </w:rPr>
              <w:t>3</w:t>
            </w:r>
            <w:r>
              <w:rPr>
                <w:noProof/>
                <w:webHidden/>
              </w:rPr>
              <w:fldChar w:fldCharType="end"/>
            </w:r>
          </w:hyperlink>
        </w:p>
        <w:p w14:paraId="4ADF688D" w14:textId="6BEA841F"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1" w:history="1">
            <w:r w:rsidRPr="001B78D6">
              <w:rPr>
                <w:rStyle w:val="Hyperlink"/>
                <w:rFonts w:eastAsiaTheme="majorEastAsia"/>
                <w:noProof/>
              </w:rPr>
              <w:t>KEYWORDS</w:t>
            </w:r>
            <w:r>
              <w:rPr>
                <w:noProof/>
                <w:webHidden/>
              </w:rPr>
              <w:tab/>
            </w:r>
            <w:r>
              <w:rPr>
                <w:noProof/>
                <w:webHidden/>
              </w:rPr>
              <w:fldChar w:fldCharType="begin"/>
            </w:r>
            <w:r>
              <w:rPr>
                <w:noProof/>
                <w:webHidden/>
              </w:rPr>
              <w:instrText xml:space="preserve"> PAGEREF _Toc185674561 \h </w:instrText>
            </w:r>
            <w:r>
              <w:rPr>
                <w:noProof/>
                <w:webHidden/>
              </w:rPr>
            </w:r>
            <w:r>
              <w:rPr>
                <w:noProof/>
                <w:webHidden/>
              </w:rPr>
              <w:fldChar w:fldCharType="separate"/>
            </w:r>
            <w:r>
              <w:rPr>
                <w:noProof/>
                <w:webHidden/>
              </w:rPr>
              <w:t>3</w:t>
            </w:r>
            <w:r>
              <w:rPr>
                <w:noProof/>
                <w:webHidden/>
              </w:rPr>
              <w:fldChar w:fldCharType="end"/>
            </w:r>
          </w:hyperlink>
        </w:p>
        <w:p w14:paraId="77BAB366" w14:textId="2AB5F7C3"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62" w:history="1">
            <w:r w:rsidRPr="001B78D6">
              <w:rPr>
                <w:rStyle w:val="Hyperlink"/>
                <w:rFonts w:eastAsiaTheme="majorEastAsia"/>
                <w:noProof/>
              </w:rPr>
              <w:t>1.</w:t>
            </w:r>
            <w:r>
              <w:rPr>
                <w:rFonts w:eastAsiaTheme="minorEastAsia" w:cstheme="minorBidi"/>
                <w:b w:val="0"/>
                <w:bCs w:val="0"/>
                <w:i w:val="0"/>
                <w:iCs w:val="0"/>
                <w:noProof/>
                <w:kern w:val="2"/>
                <w14:ligatures w14:val="standardContextual"/>
              </w:rPr>
              <w:tab/>
            </w:r>
            <w:r w:rsidRPr="001B78D6">
              <w:rPr>
                <w:rStyle w:val="Hyperlink"/>
                <w:rFonts w:eastAsiaTheme="majorEastAsia"/>
                <w:noProof/>
              </w:rPr>
              <w:t>INTRODUCTION</w:t>
            </w:r>
            <w:r>
              <w:rPr>
                <w:noProof/>
                <w:webHidden/>
              </w:rPr>
              <w:tab/>
            </w:r>
            <w:r>
              <w:rPr>
                <w:noProof/>
                <w:webHidden/>
              </w:rPr>
              <w:fldChar w:fldCharType="begin"/>
            </w:r>
            <w:r>
              <w:rPr>
                <w:noProof/>
                <w:webHidden/>
              </w:rPr>
              <w:instrText xml:space="preserve"> PAGEREF _Toc185674562 \h </w:instrText>
            </w:r>
            <w:r>
              <w:rPr>
                <w:noProof/>
                <w:webHidden/>
              </w:rPr>
            </w:r>
            <w:r>
              <w:rPr>
                <w:noProof/>
                <w:webHidden/>
              </w:rPr>
              <w:fldChar w:fldCharType="separate"/>
            </w:r>
            <w:r>
              <w:rPr>
                <w:noProof/>
                <w:webHidden/>
              </w:rPr>
              <w:t>4</w:t>
            </w:r>
            <w:r>
              <w:rPr>
                <w:noProof/>
                <w:webHidden/>
              </w:rPr>
              <w:fldChar w:fldCharType="end"/>
            </w:r>
          </w:hyperlink>
        </w:p>
        <w:p w14:paraId="50814983" w14:textId="233DBAB5"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63" w:history="1">
            <w:r w:rsidRPr="001B78D6">
              <w:rPr>
                <w:rStyle w:val="Hyperlink"/>
                <w:rFonts w:eastAsiaTheme="majorEastAsia"/>
                <w:noProof/>
              </w:rPr>
              <w:t>2.</w:t>
            </w:r>
            <w:r>
              <w:rPr>
                <w:rFonts w:eastAsiaTheme="minorEastAsia" w:cstheme="minorBidi"/>
                <w:b w:val="0"/>
                <w:bCs w:val="0"/>
                <w:i w:val="0"/>
                <w:iCs w:val="0"/>
                <w:noProof/>
                <w:kern w:val="2"/>
                <w14:ligatures w14:val="standardContextual"/>
              </w:rPr>
              <w:tab/>
            </w:r>
            <w:r w:rsidRPr="001B78D6">
              <w:rPr>
                <w:rStyle w:val="Hyperlink"/>
                <w:rFonts w:eastAsiaTheme="majorEastAsia"/>
                <w:noProof/>
              </w:rPr>
              <w:t>CONTEXT</w:t>
            </w:r>
            <w:r>
              <w:rPr>
                <w:noProof/>
                <w:webHidden/>
              </w:rPr>
              <w:tab/>
            </w:r>
            <w:r>
              <w:rPr>
                <w:noProof/>
                <w:webHidden/>
              </w:rPr>
              <w:fldChar w:fldCharType="begin"/>
            </w:r>
            <w:r>
              <w:rPr>
                <w:noProof/>
                <w:webHidden/>
              </w:rPr>
              <w:instrText xml:space="preserve"> PAGEREF _Toc185674563 \h </w:instrText>
            </w:r>
            <w:r>
              <w:rPr>
                <w:noProof/>
                <w:webHidden/>
              </w:rPr>
            </w:r>
            <w:r>
              <w:rPr>
                <w:noProof/>
                <w:webHidden/>
              </w:rPr>
              <w:fldChar w:fldCharType="separate"/>
            </w:r>
            <w:r>
              <w:rPr>
                <w:noProof/>
                <w:webHidden/>
              </w:rPr>
              <w:t>7</w:t>
            </w:r>
            <w:r>
              <w:rPr>
                <w:noProof/>
                <w:webHidden/>
              </w:rPr>
              <w:fldChar w:fldCharType="end"/>
            </w:r>
          </w:hyperlink>
        </w:p>
        <w:p w14:paraId="0AEE115E" w14:textId="5CD22D40"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64" w:history="1">
            <w:r w:rsidRPr="001B78D6">
              <w:rPr>
                <w:rStyle w:val="Hyperlink"/>
                <w:rFonts w:eastAsiaTheme="majorEastAsia"/>
                <w:noProof/>
              </w:rPr>
              <w:t>3.</w:t>
            </w:r>
            <w:r>
              <w:rPr>
                <w:rFonts w:eastAsiaTheme="minorEastAsia" w:cstheme="minorBidi"/>
                <w:b w:val="0"/>
                <w:bCs w:val="0"/>
                <w:i w:val="0"/>
                <w:iCs w:val="0"/>
                <w:noProof/>
                <w:kern w:val="2"/>
                <w14:ligatures w14:val="standardContextual"/>
              </w:rPr>
              <w:tab/>
            </w:r>
            <w:r w:rsidRPr="001B78D6">
              <w:rPr>
                <w:rStyle w:val="Hyperlink"/>
                <w:rFonts w:eastAsiaTheme="majorEastAsia"/>
                <w:noProof/>
              </w:rPr>
              <w:t>METHODOLOGY</w:t>
            </w:r>
            <w:r>
              <w:rPr>
                <w:noProof/>
                <w:webHidden/>
              </w:rPr>
              <w:tab/>
            </w:r>
            <w:r>
              <w:rPr>
                <w:noProof/>
                <w:webHidden/>
              </w:rPr>
              <w:fldChar w:fldCharType="begin"/>
            </w:r>
            <w:r>
              <w:rPr>
                <w:noProof/>
                <w:webHidden/>
              </w:rPr>
              <w:instrText xml:space="preserve"> PAGEREF _Toc185674564 \h </w:instrText>
            </w:r>
            <w:r>
              <w:rPr>
                <w:noProof/>
                <w:webHidden/>
              </w:rPr>
            </w:r>
            <w:r>
              <w:rPr>
                <w:noProof/>
                <w:webHidden/>
              </w:rPr>
              <w:fldChar w:fldCharType="separate"/>
            </w:r>
            <w:r>
              <w:rPr>
                <w:noProof/>
                <w:webHidden/>
              </w:rPr>
              <w:t>11</w:t>
            </w:r>
            <w:r>
              <w:rPr>
                <w:noProof/>
                <w:webHidden/>
              </w:rPr>
              <w:fldChar w:fldCharType="end"/>
            </w:r>
          </w:hyperlink>
        </w:p>
        <w:p w14:paraId="6A1CF067" w14:textId="77163D22"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5" w:history="1">
            <w:r w:rsidRPr="001B78D6">
              <w:rPr>
                <w:rStyle w:val="Hyperlink"/>
                <w:rFonts w:eastAsiaTheme="majorEastAsia" w:cs="Calibri"/>
                <w:noProof/>
              </w:rPr>
              <w:t>3.1 DATA ANALYSIS</w:t>
            </w:r>
            <w:r>
              <w:rPr>
                <w:noProof/>
                <w:webHidden/>
              </w:rPr>
              <w:tab/>
            </w:r>
            <w:r>
              <w:rPr>
                <w:noProof/>
                <w:webHidden/>
              </w:rPr>
              <w:fldChar w:fldCharType="begin"/>
            </w:r>
            <w:r>
              <w:rPr>
                <w:noProof/>
                <w:webHidden/>
              </w:rPr>
              <w:instrText xml:space="preserve"> PAGEREF _Toc185674565 \h </w:instrText>
            </w:r>
            <w:r>
              <w:rPr>
                <w:noProof/>
                <w:webHidden/>
              </w:rPr>
            </w:r>
            <w:r>
              <w:rPr>
                <w:noProof/>
                <w:webHidden/>
              </w:rPr>
              <w:fldChar w:fldCharType="separate"/>
            </w:r>
            <w:r>
              <w:rPr>
                <w:noProof/>
                <w:webHidden/>
              </w:rPr>
              <w:t>13</w:t>
            </w:r>
            <w:r>
              <w:rPr>
                <w:noProof/>
                <w:webHidden/>
              </w:rPr>
              <w:fldChar w:fldCharType="end"/>
            </w:r>
          </w:hyperlink>
        </w:p>
        <w:p w14:paraId="733F9487" w14:textId="50291604"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6" w:history="1">
            <w:r w:rsidRPr="001B78D6">
              <w:rPr>
                <w:rStyle w:val="Hyperlink"/>
                <w:rFonts w:eastAsiaTheme="majorEastAsia"/>
                <w:noProof/>
              </w:rPr>
              <w:t>3.2 ETHICS</w:t>
            </w:r>
            <w:r>
              <w:rPr>
                <w:noProof/>
                <w:webHidden/>
              </w:rPr>
              <w:tab/>
            </w:r>
            <w:r>
              <w:rPr>
                <w:noProof/>
                <w:webHidden/>
              </w:rPr>
              <w:fldChar w:fldCharType="begin"/>
            </w:r>
            <w:r>
              <w:rPr>
                <w:noProof/>
                <w:webHidden/>
              </w:rPr>
              <w:instrText xml:space="preserve"> PAGEREF _Toc185674566 \h </w:instrText>
            </w:r>
            <w:r>
              <w:rPr>
                <w:noProof/>
                <w:webHidden/>
              </w:rPr>
            </w:r>
            <w:r>
              <w:rPr>
                <w:noProof/>
                <w:webHidden/>
              </w:rPr>
              <w:fldChar w:fldCharType="separate"/>
            </w:r>
            <w:r>
              <w:rPr>
                <w:noProof/>
                <w:webHidden/>
              </w:rPr>
              <w:t>15</w:t>
            </w:r>
            <w:r>
              <w:rPr>
                <w:noProof/>
                <w:webHidden/>
              </w:rPr>
              <w:fldChar w:fldCharType="end"/>
            </w:r>
          </w:hyperlink>
        </w:p>
        <w:p w14:paraId="6931FB92" w14:textId="574190A2"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67" w:history="1">
            <w:r w:rsidRPr="001B78D6">
              <w:rPr>
                <w:rStyle w:val="Hyperlink"/>
                <w:rFonts w:eastAsiaTheme="majorEastAsia"/>
                <w:noProof/>
              </w:rPr>
              <w:t>4.</w:t>
            </w:r>
            <w:r>
              <w:rPr>
                <w:rFonts w:eastAsiaTheme="minorEastAsia" w:cstheme="minorBidi"/>
                <w:b w:val="0"/>
                <w:bCs w:val="0"/>
                <w:i w:val="0"/>
                <w:iCs w:val="0"/>
                <w:noProof/>
                <w:kern w:val="2"/>
                <w14:ligatures w14:val="standardContextual"/>
              </w:rPr>
              <w:tab/>
            </w:r>
            <w:r w:rsidRPr="001B78D6">
              <w:rPr>
                <w:rStyle w:val="Hyperlink"/>
                <w:rFonts w:eastAsiaTheme="majorEastAsia"/>
                <w:noProof/>
              </w:rPr>
              <w:t>PRESENTATION OF DATA AND DISCUSSION</w:t>
            </w:r>
            <w:r>
              <w:rPr>
                <w:noProof/>
                <w:webHidden/>
              </w:rPr>
              <w:tab/>
            </w:r>
            <w:r>
              <w:rPr>
                <w:noProof/>
                <w:webHidden/>
              </w:rPr>
              <w:fldChar w:fldCharType="begin"/>
            </w:r>
            <w:r>
              <w:rPr>
                <w:noProof/>
                <w:webHidden/>
              </w:rPr>
              <w:instrText xml:space="preserve"> PAGEREF _Toc185674567 \h </w:instrText>
            </w:r>
            <w:r>
              <w:rPr>
                <w:noProof/>
                <w:webHidden/>
              </w:rPr>
            </w:r>
            <w:r>
              <w:rPr>
                <w:noProof/>
                <w:webHidden/>
              </w:rPr>
              <w:fldChar w:fldCharType="separate"/>
            </w:r>
            <w:r>
              <w:rPr>
                <w:noProof/>
                <w:webHidden/>
              </w:rPr>
              <w:t>17</w:t>
            </w:r>
            <w:r>
              <w:rPr>
                <w:noProof/>
                <w:webHidden/>
              </w:rPr>
              <w:fldChar w:fldCharType="end"/>
            </w:r>
          </w:hyperlink>
        </w:p>
        <w:p w14:paraId="3D8D0C0C" w14:textId="1225D431"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8" w:history="1">
            <w:r w:rsidRPr="001B78D6">
              <w:rPr>
                <w:rStyle w:val="Hyperlink"/>
                <w:rFonts w:eastAsiaTheme="majorEastAsia"/>
                <w:noProof/>
              </w:rPr>
              <w:t>4.1 STUDENT SUPPORT</w:t>
            </w:r>
            <w:r>
              <w:rPr>
                <w:noProof/>
                <w:webHidden/>
              </w:rPr>
              <w:tab/>
            </w:r>
            <w:r>
              <w:rPr>
                <w:noProof/>
                <w:webHidden/>
              </w:rPr>
              <w:fldChar w:fldCharType="begin"/>
            </w:r>
            <w:r>
              <w:rPr>
                <w:noProof/>
                <w:webHidden/>
              </w:rPr>
              <w:instrText xml:space="preserve"> PAGEREF _Toc185674568 \h </w:instrText>
            </w:r>
            <w:r>
              <w:rPr>
                <w:noProof/>
                <w:webHidden/>
              </w:rPr>
            </w:r>
            <w:r>
              <w:rPr>
                <w:noProof/>
                <w:webHidden/>
              </w:rPr>
              <w:fldChar w:fldCharType="separate"/>
            </w:r>
            <w:r>
              <w:rPr>
                <w:noProof/>
                <w:webHidden/>
              </w:rPr>
              <w:t>17</w:t>
            </w:r>
            <w:r>
              <w:rPr>
                <w:noProof/>
                <w:webHidden/>
              </w:rPr>
              <w:fldChar w:fldCharType="end"/>
            </w:r>
          </w:hyperlink>
        </w:p>
        <w:p w14:paraId="6713F36F" w14:textId="2D131E36"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69" w:history="1">
            <w:r w:rsidRPr="001B78D6">
              <w:rPr>
                <w:rStyle w:val="Hyperlink"/>
                <w:rFonts w:eastAsiaTheme="majorEastAsia"/>
                <w:noProof/>
              </w:rPr>
              <w:t>4.2 DIFFERENTIATION</w:t>
            </w:r>
            <w:r>
              <w:rPr>
                <w:noProof/>
                <w:webHidden/>
              </w:rPr>
              <w:tab/>
            </w:r>
            <w:r>
              <w:rPr>
                <w:noProof/>
                <w:webHidden/>
              </w:rPr>
              <w:fldChar w:fldCharType="begin"/>
            </w:r>
            <w:r>
              <w:rPr>
                <w:noProof/>
                <w:webHidden/>
              </w:rPr>
              <w:instrText xml:space="preserve"> PAGEREF _Toc185674569 \h </w:instrText>
            </w:r>
            <w:r>
              <w:rPr>
                <w:noProof/>
                <w:webHidden/>
              </w:rPr>
            </w:r>
            <w:r>
              <w:rPr>
                <w:noProof/>
                <w:webHidden/>
              </w:rPr>
              <w:fldChar w:fldCharType="separate"/>
            </w:r>
            <w:r>
              <w:rPr>
                <w:noProof/>
                <w:webHidden/>
              </w:rPr>
              <w:t>19</w:t>
            </w:r>
            <w:r>
              <w:rPr>
                <w:noProof/>
                <w:webHidden/>
              </w:rPr>
              <w:fldChar w:fldCharType="end"/>
            </w:r>
          </w:hyperlink>
        </w:p>
        <w:p w14:paraId="036EE9AE" w14:textId="040E89A8"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0" w:history="1">
            <w:r w:rsidRPr="001B78D6">
              <w:rPr>
                <w:rStyle w:val="Hyperlink"/>
                <w:rFonts w:eastAsiaTheme="majorEastAsia"/>
                <w:noProof/>
              </w:rPr>
              <w:t>4.3 STUDENT-CENTRED LEARNING</w:t>
            </w:r>
            <w:r>
              <w:rPr>
                <w:noProof/>
                <w:webHidden/>
              </w:rPr>
              <w:tab/>
            </w:r>
            <w:r>
              <w:rPr>
                <w:noProof/>
                <w:webHidden/>
              </w:rPr>
              <w:fldChar w:fldCharType="begin"/>
            </w:r>
            <w:r>
              <w:rPr>
                <w:noProof/>
                <w:webHidden/>
              </w:rPr>
              <w:instrText xml:space="preserve"> PAGEREF _Toc185674570 \h </w:instrText>
            </w:r>
            <w:r>
              <w:rPr>
                <w:noProof/>
                <w:webHidden/>
              </w:rPr>
            </w:r>
            <w:r>
              <w:rPr>
                <w:noProof/>
                <w:webHidden/>
              </w:rPr>
              <w:fldChar w:fldCharType="separate"/>
            </w:r>
            <w:r>
              <w:rPr>
                <w:noProof/>
                <w:webHidden/>
              </w:rPr>
              <w:t>20</w:t>
            </w:r>
            <w:r>
              <w:rPr>
                <w:noProof/>
                <w:webHidden/>
              </w:rPr>
              <w:fldChar w:fldCharType="end"/>
            </w:r>
          </w:hyperlink>
        </w:p>
        <w:p w14:paraId="51077175" w14:textId="3BBA2182"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1" w:history="1">
            <w:r w:rsidRPr="001B78D6">
              <w:rPr>
                <w:rStyle w:val="Hyperlink"/>
                <w:rFonts w:eastAsiaTheme="majorEastAsia"/>
                <w:noProof/>
              </w:rPr>
              <w:t>4.4 STUDENT ENGAGEMENT</w:t>
            </w:r>
            <w:r>
              <w:rPr>
                <w:noProof/>
                <w:webHidden/>
              </w:rPr>
              <w:tab/>
            </w:r>
            <w:r>
              <w:rPr>
                <w:noProof/>
                <w:webHidden/>
              </w:rPr>
              <w:fldChar w:fldCharType="begin"/>
            </w:r>
            <w:r>
              <w:rPr>
                <w:noProof/>
                <w:webHidden/>
              </w:rPr>
              <w:instrText xml:space="preserve"> PAGEREF _Toc185674571 \h </w:instrText>
            </w:r>
            <w:r>
              <w:rPr>
                <w:noProof/>
                <w:webHidden/>
              </w:rPr>
            </w:r>
            <w:r>
              <w:rPr>
                <w:noProof/>
                <w:webHidden/>
              </w:rPr>
              <w:fldChar w:fldCharType="separate"/>
            </w:r>
            <w:r>
              <w:rPr>
                <w:noProof/>
                <w:webHidden/>
              </w:rPr>
              <w:t>21</w:t>
            </w:r>
            <w:r>
              <w:rPr>
                <w:noProof/>
                <w:webHidden/>
              </w:rPr>
              <w:fldChar w:fldCharType="end"/>
            </w:r>
          </w:hyperlink>
        </w:p>
        <w:p w14:paraId="259866A7" w14:textId="6DFCB20E"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2" w:history="1">
            <w:r w:rsidRPr="001B78D6">
              <w:rPr>
                <w:rStyle w:val="Hyperlink"/>
                <w:rFonts w:eastAsiaTheme="majorEastAsia"/>
                <w:noProof/>
              </w:rPr>
              <w:t>4.5 RESOURCES</w:t>
            </w:r>
            <w:r>
              <w:rPr>
                <w:noProof/>
                <w:webHidden/>
              </w:rPr>
              <w:tab/>
            </w:r>
            <w:r>
              <w:rPr>
                <w:noProof/>
                <w:webHidden/>
              </w:rPr>
              <w:fldChar w:fldCharType="begin"/>
            </w:r>
            <w:r>
              <w:rPr>
                <w:noProof/>
                <w:webHidden/>
              </w:rPr>
              <w:instrText xml:space="preserve"> PAGEREF _Toc185674572 \h </w:instrText>
            </w:r>
            <w:r>
              <w:rPr>
                <w:noProof/>
                <w:webHidden/>
              </w:rPr>
            </w:r>
            <w:r>
              <w:rPr>
                <w:noProof/>
                <w:webHidden/>
              </w:rPr>
              <w:fldChar w:fldCharType="separate"/>
            </w:r>
            <w:r>
              <w:rPr>
                <w:noProof/>
                <w:webHidden/>
              </w:rPr>
              <w:t>22</w:t>
            </w:r>
            <w:r>
              <w:rPr>
                <w:noProof/>
                <w:webHidden/>
              </w:rPr>
              <w:fldChar w:fldCharType="end"/>
            </w:r>
          </w:hyperlink>
        </w:p>
        <w:p w14:paraId="62A6E3A4" w14:textId="65B33251"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3" w:history="1">
            <w:r w:rsidRPr="001B78D6">
              <w:rPr>
                <w:rStyle w:val="Hyperlink"/>
                <w:rFonts w:eastAsiaTheme="majorEastAsia"/>
                <w:noProof/>
              </w:rPr>
              <w:t>4.6 COURSE MANAGEMENT &amp; TIMETABLE</w:t>
            </w:r>
            <w:r>
              <w:rPr>
                <w:noProof/>
                <w:webHidden/>
              </w:rPr>
              <w:tab/>
            </w:r>
            <w:r>
              <w:rPr>
                <w:noProof/>
                <w:webHidden/>
              </w:rPr>
              <w:fldChar w:fldCharType="begin"/>
            </w:r>
            <w:r>
              <w:rPr>
                <w:noProof/>
                <w:webHidden/>
              </w:rPr>
              <w:instrText xml:space="preserve"> PAGEREF _Toc185674573 \h </w:instrText>
            </w:r>
            <w:r>
              <w:rPr>
                <w:noProof/>
                <w:webHidden/>
              </w:rPr>
            </w:r>
            <w:r>
              <w:rPr>
                <w:noProof/>
                <w:webHidden/>
              </w:rPr>
              <w:fldChar w:fldCharType="separate"/>
            </w:r>
            <w:r>
              <w:rPr>
                <w:noProof/>
                <w:webHidden/>
              </w:rPr>
              <w:t>23</w:t>
            </w:r>
            <w:r>
              <w:rPr>
                <w:noProof/>
                <w:webHidden/>
              </w:rPr>
              <w:fldChar w:fldCharType="end"/>
            </w:r>
          </w:hyperlink>
        </w:p>
        <w:p w14:paraId="3777F5A7" w14:textId="6EE2F94C"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74" w:history="1">
            <w:r w:rsidRPr="001B78D6">
              <w:rPr>
                <w:rStyle w:val="Hyperlink"/>
                <w:rFonts w:eastAsiaTheme="majorEastAsia"/>
                <w:noProof/>
              </w:rPr>
              <w:t>5.</w:t>
            </w:r>
            <w:r>
              <w:rPr>
                <w:rFonts w:eastAsiaTheme="minorEastAsia" w:cstheme="minorBidi"/>
                <w:b w:val="0"/>
                <w:bCs w:val="0"/>
                <w:i w:val="0"/>
                <w:iCs w:val="0"/>
                <w:noProof/>
                <w:kern w:val="2"/>
                <w14:ligatures w14:val="standardContextual"/>
              </w:rPr>
              <w:tab/>
            </w:r>
            <w:r w:rsidRPr="001B78D6">
              <w:rPr>
                <w:rStyle w:val="Hyperlink"/>
                <w:rFonts w:eastAsiaTheme="majorEastAsia"/>
                <w:noProof/>
              </w:rPr>
              <w:t>LIMITATIONS</w:t>
            </w:r>
            <w:r>
              <w:rPr>
                <w:noProof/>
                <w:webHidden/>
              </w:rPr>
              <w:tab/>
            </w:r>
            <w:r>
              <w:rPr>
                <w:noProof/>
                <w:webHidden/>
              </w:rPr>
              <w:fldChar w:fldCharType="begin"/>
            </w:r>
            <w:r>
              <w:rPr>
                <w:noProof/>
                <w:webHidden/>
              </w:rPr>
              <w:instrText xml:space="preserve"> PAGEREF _Toc185674574 \h </w:instrText>
            </w:r>
            <w:r>
              <w:rPr>
                <w:noProof/>
                <w:webHidden/>
              </w:rPr>
            </w:r>
            <w:r>
              <w:rPr>
                <w:noProof/>
                <w:webHidden/>
              </w:rPr>
              <w:fldChar w:fldCharType="separate"/>
            </w:r>
            <w:r>
              <w:rPr>
                <w:noProof/>
                <w:webHidden/>
              </w:rPr>
              <w:t>26</w:t>
            </w:r>
            <w:r>
              <w:rPr>
                <w:noProof/>
                <w:webHidden/>
              </w:rPr>
              <w:fldChar w:fldCharType="end"/>
            </w:r>
          </w:hyperlink>
        </w:p>
        <w:p w14:paraId="1017D0CD" w14:textId="012C270B" w:rsidR="007A71A7" w:rsidRDefault="007A71A7">
          <w:pPr>
            <w:pStyle w:val="TOC1"/>
            <w:tabs>
              <w:tab w:val="left" w:pos="480"/>
              <w:tab w:val="right" w:leader="dot" w:pos="9350"/>
            </w:tabs>
            <w:rPr>
              <w:rFonts w:eastAsiaTheme="minorEastAsia" w:cstheme="minorBidi"/>
              <w:b w:val="0"/>
              <w:bCs w:val="0"/>
              <w:i w:val="0"/>
              <w:iCs w:val="0"/>
              <w:noProof/>
              <w:kern w:val="2"/>
              <w14:ligatures w14:val="standardContextual"/>
            </w:rPr>
          </w:pPr>
          <w:hyperlink w:anchor="_Toc185674575" w:history="1">
            <w:r w:rsidRPr="001B78D6">
              <w:rPr>
                <w:rStyle w:val="Hyperlink"/>
                <w:rFonts w:eastAsiaTheme="majorEastAsia"/>
                <w:noProof/>
              </w:rPr>
              <w:t>6.</w:t>
            </w:r>
            <w:r>
              <w:rPr>
                <w:rFonts w:eastAsiaTheme="minorEastAsia" w:cstheme="minorBidi"/>
                <w:b w:val="0"/>
                <w:bCs w:val="0"/>
                <w:i w:val="0"/>
                <w:iCs w:val="0"/>
                <w:noProof/>
                <w:kern w:val="2"/>
                <w14:ligatures w14:val="standardContextual"/>
              </w:rPr>
              <w:tab/>
            </w:r>
            <w:r w:rsidRPr="001B78D6">
              <w:rPr>
                <w:rStyle w:val="Hyperlink"/>
                <w:rFonts w:eastAsiaTheme="majorEastAsia"/>
                <w:noProof/>
              </w:rPr>
              <w:t>CONCLUSION &amp; RECOMMENDATIONS</w:t>
            </w:r>
            <w:r>
              <w:rPr>
                <w:noProof/>
                <w:webHidden/>
              </w:rPr>
              <w:tab/>
            </w:r>
            <w:r>
              <w:rPr>
                <w:noProof/>
                <w:webHidden/>
              </w:rPr>
              <w:fldChar w:fldCharType="begin"/>
            </w:r>
            <w:r>
              <w:rPr>
                <w:noProof/>
                <w:webHidden/>
              </w:rPr>
              <w:instrText xml:space="preserve"> PAGEREF _Toc185674575 \h </w:instrText>
            </w:r>
            <w:r>
              <w:rPr>
                <w:noProof/>
                <w:webHidden/>
              </w:rPr>
            </w:r>
            <w:r>
              <w:rPr>
                <w:noProof/>
                <w:webHidden/>
              </w:rPr>
              <w:fldChar w:fldCharType="separate"/>
            </w:r>
            <w:r>
              <w:rPr>
                <w:noProof/>
                <w:webHidden/>
              </w:rPr>
              <w:t>28</w:t>
            </w:r>
            <w:r>
              <w:rPr>
                <w:noProof/>
                <w:webHidden/>
              </w:rPr>
              <w:fldChar w:fldCharType="end"/>
            </w:r>
          </w:hyperlink>
        </w:p>
        <w:p w14:paraId="7CB206BC" w14:textId="5A1072B1" w:rsidR="007A71A7" w:rsidRDefault="007A71A7">
          <w:pPr>
            <w:pStyle w:val="TOC1"/>
            <w:tabs>
              <w:tab w:val="right" w:leader="dot" w:pos="9350"/>
            </w:tabs>
            <w:rPr>
              <w:rFonts w:eastAsiaTheme="minorEastAsia" w:cstheme="minorBidi"/>
              <w:b w:val="0"/>
              <w:bCs w:val="0"/>
              <w:i w:val="0"/>
              <w:iCs w:val="0"/>
              <w:noProof/>
              <w:kern w:val="2"/>
              <w14:ligatures w14:val="standardContextual"/>
            </w:rPr>
          </w:pPr>
          <w:hyperlink w:anchor="_Toc185674576" w:history="1">
            <w:r w:rsidRPr="001B78D6">
              <w:rPr>
                <w:rStyle w:val="Hyperlink"/>
                <w:rFonts w:eastAsiaTheme="majorEastAsia"/>
                <w:noProof/>
              </w:rPr>
              <w:t>CITATIONS</w:t>
            </w:r>
            <w:r>
              <w:rPr>
                <w:noProof/>
                <w:webHidden/>
              </w:rPr>
              <w:tab/>
            </w:r>
            <w:r>
              <w:rPr>
                <w:noProof/>
                <w:webHidden/>
              </w:rPr>
              <w:fldChar w:fldCharType="begin"/>
            </w:r>
            <w:r>
              <w:rPr>
                <w:noProof/>
                <w:webHidden/>
              </w:rPr>
              <w:instrText xml:space="preserve"> PAGEREF _Toc185674576 \h </w:instrText>
            </w:r>
            <w:r>
              <w:rPr>
                <w:noProof/>
                <w:webHidden/>
              </w:rPr>
            </w:r>
            <w:r>
              <w:rPr>
                <w:noProof/>
                <w:webHidden/>
              </w:rPr>
              <w:fldChar w:fldCharType="separate"/>
            </w:r>
            <w:r>
              <w:rPr>
                <w:noProof/>
                <w:webHidden/>
              </w:rPr>
              <w:t>31</w:t>
            </w:r>
            <w:r>
              <w:rPr>
                <w:noProof/>
                <w:webHidden/>
              </w:rPr>
              <w:fldChar w:fldCharType="end"/>
            </w:r>
          </w:hyperlink>
        </w:p>
        <w:p w14:paraId="54B95853" w14:textId="2B9DB35A"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7" w:history="1">
            <w:r w:rsidRPr="001B78D6">
              <w:rPr>
                <w:rStyle w:val="Hyperlink"/>
                <w:rFonts w:eastAsiaTheme="majorEastAsia"/>
                <w:noProof/>
              </w:rPr>
              <w:t>Appendix 1</w:t>
            </w:r>
            <w:r>
              <w:rPr>
                <w:noProof/>
                <w:webHidden/>
              </w:rPr>
              <w:tab/>
            </w:r>
            <w:r>
              <w:rPr>
                <w:noProof/>
                <w:webHidden/>
              </w:rPr>
              <w:fldChar w:fldCharType="begin"/>
            </w:r>
            <w:r>
              <w:rPr>
                <w:noProof/>
                <w:webHidden/>
              </w:rPr>
              <w:instrText xml:space="preserve"> PAGEREF _Toc185674577 \h </w:instrText>
            </w:r>
            <w:r>
              <w:rPr>
                <w:noProof/>
                <w:webHidden/>
              </w:rPr>
            </w:r>
            <w:r>
              <w:rPr>
                <w:noProof/>
                <w:webHidden/>
              </w:rPr>
              <w:fldChar w:fldCharType="separate"/>
            </w:r>
            <w:r>
              <w:rPr>
                <w:noProof/>
                <w:webHidden/>
              </w:rPr>
              <w:t>32</w:t>
            </w:r>
            <w:r>
              <w:rPr>
                <w:noProof/>
                <w:webHidden/>
              </w:rPr>
              <w:fldChar w:fldCharType="end"/>
            </w:r>
          </w:hyperlink>
        </w:p>
        <w:p w14:paraId="657E5612" w14:textId="42D6A609"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8" w:history="1">
            <w:r w:rsidRPr="001B78D6">
              <w:rPr>
                <w:rStyle w:val="Hyperlink"/>
                <w:rFonts w:eastAsiaTheme="majorEastAsia"/>
                <w:noProof/>
              </w:rPr>
              <w:t>Appendix 2</w:t>
            </w:r>
            <w:r>
              <w:rPr>
                <w:noProof/>
                <w:webHidden/>
              </w:rPr>
              <w:tab/>
            </w:r>
            <w:r>
              <w:rPr>
                <w:noProof/>
                <w:webHidden/>
              </w:rPr>
              <w:fldChar w:fldCharType="begin"/>
            </w:r>
            <w:r>
              <w:rPr>
                <w:noProof/>
                <w:webHidden/>
              </w:rPr>
              <w:instrText xml:space="preserve"> PAGEREF _Toc185674578 \h </w:instrText>
            </w:r>
            <w:r>
              <w:rPr>
                <w:noProof/>
                <w:webHidden/>
              </w:rPr>
            </w:r>
            <w:r>
              <w:rPr>
                <w:noProof/>
                <w:webHidden/>
              </w:rPr>
              <w:fldChar w:fldCharType="separate"/>
            </w:r>
            <w:r>
              <w:rPr>
                <w:noProof/>
                <w:webHidden/>
              </w:rPr>
              <w:t>33</w:t>
            </w:r>
            <w:r>
              <w:rPr>
                <w:noProof/>
                <w:webHidden/>
              </w:rPr>
              <w:fldChar w:fldCharType="end"/>
            </w:r>
          </w:hyperlink>
        </w:p>
        <w:p w14:paraId="3AB8DC49" w14:textId="5AAC2CD9" w:rsidR="007A71A7" w:rsidRDefault="007A71A7">
          <w:pPr>
            <w:pStyle w:val="TOC2"/>
            <w:tabs>
              <w:tab w:val="right" w:leader="dot" w:pos="9350"/>
            </w:tabs>
            <w:rPr>
              <w:rFonts w:eastAsiaTheme="minorEastAsia" w:cstheme="minorBidi"/>
              <w:b w:val="0"/>
              <w:bCs w:val="0"/>
              <w:noProof/>
              <w:kern w:val="2"/>
              <w:sz w:val="24"/>
              <w:szCs w:val="24"/>
              <w14:ligatures w14:val="standardContextual"/>
            </w:rPr>
          </w:pPr>
          <w:hyperlink w:anchor="_Toc185674579" w:history="1">
            <w:r w:rsidRPr="001B78D6">
              <w:rPr>
                <w:rStyle w:val="Hyperlink"/>
                <w:rFonts w:eastAsiaTheme="majorEastAsia"/>
                <w:noProof/>
              </w:rPr>
              <w:t>Appendix 3</w:t>
            </w:r>
            <w:r>
              <w:rPr>
                <w:noProof/>
                <w:webHidden/>
              </w:rPr>
              <w:tab/>
            </w:r>
            <w:r>
              <w:rPr>
                <w:noProof/>
                <w:webHidden/>
              </w:rPr>
              <w:fldChar w:fldCharType="begin"/>
            </w:r>
            <w:r>
              <w:rPr>
                <w:noProof/>
                <w:webHidden/>
              </w:rPr>
              <w:instrText xml:space="preserve"> PAGEREF _Toc185674579 \h </w:instrText>
            </w:r>
            <w:r>
              <w:rPr>
                <w:noProof/>
                <w:webHidden/>
              </w:rPr>
            </w:r>
            <w:r>
              <w:rPr>
                <w:noProof/>
                <w:webHidden/>
              </w:rPr>
              <w:fldChar w:fldCharType="separate"/>
            </w:r>
            <w:r>
              <w:rPr>
                <w:noProof/>
                <w:webHidden/>
              </w:rPr>
              <w:t>34</w:t>
            </w:r>
            <w:r>
              <w:rPr>
                <w:noProof/>
                <w:webHidden/>
              </w:rPr>
              <w:fldChar w:fldCharType="end"/>
            </w:r>
          </w:hyperlink>
        </w:p>
        <w:p w14:paraId="469C1179" w14:textId="60E7BE00" w:rsidR="00BF5779" w:rsidRPr="008E0178" w:rsidRDefault="00BF5779" w:rsidP="008E0178">
          <w:r>
            <w:rPr>
              <w:b/>
              <w:bCs/>
              <w:noProof/>
            </w:rPr>
            <w:lastRenderedPageBreak/>
            <w:fldChar w:fldCharType="end"/>
          </w:r>
        </w:p>
      </w:sdtContent>
    </w:sdt>
    <w:p w14:paraId="2FF7BF9E" w14:textId="31DFC4DC" w:rsidR="0092415A" w:rsidRDefault="0092415A" w:rsidP="00504928">
      <w:pPr>
        <w:pStyle w:val="Heading2"/>
        <w:rPr>
          <w:rFonts w:ascii="Calibri" w:eastAsia="Times New Roman" w:hAnsi="Calibri" w:cs="Times New Roman"/>
          <w:color w:val="auto"/>
          <w:sz w:val="24"/>
          <w:szCs w:val="24"/>
        </w:rPr>
      </w:pPr>
      <w:bookmarkStart w:id="0" w:name="_Toc185674557"/>
      <w:r>
        <w:t>TABLE OF FIGURES</w:t>
      </w:r>
      <w:bookmarkEnd w:id="0"/>
    </w:p>
    <w:p w14:paraId="0503644C" w14:textId="3C87BB3C" w:rsidR="00504928" w:rsidRDefault="00504928">
      <w:pPr>
        <w:pStyle w:val="TableofFigures"/>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185609201" w:history="1">
        <w:r w:rsidRPr="00390BFA">
          <w:rPr>
            <w:rStyle w:val="Hyperlink"/>
            <w:rFonts w:eastAsiaTheme="majorEastAsia"/>
            <w:noProof/>
          </w:rPr>
          <w:t>Figure 1: The Braun and Clarke Method (2006)</w:t>
        </w:r>
        <w:r>
          <w:rPr>
            <w:noProof/>
            <w:webHidden/>
          </w:rPr>
          <w:tab/>
        </w:r>
        <w:r>
          <w:rPr>
            <w:noProof/>
            <w:webHidden/>
          </w:rPr>
          <w:fldChar w:fldCharType="begin"/>
        </w:r>
        <w:r>
          <w:rPr>
            <w:noProof/>
            <w:webHidden/>
          </w:rPr>
          <w:instrText xml:space="preserve"> PAGEREF _Toc185609201 \h </w:instrText>
        </w:r>
        <w:r>
          <w:rPr>
            <w:noProof/>
            <w:webHidden/>
          </w:rPr>
        </w:r>
        <w:r>
          <w:rPr>
            <w:noProof/>
            <w:webHidden/>
          </w:rPr>
          <w:fldChar w:fldCharType="separate"/>
        </w:r>
        <w:r>
          <w:rPr>
            <w:noProof/>
            <w:webHidden/>
          </w:rPr>
          <w:t>15</w:t>
        </w:r>
        <w:r>
          <w:rPr>
            <w:noProof/>
            <w:webHidden/>
          </w:rPr>
          <w:fldChar w:fldCharType="end"/>
        </w:r>
      </w:hyperlink>
    </w:p>
    <w:p w14:paraId="6E2B67DC" w14:textId="64F3BF24" w:rsidR="00504928" w:rsidRDefault="00504928">
      <w:pPr>
        <w:pStyle w:val="TableofFigures"/>
        <w:tabs>
          <w:tab w:val="right" w:leader="dot" w:pos="9350"/>
        </w:tabs>
        <w:rPr>
          <w:rFonts w:asciiTheme="minorHAnsi" w:eastAsiaTheme="minorEastAsia" w:hAnsiTheme="minorHAnsi" w:cstheme="minorBidi"/>
          <w:noProof/>
          <w:kern w:val="2"/>
          <w14:ligatures w14:val="standardContextual"/>
        </w:rPr>
      </w:pPr>
      <w:hyperlink w:anchor="_Toc185609202" w:history="1">
        <w:r w:rsidRPr="00390BFA">
          <w:rPr>
            <w:rStyle w:val="Hyperlink"/>
            <w:rFonts w:eastAsiaTheme="majorEastAsia" w:cs="Calibri"/>
            <w:noProof/>
          </w:rPr>
          <w:t>Figure 2: Participant Themes (</w:t>
        </w:r>
        <w:r w:rsidRPr="00390BFA">
          <w:rPr>
            <w:rStyle w:val="Hyperlink"/>
            <w:rFonts w:eastAsia="Aptos" w:cs="Calibri"/>
            <w:noProof/>
          </w:rPr>
          <w:t xml:space="preserve">Charmaz 2006 &amp; </w:t>
        </w:r>
        <w:r w:rsidRPr="00390BFA">
          <w:rPr>
            <w:rStyle w:val="Hyperlink"/>
            <w:rFonts w:eastAsiaTheme="majorEastAsia" w:cs="Calibri"/>
            <w:noProof/>
          </w:rPr>
          <w:t>Bell et al., 2024</w:t>
        </w:r>
        <w:r w:rsidRPr="00390BFA">
          <w:rPr>
            <w:rStyle w:val="Hyperlink"/>
            <w:rFonts w:eastAsia="Aptos" w:cs="Calibri"/>
            <w:noProof/>
          </w:rPr>
          <w:t>)</w:t>
        </w:r>
        <w:r>
          <w:rPr>
            <w:noProof/>
            <w:webHidden/>
          </w:rPr>
          <w:tab/>
        </w:r>
        <w:r>
          <w:rPr>
            <w:noProof/>
            <w:webHidden/>
          </w:rPr>
          <w:fldChar w:fldCharType="begin"/>
        </w:r>
        <w:r>
          <w:rPr>
            <w:noProof/>
            <w:webHidden/>
          </w:rPr>
          <w:instrText xml:space="preserve"> PAGEREF _Toc185609202 \h </w:instrText>
        </w:r>
        <w:r>
          <w:rPr>
            <w:noProof/>
            <w:webHidden/>
          </w:rPr>
        </w:r>
        <w:r>
          <w:rPr>
            <w:noProof/>
            <w:webHidden/>
          </w:rPr>
          <w:fldChar w:fldCharType="separate"/>
        </w:r>
        <w:r>
          <w:rPr>
            <w:noProof/>
            <w:webHidden/>
          </w:rPr>
          <w:t>18</w:t>
        </w:r>
        <w:r>
          <w:rPr>
            <w:noProof/>
            <w:webHidden/>
          </w:rPr>
          <w:fldChar w:fldCharType="end"/>
        </w:r>
      </w:hyperlink>
    </w:p>
    <w:p w14:paraId="5EA431C5" w14:textId="123C623A" w:rsidR="00504928" w:rsidRDefault="00504928" w:rsidP="00504928">
      <w:r>
        <w:fldChar w:fldCharType="end"/>
      </w:r>
    </w:p>
    <w:p w14:paraId="51082CBD" w14:textId="77777777" w:rsidR="00504928" w:rsidRPr="00504928" w:rsidRDefault="00504928" w:rsidP="00504928"/>
    <w:p w14:paraId="39DBE378" w14:textId="77777777" w:rsidR="008E0178" w:rsidRPr="008E0178" w:rsidRDefault="008E0178" w:rsidP="008E0178"/>
    <w:p w14:paraId="62BFF865" w14:textId="5FA74B11" w:rsidR="00FB75D3" w:rsidRPr="00BF5779" w:rsidRDefault="00FB75D3" w:rsidP="008E0178">
      <w:pPr>
        <w:pStyle w:val="Heading2"/>
      </w:pPr>
      <w:bookmarkStart w:id="1" w:name="_Toc185674558"/>
      <w:r w:rsidRPr="00BF5779">
        <w:t>CONVENTIONS</w:t>
      </w:r>
      <w:bookmarkEnd w:id="1"/>
    </w:p>
    <w:p w14:paraId="705AED01" w14:textId="77777777" w:rsidR="00FB75D3" w:rsidRPr="00C40FA7" w:rsidRDefault="00FB75D3" w:rsidP="00D835E5">
      <w:pPr>
        <w:rPr>
          <w:rFonts w:cs="Calibri"/>
        </w:rPr>
      </w:pPr>
      <w:r w:rsidRPr="00C40FA7">
        <w:rPr>
          <w:rFonts w:cs="Calibri"/>
        </w:rPr>
        <w:t>The term FE will be used for Further Education and FEI for Further Education Institution.</w:t>
      </w:r>
    </w:p>
    <w:p w14:paraId="4725BE61" w14:textId="76763105" w:rsidR="00C44A68" w:rsidRDefault="00FB75D3" w:rsidP="00D835E5">
      <w:pPr>
        <w:rPr>
          <w:rFonts w:cs="Calibri"/>
        </w:rPr>
      </w:pPr>
      <w:r w:rsidRPr="00C40FA7">
        <w:rPr>
          <w:rFonts w:cs="Calibri"/>
        </w:rPr>
        <w:t xml:space="preserve">WG will be used for </w:t>
      </w:r>
      <w:r w:rsidR="00396026">
        <w:rPr>
          <w:rFonts w:cs="Calibri"/>
        </w:rPr>
        <w:t>W</w:t>
      </w:r>
      <w:r w:rsidR="00B86487">
        <w:rPr>
          <w:rFonts w:cs="Calibri"/>
        </w:rPr>
        <w:t>elsh Government</w:t>
      </w:r>
      <w:r w:rsidR="009A33E8">
        <w:rPr>
          <w:rFonts w:cs="Calibri"/>
        </w:rPr>
        <w:t xml:space="preserve"> and </w:t>
      </w:r>
      <w:r w:rsidR="00504928">
        <w:rPr>
          <w:rFonts w:cs="Calibri"/>
        </w:rPr>
        <w:t xml:space="preserve">will </w:t>
      </w:r>
      <w:r w:rsidR="009A33E8">
        <w:rPr>
          <w:rFonts w:cs="Calibri"/>
        </w:rPr>
        <w:t xml:space="preserve">incorporate the </w:t>
      </w:r>
      <w:r w:rsidR="00504928">
        <w:rPr>
          <w:rFonts w:cs="Calibri"/>
        </w:rPr>
        <w:t>Welsh</w:t>
      </w:r>
      <w:r w:rsidR="009A33E8">
        <w:rPr>
          <w:rFonts w:cs="Calibri"/>
        </w:rPr>
        <w:t xml:space="preserve"> Assembly </w:t>
      </w:r>
      <w:r w:rsidR="00504928">
        <w:rPr>
          <w:rFonts w:cs="Calibri"/>
        </w:rPr>
        <w:t>Government.</w:t>
      </w:r>
    </w:p>
    <w:p w14:paraId="59CEBA34" w14:textId="59C63E0E" w:rsidR="00396026" w:rsidRDefault="00396026" w:rsidP="00D835E5">
      <w:pPr>
        <w:rPr>
          <w:rFonts w:cs="Calibri"/>
        </w:rPr>
      </w:pPr>
      <w:r>
        <w:rPr>
          <w:rFonts w:cs="Calibri"/>
        </w:rPr>
        <w:t>ALN will be used for Additional Learning Needs.</w:t>
      </w:r>
    </w:p>
    <w:p w14:paraId="06D5DD14" w14:textId="77777777" w:rsidR="007A71A7" w:rsidRDefault="007A71A7" w:rsidP="00D835E5">
      <w:pPr>
        <w:rPr>
          <w:rFonts w:cs="Calibri"/>
        </w:rPr>
      </w:pPr>
    </w:p>
    <w:p w14:paraId="30FE9F14" w14:textId="30B19B99" w:rsidR="007A71A7" w:rsidRPr="00BF5779" w:rsidRDefault="007A71A7" w:rsidP="007A71A7">
      <w:pPr>
        <w:pStyle w:val="Heading2"/>
      </w:pPr>
      <w:bookmarkStart w:id="2" w:name="_Toc185674559"/>
      <w:r>
        <w:t>WORD COUNT</w:t>
      </w:r>
      <w:bookmarkEnd w:id="2"/>
    </w:p>
    <w:p w14:paraId="6B9E3FB3" w14:textId="0EED7D41" w:rsidR="007A71A7" w:rsidRPr="00C40FA7" w:rsidRDefault="007A71A7" w:rsidP="00D835E5">
      <w:pPr>
        <w:rPr>
          <w:rFonts w:cs="Calibri"/>
        </w:rPr>
      </w:pPr>
      <w:r>
        <w:rPr>
          <w:rFonts w:cs="Calibri"/>
        </w:rPr>
        <w:t>8233</w:t>
      </w:r>
    </w:p>
    <w:p w14:paraId="771840AA" w14:textId="77777777" w:rsidR="000F3FCD" w:rsidRDefault="000F3FCD" w:rsidP="008E0178">
      <w:pPr>
        <w:pStyle w:val="Heading2"/>
      </w:pPr>
    </w:p>
    <w:p w14:paraId="28E87CE2" w14:textId="77777777" w:rsidR="008E0178" w:rsidRDefault="008E0178">
      <w:pPr>
        <w:spacing w:after="160" w:line="279" w:lineRule="auto"/>
        <w:rPr>
          <w:rFonts w:asciiTheme="majorHAnsi" w:eastAsiaTheme="majorEastAsia" w:hAnsiTheme="majorHAnsi" w:cstheme="majorBidi"/>
          <w:color w:val="0F4761" w:themeColor="accent1" w:themeShade="BF"/>
          <w:sz w:val="32"/>
          <w:szCs w:val="32"/>
        </w:rPr>
      </w:pPr>
      <w:r>
        <w:br w:type="page"/>
      </w:r>
    </w:p>
    <w:p w14:paraId="0AE603CA" w14:textId="5E6D79DA" w:rsidR="00C44A68" w:rsidRPr="00BF5779" w:rsidRDefault="00C44A68" w:rsidP="008E0178">
      <w:pPr>
        <w:pStyle w:val="Heading2"/>
      </w:pPr>
      <w:bookmarkStart w:id="3" w:name="_Toc185674560"/>
      <w:r w:rsidRPr="00BF5779">
        <w:lastRenderedPageBreak/>
        <w:t>ABSTRACT</w:t>
      </w:r>
      <w:bookmarkEnd w:id="3"/>
    </w:p>
    <w:p w14:paraId="0670E8BC" w14:textId="4DEE35CB" w:rsidR="008E0178" w:rsidRPr="0092415A" w:rsidRDefault="00815B81" w:rsidP="00D835E5">
      <w:pPr>
        <w:spacing w:after="160"/>
        <w:rPr>
          <w:rFonts w:cs="Calibri"/>
        </w:rPr>
      </w:pPr>
      <w:r w:rsidRPr="0092415A">
        <w:rPr>
          <w:rFonts w:cs="Calibri"/>
        </w:rPr>
        <w:t xml:space="preserve">Level 2 vocational students often face low motivation and engagement, exacerbated by rigid timetables and lecture-based methods (Noguera et al., 2024). This case study </w:t>
      </w:r>
      <w:sdt>
        <w:sdtPr>
          <w:rPr>
            <w:rFonts w:cs="Calibri"/>
          </w:rPr>
          <w:id w:val="1458531891"/>
          <w:citation/>
        </w:sdtPr>
        <w:sdtContent>
          <w:r w:rsidRPr="0092415A">
            <w:rPr>
              <w:rFonts w:cs="Calibri"/>
            </w:rPr>
            <w:fldChar w:fldCharType="begin"/>
          </w:r>
          <w:r w:rsidRPr="0092415A">
            <w:rPr>
              <w:rFonts w:cs="Calibri"/>
            </w:rPr>
            <w:instrText xml:space="preserve"> CITATION Coh17 \l 2057 </w:instrText>
          </w:r>
          <w:r w:rsidRPr="0092415A">
            <w:rPr>
              <w:rFonts w:cs="Calibri"/>
            </w:rPr>
            <w:fldChar w:fldCharType="separate"/>
          </w:r>
          <w:r w:rsidRPr="0092415A">
            <w:rPr>
              <w:rFonts w:cs="Calibri"/>
              <w:noProof/>
            </w:rPr>
            <w:t>(Cohen, et al., 2017)</w:t>
          </w:r>
          <w:r w:rsidRPr="0092415A">
            <w:rPr>
              <w:rFonts w:cs="Calibri"/>
            </w:rPr>
            <w:fldChar w:fldCharType="end"/>
          </w:r>
        </w:sdtContent>
      </w:sdt>
      <w:r w:rsidRPr="0092415A">
        <w:rPr>
          <w:rFonts w:cs="Calibri"/>
        </w:rPr>
        <w:t xml:space="preserve"> qualitative research </w:t>
      </w:r>
      <w:sdt>
        <w:sdtPr>
          <w:rPr>
            <w:rFonts w:cs="Calibri"/>
          </w:rPr>
          <w:id w:val="1478800614"/>
          <w:citation/>
        </w:sdtPr>
        <w:sdtContent>
          <w:r w:rsidRPr="0092415A">
            <w:rPr>
              <w:rFonts w:cs="Calibri"/>
            </w:rPr>
            <w:fldChar w:fldCharType="begin"/>
          </w:r>
          <w:r w:rsidRPr="0092415A">
            <w:rPr>
              <w:rFonts w:cs="Calibri"/>
            </w:rPr>
            <w:instrText xml:space="preserve"> CITATION Cre16 \l 2057 </w:instrText>
          </w:r>
          <w:r w:rsidRPr="0092415A">
            <w:rPr>
              <w:rFonts w:cs="Calibri"/>
            </w:rPr>
            <w:fldChar w:fldCharType="separate"/>
          </w:r>
          <w:r w:rsidRPr="0092415A">
            <w:rPr>
              <w:rFonts w:cs="Calibri"/>
              <w:noProof/>
            </w:rPr>
            <w:t>(Creswell &amp; Poth, 2016)</w:t>
          </w:r>
          <w:r w:rsidRPr="0092415A">
            <w:rPr>
              <w:rFonts w:cs="Calibri"/>
            </w:rPr>
            <w:fldChar w:fldCharType="end"/>
          </w:r>
        </w:sdtContent>
      </w:sdt>
      <w:r w:rsidRPr="0092415A">
        <w:rPr>
          <w:rFonts w:cs="Calibri"/>
        </w:rPr>
        <w:t xml:space="preserve"> explores how a student-centred learning environment can be developed for Level 2 vocational students in a Welsh Further Education College. Using an interpretivist paradigm </w:t>
      </w:r>
      <w:sdt>
        <w:sdtPr>
          <w:rPr>
            <w:rFonts w:cs="Calibri"/>
          </w:rPr>
          <w:id w:val="-240247380"/>
          <w:citation/>
        </w:sdtPr>
        <w:sdtContent>
          <w:r w:rsidRPr="0092415A">
            <w:rPr>
              <w:rFonts w:cs="Calibri"/>
            </w:rPr>
            <w:fldChar w:fldCharType="begin"/>
          </w:r>
          <w:r w:rsidRPr="0092415A">
            <w:rPr>
              <w:rFonts w:cs="Calibri"/>
            </w:rPr>
            <w:instrText xml:space="preserve"> CITATION Coh17 \l 2057 </w:instrText>
          </w:r>
          <w:r w:rsidRPr="0092415A">
            <w:rPr>
              <w:rFonts w:cs="Calibri"/>
            </w:rPr>
            <w:fldChar w:fldCharType="separate"/>
          </w:r>
          <w:r w:rsidRPr="0092415A">
            <w:rPr>
              <w:rFonts w:cs="Calibri"/>
              <w:noProof/>
            </w:rPr>
            <w:t>(Cohen, et al., 2017)</w:t>
          </w:r>
          <w:r w:rsidRPr="0092415A">
            <w:rPr>
              <w:rFonts w:cs="Calibri"/>
            </w:rPr>
            <w:fldChar w:fldCharType="end"/>
          </w:r>
        </w:sdtContent>
      </w:sdt>
      <w:r w:rsidRPr="0092415A">
        <w:rPr>
          <w:rFonts w:cs="Calibri"/>
        </w:rPr>
        <w:t xml:space="preserve"> and semi-structured interviews </w:t>
      </w:r>
      <w:sdt>
        <w:sdtPr>
          <w:rPr>
            <w:rFonts w:cs="Calibri"/>
          </w:rPr>
          <w:id w:val="-2098159840"/>
          <w:citation/>
        </w:sdtPr>
        <w:sdtContent>
          <w:r w:rsidRPr="0092415A">
            <w:rPr>
              <w:rFonts w:cs="Calibri"/>
            </w:rPr>
            <w:fldChar w:fldCharType="begin"/>
          </w:r>
          <w:r w:rsidRPr="0092415A">
            <w:rPr>
              <w:rFonts w:cs="Calibri"/>
            </w:rPr>
            <w:instrText xml:space="preserve"> CITATION Mer21 \l 2057 </w:instrText>
          </w:r>
          <w:r w:rsidRPr="0092415A">
            <w:rPr>
              <w:rFonts w:cs="Calibri"/>
            </w:rPr>
            <w:fldChar w:fldCharType="separate"/>
          </w:r>
          <w:r w:rsidRPr="0092415A">
            <w:rPr>
              <w:rFonts w:cs="Calibri"/>
              <w:noProof/>
            </w:rPr>
            <w:t>(Mertler, 2021)</w:t>
          </w:r>
          <w:r w:rsidRPr="0092415A">
            <w:rPr>
              <w:rFonts w:cs="Calibri"/>
            </w:rPr>
            <w:fldChar w:fldCharType="end"/>
          </w:r>
        </w:sdtContent>
      </w:sdt>
      <w:r w:rsidRPr="0092415A">
        <w:rPr>
          <w:rFonts w:cs="Calibri"/>
        </w:rPr>
        <w:t xml:space="preserve"> the research discusses: how to enhance student engagement, autonomy, and skills development; tailor qualifications to individual learner needs; the benefits of moving from teacher-led instruction to student-centred learning. The evidence gathered highlights the need for providing robust support systems for Level 2 students with ALN</w:t>
      </w:r>
      <w:r w:rsidR="00396026" w:rsidRPr="0092415A">
        <w:rPr>
          <w:rFonts w:cs="Calibri"/>
        </w:rPr>
        <w:t>,</w:t>
      </w:r>
      <w:r w:rsidRPr="0092415A">
        <w:rPr>
          <w:rFonts w:cs="Calibri"/>
        </w:rPr>
        <w:t xml:space="preserve"> addressing socio-economic disparities, strengthening student-centred and student led learning, and expanding well-being support.</w:t>
      </w:r>
      <w:r w:rsidR="000F3FCD" w:rsidRPr="0092415A">
        <w:rPr>
          <w:rFonts w:cs="Calibri"/>
        </w:rPr>
        <w:t xml:space="preserve"> The recommendations include implementing accessible referral processes for support; providing additional resources; amending timetables; and encouraging staff to adopt a student-centred approach</w:t>
      </w:r>
      <w:r w:rsidR="00A36747" w:rsidRPr="0092415A">
        <w:rPr>
          <w:rFonts w:cs="Calibri"/>
        </w:rPr>
        <w:t xml:space="preserve"> </w:t>
      </w:r>
      <w:proofErr w:type="gramStart"/>
      <w:r w:rsidR="00A36747" w:rsidRPr="0092415A">
        <w:rPr>
          <w:rFonts w:cs="Calibri"/>
        </w:rPr>
        <w:t>in order to</w:t>
      </w:r>
      <w:proofErr w:type="gramEnd"/>
      <w:r w:rsidRPr="0092415A">
        <w:rPr>
          <w:rFonts w:cs="Calibri"/>
        </w:rPr>
        <w:t xml:space="preserve"> connect course content to students' goals,</w:t>
      </w:r>
      <w:r w:rsidR="00A36747" w:rsidRPr="0092415A">
        <w:rPr>
          <w:rFonts w:cs="Calibri"/>
        </w:rPr>
        <w:t xml:space="preserve"> thus</w:t>
      </w:r>
      <w:r w:rsidRPr="0092415A">
        <w:rPr>
          <w:rFonts w:cs="Calibri"/>
        </w:rPr>
        <w:t xml:space="preserve"> fostering motivation and practical skills (Li et al., 2024). By addressing limited literature on this topic, the findings may inform lecturers, FE institutions, and policymakers, by offering evidence to improve engagement, outcomes, and resilience for Level 2 vocational learners. Ultimately, this research has the potential to inspire other institutions to adopt innovative strategies, fostering more inclusive, supportive, and effective learning environments for Level 2 vocational students across the Further Education sector.</w:t>
      </w:r>
    </w:p>
    <w:p w14:paraId="69C51463" w14:textId="4578B1AE" w:rsidR="00815B81" w:rsidRPr="008E0178" w:rsidRDefault="00815B81" w:rsidP="008E0178">
      <w:pPr>
        <w:pStyle w:val="Heading2"/>
      </w:pPr>
      <w:bookmarkStart w:id="4" w:name="_Toc185674561"/>
      <w:r w:rsidRPr="008E0178">
        <w:t>K</w:t>
      </w:r>
      <w:r w:rsidR="00BF5779" w:rsidRPr="008E0178">
        <w:t>EYWORDS</w:t>
      </w:r>
      <w:bookmarkEnd w:id="4"/>
    </w:p>
    <w:p w14:paraId="3725C9BD" w14:textId="65AF6E29" w:rsidR="00815B81" w:rsidRPr="0092415A" w:rsidRDefault="00815B81" w:rsidP="00D835E5">
      <w:pPr>
        <w:rPr>
          <w:rFonts w:cs="Calibri"/>
        </w:rPr>
      </w:pPr>
      <w:r w:rsidRPr="0092415A">
        <w:rPr>
          <w:rFonts w:cs="Calibri"/>
        </w:rPr>
        <w:t>Further Education, Vocational, Level 2, Student-centred, Student engagement, Student autonomy, Skills development; Individual learner needs</w:t>
      </w:r>
    </w:p>
    <w:p w14:paraId="6EEE184D" w14:textId="030B9356" w:rsidR="00FB75D3" w:rsidRPr="00C40FA7" w:rsidRDefault="00FB75D3" w:rsidP="00D835E5">
      <w:pPr>
        <w:rPr>
          <w:rFonts w:cs="Calibri"/>
        </w:rPr>
      </w:pPr>
    </w:p>
    <w:p w14:paraId="6AF893FF" w14:textId="77777777" w:rsidR="00815B81" w:rsidRPr="00C40FA7" w:rsidRDefault="00815B81" w:rsidP="00D835E5">
      <w:pPr>
        <w:spacing w:after="160"/>
        <w:rPr>
          <w:rFonts w:eastAsiaTheme="majorEastAsia" w:cs="Calibri"/>
          <w:color w:val="0F4761" w:themeColor="accent1" w:themeShade="BF"/>
          <w:sz w:val="32"/>
          <w:szCs w:val="32"/>
          <w:highlight w:val="green"/>
        </w:rPr>
      </w:pPr>
      <w:r w:rsidRPr="00C40FA7">
        <w:rPr>
          <w:rFonts w:cs="Calibri"/>
          <w:highlight w:val="green"/>
        </w:rPr>
        <w:br w:type="page"/>
      </w:r>
    </w:p>
    <w:p w14:paraId="2942B4F2" w14:textId="590A9492" w:rsidR="00CE7C7D" w:rsidRPr="00AC7966" w:rsidRDefault="00E74533" w:rsidP="003524D8">
      <w:pPr>
        <w:pStyle w:val="Heading1"/>
        <w:numPr>
          <w:ilvl w:val="0"/>
          <w:numId w:val="52"/>
        </w:numPr>
        <w:rPr>
          <w:color w:val="000000" w:themeColor="text1"/>
        </w:rPr>
      </w:pPr>
      <w:bookmarkStart w:id="5" w:name="_Toc185674562"/>
      <w:r w:rsidRPr="00AC7966">
        <w:rPr>
          <w:color w:val="000000" w:themeColor="text1"/>
        </w:rPr>
        <w:lastRenderedPageBreak/>
        <w:t>I</w:t>
      </w:r>
      <w:r w:rsidR="00BF5779" w:rsidRPr="00AC7966">
        <w:rPr>
          <w:color w:val="000000" w:themeColor="text1"/>
        </w:rPr>
        <w:t>NTRODUCTION</w:t>
      </w:r>
      <w:bookmarkEnd w:id="5"/>
    </w:p>
    <w:p w14:paraId="7DB64973" w14:textId="407AABE0" w:rsidR="0083672A" w:rsidRDefault="00CE7C7D" w:rsidP="00D835E5">
      <w:pPr>
        <w:rPr>
          <w:rFonts w:cs="Calibri"/>
          <w:color w:val="000000" w:themeColor="text1"/>
        </w:rPr>
      </w:pPr>
      <w:r w:rsidRPr="00AC7966">
        <w:rPr>
          <w:rFonts w:cs="Calibri"/>
          <w:color w:val="000000" w:themeColor="text1"/>
        </w:rPr>
        <w:t>The purpose of this case study is to explore, from a staff and student perspective, the way in which a student-centred learning environment can be created for Level 2 vocational students in a Welsh Further Education College.</w:t>
      </w:r>
      <w:r w:rsidR="00993D91">
        <w:rPr>
          <w:rFonts w:cs="Calibri"/>
          <w:color w:val="000000" w:themeColor="text1"/>
        </w:rPr>
        <w:t xml:space="preserve"> </w:t>
      </w:r>
      <w:r w:rsidR="00993D91" w:rsidRPr="00993D91">
        <w:rPr>
          <w:rFonts w:cs="Calibri"/>
          <w:noProof/>
          <w:color w:val="000000" w:themeColor="text1"/>
        </w:rPr>
        <w:t>Andersen &amp; Andersen</w:t>
      </w:r>
      <w:r w:rsidR="005B27EC" w:rsidRPr="00AC7966">
        <w:rPr>
          <w:rFonts w:cs="Calibri"/>
          <w:color w:val="000000" w:themeColor="text1"/>
        </w:rPr>
        <w:t xml:space="preserve"> </w:t>
      </w:r>
      <w:sdt>
        <w:sdtPr>
          <w:rPr>
            <w:rFonts w:cs="Calibri"/>
            <w:color w:val="000000" w:themeColor="text1"/>
          </w:rPr>
          <w:id w:val="-912695162"/>
          <w:citation/>
        </w:sdtPr>
        <w:sdtContent>
          <w:r w:rsidR="00993D91">
            <w:rPr>
              <w:rFonts w:cs="Calibri"/>
              <w:color w:val="000000" w:themeColor="text1"/>
            </w:rPr>
            <w:fldChar w:fldCharType="begin"/>
          </w:r>
          <w:r w:rsidR="00993D91">
            <w:rPr>
              <w:rFonts w:cs="Calibri"/>
              <w:color w:val="000000" w:themeColor="text1"/>
            </w:rPr>
            <w:instrText xml:space="preserve">CITATION And15 \n  \l 2057 </w:instrText>
          </w:r>
          <w:r w:rsidR="00993D91">
            <w:rPr>
              <w:rFonts w:cs="Calibri"/>
              <w:color w:val="000000" w:themeColor="text1"/>
            </w:rPr>
            <w:fldChar w:fldCharType="separate"/>
          </w:r>
          <w:r w:rsidR="00993D91" w:rsidRPr="00993D91">
            <w:rPr>
              <w:rFonts w:cs="Calibri"/>
              <w:noProof/>
              <w:color w:val="000000" w:themeColor="text1"/>
            </w:rPr>
            <w:t>(2015)</w:t>
          </w:r>
          <w:r w:rsidR="00993D91">
            <w:rPr>
              <w:rFonts w:cs="Calibri"/>
              <w:color w:val="000000" w:themeColor="text1"/>
            </w:rPr>
            <w:fldChar w:fldCharType="end"/>
          </w:r>
        </w:sdtContent>
      </w:sdt>
      <w:r w:rsidR="00993D91">
        <w:rPr>
          <w:rFonts w:cs="Calibri"/>
          <w:color w:val="000000" w:themeColor="text1"/>
        </w:rPr>
        <w:t xml:space="preserve"> </w:t>
      </w:r>
      <w:r w:rsidR="00064A71">
        <w:rPr>
          <w:rFonts w:cs="Calibri"/>
          <w:color w:val="000000" w:themeColor="text1"/>
        </w:rPr>
        <w:t xml:space="preserve">note the benefits of a student-centred learning environment, </w:t>
      </w:r>
      <w:r w:rsidR="008B2BC1">
        <w:rPr>
          <w:rFonts w:cs="Calibri"/>
          <w:color w:val="000000" w:themeColor="text1"/>
        </w:rPr>
        <w:t xml:space="preserve">with </w:t>
      </w:r>
      <w:r w:rsidR="008B2BC1" w:rsidRPr="008B2BC1">
        <w:rPr>
          <w:rFonts w:cs="Calibri"/>
          <w:noProof/>
          <w:color w:val="000000" w:themeColor="text1"/>
        </w:rPr>
        <w:t>Bremner et al.</w:t>
      </w:r>
      <w:r w:rsidR="008B2BC1">
        <w:rPr>
          <w:rFonts w:cs="Calibri"/>
          <w:color w:val="000000" w:themeColor="text1"/>
        </w:rPr>
        <w:t xml:space="preserve"> </w:t>
      </w:r>
      <w:sdt>
        <w:sdtPr>
          <w:rPr>
            <w:rFonts w:cs="Calibri"/>
            <w:color w:val="000000" w:themeColor="text1"/>
          </w:rPr>
          <w:id w:val="-1167936018"/>
          <w:citation/>
        </w:sdtPr>
        <w:sdtContent>
          <w:r w:rsidR="008B2BC1">
            <w:rPr>
              <w:rFonts w:cs="Calibri"/>
              <w:color w:val="000000" w:themeColor="text1"/>
            </w:rPr>
            <w:fldChar w:fldCharType="begin"/>
          </w:r>
          <w:r w:rsidR="008B2BC1">
            <w:rPr>
              <w:rFonts w:cs="Calibri"/>
              <w:color w:val="000000" w:themeColor="text1"/>
            </w:rPr>
            <w:instrText xml:space="preserve">CITATION Bre22 \n  \l 2057 </w:instrText>
          </w:r>
          <w:r w:rsidR="008B2BC1">
            <w:rPr>
              <w:rFonts w:cs="Calibri"/>
              <w:color w:val="000000" w:themeColor="text1"/>
            </w:rPr>
            <w:fldChar w:fldCharType="separate"/>
          </w:r>
          <w:r w:rsidR="008B2BC1" w:rsidRPr="008B2BC1">
            <w:rPr>
              <w:rFonts w:cs="Calibri"/>
              <w:noProof/>
              <w:color w:val="000000" w:themeColor="text1"/>
            </w:rPr>
            <w:t>(2022)</w:t>
          </w:r>
          <w:r w:rsidR="008B2BC1">
            <w:rPr>
              <w:rFonts w:cs="Calibri"/>
              <w:color w:val="000000" w:themeColor="text1"/>
            </w:rPr>
            <w:fldChar w:fldCharType="end"/>
          </w:r>
        </w:sdtContent>
      </w:sdt>
      <w:r w:rsidR="008B2BC1">
        <w:rPr>
          <w:rFonts w:cs="Calibri"/>
          <w:color w:val="000000" w:themeColor="text1"/>
        </w:rPr>
        <w:t xml:space="preserve"> acknowledging </w:t>
      </w:r>
      <w:r w:rsidR="00064A71">
        <w:rPr>
          <w:rFonts w:cs="Calibri"/>
          <w:color w:val="000000" w:themeColor="text1"/>
        </w:rPr>
        <w:t>increased engagement, better collaboration and increased interest in the course being followed. However, despite the apparent relevance of these benefits on Level 2 students, few of these studies have been concerned with an FE setting and even fewer of these are located within a Welsh context.</w:t>
      </w:r>
      <w:r w:rsidR="0083672A">
        <w:rPr>
          <w:rFonts w:cs="Calibri"/>
          <w:color w:val="000000" w:themeColor="text1"/>
        </w:rPr>
        <w:t xml:space="preserve"> </w:t>
      </w:r>
      <w:r w:rsidR="0083672A" w:rsidRPr="00AC7966">
        <w:rPr>
          <w:rFonts w:cs="Calibri"/>
        </w:rPr>
        <w:t>Whilst there is some research being undertaken in Wales</w:t>
      </w:r>
      <w:r w:rsidR="0083672A">
        <w:rPr>
          <w:rFonts w:cs="Calibri"/>
        </w:rPr>
        <w:t>, e.g. those</w:t>
      </w:r>
      <w:r w:rsidR="0083672A" w:rsidRPr="00AC7966">
        <w:rPr>
          <w:rFonts w:cs="Calibri"/>
        </w:rPr>
        <w:t xml:space="preserve"> by the Learning And Work Institute </w:t>
      </w:r>
      <w:sdt>
        <w:sdtPr>
          <w:rPr>
            <w:rFonts w:cs="Calibri"/>
          </w:rPr>
          <w:id w:val="-108584492"/>
          <w:citation/>
        </w:sdtPr>
        <w:sdtContent>
          <w:r w:rsidR="0083672A" w:rsidRPr="00AC7966">
            <w:rPr>
              <w:rFonts w:cs="Calibri"/>
            </w:rPr>
            <w:fldChar w:fldCharType="begin"/>
          </w:r>
          <w:r w:rsidR="0083672A" w:rsidRPr="00AC7966">
            <w:rPr>
              <w:rFonts w:cs="Calibri"/>
            </w:rPr>
            <w:instrText xml:space="preserve">CITATION Lea24 \n  \l 2057 </w:instrText>
          </w:r>
          <w:r w:rsidR="0083672A" w:rsidRPr="00AC7966">
            <w:rPr>
              <w:rFonts w:cs="Calibri"/>
            </w:rPr>
            <w:fldChar w:fldCharType="separate"/>
          </w:r>
          <w:r w:rsidR="0083672A" w:rsidRPr="00AC7966">
            <w:rPr>
              <w:rFonts w:cs="Calibri"/>
            </w:rPr>
            <w:t>(2024)</w:t>
          </w:r>
          <w:r w:rsidR="0083672A" w:rsidRPr="00AC7966">
            <w:rPr>
              <w:rFonts w:cs="Calibri"/>
            </w:rPr>
            <w:fldChar w:fldCharType="end"/>
          </w:r>
        </w:sdtContent>
      </w:sdt>
      <w:r w:rsidR="0083672A" w:rsidRPr="00AC7966">
        <w:rPr>
          <w:rFonts w:cs="Calibri"/>
        </w:rPr>
        <w:t xml:space="preserve"> and Colegau Cymru </w:t>
      </w:r>
      <w:sdt>
        <w:sdtPr>
          <w:rPr>
            <w:rFonts w:cs="Calibri"/>
          </w:rPr>
          <w:id w:val="320005124"/>
          <w:citation/>
        </w:sdtPr>
        <w:sdtContent>
          <w:r w:rsidR="0083672A" w:rsidRPr="00AC7966">
            <w:rPr>
              <w:rFonts w:cs="Calibri"/>
            </w:rPr>
            <w:fldChar w:fldCharType="begin"/>
          </w:r>
          <w:r w:rsidR="0083672A" w:rsidRPr="00AC7966">
            <w:rPr>
              <w:rFonts w:cs="Calibri"/>
            </w:rPr>
            <w:instrText xml:space="preserve">CITATION Col241 \n  \l 2057 </w:instrText>
          </w:r>
          <w:r w:rsidR="0083672A" w:rsidRPr="00AC7966">
            <w:rPr>
              <w:rFonts w:cs="Calibri"/>
            </w:rPr>
            <w:fldChar w:fldCharType="separate"/>
          </w:r>
          <w:r w:rsidR="0083672A" w:rsidRPr="00AC7966">
            <w:rPr>
              <w:rFonts w:cs="Calibri"/>
            </w:rPr>
            <w:t>(2024)</w:t>
          </w:r>
          <w:r w:rsidR="0083672A" w:rsidRPr="00AC7966">
            <w:rPr>
              <w:rFonts w:cs="Calibri"/>
            </w:rPr>
            <w:fldChar w:fldCharType="end"/>
          </w:r>
        </w:sdtContent>
      </w:sdt>
      <w:r w:rsidR="0083672A" w:rsidRPr="00AC7966">
        <w:rPr>
          <w:rFonts w:cs="Calibri"/>
        </w:rPr>
        <w:t xml:space="preserve">; articles by Packer &amp; Thomas </w:t>
      </w:r>
      <w:sdt>
        <w:sdtPr>
          <w:rPr>
            <w:rFonts w:cs="Calibri"/>
          </w:rPr>
          <w:id w:val="-945160924"/>
          <w:citation/>
        </w:sdtPr>
        <w:sdtContent>
          <w:r w:rsidR="0083672A" w:rsidRPr="00AC7966">
            <w:rPr>
              <w:rFonts w:cs="Calibri"/>
            </w:rPr>
            <w:fldChar w:fldCharType="begin"/>
          </w:r>
          <w:r w:rsidR="0083672A" w:rsidRPr="00AC7966">
            <w:rPr>
              <w:rFonts w:cs="Calibri"/>
            </w:rPr>
            <w:instrText xml:space="preserve">CITATION Pac21 \n  \l 2057 </w:instrText>
          </w:r>
          <w:r w:rsidR="0083672A" w:rsidRPr="00AC7966">
            <w:rPr>
              <w:rFonts w:cs="Calibri"/>
            </w:rPr>
            <w:fldChar w:fldCharType="separate"/>
          </w:r>
          <w:r w:rsidR="0083672A" w:rsidRPr="00AC7966">
            <w:rPr>
              <w:rFonts w:cs="Calibri"/>
            </w:rPr>
            <w:t>(2021)</w:t>
          </w:r>
          <w:r w:rsidR="0083672A" w:rsidRPr="00AC7966">
            <w:rPr>
              <w:rFonts w:cs="Calibri"/>
            </w:rPr>
            <w:fldChar w:fldCharType="end"/>
          </w:r>
        </w:sdtContent>
      </w:sdt>
      <w:r w:rsidR="0083672A" w:rsidRPr="00AC7966">
        <w:rPr>
          <w:rFonts w:cs="Calibri"/>
        </w:rPr>
        <w:t xml:space="preserve"> and Wixey et al. </w:t>
      </w:r>
      <w:sdt>
        <w:sdtPr>
          <w:rPr>
            <w:rFonts w:cs="Calibri"/>
          </w:rPr>
          <w:id w:val="-1097322972"/>
          <w:citation/>
        </w:sdtPr>
        <w:sdtContent>
          <w:r w:rsidR="0083672A" w:rsidRPr="00AC7966">
            <w:rPr>
              <w:rFonts w:cs="Calibri"/>
            </w:rPr>
            <w:fldChar w:fldCharType="begin"/>
          </w:r>
          <w:r w:rsidR="0083672A" w:rsidRPr="00AC7966">
            <w:rPr>
              <w:rFonts w:cs="Calibri"/>
            </w:rPr>
            <w:instrText xml:space="preserve">CITATION Wix22 \n  \l 2057 </w:instrText>
          </w:r>
          <w:r w:rsidR="0083672A" w:rsidRPr="00AC7966">
            <w:rPr>
              <w:rFonts w:cs="Calibri"/>
            </w:rPr>
            <w:fldChar w:fldCharType="separate"/>
          </w:r>
          <w:r w:rsidR="0083672A" w:rsidRPr="00AC7966">
            <w:rPr>
              <w:rFonts w:cs="Calibri"/>
            </w:rPr>
            <w:t>(2022)</w:t>
          </w:r>
          <w:r w:rsidR="0083672A" w:rsidRPr="00AC7966">
            <w:rPr>
              <w:rFonts w:cs="Calibri"/>
            </w:rPr>
            <w:fldChar w:fldCharType="end"/>
          </w:r>
        </w:sdtContent>
      </w:sdt>
      <w:r w:rsidR="0083672A" w:rsidRPr="00AC7966">
        <w:rPr>
          <w:rFonts w:cs="Calibri"/>
        </w:rPr>
        <w:t xml:space="preserve">; the doctoral research of Caffrey </w:t>
      </w:r>
      <w:sdt>
        <w:sdtPr>
          <w:rPr>
            <w:rFonts w:cs="Calibri"/>
          </w:rPr>
          <w:id w:val="1693568278"/>
          <w:citation/>
        </w:sdtPr>
        <w:sdtContent>
          <w:r w:rsidR="0083672A" w:rsidRPr="00AC7966">
            <w:rPr>
              <w:rFonts w:cs="Calibri"/>
            </w:rPr>
            <w:fldChar w:fldCharType="begin"/>
          </w:r>
          <w:r w:rsidR="0083672A" w:rsidRPr="00AC7966">
            <w:rPr>
              <w:rFonts w:cs="Calibri"/>
            </w:rPr>
            <w:instrText xml:space="preserve">CITATION Caf23 \n  \l 2057 </w:instrText>
          </w:r>
          <w:r w:rsidR="0083672A" w:rsidRPr="00AC7966">
            <w:rPr>
              <w:rFonts w:cs="Calibri"/>
            </w:rPr>
            <w:fldChar w:fldCharType="separate"/>
          </w:r>
          <w:r w:rsidR="0083672A" w:rsidRPr="00AC7966">
            <w:rPr>
              <w:rFonts w:cs="Calibri"/>
            </w:rPr>
            <w:t>(2023)</w:t>
          </w:r>
          <w:r w:rsidR="0083672A" w:rsidRPr="00AC7966">
            <w:rPr>
              <w:rFonts w:cs="Calibri"/>
            </w:rPr>
            <w:fldChar w:fldCharType="end"/>
          </w:r>
        </w:sdtContent>
      </w:sdt>
      <w:r w:rsidR="0083672A" w:rsidRPr="00AC7966">
        <w:rPr>
          <w:rFonts w:cs="Calibri"/>
        </w:rPr>
        <w:t xml:space="preserve"> and FE reports such as the </w:t>
      </w:r>
      <w:r w:rsidR="0083672A">
        <w:rPr>
          <w:rFonts w:cs="Calibri"/>
        </w:rPr>
        <w:t>n</w:t>
      </w:r>
      <w:r w:rsidR="0083672A" w:rsidRPr="00AC7966">
        <w:rPr>
          <w:rFonts w:cs="Calibri"/>
        </w:rPr>
        <w:t xml:space="preserve">ational strategy needed to improve post-16 education and training in Wales </w:t>
      </w:r>
      <w:sdt>
        <w:sdtPr>
          <w:rPr>
            <w:rFonts w:cs="Calibri"/>
          </w:rPr>
          <w:id w:val="549190517"/>
          <w:citation/>
        </w:sdtPr>
        <w:sdtContent>
          <w:r w:rsidR="0083672A" w:rsidRPr="00AC7966">
            <w:rPr>
              <w:rFonts w:cs="Calibri"/>
            </w:rPr>
            <w:fldChar w:fldCharType="begin"/>
          </w:r>
          <w:r w:rsidR="0083672A" w:rsidRPr="00AC7966">
            <w:rPr>
              <w:rFonts w:cs="Calibri"/>
            </w:rPr>
            <w:instrText xml:space="preserve"> CITATION Est22 \l 2057 </w:instrText>
          </w:r>
          <w:r w:rsidR="0083672A" w:rsidRPr="00AC7966">
            <w:rPr>
              <w:rFonts w:cs="Calibri"/>
            </w:rPr>
            <w:fldChar w:fldCharType="separate"/>
          </w:r>
          <w:r w:rsidR="0083672A" w:rsidRPr="00AC7966">
            <w:rPr>
              <w:rFonts w:cs="Calibri"/>
            </w:rPr>
            <w:t>(Estyn, 2022)</w:t>
          </w:r>
          <w:r w:rsidR="0083672A" w:rsidRPr="00AC7966">
            <w:rPr>
              <w:rFonts w:cs="Calibri"/>
            </w:rPr>
            <w:fldChar w:fldCharType="end"/>
          </w:r>
        </w:sdtContent>
      </w:sdt>
      <w:r w:rsidR="0083672A" w:rsidRPr="00AC7966">
        <w:rPr>
          <w:rFonts w:cs="Calibri"/>
        </w:rPr>
        <w:t xml:space="preserve">, there is a dearth of literature available. </w:t>
      </w:r>
      <w:r w:rsidR="0083672A" w:rsidRPr="00514D0C">
        <w:rPr>
          <w:rStyle w:val="Strong"/>
          <w:rFonts w:eastAsiaTheme="majorEastAsia" w:cs="Calibri"/>
          <w:b w:val="0"/>
          <w:bCs w:val="0"/>
        </w:rPr>
        <w:t xml:space="preserve">As a result of the findings of this assignment, it is hoped </w:t>
      </w:r>
      <w:r w:rsidR="0083672A" w:rsidRPr="00514D0C">
        <w:rPr>
          <w:rFonts w:eastAsiaTheme="majorEastAsia" w:cs="Calibri"/>
        </w:rPr>
        <w:t>that</w:t>
      </w:r>
      <w:r w:rsidR="0083672A" w:rsidRPr="00514D0C">
        <w:rPr>
          <w:rFonts w:cs="Calibri"/>
        </w:rPr>
        <w:t xml:space="preserve"> the limited</w:t>
      </w:r>
      <w:r w:rsidR="0083672A" w:rsidRPr="00514D0C">
        <w:rPr>
          <w:rFonts w:eastAsiaTheme="majorEastAsia" w:cs="Calibri"/>
        </w:rPr>
        <w:t xml:space="preserve"> literature available, specifically based on Level 2 vocational students in FEI’s in Wales, will be partially addressed.</w:t>
      </w:r>
      <w:r w:rsidR="00064A71">
        <w:rPr>
          <w:rFonts w:cs="Calibri"/>
          <w:color w:val="000000" w:themeColor="text1"/>
        </w:rPr>
        <w:t xml:space="preserve"> </w:t>
      </w:r>
    </w:p>
    <w:p w14:paraId="2EF1A602" w14:textId="77777777" w:rsidR="0083672A" w:rsidRDefault="0083672A" w:rsidP="00D835E5">
      <w:pPr>
        <w:rPr>
          <w:rFonts w:cs="Calibri"/>
          <w:color w:val="000000" w:themeColor="text1"/>
        </w:rPr>
      </w:pPr>
    </w:p>
    <w:p w14:paraId="7487C028" w14:textId="552CB391" w:rsidR="00930681" w:rsidRPr="00AC7966" w:rsidRDefault="00064A71" w:rsidP="00D835E5">
      <w:pPr>
        <w:rPr>
          <w:rFonts w:cs="Calibri"/>
        </w:rPr>
      </w:pPr>
      <w:r>
        <w:rPr>
          <w:rFonts w:cs="Calibri"/>
          <w:color w:val="000000" w:themeColor="text1"/>
        </w:rPr>
        <w:t>Therefore,</w:t>
      </w:r>
      <w:r>
        <w:rPr>
          <w:rFonts w:cs="Calibri"/>
        </w:rPr>
        <w:t xml:space="preserve"> t</w:t>
      </w:r>
      <w:r w:rsidR="008D48ED" w:rsidRPr="00AC7966">
        <w:rPr>
          <w:rFonts w:cs="Calibri"/>
          <w:color w:val="000000" w:themeColor="text1"/>
        </w:rPr>
        <w:t xml:space="preserve">he </w:t>
      </w:r>
      <w:r w:rsidR="008D48ED" w:rsidRPr="00AC7966">
        <w:rPr>
          <w:rFonts w:cs="Calibri"/>
        </w:rPr>
        <w:t>primary objective</w:t>
      </w:r>
      <w:r w:rsidR="00423BCE">
        <w:rPr>
          <w:rFonts w:cs="Calibri"/>
        </w:rPr>
        <w:t>s</w:t>
      </w:r>
      <w:r w:rsidR="008D48ED" w:rsidRPr="00AC7966">
        <w:rPr>
          <w:rFonts w:cs="Calibri"/>
        </w:rPr>
        <w:t xml:space="preserve"> of </w:t>
      </w:r>
      <w:r w:rsidR="00FD513D" w:rsidRPr="00AC7966">
        <w:rPr>
          <w:rFonts w:cs="Calibri"/>
        </w:rPr>
        <w:t xml:space="preserve">this research </w:t>
      </w:r>
      <w:r w:rsidR="00423BCE">
        <w:rPr>
          <w:rFonts w:cs="Calibri"/>
        </w:rPr>
        <w:t>are</w:t>
      </w:r>
      <w:r w:rsidR="00930681" w:rsidRPr="00AC7966">
        <w:rPr>
          <w:rFonts w:cs="Calibri"/>
        </w:rPr>
        <w:t>:</w:t>
      </w:r>
    </w:p>
    <w:p w14:paraId="50E3F1C0" w14:textId="21B9EDF5" w:rsidR="00930681" w:rsidRPr="00AC7966" w:rsidRDefault="00423BCE" w:rsidP="00D835E5">
      <w:pPr>
        <w:pStyle w:val="ListParagraph"/>
        <w:numPr>
          <w:ilvl w:val="0"/>
          <w:numId w:val="37"/>
        </w:numPr>
        <w:rPr>
          <w:rFonts w:cs="Calibri"/>
        </w:rPr>
      </w:pPr>
      <w:r>
        <w:rPr>
          <w:rFonts w:cs="Calibri"/>
        </w:rPr>
        <w:t xml:space="preserve">To investigate </w:t>
      </w:r>
      <w:r w:rsidR="001D6307" w:rsidRPr="00AC7966">
        <w:rPr>
          <w:rFonts w:cs="Calibri"/>
        </w:rPr>
        <w:t xml:space="preserve">how to </w:t>
      </w:r>
      <w:r>
        <w:rPr>
          <w:rFonts w:cs="Calibri"/>
        </w:rPr>
        <w:t xml:space="preserve">best </w:t>
      </w:r>
      <w:r w:rsidR="008D48ED" w:rsidRPr="00AC7966">
        <w:rPr>
          <w:rFonts w:cs="Calibri"/>
        </w:rPr>
        <w:t>creat</w:t>
      </w:r>
      <w:r w:rsidR="001D6307" w:rsidRPr="00AC7966">
        <w:rPr>
          <w:rFonts w:cs="Calibri"/>
        </w:rPr>
        <w:t xml:space="preserve">e </w:t>
      </w:r>
      <w:r>
        <w:rPr>
          <w:rFonts w:cs="Calibri"/>
        </w:rPr>
        <w:t xml:space="preserve">a </w:t>
      </w:r>
      <w:r w:rsidR="008D48ED" w:rsidRPr="00AC7966">
        <w:rPr>
          <w:rFonts w:cs="Calibri"/>
        </w:rPr>
        <w:t>student-centred learning environment for Level 2 vocational students in a Welsh FE college</w:t>
      </w:r>
      <w:r w:rsidR="00523261" w:rsidRPr="00AC7966">
        <w:rPr>
          <w:rFonts w:cs="Calibri"/>
        </w:rPr>
        <w:t>;</w:t>
      </w:r>
      <w:r w:rsidR="008D48ED" w:rsidRPr="00AC7966">
        <w:rPr>
          <w:rFonts w:cs="Calibri"/>
        </w:rPr>
        <w:t xml:space="preserve"> </w:t>
      </w:r>
    </w:p>
    <w:p w14:paraId="0353E59D" w14:textId="189FDED2" w:rsidR="00035994" w:rsidRPr="00AC7966" w:rsidRDefault="00423BCE" w:rsidP="00D835E5">
      <w:pPr>
        <w:pStyle w:val="ListParagraph"/>
        <w:numPr>
          <w:ilvl w:val="0"/>
          <w:numId w:val="37"/>
        </w:numPr>
        <w:rPr>
          <w:rFonts w:cs="Calibri"/>
        </w:rPr>
      </w:pPr>
      <w:r>
        <w:rPr>
          <w:rFonts w:cs="Calibri"/>
        </w:rPr>
        <w:t xml:space="preserve">To gather </w:t>
      </w:r>
      <w:r w:rsidR="002F3A30" w:rsidRPr="00AC7966">
        <w:rPr>
          <w:rFonts w:cs="Calibri"/>
        </w:rPr>
        <w:t>the</w:t>
      </w:r>
      <w:r>
        <w:rPr>
          <w:rFonts w:cs="Calibri"/>
        </w:rPr>
        <w:t xml:space="preserve"> views of lecturers and a student about Level 2</w:t>
      </w:r>
      <w:r w:rsidR="002F3A30" w:rsidRPr="00AC7966">
        <w:rPr>
          <w:rFonts w:cs="Calibri"/>
        </w:rPr>
        <w:t xml:space="preserve"> qualification</w:t>
      </w:r>
      <w:r>
        <w:rPr>
          <w:rFonts w:cs="Calibri"/>
        </w:rPr>
        <w:t>s and the ways in which students best learn</w:t>
      </w:r>
      <w:r w:rsidR="00523261" w:rsidRPr="00AC7966">
        <w:rPr>
          <w:rFonts w:cs="Calibri"/>
        </w:rPr>
        <w:t>;</w:t>
      </w:r>
    </w:p>
    <w:p w14:paraId="3EB8A514" w14:textId="3C4D9673" w:rsidR="00B60BD9" w:rsidRPr="00AC7966" w:rsidRDefault="00423BCE" w:rsidP="00D835E5">
      <w:pPr>
        <w:pStyle w:val="ListParagraph"/>
        <w:numPr>
          <w:ilvl w:val="0"/>
          <w:numId w:val="37"/>
        </w:numPr>
        <w:rPr>
          <w:rFonts w:cs="Calibri"/>
        </w:rPr>
      </w:pPr>
      <w:r>
        <w:rPr>
          <w:rFonts w:cs="Calibri"/>
        </w:rPr>
        <w:t>To develop themes to consider and enable further areas of research</w:t>
      </w:r>
      <w:r w:rsidR="008D48ED" w:rsidRPr="00AC7966">
        <w:rPr>
          <w:rFonts w:cs="Calibri"/>
        </w:rPr>
        <w:t>.</w:t>
      </w:r>
      <w:r w:rsidR="00B60BD9" w:rsidRPr="00AC7966">
        <w:rPr>
          <w:rFonts w:cs="Calibri"/>
        </w:rPr>
        <w:t xml:space="preserve"> </w:t>
      </w:r>
    </w:p>
    <w:p w14:paraId="0167E333" w14:textId="096A07E9" w:rsidR="00F04E41" w:rsidRPr="00AC7966" w:rsidRDefault="00423BCE" w:rsidP="00D835E5">
      <w:pPr>
        <w:rPr>
          <w:rFonts w:cs="Calibri"/>
        </w:rPr>
      </w:pPr>
      <w:r>
        <w:rPr>
          <w:rFonts w:cs="Calibri"/>
        </w:rPr>
        <w:t>B</w:t>
      </w:r>
      <w:r w:rsidR="00B60BD9" w:rsidRPr="00AC7966">
        <w:rPr>
          <w:rFonts w:cs="Calibri"/>
        </w:rPr>
        <w:t xml:space="preserve">y focusing on these objectives, </w:t>
      </w:r>
      <w:r>
        <w:rPr>
          <w:rFonts w:cs="Calibri"/>
        </w:rPr>
        <w:t xml:space="preserve">it may be possible to develop </w:t>
      </w:r>
      <w:r w:rsidR="00B60BD9" w:rsidRPr="00AC7966">
        <w:rPr>
          <w:rFonts w:cs="Calibri"/>
        </w:rPr>
        <w:t>a student-centred learning environment in</w:t>
      </w:r>
      <w:r w:rsidR="0097043D" w:rsidRPr="00AC7966">
        <w:rPr>
          <w:rFonts w:cs="Calibri"/>
        </w:rPr>
        <w:t xml:space="preserve"> </w:t>
      </w:r>
      <w:r>
        <w:rPr>
          <w:rFonts w:cs="Calibri"/>
        </w:rPr>
        <w:t xml:space="preserve">a Welsh </w:t>
      </w:r>
      <w:r w:rsidR="00B60BD9" w:rsidRPr="00AC7966">
        <w:rPr>
          <w:rFonts w:cs="Calibri"/>
        </w:rPr>
        <w:t>FE</w:t>
      </w:r>
      <w:r>
        <w:rPr>
          <w:rFonts w:cs="Calibri"/>
        </w:rPr>
        <w:t>I</w:t>
      </w:r>
      <w:r w:rsidR="00B60BD9" w:rsidRPr="00AC7966">
        <w:rPr>
          <w:rFonts w:cs="Calibri"/>
        </w:rPr>
        <w:t xml:space="preserve"> </w:t>
      </w:r>
      <w:r>
        <w:rPr>
          <w:rFonts w:cs="Calibri"/>
        </w:rPr>
        <w:t xml:space="preserve">that </w:t>
      </w:r>
      <w:r w:rsidR="00B60BD9" w:rsidRPr="00AC7966">
        <w:rPr>
          <w:rFonts w:cs="Calibri"/>
        </w:rPr>
        <w:t>can better support Level 2 vocational students, preparing them not only for academic success but also for meaningful career pathways and lifelong learning.</w:t>
      </w:r>
    </w:p>
    <w:p w14:paraId="372753EE" w14:textId="77777777" w:rsidR="00F04E41" w:rsidRPr="00AC7966" w:rsidRDefault="00F04E41" w:rsidP="00D835E5">
      <w:pPr>
        <w:rPr>
          <w:rFonts w:cs="Calibri"/>
        </w:rPr>
      </w:pPr>
    </w:p>
    <w:p w14:paraId="715D34A2" w14:textId="77777777" w:rsidR="00064A71" w:rsidRDefault="003A69CD" w:rsidP="00B86487">
      <w:pPr>
        <w:rPr>
          <w:rFonts w:cs="Calibri"/>
        </w:rPr>
      </w:pPr>
      <w:r w:rsidRPr="00AC7966">
        <w:rPr>
          <w:rFonts w:cs="Calibri"/>
        </w:rPr>
        <w:t>Identified by</w:t>
      </w:r>
      <w:r w:rsidR="00504FB7" w:rsidRPr="00AC7966">
        <w:rPr>
          <w:rFonts w:cs="Calibri"/>
        </w:rPr>
        <w:t xml:space="preserve"> </w:t>
      </w:r>
      <w:r w:rsidR="00396026" w:rsidRPr="00AC7966">
        <w:rPr>
          <w:rFonts w:cs="Calibri"/>
          <w:noProof/>
        </w:rPr>
        <w:t>WG</w:t>
      </w:r>
      <w:r w:rsidR="00504FB7" w:rsidRPr="00AC7966">
        <w:rPr>
          <w:rFonts w:cs="Calibri"/>
        </w:rPr>
        <w:t xml:space="preserve"> </w:t>
      </w:r>
      <w:sdt>
        <w:sdtPr>
          <w:rPr>
            <w:rFonts w:cs="Calibri"/>
          </w:rPr>
          <w:id w:val="-1288507859"/>
          <w:citation/>
        </w:sdtPr>
        <w:sdtContent>
          <w:r w:rsidR="00504FB7" w:rsidRPr="00AC7966">
            <w:rPr>
              <w:rFonts w:cs="Calibri"/>
            </w:rPr>
            <w:fldChar w:fldCharType="begin"/>
          </w:r>
          <w:r w:rsidR="00396026" w:rsidRPr="00AC7966">
            <w:rPr>
              <w:rFonts w:cs="Calibri"/>
            </w:rPr>
            <w:instrText xml:space="preserve">CITATION Wel23 \n  \l 2057 </w:instrText>
          </w:r>
          <w:r w:rsidR="00504FB7" w:rsidRPr="00AC7966">
            <w:rPr>
              <w:rFonts w:cs="Calibri"/>
            </w:rPr>
            <w:fldChar w:fldCharType="separate"/>
          </w:r>
          <w:r w:rsidR="00396026" w:rsidRPr="00AC7966">
            <w:rPr>
              <w:rFonts w:cs="Calibri"/>
              <w:noProof/>
            </w:rPr>
            <w:t>(2023)</w:t>
          </w:r>
          <w:r w:rsidR="00504FB7" w:rsidRPr="00AC7966">
            <w:rPr>
              <w:rFonts w:cs="Calibri"/>
            </w:rPr>
            <w:fldChar w:fldCharType="end"/>
          </w:r>
        </w:sdtContent>
      </w:sdt>
      <w:r w:rsidR="00504FB7" w:rsidRPr="00AC7966">
        <w:rPr>
          <w:rFonts w:cs="Calibri"/>
        </w:rPr>
        <w:t>,</w:t>
      </w:r>
      <w:r w:rsidRPr="00AC7966">
        <w:rPr>
          <w:rFonts w:cs="Calibri"/>
        </w:rPr>
        <w:t xml:space="preserve"> </w:t>
      </w:r>
      <w:r w:rsidR="003D465B" w:rsidRPr="00AC7966">
        <w:rPr>
          <w:rFonts w:cs="Calibri"/>
        </w:rPr>
        <w:t xml:space="preserve">many Level 2 vocational students suffer from </w:t>
      </w:r>
      <w:r w:rsidR="00C71124" w:rsidRPr="00AC7966">
        <w:rPr>
          <w:rFonts w:cs="Calibri"/>
        </w:rPr>
        <w:t>a lack of engagement and motivation.</w:t>
      </w:r>
      <w:r w:rsidR="00783055" w:rsidRPr="00AC7966">
        <w:rPr>
          <w:rFonts w:cs="Calibri"/>
        </w:rPr>
        <w:t xml:space="preserve"> </w:t>
      </w:r>
      <w:r w:rsidR="00783055" w:rsidRPr="00AC7966">
        <w:rPr>
          <w:rFonts w:cs="Calibri"/>
          <w:noProof/>
        </w:rPr>
        <w:t>Noguera et al.</w:t>
      </w:r>
      <w:r w:rsidR="00C71124" w:rsidRPr="00AC7966">
        <w:rPr>
          <w:rFonts w:cs="Calibri"/>
        </w:rPr>
        <w:t xml:space="preserve"> </w:t>
      </w:r>
      <w:sdt>
        <w:sdtPr>
          <w:rPr>
            <w:rFonts w:cs="Calibri"/>
          </w:rPr>
          <w:id w:val="-1752659355"/>
          <w:citation/>
        </w:sdtPr>
        <w:sdtContent>
          <w:r w:rsidR="00783055" w:rsidRPr="00AC7966">
            <w:rPr>
              <w:rFonts w:cs="Calibri"/>
            </w:rPr>
            <w:fldChar w:fldCharType="begin"/>
          </w:r>
          <w:r w:rsidR="00783055" w:rsidRPr="00AC7966">
            <w:rPr>
              <w:rFonts w:cs="Calibri"/>
            </w:rPr>
            <w:instrText xml:space="preserve">CITATION Nog24 \n  \l 2057 </w:instrText>
          </w:r>
          <w:r w:rsidR="00783055" w:rsidRPr="00AC7966">
            <w:rPr>
              <w:rFonts w:cs="Calibri"/>
            </w:rPr>
            <w:fldChar w:fldCharType="separate"/>
          </w:r>
          <w:r w:rsidR="00783055" w:rsidRPr="00AC7966">
            <w:rPr>
              <w:rFonts w:cs="Calibri"/>
              <w:noProof/>
            </w:rPr>
            <w:t>(2024)</w:t>
          </w:r>
          <w:r w:rsidR="00783055" w:rsidRPr="00AC7966">
            <w:rPr>
              <w:rFonts w:cs="Calibri"/>
            </w:rPr>
            <w:fldChar w:fldCharType="end"/>
          </w:r>
        </w:sdtContent>
      </w:sdt>
      <w:r w:rsidR="00783055" w:rsidRPr="00AC7966">
        <w:rPr>
          <w:rFonts w:cs="Calibri"/>
        </w:rPr>
        <w:t xml:space="preserve"> </w:t>
      </w:r>
      <w:r w:rsidR="00C71124" w:rsidRPr="00AC7966">
        <w:rPr>
          <w:rFonts w:cs="Calibri"/>
        </w:rPr>
        <w:t xml:space="preserve">reflect that </w:t>
      </w:r>
      <w:r w:rsidR="0032296B" w:rsidRPr="00AC7966">
        <w:rPr>
          <w:rFonts w:cs="Calibri"/>
        </w:rPr>
        <w:t xml:space="preserve">many of these students come from diverse </w:t>
      </w:r>
      <w:r w:rsidR="0032296B" w:rsidRPr="00AC7966">
        <w:rPr>
          <w:rFonts w:cs="Calibri"/>
        </w:rPr>
        <w:lastRenderedPageBreak/>
        <w:t>educational backgrounds and traditional, lecture-based teaching methods</w:t>
      </w:r>
      <w:r w:rsidR="00017C5F" w:rsidRPr="00AC7966">
        <w:rPr>
          <w:rFonts w:cs="Calibri"/>
        </w:rPr>
        <w:t xml:space="preserve"> and rigid </w:t>
      </w:r>
      <w:r w:rsidR="00504B04" w:rsidRPr="00AC7966">
        <w:rPr>
          <w:rFonts w:cs="Calibri"/>
        </w:rPr>
        <w:t xml:space="preserve">lesson </w:t>
      </w:r>
      <w:r w:rsidR="00017C5F" w:rsidRPr="00AC7966">
        <w:rPr>
          <w:rFonts w:cs="Calibri"/>
        </w:rPr>
        <w:t>timetables</w:t>
      </w:r>
      <w:r w:rsidR="0032296B" w:rsidRPr="00AC7966">
        <w:rPr>
          <w:rFonts w:cs="Calibri"/>
        </w:rPr>
        <w:t xml:space="preserve"> may not fully </w:t>
      </w:r>
      <w:r w:rsidR="0032296B" w:rsidRPr="00064A71">
        <w:rPr>
          <w:rFonts w:cs="Calibri"/>
        </w:rPr>
        <w:t>engage them.</w:t>
      </w:r>
      <w:r w:rsidR="00504B04" w:rsidRPr="00064A71">
        <w:rPr>
          <w:rFonts w:cs="Calibri"/>
        </w:rPr>
        <w:t xml:space="preserve"> Student-centred learning may allow these students to connect course content to their own goals</w:t>
      </w:r>
      <w:r w:rsidR="00FF15CA" w:rsidRPr="00064A71">
        <w:rPr>
          <w:rFonts w:cs="Calibri"/>
        </w:rPr>
        <w:t xml:space="preserve"> and </w:t>
      </w:r>
      <w:r w:rsidR="00523261" w:rsidRPr="00064A71">
        <w:rPr>
          <w:rFonts w:cs="Calibri"/>
        </w:rPr>
        <w:t>interests and</w:t>
      </w:r>
      <w:r w:rsidR="00FF15CA" w:rsidRPr="00064A71">
        <w:rPr>
          <w:rFonts w:cs="Calibri"/>
        </w:rPr>
        <w:t xml:space="preserve"> may </w:t>
      </w:r>
      <w:r w:rsidR="00504B04" w:rsidRPr="00064A71">
        <w:rPr>
          <w:rFonts w:cs="Calibri"/>
        </w:rPr>
        <w:t>foster higher levels of motivation and involvement</w:t>
      </w:r>
      <w:r w:rsidR="005D082B" w:rsidRPr="00064A71">
        <w:rPr>
          <w:rFonts w:cs="Calibri"/>
        </w:rPr>
        <w:t xml:space="preserve"> </w:t>
      </w:r>
      <w:sdt>
        <w:sdtPr>
          <w:rPr>
            <w:rFonts w:cs="Calibri"/>
          </w:rPr>
          <w:id w:val="1903718197"/>
          <w:citation/>
        </w:sdtPr>
        <w:sdtContent>
          <w:r w:rsidR="005D082B" w:rsidRPr="00064A71">
            <w:rPr>
              <w:rFonts w:cs="Calibri"/>
            </w:rPr>
            <w:fldChar w:fldCharType="begin"/>
          </w:r>
          <w:r w:rsidR="00AE54C8" w:rsidRPr="00064A71">
            <w:rPr>
              <w:rFonts w:cs="Calibri"/>
            </w:rPr>
            <w:instrText xml:space="preserve">CITATION Yin24 \l 2057 </w:instrText>
          </w:r>
          <w:r w:rsidR="005D082B" w:rsidRPr="00064A71">
            <w:rPr>
              <w:rFonts w:cs="Calibri"/>
            </w:rPr>
            <w:fldChar w:fldCharType="separate"/>
          </w:r>
          <w:r w:rsidR="00AE54C8" w:rsidRPr="00064A71">
            <w:rPr>
              <w:rFonts w:cs="Calibri"/>
              <w:noProof/>
            </w:rPr>
            <w:t>(Li, et al., 2024)</w:t>
          </w:r>
          <w:r w:rsidR="005D082B" w:rsidRPr="00064A71">
            <w:rPr>
              <w:rFonts w:cs="Calibri"/>
            </w:rPr>
            <w:fldChar w:fldCharType="end"/>
          </w:r>
        </w:sdtContent>
      </w:sdt>
      <w:r w:rsidR="00AE54C8" w:rsidRPr="00064A71">
        <w:rPr>
          <w:rFonts w:cs="Calibri"/>
        </w:rPr>
        <w:t xml:space="preserve">. </w:t>
      </w:r>
      <w:r w:rsidR="00FD436E" w:rsidRPr="00064A71">
        <w:rPr>
          <w:rFonts w:cs="Calibri"/>
        </w:rPr>
        <w:t>Furthermore</w:t>
      </w:r>
      <w:r w:rsidR="00FD436E" w:rsidRPr="00AC7966">
        <w:rPr>
          <w:rFonts w:cs="Calibri"/>
        </w:rPr>
        <w:t xml:space="preserve">, it may </w:t>
      </w:r>
      <w:r w:rsidR="00504B04" w:rsidRPr="00AC7966">
        <w:rPr>
          <w:rFonts w:cs="Calibri"/>
        </w:rPr>
        <w:t>empower students to take an active role</w:t>
      </w:r>
      <w:r w:rsidR="00FD436E" w:rsidRPr="00AC7966">
        <w:rPr>
          <w:rFonts w:cs="Calibri"/>
        </w:rPr>
        <w:t xml:space="preserve"> within their education</w:t>
      </w:r>
      <w:r w:rsidR="00504B04" w:rsidRPr="00AC7966">
        <w:rPr>
          <w:rFonts w:cs="Calibri"/>
        </w:rPr>
        <w:t>, which is particularly effective in vocational education</w:t>
      </w:r>
      <w:r w:rsidR="002D06C6" w:rsidRPr="00AC7966">
        <w:rPr>
          <w:rFonts w:cs="Calibri"/>
        </w:rPr>
        <w:t xml:space="preserve"> at Level 2</w:t>
      </w:r>
      <w:r w:rsidR="00504B04" w:rsidRPr="00AC7966">
        <w:rPr>
          <w:rFonts w:cs="Calibri"/>
        </w:rPr>
        <w:t xml:space="preserve"> where practical application is key</w:t>
      </w:r>
      <w:r w:rsidR="00894D42" w:rsidRPr="00AC7966">
        <w:rPr>
          <w:rFonts w:cs="Calibri"/>
        </w:rPr>
        <w:t xml:space="preserve"> </w:t>
      </w:r>
      <w:sdt>
        <w:sdtPr>
          <w:rPr>
            <w:rFonts w:cs="Calibri"/>
          </w:rPr>
          <w:id w:val="-887336321"/>
          <w:citation/>
        </w:sdtPr>
        <w:sdtContent>
          <w:r w:rsidR="00894D42" w:rsidRPr="00AC7966">
            <w:rPr>
              <w:rFonts w:cs="Calibri"/>
            </w:rPr>
            <w:fldChar w:fldCharType="begin"/>
          </w:r>
          <w:r w:rsidR="00894D42" w:rsidRPr="00AC7966">
            <w:rPr>
              <w:rFonts w:cs="Calibri"/>
            </w:rPr>
            <w:instrText xml:space="preserve"> CITATION Cun241 \l 2057 </w:instrText>
          </w:r>
          <w:r w:rsidR="00894D42" w:rsidRPr="00AC7966">
            <w:rPr>
              <w:rFonts w:cs="Calibri"/>
            </w:rPr>
            <w:fldChar w:fldCharType="separate"/>
          </w:r>
          <w:r w:rsidR="00894D42" w:rsidRPr="00AC7966">
            <w:rPr>
              <w:rFonts w:cs="Calibri"/>
              <w:noProof/>
            </w:rPr>
            <w:t>(Cunningham, et al., 2024)</w:t>
          </w:r>
          <w:r w:rsidR="00894D42" w:rsidRPr="00AC7966">
            <w:rPr>
              <w:rFonts w:cs="Calibri"/>
            </w:rPr>
            <w:fldChar w:fldCharType="end"/>
          </w:r>
        </w:sdtContent>
      </w:sdt>
      <w:r w:rsidR="00523261" w:rsidRPr="00AC7966">
        <w:rPr>
          <w:rFonts w:cs="Calibri"/>
        </w:rPr>
        <w:t>.</w:t>
      </w:r>
      <w:r w:rsidR="001F7200" w:rsidRPr="00AC7966">
        <w:rPr>
          <w:rFonts w:cs="Calibri"/>
        </w:rPr>
        <w:t xml:space="preserve"> </w:t>
      </w:r>
    </w:p>
    <w:p w14:paraId="17D11A0C" w14:textId="77777777" w:rsidR="00064A71" w:rsidRDefault="00064A71" w:rsidP="00B86487">
      <w:pPr>
        <w:rPr>
          <w:rFonts w:cs="Calibri"/>
        </w:rPr>
      </w:pPr>
    </w:p>
    <w:p w14:paraId="7F33286C" w14:textId="6A253C48" w:rsidR="00064A71" w:rsidRPr="00AC7966" w:rsidRDefault="00064A71" w:rsidP="00064A71">
      <w:pPr>
        <w:rPr>
          <w:rStyle w:val="Strong"/>
          <w:rFonts w:eastAsiaTheme="majorEastAsia" w:cs="Calibri"/>
        </w:rPr>
      </w:pPr>
      <w:r w:rsidRPr="00AC7966">
        <w:rPr>
          <w:rFonts w:eastAsiaTheme="majorEastAsia" w:cs="Calibri"/>
        </w:rPr>
        <w:t xml:space="preserve">Level 2 vocational students in Wales typically pursue qualifications that equip them with practical skills and knowledge relevant to specific careers or industries </w:t>
      </w:r>
      <w:sdt>
        <w:sdtPr>
          <w:rPr>
            <w:rFonts w:eastAsiaTheme="majorEastAsia" w:cs="Calibri"/>
          </w:rPr>
          <w:id w:val="1899324994"/>
          <w:citation/>
        </w:sdtPr>
        <w:sdtContent>
          <w:r w:rsidRPr="00AC7966">
            <w:rPr>
              <w:rFonts w:eastAsiaTheme="majorEastAsia" w:cs="Calibri"/>
            </w:rPr>
            <w:fldChar w:fldCharType="begin"/>
          </w:r>
          <w:r>
            <w:rPr>
              <w:rFonts w:eastAsiaTheme="majorEastAsia" w:cs="Calibri"/>
            </w:rPr>
            <w:instrText xml:space="preserve">CITATION Wel241 \l 2057 </w:instrText>
          </w:r>
          <w:r w:rsidRPr="00AC7966">
            <w:rPr>
              <w:rFonts w:eastAsiaTheme="majorEastAsia" w:cs="Calibri"/>
            </w:rPr>
            <w:fldChar w:fldCharType="separate"/>
          </w:r>
          <w:r w:rsidRPr="00391DEB">
            <w:rPr>
              <w:rFonts w:eastAsiaTheme="majorEastAsia" w:cs="Calibri"/>
              <w:noProof/>
            </w:rPr>
            <w:t>(WG, 2024)</w:t>
          </w:r>
          <w:r w:rsidRPr="00AC7966">
            <w:rPr>
              <w:rFonts w:eastAsiaTheme="majorEastAsia" w:cs="Calibri"/>
            </w:rPr>
            <w:fldChar w:fldCharType="end"/>
          </w:r>
        </w:sdtContent>
      </w:sdt>
      <w:r w:rsidRPr="00AC7966">
        <w:rPr>
          <w:rFonts w:eastAsiaTheme="majorEastAsia" w:cs="Calibri"/>
        </w:rPr>
        <w:t>. These program</w:t>
      </w:r>
      <w:r w:rsidR="0083672A">
        <w:rPr>
          <w:rFonts w:eastAsiaTheme="majorEastAsia" w:cs="Calibri"/>
        </w:rPr>
        <w:t>me</w:t>
      </w:r>
      <w:r w:rsidRPr="00AC7966">
        <w:rPr>
          <w:rFonts w:eastAsiaTheme="majorEastAsia" w:cs="Calibri"/>
        </w:rPr>
        <w:t xml:space="preserve">s are designed to prepare students for employment or further education and often include a mix of classroom learning and hands-on experience. Key characteristics of Level 2 vocational education in Wales include a Level 2 Diploma in Vocational Education </w:t>
      </w:r>
      <w:sdt>
        <w:sdtPr>
          <w:rPr>
            <w:rFonts w:eastAsiaTheme="majorEastAsia" w:cs="Calibri"/>
          </w:rPr>
          <w:id w:val="1823697343"/>
          <w:citation/>
        </w:sdtPr>
        <w:sdtContent>
          <w:r w:rsidRPr="00AC7966">
            <w:rPr>
              <w:rFonts w:eastAsiaTheme="majorEastAsia" w:cs="Calibri"/>
            </w:rPr>
            <w:fldChar w:fldCharType="begin"/>
          </w:r>
          <w:r w:rsidRPr="00AC7966">
            <w:rPr>
              <w:rFonts w:eastAsiaTheme="majorEastAsia" w:cs="Calibri"/>
            </w:rPr>
            <w:instrText xml:space="preserve"> CITATION Pea24 \l 2057 </w:instrText>
          </w:r>
          <w:r w:rsidRPr="00AC7966">
            <w:rPr>
              <w:rFonts w:eastAsiaTheme="majorEastAsia" w:cs="Calibri"/>
            </w:rPr>
            <w:fldChar w:fldCharType="separate"/>
          </w:r>
          <w:r w:rsidRPr="00AC7966">
            <w:rPr>
              <w:rFonts w:eastAsiaTheme="majorEastAsia" w:cs="Calibri"/>
            </w:rPr>
            <w:t>(Pearson, 2024)</w:t>
          </w:r>
          <w:r w:rsidRPr="00AC7966">
            <w:rPr>
              <w:rFonts w:eastAsiaTheme="majorEastAsia" w:cs="Calibri"/>
            </w:rPr>
            <w:fldChar w:fldCharType="end"/>
          </w:r>
        </w:sdtContent>
      </w:sdt>
      <w:r w:rsidRPr="00AC7966">
        <w:rPr>
          <w:rFonts w:eastAsiaTheme="majorEastAsia" w:cs="Calibri"/>
        </w:rPr>
        <w:t>, which is recognised by employers and educational institutions and</w:t>
      </w:r>
      <w:r w:rsidR="0083672A">
        <w:rPr>
          <w:rFonts w:eastAsiaTheme="majorEastAsia" w:cs="Calibri"/>
        </w:rPr>
        <w:t>,</w:t>
      </w:r>
      <w:r w:rsidRPr="00AC7966">
        <w:rPr>
          <w:rFonts w:eastAsiaTheme="majorEastAsia" w:cs="Calibri"/>
        </w:rPr>
        <w:t xml:space="preserve"> theoretically</w:t>
      </w:r>
      <w:r w:rsidR="0083672A">
        <w:rPr>
          <w:rFonts w:eastAsiaTheme="majorEastAsia" w:cs="Calibri"/>
        </w:rPr>
        <w:t>,</w:t>
      </w:r>
      <w:r w:rsidRPr="00AC7966">
        <w:rPr>
          <w:rFonts w:eastAsiaTheme="majorEastAsia" w:cs="Calibri"/>
        </w:rPr>
        <w:t xml:space="preserve"> equips students with the necessary skills and qualifications to succeed in their chosen career paths while promoting lifelong learning and employability.</w:t>
      </w:r>
      <w:r w:rsidRPr="00AC7966">
        <w:rPr>
          <w:rStyle w:val="Strong"/>
          <w:rFonts w:eastAsiaTheme="majorEastAsia" w:cs="Calibri"/>
        </w:rPr>
        <w:t xml:space="preserve"> </w:t>
      </w:r>
    </w:p>
    <w:p w14:paraId="68A2B4F6" w14:textId="77777777" w:rsidR="00064A71" w:rsidRPr="00AC7966" w:rsidRDefault="00064A71" w:rsidP="00064A71">
      <w:pPr>
        <w:rPr>
          <w:rFonts w:cs="Calibri"/>
        </w:rPr>
      </w:pPr>
    </w:p>
    <w:p w14:paraId="450539C7" w14:textId="77777777" w:rsidR="00064A71" w:rsidRDefault="00064A71" w:rsidP="00064A71">
      <w:pPr>
        <w:rPr>
          <w:rFonts w:eastAsiaTheme="majorEastAsia" w:cs="Calibri"/>
          <w:highlight w:val="green"/>
        </w:rPr>
      </w:pPr>
      <w:r w:rsidRPr="00AC7966">
        <w:rPr>
          <w:rFonts w:eastAsiaTheme="majorEastAsia" w:cs="Calibri"/>
        </w:rPr>
        <w:t>When students enrol on a Level 2 in a FE college in post-compulsory education, it is crucial to foster a supportive environment that addresses their academic and emotional needs. Perhaps</w:t>
      </w:r>
      <w:r>
        <w:rPr>
          <w:rFonts w:eastAsiaTheme="majorEastAsia" w:cs="Calibri"/>
        </w:rPr>
        <w:t>,</w:t>
      </w:r>
      <w:r w:rsidRPr="00AC7966">
        <w:rPr>
          <w:rFonts w:eastAsiaTheme="majorEastAsia" w:cs="Calibri"/>
        </w:rPr>
        <w:t xml:space="preserve"> for varying reasons, enrolling on an A Level / BTEC Level 3</w:t>
      </w:r>
      <w:r>
        <w:rPr>
          <w:rFonts w:eastAsiaTheme="majorEastAsia" w:cs="Calibri"/>
        </w:rPr>
        <w:t xml:space="preserve"> course</w:t>
      </w:r>
      <w:r w:rsidRPr="00AC7966">
        <w:rPr>
          <w:rFonts w:eastAsiaTheme="majorEastAsia" w:cs="Calibri"/>
        </w:rPr>
        <w:t xml:space="preserve"> is not an option and such students frequently exhibit diminished confidence, frustration, and disengagement due to prior setbacks</w:t>
      </w:r>
      <w:r w:rsidRPr="00AC7966">
        <w:rPr>
          <w:rFonts w:cs="Calibri"/>
        </w:rPr>
        <w:t xml:space="preserve"> </w:t>
      </w:r>
      <w:sdt>
        <w:sdtPr>
          <w:rPr>
            <w:rFonts w:cs="Calibri"/>
          </w:rPr>
          <w:id w:val="-2089145687"/>
          <w:citation/>
        </w:sdtPr>
        <w:sdtContent>
          <w:r w:rsidRPr="00AC7966">
            <w:rPr>
              <w:rFonts w:cs="Calibri"/>
            </w:rPr>
            <w:fldChar w:fldCharType="begin"/>
          </w:r>
          <w:r w:rsidRPr="00AC7966">
            <w:rPr>
              <w:rFonts w:cs="Calibri"/>
            </w:rPr>
            <w:instrText xml:space="preserve"> CITATION Dar18 \l 2057 </w:instrText>
          </w:r>
          <w:r w:rsidRPr="00AC7966">
            <w:rPr>
              <w:rFonts w:cs="Calibri"/>
            </w:rPr>
            <w:fldChar w:fldCharType="separate"/>
          </w:r>
          <w:r w:rsidRPr="00AC7966">
            <w:rPr>
              <w:rFonts w:cs="Calibri"/>
              <w:noProof/>
            </w:rPr>
            <w:t>(Darling-Hammond &amp; Cook-Harvey, 2018)</w:t>
          </w:r>
          <w:r w:rsidRPr="00AC7966">
            <w:rPr>
              <w:rFonts w:cs="Calibri"/>
            </w:rPr>
            <w:fldChar w:fldCharType="end"/>
          </w:r>
        </w:sdtContent>
      </w:sdt>
      <w:r w:rsidRPr="00AC7966">
        <w:rPr>
          <w:rFonts w:eastAsiaTheme="majorEastAsia" w:cs="Calibri"/>
        </w:rPr>
        <w:t>. Therefore, it is essential to implement strategies aimed at revitalising their motivation, utili</w:t>
      </w:r>
      <w:r>
        <w:rPr>
          <w:rFonts w:eastAsiaTheme="majorEastAsia" w:cs="Calibri"/>
        </w:rPr>
        <w:t>s</w:t>
      </w:r>
      <w:r w:rsidRPr="00AC7966">
        <w:rPr>
          <w:rFonts w:eastAsiaTheme="majorEastAsia" w:cs="Calibri"/>
        </w:rPr>
        <w:t xml:space="preserve">ing effective pedagogical approaches, and providing tailored support to enhance their educational experience and promote successful outcomes. Creating a nurturing atmosphere is vital for encouraging resilience and academic achievement among these learners, facilitating their reintegration </w:t>
      </w:r>
      <w:r w:rsidRPr="00391DEB">
        <w:rPr>
          <w:rFonts w:eastAsiaTheme="majorEastAsia" w:cs="Calibri"/>
        </w:rPr>
        <w:t>into education</w:t>
      </w:r>
      <w:r w:rsidRPr="00AC7966">
        <w:rPr>
          <w:rFonts w:eastAsiaTheme="majorEastAsia" w:cs="Calibri"/>
        </w:rPr>
        <w:t xml:space="preserve"> </w:t>
      </w:r>
      <w:sdt>
        <w:sdtPr>
          <w:rPr>
            <w:rFonts w:eastAsiaTheme="majorEastAsia" w:cs="Calibri"/>
          </w:rPr>
          <w:id w:val="-184060175"/>
          <w:citation/>
        </w:sdtPr>
        <w:sdtContent>
          <w:r w:rsidRPr="00AC7966">
            <w:rPr>
              <w:rFonts w:eastAsiaTheme="majorEastAsia" w:cs="Calibri"/>
            </w:rPr>
            <w:fldChar w:fldCharType="begin"/>
          </w:r>
          <w:r w:rsidRPr="00AC7966">
            <w:rPr>
              <w:rFonts w:cs="Calibri"/>
            </w:rPr>
            <w:instrText xml:space="preserve"> CITATION Fis19 \l 2057 </w:instrText>
          </w:r>
          <w:r w:rsidRPr="00AC7966">
            <w:rPr>
              <w:rFonts w:eastAsiaTheme="majorEastAsia" w:cs="Calibri"/>
            </w:rPr>
            <w:fldChar w:fldCharType="separate"/>
          </w:r>
          <w:r w:rsidRPr="00AC7966">
            <w:rPr>
              <w:rFonts w:cs="Calibri"/>
              <w:noProof/>
            </w:rPr>
            <w:t>(Fisher, et al., 2019)</w:t>
          </w:r>
          <w:r w:rsidRPr="00AC7966">
            <w:rPr>
              <w:rFonts w:eastAsiaTheme="majorEastAsia" w:cs="Calibri"/>
            </w:rPr>
            <w:fldChar w:fldCharType="end"/>
          </w:r>
        </w:sdtContent>
      </w:sdt>
      <w:r w:rsidRPr="00AC7966">
        <w:rPr>
          <w:rFonts w:eastAsiaTheme="majorEastAsia" w:cs="Calibri"/>
        </w:rPr>
        <w:t>.</w:t>
      </w:r>
    </w:p>
    <w:p w14:paraId="74865D28" w14:textId="77777777" w:rsidR="00064A71" w:rsidRPr="00C40FA7" w:rsidRDefault="00064A71" w:rsidP="00064A71">
      <w:pPr>
        <w:rPr>
          <w:rFonts w:eastAsiaTheme="majorEastAsia" w:cs="Calibri"/>
          <w:highlight w:val="green"/>
        </w:rPr>
      </w:pPr>
    </w:p>
    <w:p w14:paraId="61B0CDE0" w14:textId="77777777" w:rsidR="00064A71" w:rsidRPr="003524D8" w:rsidRDefault="00064A71" w:rsidP="00064A71">
      <w:pPr>
        <w:rPr>
          <w:rFonts w:cs="Calibri"/>
        </w:rPr>
      </w:pPr>
      <w:r w:rsidRPr="003524D8">
        <w:rPr>
          <w:rFonts w:cs="Calibri"/>
        </w:rPr>
        <w:lastRenderedPageBreak/>
        <w:t>To answer the research question, four sub-questions were developed which will support the exploration in greater depth, with two being student-focused and two concentrating on lecturers’ views:</w:t>
      </w:r>
    </w:p>
    <w:p w14:paraId="56D6FE70" w14:textId="77777777" w:rsidR="00064A71" w:rsidRPr="003524D8" w:rsidRDefault="00064A71" w:rsidP="00064A71">
      <w:pPr>
        <w:pStyle w:val="ListParagraph"/>
        <w:numPr>
          <w:ilvl w:val="0"/>
          <w:numId w:val="38"/>
        </w:numPr>
        <w:rPr>
          <w:rFonts w:cs="Calibri"/>
        </w:rPr>
      </w:pPr>
      <w:r w:rsidRPr="003524D8">
        <w:rPr>
          <w:rFonts w:cs="Calibri"/>
        </w:rPr>
        <w:t>(Student) What are the defining characteristics of a student-centred learning environment in vocational education?</w:t>
      </w:r>
    </w:p>
    <w:p w14:paraId="10EBF664" w14:textId="77777777" w:rsidR="00064A71" w:rsidRPr="003524D8" w:rsidRDefault="00064A71" w:rsidP="00064A71">
      <w:pPr>
        <w:pStyle w:val="ListParagraph"/>
        <w:numPr>
          <w:ilvl w:val="0"/>
          <w:numId w:val="38"/>
        </w:numPr>
        <w:rPr>
          <w:rFonts w:cs="Calibri"/>
        </w:rPr>
      </w:pPr>
      <w:r w:rsidRPr="003524D8">
        <w:rPr>
          <w:rFonts w:cs="Calibri"/>
        </w:rPr>
        <w:t>(Student) What specific learning needs do Level 2 vocational students have and how can institutions address them?</w:t>
      </w:r>
    </w:p>
    <w:p w14:paraId="47581CCA" w14:textId="77777777" w:rsidR="00064A71" w:rsidRPr="003524D8" w:rsidRDefault="00064A71" w:rsidP="00064A71">
      <w:pPr>
        <w:pStyle w:val="ListParagraph"/>
        <w:numPr>
          <w:ilvl w:val="0"/>
          <w:numId w:val="38"/>
        </w:numPr>
        <w:rPr>
          <w:rFonts w:cs="Calibri"/>
        </w:rPr>
      </w:pPr>
      <w:r w:rsidRPr="003524D8">
        <w:rPr>
          <w:rFonts w:cs="Calibri"/>
        </w:rPr>
        <w:t>(Tutor) What challenges (student or institution based) do educators face in implementing student-centred approaches in Level 2 vocational education, and how can these be overcome?</w:t>
      </w:r>
    </w:p>
    <w:p w14:paraId="1A554FA5" w14:textId="77777777" w:rsidR="00064A71" w:rsidRPr="003524D8" w:rsidRDefault="00064A71" w:rsidP="00064A71">
      <w:pPr>
        <w:pStyle w:val="ListParagraph"/>
        <w:numPr>
          <w:ilvl w:val="0"/>
          <w:numId w:val="38"/>
        </w:numPr>
        <w:rPr>
          <w:rFonts w:cs="Calibri"/>
        </w:rPr>
      </w:pPr>
      <w:r w:rsidRPr="003524D8">
        <w:rPr>
          <w:rFonts w:cs="Calibri"/>
        </w:rPr>
        <w:t>(Tutor) Which teaching methodologies, approaches and resources best support student-centred learning for Level 2 vocational students?</w:t>
      </w:r>
    </w:p>
    <w:p w14:paraId="767AF3E4" w14:textId="1B556F1C" w:rsidR="0083672A" w:rsidRPr="0083672A" w:rsidRDefault="00064A71" w:rsidP="00B86487">
      <w:pPr>
        <w:rPr>
          <w:rFonts w:cs="Calibri"/>
        </w:rPr>
      </w:pPr>
      <w:r w:rsidRPr="003524D8">
        <w:rPr>
          <w:rFonts w:cs="Calibri"/>
        </w:rPr>
        <w:t>The question and subsequent sub-questions provide a thorough framework for examining the implementation, effects, and challenges associated with student-centred learning on Level 2 students in a FEI in Wales. By addressing these aspects, the assignment aims to enhance understanding of how student-centred approaches can be effectively integrated to best meet the needs of Level 2 vocational students in this author</w:t>
      </w:r>
      <w:r>
        <w:rPr>
          <w:rFonts w:cs="Calibri"/>
        </w:rPr>
        <w:t>’</w:t>
      </w:r>
      <w:r w:rsidRPr="003524D8">
        <w:rPr>
          <w:rFonts w:cs="Calibri"/>
        </w:rPr>
        <w:t>s institution.</w:t>
      </w:r>
      <w:r w:rsidR="0083672A">
        <w:rPr>
          <w:rFonts w:cs="Calibri"/>
        </w:rPr>
        <w:t xml:space="preserve"> </w:t>
      </w:r>
      <w:r w:rsidR="005465CA" w:rsidRPr="00AC7966">
        <w:rPr>
          <w:rFonts w:eastAsiaTheme="majorEastAsia" w:cs="Calibri"/>
        </w:rPr>
        <w:t>Additionally</w:t>
      </w:r>
      <w:r w:rsidR="005B72CF" w:rsidRPr="00AC7966">
        <w:rPr>
          <w:rFonts w:eastAsiaTheme="majorEastAsia" w:cs="Calibri"/>
        </w:rPr>
        <w:t xml:space="preserve">, by focusing on these students’ needs, the research </w:t>
      </w:r>
      <w:r w:rsidR="00BB5129" w:rsidRPr="00AC7966">
        <w:rPr>
          <w:rFonts w:eastAsiaTheme="majorEastAsia" w:cs="Calibri"/>
        </w:rPr>
        <w:t>may</w:t>
      </w:r>
      <w:r w:rsidR="005B72CF" w:rsidRPr="00AC7966">
        <w:rPr>
          <w:rFonts w:eastAsiaTheme="majorEastAsia" w:cs="Calibri"/>
        </w:rPr>
        <w:t xml:space="preserve"> provide </w:t>
      </w:r>
      <w:r w:rsidR="00BB5129" w:rsidRPr="00AC7966">
        <w:rPr>
          <w:rFonts w:eastAsiaTheme="majorEastAsia" w:cs="Calibri"/>
        </w:rPr>
        <w:t xml:space="preserve">valuable </w:t>
      </w:r>
      <w:r w:rsidR="005B72CF" w:rsidRPr="00AC7966">
        <w:rPr>
          <w:rFonts w:eastAsiaTheme="majorEastAsia" w:cs="Calibri"/>
        </w:rPr>
        <w:t xml:space="preserve">insights that could benefit </w:t>
      </w:r>
      <w:r w:rsidR="00E31D3F" w:rsidRPr="00AC7966">
        <w:rPr>
          <w:rFonts w:eastAsiaTheme="majorEastAsia" w:cs="Calibri"/>
        </w:rPr>
        <w:t>lecturers, FEI’s</w:t>
      </w:r>
      <w:r w:rsidR="00391DEB">
        <w:rPr>
          <w:rFonts w:eastAsiaTheme="majorEastAsia" w:cs="Calibri"/>
        </w:rPr>
        <w:t>,</w:t>
      </w:r>
      <w:r w:rsidR="00E31D3F" w:rsidRPr="00AC7966">
        <w:rPr>
          <w:rFonts w:eastAsiaTheme="majorEastAsia" w:cs="Calibri"/>
        </w:rPr>
        <w:t xml:space="preserve"> </w:t>
      </w:r>
      <w:r w:rsidR="00396026" w:rsidRPr="00AC7966">
        <w:rPr>
          <w:rFonts w:eastAsiaTheme="majorEastAsia" w:cs="Calibri"/>
        </w:rPr>
        <w:t>WG</w:t>
      </w:r>
      <w:r w:rsidR="005B72CF" w:rsidRPr="00AC7966">
        <w:rPr>
          <w:rFonts w:eastAsiaTheme="majorEastAsia" w:cs="Calibri"/>
        </w:rPr>
        <w:t xml:space="preserve"> and policymakers who aim to improve </w:t>
      </w:r>
      <w:r w:rsidR="00BB5129" w:rsidRPr="00AC7966">
        <w:rPr>
          <w:rFonts w:eastAsiaTheme="majorEastAsia" w:cs="Calibri"/>
        </w:rPr>
        <w:t xml:space="preserve">student </w:t>
      </w:r>
      <w:r w:rsidR="005B72CF" w:rsidRPr="00AC7966">
        <w:rPr>
          <w:rFonts w:eastAsiaTheme="majorEastAsia" w:cs="Calibri"/>
        </w:rPr>
        <w:t xml:space="preserve">engagement and outcomes at </w:t>
      </w:r>
      <w:r w:rsidR="00BB5129" w:rsidRPr="00AC7966">
        <w:rPr>
          <w:rFonts w:eastAsiaTheme="majorEastAsia" w:cs="Calibri"/>
        </w:rPr>
        <w:t>L</w:t>
      </w:r>
      <w:r w:rsidR="005B72CF" w:rsidRPr="00AC7966">
        <w:rPr>
          <w:rFonts w:eastAsiaTheme="majorEastAsia" w:cs="Calibri"/>
        </w:rPr>
        <w:t>evel</w:t>
      </w:r>
      <w:r w:rsidR="00BB5129" w:rsidRPr="00AC7966">
        <w:rPr>
          <w:rFonts w:eastAsiaTheme="majorEastAsia" w:cs="Calibri"/>
        </w:rPr>
        <w:t xml:space="preserve"> 2</w:t>
      </w:r>
      <w:r w:rsidR="00894D42" w:rsidRPr="00AC7966">
        <w:rPr>
          <w:rFonts w:eastAsiaTheme="majorEastAsia" w:cs="Calibri"/>
        </w:rPr>
        <w:t xml:space="preserve"> </w:t>
      </w:r>
      <w:sdt>
        <w:sdtPr>
          <w:rPr>
            <w:rFonts w:eastAsiaTheme="majorEastAsia" w:cs="Calibri"/>
          </w:rPr>
          <w:id w:val="-2036791369"/>
          <w:citation/>
        </w:sdtPr>
        <w:sdtContent>
          <w:r w:rsidR="00894D42" w:rsidRPr="00AC7966">
            <w:rPr>
              <w:rFonts w:eastAsiaTheme="majorEastAsia" w:cs="Calibri"/>
            </w:rPr>
            <w:fldChar w:fldCharType="begin"/>
          </w:r>
          <w:r w:rsidR="00396026" w:rsidRPr="00AC7966">
            <w:rPr>
              <w:rFonts w:eastAsiaTheme="majorEastAsia" w:cs="Calibri"/>
            </w:rPr>
            <w:instrText xml:space="preserve">CITATION Wel23 \l 2057 </w:instrText>
          </w:r>
          <w:r w:rsidR="00894D42" w:rsidRPr="00AC7966">
            <w:rPr>
              <w:rFonts w:eastAsiaTheme="majorEastAsia" w:cs="Calibri"/>
            </w:rPr>
            <w:fldChar w:fldCharType="separate"/>
          </w:r>
          <w:r w:rsidR="00396026" w:rsidRPr="00AC7966">
            <w:rPr>
              <w:rFonts w:eastAsiaTheme="majorEastAsia" w:cs="Calibri"/>
              <w:noProof/>
            </w:rPr>
            <w:t>(WG, 2023)</w:t>
          </w:r>
          <w:r w:rsidR="00894D42" w:rsidRPr="00AC7966">
            <w:rPr>
              <w:rFonts w:eastAsiaTheme="majorEastAsia" w:cs="Calibri"/>
            </w:rPr>
            <w:fldChar w:fldCharType="end"/>
          </w:r>
        </w:sdtContent>
      </w:sdt>
      <w:r w:rsidR="00894D42" w:rsidRPr="00AC7966">
        <w:rPr>
          <w:rFonts w:eastAsiaTheme="majorEastAsia" w:cs="Calibri"/>
        </w:rPr>
        <w:t xml:space="preserve">. </w:t>
      </w:r>
    </w:p>
    <w:p w14:paraId="14D2EB09" w14:textId="77777777" w:rsidR="0083672A" w:rsidRDefault="0083672A" w:rsidP="00B86487">
      <w:pPr>
        <w:rPr>
          <w:rFonts w:eastAsiaTheme="majorEastAsia" w:cs="Calibri"/>
        </w:rPr>
      </w:pPr>
    </w:p>
    <w:p w14:paraId="74D49797" w14:textId="60373768" w:rsidR="0083672A" w:rsidRDefault="0083672A">
      <w:pPr>
        <w:spacing w:after="160" w:line="279" w:lineRule="auto"/>
        <w:rPr>
          <w:rFonts w:cs="Calibri"/>
          <w:highlight w:val="green"/>
        </w:rPr>
      </w:pPr>
      <w:r>
        <w:rPr>
          <w:rFonts w:cs="Calibri"/>
          <w:highlight w:val="green"/>
        </w:rPr>
        <w:br w:type="page"/>
      </w:r>
    </w:p>
    <w:p w14:paraId="41557290" w14:textId="77777777" w:rsidR="7614D431" w:rsidRPr="00C40FA7" w:rsidRDefault="7614D431" w:rsidP="00D835E5">
      <w:pPr>
        <w:rPr>
          <w:rFonts w:cs="Calibri"/>
          <w:highlight w:val="green"/>
        </w:rPr>
      </w:pPr>
    </w:p>
    <w:p w14:paraId="32008D96" w14:textId="4A751A94" w:rsidR="5273B72F" w:rsidRPr="003524D8" w:rsidRDefault="5273B72F" w:rsidP="003524D8">
      <w:pPr>
        <w:pStyle w:val="Heading1"/>
        <w:numPr>
          <w:ilvl w:val="0"/>
          <w:numId w:val="52"/>
        </w:numPr>
      </w:pPr>
      <w:bookmarkStart w:id="6" w:name="_Toc185674563"/>
      <w:r w:rsidRPr="003524D8">
        <w:t>CONTEXT</w:t>
      </w:r>
      <w:bookmarkEnd w:id="6"/>
    </w:p>
    <w:p w14:paraId="492B2A44" w14:textId="77777777" w:rsidR="00996CFD" w:rsidRPr="003524D8" w:rsidRDefault="00996CFD" w:rsidP="00D835E5">
      <w:pPr>
        <w:rPr>
          <w:rFonts w:cs="Calibri"/>
        </w:rPr>
      </w:pPr>
      <w:r w:rsidRPr="003524D8">
        <w:rPr>
          <w:rFonts w:cs="Calibri"/>
        </w:rPr>
        <w:t xml:space="preserve">Further Education (FE) colleges in England and Wales typically educate students who have completed their compulsory schooling and are looking to further their skills in a vocational context. These qualifications can lead to employment or further study and are essential for building foundational skills and knowledge in specific industries </w:t>
      </w:r>
      <w:sdt>
        <w:sdtPr>
          <w:rPr>
            <w:rFonts w:cs="Calibri"/>
          </w:rPr>
          <w:id w:val="-332531384"/>
          <w:citation/>
        </w:sdtPr>
        <w:sdtContent>
          <w:r w:rsidRPr="003524D8">
            <w:rPr>
              <w:rFonts w:cs="Calibri"/>
            </w:rPr>
            <w:fldChar w:fldCharType="begin"/>
          </w:r>
          <w:r w:rsidRPr="003524D8">
            <w:rPr>
              <w:rFonts w:cs="Calibri"/>
            </w:rPr>
            <w:instrText xml:space="preserve"> CITATION GOV241 \l 2057 </w:instrText>
          </w:r>
          <w:r w:rsidRPr="003524D8">
            <w:rPr>
              <w:rFonts w:cs="Calibri"/>
            </w:rPr>
            <w:fldChar w:fldCharType="separate"/>
          </w:r>
          <w:r w:rsidRPr="003524D8">
            <w:rPr>
              <w:rFonts w:cs="Calibri"/>
            </w:rPr>
            <w:t>(GOV.UK, 2024)</w:t>
          </w:r>
          <w:r w:rsidRPr="003524D8">
            <w:rPr>
              <w:rFonts w:cs="Calibri"/>
            </w:rPr>
            <w:fldChar w:fldCharType="end"/>
          </w:r>
        </w:sdtContent>
      </w:sdt>
      <w:r w:rsidRPr="003524D8">
        <w:rPr>
          <w:rFonts w:cs="Calibri"/>
        </w:rPr>
        <w:t xml:space="preserve">. In England there are 157 further education colleges </w:t>
      </w:r>
      <w:sdt>
        <w:sdtPr>
          <w:rPr>
            <w:rFonts w:cs="Calibri"/>
          </w:rPr>
          <w:id w:val="-676184626"/>
          <w:citation/>
        </w:sdtPr>
        <w:sdtContent>
          <w:r w:rsidRPr="003524D8">
            <w:rPr>
              <w:rFonts w:cs="Calibri"/>
            </w:rPr>
            <w:fldChar w:fldCharType="begin"/>
          </w:r>
          <w:r w:rsidRPr="003524D8">
            <w:rPr>
              <w:rFonts w:cs="Calibri"/>
            </w:rPr>
            <w:instrText xml:space="preserve"> CITATION AOC24 \l 2057 </w:instrText>
          </w:r>
          <w:r w:rsidRPr="003524D8">
            <w:rPr>
              <w:rFonts w:cs="Calibri"/>
            </w:rPr>
            <w:fldChar w:fldCharType="separate"/>
          </w:r>
          <w:r w:rsidRPr="003524D8">
            <w:rPr>
              <w:rFonts w:cs="Calibri"/>
            </w:rPr>
            <w:t>(AOC, 2024)</w:t>
          </w:r>
          <w:r w:rsidRPr="003524D8">
            <w:rPr>
              <w:rFonts w:cs="Calibri"/>
            </w:rPr>
            <w:fldChar w:fldCharType="end"/>
          </w:r>
        </w:sdtContent>
      </w:sdt>
      <w:r w:rsidRPr="003524D8">
        <w:rPr>
          <w:rFonts w:cs="Calibri"/>
        </w:rPr>
        <w:t xml:space="preserve"> and 12 in Wales </w:t>
      </w:r>
      <w:sdt>
        <w:sdtPr>
          <w:rPr>
            <w:rFonts w:cs="Calibri"/>
          </w:rPr>
          <w:id w:val="-2667642"/>
          <w:citation/>
        </w:sdtPr>
        <w:sdtContent>
          <w:r w:rsidRPr="003524D8">
            <w:rPr>
              <w:rFonts w:cs="Calibri"/>
            </w:rPr>
            <w:fldChar w:fldCharType="begin"/>
          </w:r>
          <w:r w:rsidRPr="003524D8">
            <w:rPr>
              <w:rFonts w:cs="Calibri"/>
            </w:rPr>
            <w:instrText xml:space="preserve"> CITATION Col24 \l 2057 </w:instrText>
          </w:r>
          <w:r w:rsidRPr="003524D8">
            <w:rPr>
              <w:rFonts w:cs="Calibri"/>
            </w:rPr>
            <w:fldChar w:fldCharType="separate"/>
          </w:r>
          <w:r w:rsidRPr="003524D8">
            <w:rPr>
              <w:rFonts w:cs="Calibri"/>
            </w:rPr>
            <w:t>(Colegau Cymru, 2024)</w:t>
          </w:r>
          <w:r w:rsidRPr="003524D8">
            <w:rPr>
              <w:rFonts w:cs="Calibri"/>
            </w:rPr>
            <w:fldChar w:fldCharType="end"/>
          </w:r>
        </w:sdtContent>
      </w:sdt>
      <w:r w:rsidRPr="003524D8">
        <w:rPr>
          <w:rFonts w:cs="Calibri"/>
        </w:rPr>
        <w:t>.</w:t>
      </w:r>
    </w:p>
    <w:p w14:paraId="59E69868" w14:textId="0ACABE34" w:rsidR="00996CFD" w:rsidRPr="003524D8" w:rsidRDefault="4A69E116" w:rsidP="00D835E5">
      <w:pPr>
        <w:rPr>
          <w:rFonts w:eastAsia="Calibri" w:cs="Calibri"/>
        </w:rPr>
      </w:pPr>
      <w:r w:rsidRPr="003524D8">
        <w:rPr>
          <w:rFonts w:cs="Calibri"/>
        </w:rPr>
        <w:t xml:space="preserve">Students may pursue a range of qualifications that include BTEC Diplomas </w:t>
      </w:r>
      <w:sdt>
        <w:sdtPr>
          <w:rPr>
            <w:rFonts w:cs="Calibri"/>
          </w:rPr>
          <w:id w:val="474260725"/>
          <w:citation/>
        </w:sdtPr>
        <w:sdtContent>
          <w:r w:rsidR="00996CFD" w:rsidRPr="003524D8">
            <w:rPr>
              <w:rFonts w:cs="Calibri"/>
            </w:rPr>
            <w:fldChar w:fldCharType="begin"/>
          </w:r>
          <w:r w:rsidR="00996CFD" w:rsidRPr="003524D8">
            <w:rPr>
              <w:rFonts w:cs="Calibri"/>
            </w:rPr>
            <w:instrText xml:space="preserve"> CITATION BTE24 \l 2057 </w:instrText>
          </w:r>
          <w:r w:rsidR="00996CFD" w:rsidRPr="003524D8">
            <w:rPr>
              <w:rFonts w:cs="Calibri"/>
            </w:rPr>
            <w:fldChar w:fldCharType="separate"/>
          </w:r>
          <w:r w:rsidRPr="003524D8">
            <w:rPr>
              <w:rFonts w:cs="Calibri"/>
            </w:rPr>
            <w:t>(BTEC, 2024)</w:t>
          </w:r>
          <w:r w:rsidR="00996CFD" w:rsidRPr="003524D8">
            <w:rPr>
              <w:rFonts w:cs="Calibri"/>
            </w:rPr>
            <w:fldChar w:fldCharType="end"/>
          </w:r>
        </w:sdtContent>
      </w:sdt>
      <w:r w:rsidRPr="003524D8">
        <w:rPr>
          <w:rFonts w:cs="Calibri"/>
        </w:rPr>
        <w:t xml:space="preserve">, which are vocational qualifications that focus on practical skills in various fields, such as business, health and social care, engineering and music </w:t>
      </w:r>
      <w:sdt>
        <w:sdtPr>
          <w:rPr>
            <w:rFonts w:cs="Calibri"/>
          </w:rPr>
          <w:id w:val="126520901"/>
          <w:citation/>
        </w:sdtPr>
        <w:sdtContent>
          <w:r w:rsidR="00996CFD" w:rsidRPr="003524D8">
            <w:rPr>
              <w:rFonts w:cs="Calibri"/>
            </w:rPr>
            <w:fldChar w:fldCharType="begin"/>
          </w:r>
          <w:r w:rsidR="00996CFD" w:rsidRPr="003524D8">
            <w:rPr>
              <w:rFonts w:cs="Calibri"/>
            </w:rPr>
            <w:instrText xml:space="preserve"> CITATION Pea24 \l 2057 </w:instrText>
          </w:r>
          <w:r w:rsidR="00996CFD" w:rsidRPr="003524D8">
            <w:rPr>
              <w:rFonts w:cs="Calibri"/>
            </w:rPr>
            <w:fldChar w:fldCharType="separate"/>
          </w:r>
          <w:r w:rsidRPr="003524D8">
            <w:rPr>
              <w:rFonts w:cs="Calibri"/>
            </w:rPr>
            <w:t>(Pearson, 2024)</w:t>
          </w:r>
          <w:r w:rsidR="00996CFD" w:rsidRPr="003524D8">
            <w:rPr>
              <w:rFonts w:cs="Calibri"/>
            </w:rPr>
            <w:fldChar w:fldCharType="end"/>
          </w:r>
        </w:sdtContent>
      </w:sdt>
      <w:r w:rsidRPr="003524D8">
        <w:rPr>
          <w:rFonts w:cs="Calibri"/>
        </w:rPr>
        <w:t>. Additionally, courses</w:t>
      </w:r>
      <w:r w:rsidR="6D79E118" w:rsidRPr="003524D8">
        <w:rPr>
          <w:rFonts w:cs="Calibri"/>
        </w:rPr>
        <w:t xml:space="preserve"> in Wales</w:t>
      </w:r>
      <w:r w:rsidRPr="003524D8">
        <w:rPr>
          <w:rFonts w:cs="Calibri"/>
        </w:rPr>
        <w:t xml:space="preserve"> are offered along with the Welsh Baccalaureate qualification </w:t>
      </w:r>
      <w:sdt>
        <w:sdtPr>
          <w:rPr>
            <w:rFonts w:cs="Calibri"/>
          </w:rPr>
          <w:id w:val="714079198"/>
          <w:citation/>
        </w:sdtPr>
        <w:sdtContent>
          <w:r w:rsidR="00996CFD" w:rsidRPr="003524D8">
            <w:rPr>
              <w:rFonts w:cs="Calibri"/>
            </w:rPr>
            <w:fldChar w:fldCharType="begin"/>
          </w:r>
          <w:r w:rsidR="00996CFD" w:rsidRPr="003524D8">
            <w:rPr>
              <w:rFonts w:cs="Calibri"/>
            </w:rPr>
            <w:instrText xml:space="preserve"> CITATION Qua24 \l 2057 </w:instrText>
          </w:r>
          <w:r w:rsidR="00996CFD" w:rsidRPr="003524D8">
            <w:rPr>
              <w:rFonts w:cs="Calibri"/>
            </w:rPr>
            <w:fldChar w:fldCharType="separate"/>
          </w:r>
          <w:r w:rsidRPr="003524D8">
            <w:rPr>
              <w:rFonts w:cs="Calibri"/>
            </w:rPr>
            <w:t>(Qualifications Wales, 2024)</w:t>
          </w:r>
          <w:r w:rsidR="00996CFD" w:rsidRPr="003524D8">
            <w:rPr>
              <w:rFonts w:cs="Calibri"/>
            </w:rPr>
            <w:fldChar w:fldCharType="end"/>
          </w:r>
        </w:sdtContent>
      </w:sdt>
      <w:r w:rsidR="0083672A">
        <w:rPr>
          <w:rFonts w:cs="Calibri"/>
        </w:rPr>
        <w:t>,</w:t>
      </w:r>
      <w:r w:rsidR="00D92DBD" w:rsidRPr="003524D8">
        <w:rPr>
          <w:rFonts w:cs="Calibri"/>
        </w:rPr>
        <w:t xml:space="preserve"> </w:t>
      </w:r>
      <w:r w:rsidR="0AEA1993" w:rsidRPr="003524D8">
        <w:rPr>
          <w:rFonts w:cs="Calibri"/>
        </w:rPr>
        <w:t xml:space="preserve">having </w:t>
      </w:r>
      <w:r w:rsidR="0A0B3477" w:rsidRPr="003524D8">
        <w:rPr>
          <w:rFonts w:eastAsia="Calibri" w:cs="Calibri"/>
        </w:rPr>
        <w:t xml:space="preserve">evolved significantly over the past few decades, reflecting both changes in the economy and the </w:t>
      </w:r>
      <w:r w:rsidR="00396026" w:rsidRPr="003524D8">
        <w:rPr>
          <w:rFonts w:eastAsia="Calibri" w:cs="Calibri"/>
        </w:rPr>
        <w:t>WG</w:t>
      </w:r>
      <w:r w:rsidR="0A0B3477" w:rsidRPr="003524D8">
        <w:rPr>
          <w:rFonts w:eastAsia="Calibri" w:cs="Calibri"/>
        </w:rPr>
        <w:t>’s educational policies</w:t>
      </w:r>
      <w:r w:rsidR="254E8073" w:rsidRPr="003524D8">
        <w:rPr>
          <w:rFonts w:eastAsia="Calibri" w:cs="Calibri"/>
        </w:rPr>
        <w:t xml:space="preserve"> (</w:t>
      </w:r>
      <w:r w:rsidR="00396026" w:rsidRPr="003524D8">
        <w:rPr>
          <w:rFonts w:eastAsia="Calibri" w:cs="Calibri"/>
        </w:rPr>
        <w:t>WG</w:t>
      </w:r>
      <w:r w:rsidR="254E8073" w:rsidRPr="003524D8">
        <w:rPr>
          <w:rFonts w:eastAsia="Calibri" w:cs="Calibri"/>
        </w:rPr>
        <w:t xml:space="preserve"> 2020)</w:t>
      </w:r>
      <w:r w:rsidR="0A0B3477" w:rsidRPr="003524D8">
        <w:rPr>
          <w:rFonts w:eastAsia="Calibri" w:cs="Calibri"/>
        </w:rPr>
        <w:t>.</w:t>
      </w:r>
    </w:p>
    <w:p w14:paraId="591CE182" w14:textId="1D7F2285" w:rsidR="00996CFD" w:rsidRPr="003524D8" w:rsidRDefault="0A0B3477" w:rsidP="00D835E5">
      <w:pPr>
        <w:spacing w:before="240" w:after="240"/>
        <w:rPr>
          <w:rFonts w:eastAsia="Calibri" w:cs="Calibri"/>
        </w:rPr>
      </w:pPr>
      <w:r w:rsidRPr="003524D8">
        <w:rPr>
          <w:rFonts w:eastAsia="Calibri" w:cs="Calibri"/>
        </w:rPr>
        <w:t>Historically, vocational education at Level 2 typically corresponds to GCSE-equivalent qualifications,</w:t>
      </w:r>
      <w:r w:rsidR="469AAFA3" w:rsidRPr="003524D8">
        <w:rPr>
          <w:rFonts w:eastAsia="Calibri" w:cs="Calibri"/>
        </w:rPr>
        <w:t xml:space="preserve"> with a ‘double distinction’ grading being valued as </w:t>
      </w:r>
      <w:r w:rsidR="05EFB365" w:rsidRPr="003524D8">
        <w:rPr>
          <w:rFonts w:eastAsia="Calibri" w:cs="Calibri"/>
        </w:rPr>
        <w:t>3 ‘A’s</w:t>
      </w:r>
      <w:r w:rsidR="469AAFA3" w:rsidRPr="003524D8">
        <w:rPr>
          <w:rFonts w:eastAsia="Calibri" w:cs="Calibri"/>
        </w:rPr>
        <w:t xml:space="preserve">, </w:t>
      </w:r>
      <w:r w:rsidR="189E58D7" w:rsidRPr="003524D8">
        <w:rPr>
          <w:rFonts w:eastAsia="Calibri" w:cs="Calibri"/>
        </w:rPr>
        <w:t xml:space="preserve">‘double merit’ as </w:t>
      </w:r>
      <w:r w:rsidR="3EE3B67D" w:rsidRPr="003524D8">
        <w:rPr>
          <w:rFonts w:eastAsia="Calibri" w:cs="Calibri"/>
        </w:rPr>
        <w:t>3 ‘B’s</w:t>
      </w:r>
      <w:r w:rsidR="189E58D7" w:rsidRPr="003524D8">
        <w:rPr>
          <w:rFonts w:eastAsia="Calibri" w:cs="Calibri"/>
        </w:rPr>
        <w:t xml:space="preserve"> and ‘double pass’</w:t>
      </w:r>
      <w:r w:rsidRPr="003524D8">
        <w:rPr>
          <w:rFonts w:eastAsia="Calibri" w:cs="Calibri"/>
        </w:rPr>
        <w:t xml:space="preserve"> </w:t>
      </w:r>
      <w:r w:rsidR="78E10CF3" w:rsidRPr="003524D8">
        <w:rPr>
          <w:rFonts w:eastAsia="Calibri" w:cs="Calibri"/>
        </w:rPr>
        <w:t>as 3 ‘C’s</w:t>
      </w:r>
      <w:r w:rsidR="00D92DBD" w:rsidRPr="003524D8">
        <w:rPr>
          <w:rFonts w:eastAsia="Calibri" w:cs="Calibri"/>
        </w:rPr>
        <w:t xml:space="preserve"> </w:t>
      </w:r>
      <w:sdt>
        <w:sdtPr>
          <w:rPr>
            <w:rFonts w:eastAsia="Calibri" w:cs="Calibri"/>
          </w:rPr>
          <w:id w:val="-1610269921"/>
          <w:citation/>
        </w:sdtPr>
        <w:sdtContent>
          <w:r w:rsidR="00D92DBD" w:rsidRPr="003524D8">
            <w:rPr>
              <w:rFonts w:eastAsia="Calibri" w:cs="Calibri"/>
            </w:rPr>
            <w:fldChar w:fldCharType="begin"/>
          </w:r>
          <w:r w:rsidR="00D92DBD" w:rsidRPr="003524D8">
            <w:rPr>
              <w:rFonts w:eastAsia="Calibri" w:cs="Calibri"/>
            </w:rPr>
            <w:instrText xml:space="preserve"> CITATION Pea24A \l 2057 </w:instrText>
          </w:r>
          <w:r w:rsidR="00D92DBD" w:rsidRPr="003524D8">
            <w:rPr>
              <w:rFonts w:eastAsia="Calibri" w:cs="Calibri"/>
            </w:rPr>
            <w:fldChar w:fldCharType="separate"/>
          </w:r>
          <w:r w:rsidR="00D92DBD" w:rsidRPr="003524D8">
            <w:rPr>
              <w:rFonts w:eastAsia="Calibri" w:cs="Calibri"/>
              <w:noProof/>
            </w:rPr>
            <w:t>(Pearson, 2024)</w:t>
          </w:r>
          <w:r w:rsidR="00D92DBD" w:rsidRPr="003524D8">
            <w:rPr>
              <w:rFonts w:eastAsia="Calibri" w:cs="Calibri"/>
            </w:rPr>
            <w:fldChar w:fldCharType="end"/>
          </w:r>
        </w:sdtContent>
      </w:sdt>
      <w:r w:rsidR="00D92DBD" w:rsidRPr="003524D8">
        <w:rPr>
          <w:rFonts w:eastAsia="Calibri" w:cs="Calibri"/>
        </w:rPr>
        <w:t xml:space="preserve">. </w:t>
      </w:r>
      <w:r w:rsidR="78E10CF3" w:rsidRPr="003524D8">
        <w:rPr>
          <w:rFonts w:eastAsia="Calibri" w:cs="Calibri"/>
        </w:rPr>
        <w:t xml:space="preserve">It </w:t>
      </w:r>
      <w:r w:rsidRPr="003524D8">
        <w:rPr>
          <w:rFonts w:eastAsia="Calibri" w:cs="Calibri"/>
        </w:rPr>
        <w:t>was primarily offered through apprenticeships or in-school technical courses</w:t>
      </w:r>
      <w:r w:rsidR="4E2977F1" w:rsidRPr="003524D8">
        <w:rPr>
          <w:rFonts w:eastAsia="Calibri" w:cs="Calibri"/>
        </w:rPr>
        <w:t xml:space="preserve"> but</w:t>
      </w:r>
      <w:r w:rsidR="0083672A">
        <w:rPr>
          <w:rFonts w:eastAsia="Calibri" w:cs="Calibri"/>
        </w:rPr>
        <w:t>,</w:t>
      </w:r>
      <w:r w:rsidR="4E2977F1" w:rsidRPr="003524D8">
        <w:rPr>
          <w:rFonts w:eastAsia="Calibri" w:cs="Calibri"/>
        </w:rPr>
        <w:t xml:space="preserve"> </w:t>
      </w:r>
      <w:r w:rsidR="001A20DE" w:rsidRPr="003524D8">
        <w:rPr>
          <w:rFonts w:eastAsia="Calibri" w:cs="Calibri"/>
        </w:rPr>
        <w:t>over time</w:t>
      </w:r>
      <w:r w:rsidR="0083672A">
        <w:rPr>
          <w:rFonts w:eastAsia="Calibri" w:cs="Calibri"/>
        </w:rPr>
        <w:t>,</w:t>
      </w:r>
      <w:r w:rsidRPr="003524D8">
        <w:rPr>
          <w:rFonts w:eastAsia="Calibri" w:cs="Calibri"/>
        </w:rPr>
        <w:t xml:space="preserve"> the emphasis shifted towards </w:t>
      </w:r>
      <w:r w:rsidR="3C57BF8C" w:rsidRPr="003524D8">
        <w:rPr>
          <w:rFonts w:eastAsia="Calibri" w:cs="Calibri"/>
        </w:rPr>
        <w:t xml:space="preserve">a </w:t>
      </w:r>
      <w:r w:rsidRPr="003524D8">
        <w:rPr>
          <w:rFonts w:eastAsia="Calibri" w:cs="Calibri"/>
        </w:rPr>
        <w:t xml:space="preserve">structured </w:t>
      </w:r>
      <w:r w:rsidR="469A40F8" w:rsidRPr="003524D8">
        <w:rPr>
          <w:rFonts w:eastAsia="Calibri" w:cs="Calibri"/>
        </w:rPr>
        <w:t>FE</w:t>
      </w:r>
      <w:r w:rsidRPr="003524D8">
        <w:rPr>
          <w:rFonts w:eastAsia="Calibri" w:cs="Calibri"/>
        </w:rPr>
        <w:t xml:space="preserve"> option</w:t>
      </w:r>
      <w:r w:rsidR="001A20DE" w:rsidRPr="003524D8">
        <w:rPr>
          <w:rFonts w:eastAsia="Calibri" w:cs="Calibri"/>
        </w:rPr>
        <w:t xml:space="preserve"> and </w:t>
      </w:r>
      <w:r w:rsidR="79C4C1D7" w:rsidRPr="003524D8">
        <w:rPr>
          <w:rFonts w:eastAsia="Calibri" w:cs="Calibri"/>
        </w:rPr>
        <w:t xml:space="preserve">reflected </w:t>
      </w:r>
      <w:r w:rsidRPr="003524D8">
        <w:rPr>
          <w:rFonts w:eastAsia="Calibri" w:cs="Calibri"/>
        </w:rPr>
        <w:t xml:space="preserve">broader efforts to improve skills in the workforce and </w:t>
      </w:r>
      <w:r w:rsidR="001A20DE" w:rsidRPr="003524D8">
        <w:rPr>
          <w:rFonts w:eastAsia="Calibri" w:cs="Calibri"/>
        </w:rPr>
        <w:t>meet individual and employer demand</w:t>
      </w:r>
      <w:sdt>
        <w:sdtPr>
          <w:rPr>
            <w:rFonts w:eastAsia="Calibri" w:cs="Calibri"/>
          </w:rPr>
          <w:id w:val="-1239477067"/>
          <w:citation/>
        </w:sdtPr>
        <w:sdtContent>
          <w:r w:rsidR="009F2C2B" w:rsidRPr="003524D8">
            <w:rPr>
              <w:rFonts w:eastAsia="Calibri" w:cs="Calibri"/>
            </w:rPr>
            <w:fldChar w:fldCharType="begin"/>
          </w:r>
          <w:r w:rsidR="009F2C2B" w:rsidRPr="003524D8">
            <w:rPr>
              <w:rFonts w:eastAsia="Calibri" w:cs="Calibri"/>
            </w:rPr>
            <w:instrText xml:space="preserve"> CITATION Hud241 \l 2057 </w:instrText>
          </w:r>
          <w:r w:rsidR="009F2C2B" w:rsidRPr="003524D8">
            <w:rPr>
              <w:rFonts w:eastAsia="Calibri" w:cs="Calibri"/>
            </w:rPr>
            <w:fldChar w:fldCharType="separate"/>
          </w:r>
          <w:r w:rsidR="009F2C2B" w:rsidRPr="003524D8">
            <w:rPr>
              <w:rFonts w:eastAsia="Calibri" w:cs="Calibri"/>
              <w:noProof/>
            </w:rPr>
            <w:t xml:space="preserve"> (Huddleston &amp; Unwin, 2024)</w:t>
          </w:r>
          <w:r w:rsidR="009F2C2B" w:rsidRPr="003524D8">
            <w:rPr>
              <w:rFonts w:eastAsia="Calibri" w:cs="Calibri"/>
            </w:rPr>
            <w:fldChar w:fldCharType="end"/>
          </w:r>
        </w:sdtContent>
      </w:sdt>
      <w:r w:rsidR="001A20DE" w:rsidRPr="003524D8">
        <w:rPr>
          <w:rFonts w:eastAsia="Calibri" w:cs="Calibri"/>
        </w:rPr>
        <w:t xml:space="preserve">. </w:t>
      </w:r>
      <w:r w:rsidR="43F9FC6A" w:rsidRPr="003524D8">
        <w:rPr>
          <w:rFonts w:eastAsia="Calibri" w:cs="Calibri"/>
        </w:rPr>
        <w:t>Hayward et al. (2002) remarked that t</w:t>
      </w:r>
      <w:r w:rsidRPr="003524D8">
        <w:rPr>
          <w:rFonts w:eastAsia="Calibri" w:cs="Calibri"/>
        </w:rPr>
        <w:t>his was particularly important in Wales, where heavy industries such as coal mining and steel were in decline, necessitating a move towards service and technology sectors.</w:t>
      </w:r>
      <w:r w:rsidR="001A20DE" w:rsidRPr="003524D8">
        <w:rPr>
          <w:rFonts w:eastAsia="Calibri" w:cs="Calibri"/>
        </w:rPr>
        <w:t xml:space="preserve"> </w:t>
      </w:r>
      <w:r w:rsidRPr="003524D8">
        <w:rPr>
          <w:rFonts w:eastAsia="Calibri" w:cs="Calibri"/>
        </w:rPr>
        <w:t xml:space="preserve">The introduction of the </w:t>
      </w:r>
      <w:r w:rsidR="00396026" w:rsidRPr="003524D8">
        <w:rPr>
          <w:rFonts w:eastAsia="Calibri" w:cs="Calibri"/>
        </w:rPr>
        <w:t>WG</w:t>
      </w:r>
      <w:r w:rsidRPr="003524D8">
        <w:rPr>
          <w:rFonts w:eastAsia="Calibri" w:cs="Calibri"/>
        </w:rPr>
        <w:t>'s Post-16 Education and Training (Wales) Act</w:t>
      </w:r>
      <w:r w:rsidR="00CB73DC" w:rsidRPr="003524D8">
        <w:rPr>
          <w:rFonts w:eastAsia="Calibri" w:cs="Calibri"/>
        </w:rPr>
        <w:t xml:space="preserve"> </w:t>
      </w:r>
      <w:sdt>
        <w:sdtPr>
          <w:rPr>
            <w:rFonts w:eastAsia="Calibri" w:cs="Calibri"/>
          </w:rPr>
          <w:id w:val="-1603956381"/>
          <w:citation/>
        </w:sdtPr>
        <w:sdtContent>
          <w:r w:rsidR="00CB73DC" w:rsidRPr="003524D8">
            <w:rPr>
              <w:rFonts w:eastAsia="Calibri" w:cs="Calibri"/>
            </w:rPr>
            <w:fldChar w:fldCharType="begin"/>
          </w:r>
          <w:r w:rsidR="00CB73DC" w:rsidRPr="003524D8">
            <w:rPr>
              <w:rFonts w:eastAsia="Calibri" w:cs="Calibri"/>
            </w:rPr>
            <w:instrText xml:space="preserve">CITATION Gov00 \n  \l 2057 </w:instrText>
          </w:r>
          <w:r w:rsidR="00CB73DC" w:rsidRPr="003524D8">
            <w:rPr>
              <w:rFonts w:eastAsia="Calibri" w:cs="Calibri"/>
            </w:rPr>
            <w:fldChar w:fldCharType="separate"/>
          </w:r>
          <w:r w:rsidR="00CB73DC" w:rsidRPr="003524D8">
            <w:rPr>
              <w:rFonts w:eastAsia="Calibri" w:cs="Calibri"/>
              <w:noProof/>
            </w:rPr>
            <w:t>(2000)</w:t>
          </w:r>
          <w:r w:rsidR="00CB73DC" w:rsidRPr="003524D8">
            <w:rPr>
              <w:rFonts w:eastAsia="Calibri" w:cs="Calibri"/>
            </w:rPr>
            <w:fldChar w:fldCharType="end"/>
          </w:r>
        </w:sdtContent>
      </w:sdt>
      <w:r w:rsidR="00CB73DC" w:rsidRPr="003524D8">
        <w:rPr>
          <w:rFonts w:eastAsia="Calibri" w:cs="Calibri"/>
        </w:rPr>
        <w:t xml:space="preserve"> a</w:t>
      </w:r>
      <w:r w:rsidRPr="003524D8">
        <w:rPr>
          <w:rFonts w:eastAsia="Calibri" w:cs="Calibri"/>
        </w:rPr>
        <w:t xml:space="preserve">nd the subsequent </w:t>
      </w:r>
      <w:r w:rsidR="00CB73DC" w:rsidRPr="003524D8">
        <w:rPr>
          <w:rFonts w:eastAsia="Calibri" w:cs="Calibri"/>
        </w:rPr>
        <w:t>r</w:t>
      </w:r>
      <w:r w:rsidRPr="003524D8">
        <w:rPr>
          <w:rFonts w:eastAsia="Calibri" w:cs="Calibri"/>
        </w:rPr>
        <w:t xml:space="preserve">eform of </w:t>
      </w:r>
      <w:r w:rsidR="00CB73DC" w:rsidRPr="003524D8">
        <w:rPr>
          <w:rFonts w:eastAsia="Calibri" w:cs="Calibri"/>
        </w:rPr>
        <w:t>v</w:t>
      </w:r>
      <w:r w:rsidRPr="003524D8">
        <w:rPr>
          <w:rFonts w:eastAsia="Calibri" w:cs="Calibri"/>
        </w:rPr>
        <w:t xml:space="preserve">ocational </w:t>
      </w:r>
      <w:r w:rsidR="00CB73DC" w:rsidRPr="003524D8">
        <w:rPr>
          <w:rFonts w:eastAsia="Calibri" w:cs="Calibri"/>
        </w:rPr>
        <w:t>e</w:t>
      </w:r>
      <w:r w:rsidRPr="003524D8">
        <w:rPr>
          <w:rFonts w:eastAsia="Calibri" w:cs="Calibri"/>
        </w:rPr>
        <w:t xml:space="preserve">ducation and </w:t>
      </w:r>
      <w:r w:rsidR="00CB73DC" w:rsidRPr="003524D8">
        <w:rPr>
          <w:rFonts w:eastAsia="Calibri" w:cs="Calibri"/>
        </w:rPr>
        <w:t>t</w:t>
      </w:r>
      <w:r w:rsidRPr="003524D8">
        <w:rPr>
          <w:rFonts w:eastAsia="Calibri" w:cs="Calibri"/>
        </w:rPr>
        <w:t>raining</w:t>
      </w:r>
      <w:r w:rsidR="00CB73DC" w:rsidRPr="003524D8">
        <w:rPr>
          <w:rFonts w:eastAsia="Calibri" w:cs="Calibri"/>
        </w:rPr>
        <w:t xml:space="preserve"> strategies </w:t>
      </w:r>
      <w:sdt>
        <w:sdtPr>
          <w:rPr>
            <w:rFonts w:eastAsia="Calibri" w:cs="Calibri"/>
          </w:rPr>
          <w:id w:val="-1905824145"/>
          <w:citation/>
        </w:sdtPr>
        <w:sdtContent>
          <w:r w:rsidR="00CB73DC" w:rsidRPr="003524D8">
            <w:rPr>
              <w:rFonts w:eastAsia="Calibri" w:cs="Calibri"/>
            </w:rPr>
            <w:fldChar w:fldCharType="begin"/>
          </w:r>
          <w:r w:rsidR="00CB73DC" w:rsidRPr="003524D8">
            <w:rPr>
              <w:rFonts w:eastAsia="Calibri" w:cs="Calibri"/>
            </w:rPr>
            <w:instrText xml:space="preserve"> CITATION Cud05 \l 2057 </w:instrText>
          </w:r>
          <w:r w:rsidR="00CB73DC" w:rsidRPr="003524D8">
            <w:rPr>
              <w:rFonts w:eastAsia="Calibri" w:cs="Calibri"/>
            </w:rPr>
            <w:fldChar w:fldCharType="separate"/>
          </w:r>
          <w:r w:rsidR="00CB73DC" w:rsidRPr="003524D8">
            <w:rPr>
              <w:rFonts w:eastAsia="Calibri" w:cs="Calibri"/>
              <w:noProof/>
            </w:rPr>
            <w:t>(Cuddy &amp; Leney, 2005)</w:t>
          </w:r>
          <w:r w:rsidR="00CB73DC" w:rsidRPr="003524D8">
            <w:rPr>
              <w:rFonts w:eastAsia="Calibri" w:cs="Calibri"/>
            </w:rPr>
            <w:fldChar w:fldCharType="end"/>
          </w:r>
        </w:sdtContent>
      </w:sdt>
      <w:r w:rsidRPr="003524D8">
        <w:rPr>
          <w:rFonts w:eastAsia="Calibri" w:cs="Calibri"/>
        </w:rPr>
        <w:t xml:space="preserve"> led to greater integration of vocational pathways into FE colleges, aiming to provide more relevant qualifications that met the needs of local economies. A key development was the expansion of qualifications such as BTECs and NVQs at Level 2, alongside traditional academic routes.</w:t>
      </w:r>
    </w:p>
    <w:p w14:paraId="1DFC9CAA" w14:textId="1A4D9A10" w:rsidR="0083672A" w:rsidRDefault="0A0B3477" w:rsidP="00D835E5">
      <w:pPr>
        <w:spacing w:before="240" w:after="240"/>
        <w:rPr>
          <w:rFonts w:eastAsia="Calibri" w:cs="Calibri"/>
        </w:rPr>
      </w:pPr>
      <w:r w:rsidRPr="003524D8">
        <w:rPr>
          <w:rFonts w:eastAsia="Calibri" w:cs="Calibri"/>
        </w:rPr>
        <w:lastRenderedPageBreak/>
        <w:t xml:space="preserve">The </w:t>
      </w:r>
      <w:r w:rsidR="00396026" w:rsidRPr="003524D8">
        <w:rPr>
          <w:rFonts w:eastAsia="Calibri" w:cs="Calibri"/>
        </w:rPr>
        <w:t>WG</w:t>
      </w:r>
      <w:r w:rsidRPr="003524D8">
        <w:rPr>
          <w:rFonts w:eastAsia="Calibri" w:cs="Calibri"/>
        </w:rPr>
        <w:t xml:space="preserve">'s 14-19 Learning Pathways </w:t>
      </w:r>
      <w:r w:rsidR="008B2BC1">
        <w:rPr>
          <w:rFonts w:eastAsia="Calibri" w:cs="Calibri"/>
        </w:rPr>
        <w:t xml:space="preserve">Action Plan </w:t>
      </w:r>
      <w:sdt>
        <w:sdtPr>
          <w:rPr>
            <w:rFonts w:eastAsia="Calibri" w:cs="Calibri"/>
          </w:rPr>
          <w:id w:val="-1406139188"/>
          <w:citation/>
        </w:sdtPr>
        <w:sdtContent>
          <w:r w:rsidR="008B2BC1">
            <w:rPr>
              <w:rFonts w:eastAsia="Calibri" w:cs="Calibri"/>
            </w:rPr>
            <w:fldChar w:fldCharType="begin"/>
          </w:r>
          <w:r w:rsidR="00096B40">
            <w:rPr>
              <w:rFonts w:eastAsia="Calibri" w:cs="Calibri"/>
            </w:rPr>
            <w:instrText xml:space="preserve">CITATION WG05 \l 2057 </w:instrText>
          </w:r>
          <w:r w:rsidR="008B2BC1">
            <w:rPr>
              <w:rFonts w:eastAsia="Calibri" w:cs="Calibri"/>
            </w:rPr>
            <w:fldChar w:fldCharType="separate"/>
          </w:r>
          <w:r w:rsidR="00096B40" w:rsidRPr="00096B40">
            <w:rPr>
              <w:rFonts w:eastAsia="Calibri" w:cs="Calibri"/>
              <w:noProof/>
            </w:rPr>
            <w:t>(WG, 2003)</w:t>
          </w:r>
          <w:r w:rsidR="008B2BC1">
            <w:rPr>
              <w:rFonts w:eastAsia="Calibri" w:cs="Calibri"/>
            </w:rPr>
            <w:fldChar w:fldCharType="end"/>
          </w:r>
        </w:sdtContent>
      </w:sdt>
      <w:r w:rsidR="008B2BC1">
        <w:rPr>
          <w:rFonts w:eastAsia="Calibri" w:cs="Calibri"/>
        </w:rPr>
        <w:t xml:space="preserve"> </w:t>
      </w:r>
      <w:r w:rsidRPr="003524D8">
        <w:rPr>
          <w:rFonts w:eastAsia="Calibri" w:cs="Calibri"/>
        </w:rPr>
        <w:t>further broadened vocational options, creating a flexible curriculum where young people could combine academic and vocational qualifications. More recently, the Tertiary Education and Research (Wales) Act</w:t>
      </w:r>
      <w:r w:rsidR="00CB73DC" w:rsidRPr="003524D8">
        <w:rPr>
          <w:rFonts w:eastAsia="Calibri" w:cs="Calibri"/>
        </w:rPr>
        <w:t xml:space="preserve"> </w:t>
      </w:r>
      <w:sdt>
        <w:sdtPr>
          <w:rPr>
            <w:rFonts w:eastAsia="Calibri" w:cs="Calibri"/>
          </w:rPr>
          <w:id w:val="-1045211821"/>
          <w:citation/>
        </w:sdtPr>
        <w:sdtContent>
          <w:r w:rsidR="00CB73DC" w:rsidRPr="003524D8">
            <w:rPr>
              <w:rFonts w:eastAsia="Calibri" w:cs="Calibri"/>
            </w:rPr>
            <w:fldChar w:fldCharType="begin"/>
          </w:r>
          <w:r w:rsidR="00396026" w:rsidRPr="003524D8">
            <w:rPr>
              <w:rFonts w:eastAsia="Calibri" w:cs="Calibri"/>
            </w:rPr>
            <w:instrText xml:space="preserve">CITATION Wel22A \l 2057 </w:instrText>
          </w:r>
          <w:r w:rsidR="00CB73DC" w:rsidRPr="003524D8">
            <w:rPr>
              <w:rFonts w:eastAsia="Calibri" w:cs="Calibri"/>
            </w:rPr>
            <w:fldChar w:fldCharType="separate"/>
          </w:r>
          <w:r w:rsidR="00396026" w:rsidRPr="003524D8">
            <w:rPr>
              <w:rFonts w:eastAsia="Calibri" w:cs="Calibri"/>
              <w:noProof/>
            </w:rPr>
            <w:t>(WG, 2022)</w:t>
          </w:r>
          <w:r w:rsidR="00CB73DC" w:rsidRPr="003524D8">
            <w:rPr>
              <w:rFonts w:eastAsia="Calibri" w:cs="Calibri"/>
            </w:rPr>
            <w:fldChar w:fldCharType="end"/>
          </w:r>
        </w:sdtContent>
      </w:sdt>
      <w:r w:rsidR="00CB73DC" w:rsidRPr="003524D8">
        <w:rPr>
          <w:rFonts w:eastAsia="Calibri" w:cs="Calibri"/>
        </w:rPr>
        <w:t xml:space="preserve">, </w:t>
      </w:r>
      <w:r w:rsidRPr="003524D8">
        <w:rPr>
          <w:rFonts w:eastAsia="Calibri" w:cs="Calibri"/>
        </w:rPr>
        <w:t>consolidated FE under a single framework to enhance access to skills training and qualifications, with a focus on Level 2 and 3 qualifications.</w:t>
      </w:r>
      <w:r w:rsidR="00DF1414" w:rsidRPr="003524D8">
        <w:rPr>
          <w:rFonts w:eastAsia="Calibri" w:cs="Calibri"/>
        </w:rPr>
        <w:t xml:space="preserve"> </w:t>
      </w:r>
      <w:r w:rsidRPr="003524D8">
        <w:rPr>
          <w:rFonts w:eastAsia="Calibri" w:cs="Calibri"/>
        </w:rPr>
        <w:t>Level 2 vocational qualifications are now central to efforts to address skills gaps and prepare young people for the workforce, with a clear alignment to Wales’ economic priorities, such as</w:t>
      </w:r>
      <w:r w:rsidR="3360AC03" w:rsidRPr="003524D8">
        <w:rPr>
          <w:rFonts w:eastAsia="Calibri" w:cs="Calibri"/>
        </w:rPr>
        <w:t xml:space="preserve"> </w:t>
      </w:r>
      <w:r w:rsidRPr="003524D8">
        <w:rPr>
          <w:rFonts w:eastAsia="Calibri" w:cs="Calibri"/>
        </w:rPr>
        <w:t>digital skills</w:t>
      </w:r>
      <w:r w:rsidR="7C740AF6" w:rsidRPr="003524D8">
        <w:rPr>
          <w:rFonts w:eastAsia="Calibri" w:cs="Calibri"/>
        </w:rPr>
        <w:t xml:space="preserve"> </w:t>
      </w:r>
      <w:r w:rsidR="63192811" w:rsidRPr="003524D8">
        <w:rPr>
          <w:rFonts w:eastAsia="Calibri" w:cs="Calibri"/>
        </w:rPr>
        <w:t xml:space="preserve">and ensuring </w:t>
      </w:r>
      <w:r w:rsidR="0083672A">
        <w:rPr>
          <w:rFonts w:eastAsia="Calibri" w:cs="Calibri"/>
        </w:rPr>
        <w:t xml:space="preserve">that </w:t>
      </w:r>
      <w:r w:rsidR="4BF38F72" w:rsidRPr="003524D8">
        <w:rPr>
          <w:rFonts w:eastAsia="Calibri" w:cs="Calibri"/>
        </w:rPr>
        <w:t>y</w:t>
      </w:r>
      <w:r w:rsidR="7C740AF6" w:rsidRPr="003524D8">
        <w:rPr>
          <w:rFonts w:eastAsia="Calibri" w:cs="Calibri"/>
        </w:rPr>
        <w:t>oung people realis</w:t>
      </w:r>
      <w:r w:rsidR="326DAD5A" w:rsidRPr="003524D8">
        <w:rPr>
          <w:rFonts w:eastAsia="Calibri" w:cs="Calibri"/>
        </w:rPr>
        <w:t>e</w:t>
      </w:r>
      <w:r w:rsidR="7C740AF6" w:rsidRPr="003524D8">
        <w:rPr>
          <w:rFonts w:eastAsia="Calibri" w:cs="Calibri"/>
        </w:rPr>
        <w:t xml:space="preserve"> their potential</w:t>
      </w:r>
      <w:r w:rsidR="4A200592" w:rsidRPr="003524D8">
        <w:rPr>
          <w:rFonts w:eastAsia="Calibri" w:cs="Calibri"/>
        </w:rPr>
        <w:t xml:space="preserve"> </w:t>
      </w:r>
      <w:r w:rsidRPr="003524D8">
        <w:rPr>
          <w:rFonts w:eastAsia="Calibri" w:cs="Calibri"/>
        </w:rPr>
        <w:t>(</w:t>
      </w:r>
      <w:r w:rsidR="00396026" w:rsidRPr="003524D8">
        <w:rPr>
          <w:rFonts w:eastAsia="Calibri" w:cs="Calibri"/>
        </w:rPr>
        <w:t>WG</w:t>
      </w:r>
      <w:r w:rsidRPr="003524D8">
        <w:rPr>
          <w:rFonts w:eastAsia="Calibri" w:cs="Calibri"/>
        </w:rPr>
        <w:t>, 2020).</w:t>
      </w:r>
      <w:r w:rsidR="00DF1414" w:rsidRPr="003524D8">
        <w:rPr>
          <w:rFonts w:eastAsia="Calibri" w:cs="Calibri"/>
        </w:rPr>
        <w:t xml:space="preserve"> </w:t>
      </w:r>
    </w:p>
    <w:p w14:paraId="0E2CBD19" w14:textId="03A73500" w:rsidR="00DF1414" w:rsidRPr="00C14325" w:rsidRDefault="00996CFD" w:rsidP="00C14325">
      <w:pPr>
        <w:spacing w:before="240" w:after="240"/>
        <w:rPr>
          <w:rFonts w:eastAsia="Calibri" w:cs="Calibri"/>
        </w:rPr>
      </w:pPr>
      <w:r w:rsidRPr="003524D8">
        <w:rPr>
          <w:rFonts w:cs="Calibri"/>
        </w:rPr>
        <w:t>Level 1 and 2 students in FE in England and Wales encounter several educational and non-educational issues that can impede their learning and overall success</w:t>
      </w:r>
      <w:sdt>
        <w:sdtPr>
          <w:rPr>
            <w:rFonts w:cs="Calibri"/>
          </w:rPr>
          <w:id w:val="501632677"/>
          <w:citation/>
        </w:sdtPr>
        <w:sdtContent>
          <w:r w:rsidR="009F2C2B" w:rsidRPr="003524D8">
            <w:rPr>
              <w:rFonts w:cs="Calibri"/>
            </w:rPr>
            <w:fldChar w:fldCharType="begin"/>
          </w:r>
          <w:r w:rsidR="009F2C2B" w:rsidRPr="003524D8">
            <w:rPr>
              <w:rFonts w:cs="Calibri"/>
            </w:rPr>
            <w:instrText xml:space="preserve"> CITATION Hud241 \l 2057 </w:instrText>
          </w:r>
          <w:r w:rsidR="009F2C2B" w:rsidRPr="003524D8">
            <w:rPr>
              <w:rFonts w:cs="Calibri"/>
            </w:rPr>
            <w:fldChar w:fldCharType="separate"/>
          </w:r>
          <w:r w:rsidR="009F2C2B" w:rsidRPr="003524D8">
            <w:rPr>
              <w:rFonts w:cs="Calibri"/>
              <w:noProof/>
            </w:rPr>
            <w:t xml:space="preserve"> (Huddleston &amp; Unwin, 2024)</w:t>
          </w:r>
          <w:r w:rsidR="009F2C2B" w:rsidRPr="003524D8">
            <w:rPr>
              <w:rFonts w:cs="Calibri"/>
            </w:rPr>
            <w:fldChar w:fldCharType="end"/>
          </w:r>
        </w:sdtContent>
      </w:sdt>
      <w:r w:rsidRPr="003524D8">
        <w:rPr>
          <w:rFonts w:cs="Calibri"/>
        </w:rPr>
        <w:t xml:space="preserve">, including socio-economic barriers, learning gaps, issues with mental health, and not always being engaged and motivated to learn </w:t>
      </w:r>
      <w:sdt>
        <w:sdtPr>
          <w:rPr>
            <w:rFonts w:cs="Calibri"/>
          </w:rPr>
          <w:id w:val="-1123917329"/>
          <w:citation/>
        </w:sdtPr>
        <w:sdtContent>
          <w:r w:rsidRPr="003524D8">
            <w:rPr>
              <w:rFonts w:cs="Calibri"/>
            </w:rPr>
            <w:fldChar w:fldCharType="begin"/>
          </w:r>
          <w:r w:rsidRPr="003524D8">
            <w:rPr>
              <w:rFonts w:cs="Calibri"/>
            </w:rPr>
            <w:instrText xml:space="preserve"> CITATION Tow11 \l 2057 </w:instrText>
          </w:r>
          <w:r w:rsidRPr="003524D8">
            <w:rPr>
              <w:rFonts w:cs="Calibri"/>
            </w:rPr>
            <w:fldChar w:fldCharType="separate"/>
          </w:r>
          <w:r w:rsidRPr="003524D8">
            <w:rPr>
              <w:rFonts w:cs="Calibri"/>
            </w:rPr>
            <w:t>(Towler, et al., 2011)</w:t>
          </w:r>
          <w:r w:rsidRPr="003524D8">
            <w:rPr>
              <w:rFonts w:cs="Calibri"/>
            </w:rPr>
            <w:fldChar w:fldCharType="end"/>
          </w:r>
        </w:sdtContent>
      </w:sdt>
      <w:r w:rsidR="0083672A">
        <w:rPr>
          <w:rFonts w:eastAsia="Calibri" w:cs="Calibri"/>
        </w:rPr>
        <w:t xml:space="preserve">. </w:t>
      </w:r>
      <w:r w:rsidRPr="003524D8">
        <w:rPr>
          <w:rFonts w:cs="Calibri"/>
        </w:rPr>
        <w:t xml:space="preserve">Many </w:t>
      </w:r>
      <w:proofErr w:type="gramStart"/>
      <w:r w:rsidRPr="003524D8">
        <w:rPr>
          <w:rFonts w:cs="Calibri"/>
        </w:rPr>
        <w:t>Level</w:t>
      </w:r>
      <w:proofErr w:type="gramEnd"/>
      <w:r w:rsidRPr="003524D8">
        <w:rPr>
          <w:rFonts w:cs="Calibri"/>
        </w:rPr>
        <w:t xml:space="preserve"> 1 and 2 students come from low-income backgrounds, which can significantly affect their ability to succeed in FE. According to the ONS </w:t>
      </w:r>
      <w:sdt>
        <w:sdtPr>
          <w:rPr>
            <w:rFonts w:cs="Calibri"/>
          </w:rPr>
          <w:id w:val="1759645730"/>
          <w:citation/>
        </w:sdtPr>
        <w:sdtContent>
          <w:r w:rsidRPr="003524D8">
            <w:rPr>
              <w:rFonts w:cs="Calibri"/>
            </w:rPr>
            <w:fldChar w:fldCharType="begin"/>
          </w:r>
          <w:r w:rsidR="0095136B" w:rsidRPr="003524D8">
            <w:rPr>
              <w:rFonts w:cs="Calibri"/>
            </w:rPr>
            <w:instrText xml:space="preserve">CITATION Off24 \n  \l 2057 </w:instrText>
          </w:r>
          <w:r w:rsidRPr="003524D8">
            <w:rPr>
              <w:rFonts w:cs="Calibri"/>
            </w:rPr>
            <w:fldChar w:fldCharType="separate"/>
          </w:r>
          <w:r w:rsidR="0095136B" w:rsidRPr="003524D8">
            <w:rPr>
              <w:rFonts w:cs="Calibri"/>
              <w:noProof/>
            </w:rPr>
            <w:t>(2024)</w:t>
          </w:r>
          <w:r w:rsidRPr="003524D8">
            <w:rPr>
              <w:rFonts w:cs="Calibri"/>
            </w:rPr>
            <w:fldChar w:fldCharType="end"/>
          </w:r>
        </w:sdtContent>
      </w:sdt>
      <w:r w:rsidRPr="003524D8">
        <w:rPr>
          <w:rFonts w:cs="Calibri"/>
        </w:rPr>
        <w:t xml:space="preserve">, younger people from lower-income families tend to report that they felt they had </w:t>
      </w:r>
      <w:r w:rsidR="00C44A68" w:rsidRPr="003524D8">
        <w:rPr>
          <w:rFonts w:cs="Calibri"/>
        </w:rPr>
        <w:t>fewer</w:t>
      </w:r>
      <w:r w:rsidRPr="003524D8">
        <w:rPr>
          <w:rFonts w:cs="Calibri"/>
        </w:rPr>
        <w:t xml:space="preserve"> chances in life, while Holt-White &amp; Cullinane </w:t>
      </w:r>
      <w:sdt>
        <w:sdtPr>
          <w:rPr>
            <w:rFonts w:cs="Calibri"/>
          </w:rPr>
          <w:id w:val="283396240"/>
          <w:citation/>
        </w:sdtPr>
        <w:sdtContent>
          <w:r w:rsidRPr="003524D8">
            <w:rPr>
              <w:rFonts w:cs="Calibri"/>
            </w:rPr>
            <w:fldChar w:fldCharType="begin"/>
          </w:r>
          <w:r w:rsidRPr="003524D8">
            <w:rPr>
              <w:rFonts w:cs="Calibri"/>
            </w:rPr>
            <w:instrText xml:space="preserve">CITATION Hol23 \n  \l 2057 </w:instrText>
          </w:r>
          <w:r w:rsidRPr="003524D8">
            <w:rPr>
              <w:rFonts w:cs="Calibri"/>
            </w:rPr>
            <w:fldChar w:fldCharType="separate"/>
          </w:r>
          <w:r w:rsidRPr="003524D8">
            <w:rPr>
              <w:rFonts w:cs="Calibri"/>
            </w:rPr>
            <w:t>(2023)</w:t>
          </w:r>
          <w:r w:rsidRPr="003524D8">
            <w:rPr>
              <w:rFonts w:cs="Calibri"/>
            </w:rPr>
            <w:fldChar w:fldCharType="end"/>
          </w:r>
        </w:sdtContent>
      </w:sdt>
      <w:r w:rsidRPr="003524D8">
        <w:rPr>
          <w:rFonts w:cs="Calibri"/>
        </w:rPr>
        <w:t xml:space="preserve"> report that inequalities accelerated through secondary school. Financial pressures for these students make affording tuition, extra tuition, required materials,</w:t>
      </w:r>
      <w:r w:rsidR="0083672A">
        <w:rPr>
          <w:rFonts w:cs="Calibri"/>
        </w:rPr>
        <w:t xml:space="preserve"> and</w:t>
      </w:r>
      <w:r w:rsidRPr="003524D8">
        <w:rPr>
          <w:rFonts w:cs="Calibri"/>
        </w:rPr>
        <w:t xml:space="preserve"> transportation challenging </w:t>
      </w:r>
      <w:sdt>
        <w:sdtPr>
          <w:rPr>
            <w:rFonts w:cs="Calibri"/>
          </w:rPr>
          <w:id w:val="1002008784"/>
          <w:citation/>
        </w:sdtPr>
        <w:sdtContent>
          <w:r w:rsidRPr="003524D8">
            <w:rPr>
              <w:rFonts w:cs="Calibri"/>
            </w:rPr>
            <w:fldChar w:fldCharType="begin"/>
          </w:r>
          <w:r w:rsidRPr="003524D8">
            <w:rPr>
              <w:rFonts w:cs="Calibri"/>
            </w:rPr>
            <w:instrText xml:space="preserve"> CITATION Far24 \l 2057 </w:instrText>
          </w:r>
          <w:r w:rsidRPr="003524D8">
            <w:rPr>
              <w:rFonts w:cs="Calibri"/>
            </w:rPr>
            <w:fldChar w:fldCharType="separate"/>
          </w:r>
          <w:r w:rsidRPr="003524D8">
            <w:rPr>
              <w:rFonts w:cs="Calibri"/>
            </w:rPr>
            <w:t>(Farquharson, et al., 2024)</w:t>
          </w:r>
          <w:r w:rsidRPr="003524D8">
            <w:rPr>
              <w:rFonts w:cs="Calibri"/>
            </w:rPr>
            <w:fldChar w:fldCharType="end"/>
          </w:r>
        </w:sdtContent>
      </w:sdt>
      <w:r w:rsidRPr="003524D8">
        <w:rPr>
          <w:rFonts w:cs="Calibri"/>
        </w:rPr>
        <w:t xml:space="preserve">. Peltz et al. </w:t>
      </w:r>
      <w:sdt>
        <w:sdtPr>
          <w:rPr>
            <w:rFonts w:cs="Calibri"/>
          </w:rPr>
          <w:id w:val="377203658"/>
          <w:citation/>
        </w:sdtPr>
        <w:sdtContent>
          <w:r w:rsidRPr="003524D8">
            <w:rPr>
              <w:rFonts w:cs="Calibri"/>
            </w:rPr>
            <w:fldChar w:fldCharType="begin"/>
          </w:r>
          <w:r w:rsidRPr="003524D8">
            <w:rPr>
              <w:rFonts w:cs="Calibri"/>
            </w:rPr>
            <w:instrText xml:space="preserve">CITATION Pel20 \n  \l 2057 </w:instrText>
          </w:r>
          <w:r w:rsidRPr="003524D8">
            <w:rPr>
              <w:rFonts w:cs="Calibri"/>
            </w:rPr>
            <w:fldChar w:fldCharType="separate"/>
          </w:r>
          <w:r w:rsidRPr="003524D8">
            <w:rPr>
              <w:rFonts w:cs="Calibri"/>
            </w:rPr>
            <w:t>(2020)</w:t>
          </w:r>
          <w:r w:rsidRPr="003524D8">
            <w:rPr>
              <w:rFonts w:cs="Calibri"/>
            </w:rPr>
            <w:fldChar w:fldCharType="end"/>
          </w:r>
        </w:sdtContent>
      </w:sdt>
      <w:r w:rsidRPr="003524D8">
        <w:rPr>
          <w:rFonts w:cs="Calibri"/>
        </w:rPr>
        <w:t xml:space="preserve"> argue that students with insufficient financial support may result in them having to </w:t>
      </w:r>
      <w:r w:rsidR="00C14325">
        <w:rPr>
          <w:rFonts w:cs="Calibri"/>
        </w:rPr>
        <w:t>amalgamating</w:t>
      </w:r>
      <w:r w:rsidRPr="003524D8">
        <w:rPr>
          <w:rFonts w:cs="Calibri"/>
        </w:rPr>
        <w:t xml:space="preserve"> several jobs with attending college and preparing for assignments, leading to increased stress and potential burnout. Furthermore, Mistry &amp; Elenbaas </w:t>
      </w:r>
      <w:sdt>
        <w:sdtPr>
          <w:rPr>
            <w:rFonts w:cs="Calibri"/>
          </w:rPr>
          <w:id w:val="-651820554"/>
          <w:citation/>
        </w:sdtPr>
        <w:sdtContent>
          <w:r w:rsidRPr="003524D8">
            <w:rPr>
              <w:rFonts w:cs="Calibri"/>
            </w:rPr>
            <w:fldChar w:fldCharType="begin"/>
          </w:r>
          <w:r w:rsidRPr="003524D8">
            <w:rPr>
              <w:rFonts w:cs="Calibri"/>
            </w:rPr>
            <w:instrText xml:space="preserve">CITATION Mis21 \n  \l 2057 </w:instrText>
          </w:r>
          <w:r w:rsidRPr="003524D8">
            <w:rPr>
              <w:rFonts w:cs="Calibri"/>
            </w:rPr>
            <w:fldChar w:fldCharType="separate"/>
          </w:r>
          <w:r w:rsidRPr="003524D8">
            <w:rPr>
              <w:rFonts w:cs="Calibri"/>
            </w:rPr>
            <w:t>(2021)</w:t>
          </w:r>
          <w:r w:rsidRPr="003524D8">
            <w:rPr>
              <w:rFonts w:cs="Calibri"/>
            </w:rPr>
            <w:fldChar w:fldCharType="end"/>
          </w:r>
        </w:sdtContent>
      </w:sdt>
      <w:r w:rsidRPr="003524D8">
        <w:rPr>
          <w:rFonts w:cs="Calibri"/>
        </w:rPr>
        <w:t xml:space="preserve"> suggest that students from disadvantaged backgrounds are more likely to withdraw from FE because </w:t>
      </w:r>
      <w:r w:rsidR="00C14325">
        <w:rPr>
          <w:rFonts w:cs="Calibri"/>
        </w:rPr>
        <w:t xml:space="preserve">of </w:t>
      </w:r>
      <w:r w:rsidRPr="003524D8">
        <w:rPr>
          <w:rFonts w:cs="Calibri"/>
        </w:rPr>
        <w:t>these economic challenges.</w:t>
      </w:r>
    </w:p>
    <w:p w14:paraId="552E7867" w14:textId="65F3EF00" w:rsidR="00996CFD" w:rsidRPr="003524D8" w:rsidRDefault="00996CFD" w:rsidP="00D835E5">
      <w:pPr>
        <w:rPr>
          <w:rFonts w:cs="Calibri"/>
        </w:rPr>
      </w:pPr>
      <w:r w:rsidRPr="003524D8">
        <w:rPr>
          <w:rFonts w:cs="Calibri"/>
        </w:rPr>
        <w:t xml:space="preserve">Level 1 &amp; 2 students often enrol in FE with significant learning gaps, particularly in literacy and numeracy </w:t>
      </w:r>
      <w:sdt>
        <w:sdtPr>
          <w:rPr>
            <w:rFonts w:cs="Calibri"/>
          </w:rPr>
          <w:id w:val="-514930423"/>
          <w:citation/>
        </w:sdtPr>
        <w:sdtContent>
          <w:r w:rsidRPr="003524D8">
            <w:rPr>
              <w:rFonts w:cs="Calibri"/>
            </w:rPr>
            <w:fldChar w:fldCharType="begin"/>
          </w:r>
          <w:r w:rsidRPr="003524D8">
            <w:rPr>
              <w:rFonts w:cs="Calibri"/>
            </w:rPr>
            <w:instrText xml:space="preserve">CITATION Tuc \l 2057 </w:instrText>
          </w:r>
          <w:r w:rsidRPr="003524D8">
            <w:rPr>
              <w:rFonts w:cs="Calibri"/>
            </w:rPr>
            <w:fldChar w:fldCharType="separate"/>
          </w:r>
          <w:r w:rsidRPr="003524D8">
            <w:rPr>
              <w:rFonts w:cs="Calibri"/>
            </w:rPr>
            <w:t>(Tuckett, et al., 2021)</w:t>
          </w:r>
          <w:r w:rsidRPr="003524D8">
            <w:rPr>
              <w:rFonts w:cs="Calibri"/>
            </w:rPr>
            <w:fldChar w:fldCharType="end"/>
          </w:r>
        </w:sdtContent>
      </w:sdt>
      <w:r w:rsidRPr="003524D8">
        <w:rPr>
          <w:rFonts w:cs="Calibri"/>
        </w:rPr>
        <w:t xml:space="preserve">, which can stem from previous negative educational experiences. Many of these students often express feelings of inadequacy and low self-esteem, with them often struggling </w:t>
      </w:r>
      <w:r w:rsidR="00C14325">
        <w:rPr>
          <w:rFonts w:cs="Calibri"/>
        </w:rPr>
        <w:t>to develop</w:t>
      </w:r>
      <w:r w:rsidRPr="003524D8">
        <w:rPr>
          <w:rFonts w:cs="Calibri"/>
        </w:rPr>
        <w:t xml:space="preserve"> the foundational skills necessary for their courses </w:t>
      </w:r>
      <w:sdt>
        <w:sdtPr>
          <w:rPr>
            <w:rFonts w:cs="Calibri"/>
          </w:rPr>
          <w:id w:val="-1164233437"/>
          <w:citation/>
        </w:sdtPr>
        <w:sdtContent>
          <w:r w:rsidRPr="003524D8">
            <w:rPr>
              <w:rFonts w:cs="Calibri"/>
            </w:rPr>
            <w:fldChar w:fldCharType="begin"/>
          </w:r>
          <w:r w:rsidRPr="003524D8">
            <w:rPr>
              <w:rFonts w:cs="Calibri"/>
            </w:rPr>
            <w:instrText xml:space="preserve"> CITATION Col22 \l 2057 </w:instrText>
          </w:r>
          <w:r w:rsidRPr="003524D8">
            <w:rPr>
              <w:rFonts w:cs="Calibri"/>
            </w:rPr>
            <w:fldChar w:fldCharType="separate"/>
          </w:r>
          <w:r w:rsidRPr="003524D8">
            <w:rPr>
              <w:rFonts w:cs="Calibri"/>
            </w:rPr>
            <w:t>(Collings, et al., 2022)</w:t>
          </w:r>
          <w:r w:rsidRPr="003524D8">
            <w:rPr>
              <w:rFonts w:cs="Calibri"/>
            </w:rPr>
            <w:fldChar w:fldCharType="end"/>
          </w:r>
        </w:sdtContent>
      </w:sdt>
      <w:r w:rsidRPr="003524D8">
        <w:rPr>
          <w:rFonts w:cs="Calibri"/>
        </w:rPr>
        <w:t xml:space="preserve">. This inability to meet academic expectations can lead to a lack of motivation and further disengagement </w:t>
      </w:r>
      <w:r w:rsidR="00C14325">
        <w:rPr>
          <w:rFonts w:cs="Calibri"/>
        </w:rPr>
        <w:t>which, in turn, could</w:t>
      </w:r>
      <w:r w:rsidRPr="003524D8">
        <w:rPr>
          <w:rFonts w:cs="Calibri"/>
        </w:rPr>
        <w:t xml:space="preserve"> lead to the issues exacerbating </w:t>
      </w:r>
      <w:sdt>
        <w:sdtPr>
          <w:rPr>
            <w:rFonts w:cs="Calibri"/>
          </w:rPr>
          <w:id w:val="-1296825667"/>
          <w:citation/>
        </w:sdtPr>
        <w:sdtContent>
          <w:r w:rsidRPr="003524D8">
            <w:rPr>
              <w:rFonts w:cs="Calibri"/>
            </w:rPr>
            <w:fldChar w:fldCharType="begin"/>
          </w:r>
          <w:r w:rsidRPr="003524D8">
            <w:rPr>
              <w:rFonts w:cs="Calibri"/>
            </w:rPr>
            <w:instrText xml:space="preserve">CITATION The20 \l 2057 </w:instrText>
          </w:r>
          <w:r w:rsidRPr="003524D8">
            <w:rPr>
              <w:rFonts w:cs="Calibri"/>
            </w:rPr>
            <w:fldChar w:fldCharType="separate"/>
          </w:r>
          <w:r w:rsidRPr="003524D8">
            <w:rPr>
              <w:rFonts w:cs="Calibri"/>
            </w:rPr>
            <w:t>(Skilling, et al., 2020)</w:t>
          </w:r>
          <w:r w:rsidRPr="003524D8">
            <w:rPr>
              <w:rFonts w:cs="Calibri"/>
            </w:rPr>
            <w:fldChar w:fldCharType="end"/>
          </w:r>
        </w:sdtContent>
      </w:sdt>
      <w:r w:rsidRPr="003524D8">
        <w:rPr>
          <w:rFonts w:cs="Calibri"/>
        </w:rPr>
        <w:t>.</w:t>
      </w:r>
      <w:r w:rsidR="001A20DE" w:rsidRPr="003524D8">
        <w:rPr>
          <w:rFonts w:cs="Calibri"/>
        </w:rPr>
        <w:t xml:space="preserve"> </w:t>
      </w:r>
      <w:r w:rsidRPr="003524D8">
        <w:rPr>
          <w:rFonts w:cs="Calibri"/>
        </w:rPr>
        <w:t xml:space="preserve">Mental health is a significant issue reported amongst Level 1 &amp; 2 students, with many facing anxiety and depression related to academic pressures and personal circumstances </w:t>
      </w:r>
      <w:sdt>
        <w:sdtPr>
          <w:rPr>
            <w:rFonts w:cs="Calibri"/>
          </w:rPr>
          <w:id w:val="1292630368"/>
          <w:citation/>
        </w:sdtPr>
        <w:sdtContent>
          <w:r w:rsidRPr="003524D8">
            <w:rPr>
              <w:rFonts w:cs="Calibri"/>
            </w:rPr>
            <w:fldChar w:fldCharType="begin"/>
          </w:r>
          <w:r w:rsidRPr="003524D8">
            <w:rPr>
              <w:rFonts w:cs="Calibri"/>
            </w:rPr>
            <w:instrText xml:space="preserve"> CITATION Pol21 \l 2057 </w:instrText>
          </w:r>
          <w:r w:rsidRPr="003524D8">
            <w:rPr>
              <w:rFonts w:cs="Calibri"/>
            </w:rPr>
            <w:fldChar w:fldCharType="separate"/>
          </w:r>
          <w:r w:rsidRPr="003524D8">
            <w:rPr>
              <w:rFonts w:cs="Calibri"/>
            </w:rPr>
            <w:t>(Pollard, et al., 2021)</w:t>
          </w:r>
          <w:r w:rsidRPr="003524D8">
            <w:rPr>
              <w:rFonts w:cs="Calibri"/>
            </w:rPr>
            <w:fldChar w:fldCharType="end"/>
          </w:r>
        </w:sdtContent>
      </w:sdt>
      <w:r w:rsidRPr="003524D8">
        <w:rPr>
          <w:rFonts w:cs="Calibri"/>
        </w:rPr>
        <w:t xml:space="preserve">. NHS England </w:t>
      </w:r>
      <w:sdt>
        <w:sdtPr>
          <w:rPr>
            <w:rFonts w:cs="Calibri"/>
          </w:rPr>
          <w:id w:val="1661269377"/>
          <w:citation/>
        </w:sdtPr>
        <w:sdtContent>
          <w:r w:rsidRPr="003524D8">
            <w:rPr>
              <w:rFonts w:cs="Calibri"/>
            </w:rPr>
            <w:fldChar w:fldCharType="begin"/>
          </w:r>
          <w:r w:rsidRPr="003524D8">
            <w:rPr>
              <w:rFonts w:cs="Calibri"/>
            </w:rPr>
            <w:instrText xml:space="preserve">CITATION NHS22 \n  \l 2057 </w:instrText>
          </w:r>
          <w:r w:rsidRPr="003524D8">
            <w:rPr>
              <w:rFonts w:cs="Calibri"/>
            </w:rPr>
            <w:fldChar w:fldCharType="separate"/>
          </w:r>
          <w:r w:rsidRPr="003524D8">
            <w:rPr>
              <w:rFonts w:cs="Calibri"/>
            </w:rPr>
            <w:t>(2022)</w:t>
          </w:r>
          <w:r w:rsidRPr="003524D8">
            <w:rPr>
              <w:rFonts w:cs="Calibri"/>
            </w:rPr>
            <w:fldChar w:fldCharType="end"/>
          </w:r>
        </w:sdtContent>
      </w:sdt>
      <w:r w:rsidRPr="003524D8">
        <w:rPr>
          <w:rFonts w:cs="Calibri"/>
        </w:rPr>
        <w:t xml:space="preserve"> report that</w:t>
      </w:r>
      <w:r w:rsidR="00C14325">
        <w:rPr>
          <w:rFonts w:cs="Calibri"/>
        </w:rPr>
        <w:t>,</w:t>
      </w:r>
      <w:r w:rsidRPr="003524D8">
        <w:rPr>
          <w:rFonts w:cs="Calibri"/>
        </w:rPr>
        <w:t xml:space="preserve"> in a sample of 2866 children and young people</w:t>
      </w:r>
      <w:r w:rsidR="00C44A68" w:rsidRPr="003524D8">
        <w:rPr>
          <w:rFonts w:cs="Calibri"/>
        </w:rPr>
        <w:t>, “</w:t>
      </w:r>
      <w:r w:rsidRPr="003524D8">
        <w:rPr>
          <w:rFonts w:cs="Calibri"/>
          <w:i/>
          <w:iCs/>
        </w:rPr>
        <w:t>18.0% of children aged 7 to 16 years and 22.0% of young people aged 17 to 24 years had a probable mental dis</w:t>
      </w:r>
      <w:r w:rsidR="00FB55D2" w:rsidRPr="003524D8">
        <w:rPr>
          <w:rFonts w:cs="Calibri"/>
          <w:i/>
          <w:iCs/>
        </w:rPr>
        <w:t>order”</w:t>
      </w:r>
      <w:sdt>
        <w:sdtPr>
          <w:rPr>
            <w:rFonts w:cs="Calibri"/>
            <w:i/>
            <w:iCs/>
          </w:rPr>
          <w:id w:val="75564755"/>
          <w:citation/>
        </w:sdtPr>
        <w:sdtContent>
          <w:r w:rsidR="00FB55D2" w:rsidRPr="003524D8">
            <w:rPr>
              <w:rFonts w:cs="Calibri"/>
              <w:i/>
              <w:iCs/>
            </w:rPr>
            <w:fldChar w:fldCharType="begin"/>
          </w:r>
          <w:r w:rsidR="00FB55D2" w:rsidRPr="003524D8">
            <w:rPr>
              <w:rFonts w:cs="Calibri"/>
              <w:i/>
              <w:iCs/>
            </w:rPr>
            <w:instrText xml:space="preserve"> CITATION NHS22 \l 2057 </w:instrText>
          </w:r>
          <w:r w:rsidR="00FB55D2" w:rsidRPr="003524D8">
            <w:rPr>
              <w:rFonts w:cs="Calibri"/>
              <w:i/>
              <w:iCs/>
            </w:rPr>
            <w:fldChar w:fldCharType="separate"/>
          </w:r>
          <w:r w:rsidR="00FB55D2" w:rsidRPr="003524D8">
            <w:rPr>
              <w:rFonts w:cs="Calibri"/>
              <w:i/>
              <w:iCs/>
              <w:noProof/>
            </w:rPr>
            <w:t xml:space="preserve"> </w:t>
          </w:r>
          <w:r w:rsidR="00FB55D2" w:rsidRPr="003524D8">
            <w:rPr>
              <w:rFonts w:cs="Calibri"/>
              <w:noProof/>
            </w:rPr>
            <w:t>(NHS England, 2022)</w:t>
          </w:r>
          <w:r w:rsidR="00FB55D2" w:rsidRPr="003524D8">
            <w:rPr>
              <w:rFonts w:cs="Calibri"/>
              <w:i/>
              <w:iCs/>
            </w:rPr>
            <w:fldChar w:fldCharType="end"/>
          </w:r>
        </w:sdtContent>
      </w:sdt>
      <w:r w:rsidRPr="003524D8">
        <w:rPr>
          <w:rFonts w:cs="Calibri"/>
          <w:i/>
          <w:iCs/>
        </w:rPr>
        <w:t>.</w:t>
      </w:r>
      <w:r w:rsidR="00C44A68" w:rsidRPr="003524D8">
        <w:rPr>
          <w:rFonts w:cs="Calibri"/>
        </w:rPr>
        <w:t xml:space="preserve"> </w:t>
      </w:r>
      <w:r w:rsidRPr="003524D8">
        <w:rPr>
          <w:rFonts w:cs="Calibri"/>
        </w:rPr>
        <w:t xml:space="preserve">A perceived lack of accessible mental health support within FE institutions can make it difficult for students to seek help </w:t>
      </w:r>
      <w:sdt>
        <w:sdtPr>
          <w:rPr>
            <w:rFonts w:cs="Calibri"/>
          </w:rPr>
          <w:id w:val="1209138781"/>
          <w:citation/>
        </w:sdtPr>
        <w:sdtContent>
          <w:r w:rsidRPr="003524D8">
            <w:rPr>
              <w:rFonts w:cs="Calibri"/>
            </w:rPr>
            <w:fldChar w:fldCharType="begin"/>
          </w:r>
          <w:r w:rsidRPr="003524D8">
            <w:rPr>
              <w:rFonts w:cs="Calibri"/>
            </w:rPr>
            <w:instrText xml:space="preserve"> CITATION Bak21 \l 2057 </w:instrText>
          </w:r>
          <w:r w:rsidRPr="003524D8">
            <w:rPr>
              <w:rFonts w:cs="Calibri"/>
            </w:rPr>
            <w:fldChar w:fldCharType="separate"/>
          </w:r>
          <w:r w:rsidRPr="003524D8">
            <w:rPr>
              <w:rFonts w:cs="Calibri"/>
            </w:rPr>
            <w:t>(Baker, et al., 2021)</w:t>
          </w:r>
          <w:r w:rsidRPr="003524D8">
            <w:rPr>
              <w:rFonts w:cs="Calibri"/>
            </w:rPr>
            <w:fldChar w:fldCharType="end"/>
          </w:r>
        </w:sdtContent>
      </w:sdt>
      <w:r w:rsidRPr="003524D8">
        <w:rPr>
          <w:rFonts w:cs="Calibri"/>
        </w:rPr>
        <w:t xml:space="preserve">, while the stigma surrounding mental health issues can further prevent students from accessing the necessary resources to succeed, which can lead to course withdrawal </w:t>
      </w:r>
      <w:sdt>
        <w:sdtPr>
          <w:rPr>
            <w:rFonts w:cs="Calibri"/>
          </w:rPr>
          <w:id w:val="-2126219935"/>
          <w:citation/>
        </w:sdtPr>
        <w:sdtContent>
          <w:r w:rsidRPr="003524D8">
            <w:rPr>
              <w:rFonts w:cs="Calibri"/>
            </w:rPr>
            <w:fldChar w:fldCharType="begin"/>
          </w:r>
          <w:r w:rsidRPr="003524D8">
            <w:rPr>
              <w:rFonts w:cs="Calibri"/>
            </w:rPr>
            <w:instrText xml:space="preserve"> CITATION You20 \l 2057 </w:instrText>
          </w:r>
          <w:r w:rsidRPr="003524D8">
            <w:rPr>
              <w:rFonts w:cs="Calibri"/>
            </w:rPr>
            <w:fldChar w:fldCharType="separate"/>
          </w:r>
          <w:r w:rsidRPr="003524D8">
            <w:rPr>
              <w:rFonts w:cs="Calibri"/>
            </w:rPr>
            <w:t>(Young, et al., 2020)</w:t>
          </w:r>
          <w:r w:rsidRPr="003524D8">
            <w:rPr>
              <w:rFonts w:cs="Calibri"/>
            </w:rPr>
            <w:fldChar w:fldCharType="end"/>
          </w:r>
        </w:sdtContent>
      </w:sdt>
      <w:r w:rsidRPr="003524D8">
        <w:rPr>
          <w:rFonts w:cs="Calibri"/>
        </w:rPr>
        <w:t>.</w:t>
      </w:r>
    </w:p>
    <w:p w14:paraId="0B77BCB9" w14:textId="77777777" w:rsidR="00DF1414" w:rsidRPr="003524D8" w:rsidRDefault="00DF1414" w:rsidP="00D835E5">
      <w:pPr>
        <w:rPr>
          <w:rFonts w:cs="Calibri"/>
        </w:rPr>
      </w:pPr>
    </w:p>
    <w:p w14:paraId="0219A717" w14:textId="5A48A4D4" w:rsidR="00996CFD" w:rsidRPr="003524D8" w:rsidRDefault="00996CFD" w:rsidP="00D835E5">
      <w:pPr>
        <w:rPr>
          <w:rFonts w:cs="Calibri"/>
        </w:rPr>
      </w:pPr>
      <w:r w:rsidRPr="003524D8">
        <w:rPr>
          <w:rFonts w:cs="Calibri"/>
        </w:rPr>
        <w:t xml:space="preserve">Skilling, et al. </w:t>
      </w:r>
      <w:sdt>
        <w:sdtPr>
          <w:rPr>
            <w:rFonts w:cs="Calibri"/>
          </w:rPr>
          <w:id w:val="-1660379384"/>
          <w:citation/>
        </w:sdtPr>
        <w:sdtContent>
          <w:r w:rsidRPr="003524D8">
            <w:rPr>
              <w:rFonts w:cs="Calibri"/>
            </w:rPr>
            <w:fldChar w:fldCharType="begin"/>
          </w:r>
          <w:r w:rsidRPr="003524D8">
            <w:rPr>
              <w:rFonts w:cs="Calibri"/>
            </w:rPr>
            <w:instrText xml:space="preserve">CITATION The20 \n  \l 2057 </w:instrText>
          </w:r>
          <w:r w:rsidRPr="003524D8">
            <w:rPr>
              <w:rFonts w:cs="Calibri"/>
            </w:rPr>
            <w:fldChar w:fldCharType="separate"/>
          </w:r>
          <w:r w:rsidRPr="003524D8">
            <w:rPr>
              <w:rFonts w:cs="Calibri"/>
            </w:rPr>
            <w:t>(2020)</w:t>
          </w:r>
          <w:r w:rsidRPr="003524D8">
            <w:rPr>
              <w:rFonts w:cs="Calibri"/>
            </w:rPr>
            <w:fldChar w:fldCharType="end"/>
          </w:r>
        </w:sdtContent>
      </w:sdt>
      <w:r w:rsidRPr="003524D8">
        <w:rPr>
          <w:rFonts w:cs="Calibri"/>
        </w:rPr>
        <w:t xml:space="preserve"> suggest that engagement levels among Level 2 students can fluctuate, particularly when they feel disconnected from the curriculum or the educational environment </w:t>
      </w:r>
      <w:r w:rsidR="00C44A68" w:rsidRPr="003524D8">
        <w:rPr>
          <w:rFonts w:cs="Calibri"/>
        </w:rPr>
        <w:t xml:space="preserve">in which </w:t>
      </w:r>
      <w:r w:rsidRPr="003524D8">
        <w:rPr>
          <w:rFonts w:cs="Calibri"/>
        </w:rPr>
        <w:t xml:space="preserve">they find themselves. Many students report a lack of relevance in their courses, which can lead to disengagement </w:t>
      </w:r>
      <w:sdt>
        <w:sdtPr>
          <w:rPr>
            <w:rFonts w:cs="Calibri"/>
          </w:rPr>
          <w:id w:val="1233349379"/>
          <w:citation/>
        </w:sdtPr>
        <w:sdtContent>
          <w:r w:rsidRPr="003524D8">
            <w:rPr>
              <w:rFonts w:cs="Calibri"/>
            </w:rPr>
            <w:fldChar w:fldCharType="begin"/>
          </w:r>
          <w:r w:rsidRPr="003524D8">
            <w:rPr>
              <w:rFonts w:cs="Calibri"/>
            </w:rPr>
            <w:instrText xml:space="preserve">CITATION Ber22 \l 2057 </w:instrText>
          </w:r>
          <w:r w:rsidRPr="003524D8">
            <w:rPr>
              <w:rFonts w:cs="Calibri"/>
            </w:rPr>
            <w:fldChar w:fldCharType="separate"/>
          </w:r>
          <w:r w:rsidRPr="003524D8">
            <w:rPr>
              <w:rFonts w:cs="Calibri"/>
            </w:rPr>
            <w:t>(Bergdahl, 2022)</w:t>
          </w:r>
          <w:r w:rsidRPr="003524D8">
            <w:rPr>
              <w:rFonts w:cs="Calibri"/>
            </w:rPr>
            <w:fldChar w:fldCharType="end"/>
          </w:r>
        </w:sdtContent>
      </w:sdt>
      <w:r w:rsidRPr="003524D8">
        <w:rPr>
          <w:rFonts w:cs="Calibri"/>
        </w:rPr>
        <w:t>. Additionally, the transition from a structured school environment to a more independent FE setting can be daunting for some students, contributing to a sense of isolation and disconnectio</w:t>
      </w:r>
      <w:r w:rsidR="00FB55D2" w:rsidRPr="003524D8">
        <w:rPr>
          <w:rFonts w:cs="Calibri"/>
        </w:rPr>
        <w:t xml:space="preserve">n </w:t>
      </w:r>
      <w:sdt>
        <w:sdtPr>
          <w:rPr>
            <w:rFonts w:cs="Calibri"/>
          </w:rPr>
          <w:id w:val="-2007889049"/>
          <w:citation/>
        </w:sdtPr>
        <w:sdtContent>
          <w:r w:rsidR="00FB55D2" w:rsidRPr="003524D8">
            <w:rPr>
              <w:rFonts w:cs="Calibri"/>
            </w:rPr>
            <w:fldChar w:fldCharType="begin"/>
          </w:r>
          <w:r w:rsidR="00FB55D2" w:rsidRPr="003524D8">
            <w:rPr>
              <w:rFonts w:cs="Calibri"/>
            </w:rPr>
            <w:instrText xml:space="preserve"> CITATION Pac21 \l 2057 </w:instrText>
          </w:r>
          <w:r w:rsidR="00FB55D2" w:rsidRPr="003524D8">
            <w:rPr>
              <w:rFonts w:cs="Calibri"/>
            </w:rPr>
            <w:fldChar w:fldCharType="separate"/>
          </w:r>
          <w:r w:rsidR="00FB55D2" w:rsidRPr="003524D8">
            <w:rPr>
              <w:rFonts w:cs="Calibri"/>
              <w:noProof/>
            </w:rPr>
            <w:t>(Packer &amp; Thomas, 2021)</w:t>
          </w:r>
          <w:r w:rsidR="00FB55D2" w:rsidRPr="003524D8">
            <w:rPr>
              <w:rFonts w:cs="Calibri"/>
            </w:rPr>
            <w:fldChar w:fldCharType="end"/>
          </w:r>
        </w:sdtContent>
      </w:sdt>
      <w:r w:rsidR="00FB55D2" w:rsidRPr="003524D8">
        <w:rPr>
          <w:rFonts w:cs="Calibri"/>
        </w:rPr>
        <w:t xml:space="preserve">. </w:t>
      </w:r>
      <w:r w:rsidRPr="003524D8">
        <w:rPr>
          <w:rFonts w:cs="Calibri"/>
        </w:rPr>
        <w:t xml:space="preserve">Hodgson &amp; Spours </w:t>
      </w:r>
      <w:sdt>
        <w:sdtPr>
          <w:rPr>
            <w:rFonts w:cs="Calibri"/>
          </w:rPr>
          <w:id w:val="-962737177"/>
          <w:citation/>
        </w:sdtPr>
        <w:sdtContent>
          <w:r w:rsidRPr="003524D8">
            <w:rPr>
              <w:rFonts w:cs="Calibri"/>
            </w:rPr>
            <w:fldChar w:fldCharType="begin"/>
          </w:r>
          <w:r w:rsidRPr="003524D8">
            <w:rPr>
              <w:rFonts w:cs="Calibri"/>
            </w:rPr>
            <w:instrText xml:space="preserve">CITATION Hod20 \n  \l 2057 </w:instrText>
          </w:r>
          <w:r w:rsidRPr="003524D8">
            <w:rPr>
              <w:rFonts w:cs="Calibri"/>
            </w:rPr>
            <w:fldChar w:fldCharType="separate"/>
          </w:r>
          <w:r w:rsidRPr="003524D8">
            <w:rPr>
              <w:rFonts w:cs="Calibri"/>
            </w:rPr>
            <w:t>(2020)</w:t>
          </w:r>
          <w:r w:rsidRPr="003524D8">
            <w:rPr>
              <w:rFonts w:cs="Calibri"/>
            </w:rPr>
            <w:fldChar w:fldCharType="end"/>
          </w:r>
        </w:sdtContent>
      </w:sdt>
      <w:r w:rsidRPr="003524D8">
        <w:rPr>
          <w:rFonts w:cs="Calibri"/>
        </w:rPr>
        <w:t xml:space="preserve"> state that Level 1 and 2 students often face unclear pathways for progression to higher-level qualifications or employment opportunities. Many students express frustration over the lack of guidance regarding career pathways and progression routes within FE </w:t>
      </w:r>
      <w:sdt>
        <w:sdtPr>
          <w:rPr>
            <w:rFonts w:cs="Calibri"/>
          </w:rPr>
          <w:id w:val="-2093843055"/>
          <w:citation/>
        </w:sdtPr>
        <w:sdtContent>
          <w:r w:rsidRPr="003524D8">
            <w:rPr>
              <w:rFonts w:cs="Calibri"/>
            </w:rPr>
            <w:fldChar w:fldCharType="begin"/>
          </w:r>
          <w:r w:rsidRPr="003524D8">
            <w:rPr>
              <w:rFonts w:cs="Calibri"/>
            </w:rPr>
            <w:instrText xml:space="preserve"> CITATION Moo17 \l 2057 </w:instrText>
          </w:r>
          <w:r w:rsidRPr="003524D8">
            <w:rPr>
              <w:rFonts w:cs="Calibri"/>
            </w:rPr>
            <w:fldChar w:fldCharType="separate"/>
          </w:r>
          <w:r w:rsidRPr="003524D8">
            <w:rPr>
              <w:rFonts w:cs="Calibri"/>
            </w:rPr>
            <w:t>(Moote &amp; Archer, 2017)</w:t>
          </w:r>
          <w:r w:rsidRPr="003524D8">
            <w:rPr>
              <w:rFonts w:cs="Calibri"/>
            </w:rPr>
            <w:fldChar w:fldCharType="end"/>
          </w:r>
        </w:sdtContent>
      </w:sdt>
      <w:r w:rsidRPr="003524D8">
        <w:rPr>
          <w:rFonts w:cs="Calibri"/>
        </w:rPr>
        <w:t xml:space="preserve">. This lack of clarity can lead to uncertainty about their future, further diminishing motivation and engagement in their studies </w:t>
      </w:r>
      <w:sdt>
        <w:sdtPr>
          <w:rPr>
            <w:rFonts w:cs="Calibri"/>
          </w:rPr>
          <w:id w:val="-1018241330"/>
          <w:citation/>
        </w:sdtPr>
        <w:sdtContent>
          <w:r w:rsidRPr="003524D8">
            <w:rPr>
              <w:rFonts w:cs="Calibri"/>
            </w:rPr>
            <w:fldChar w:fldCharType="begin"/>
          </w:r>
          <w:r w:rsidRPr="003524D8">
            <w:rPr>
              <w:rFonts w:cs="Calibri"/>
            </w:rPr>
            <w:instrText xml:space="preserve"> CITATION Acq17 \l 2057 </w:instrText>
          </w:r>
          <w:r w:rsidRPr="003524D8">
            <w:rPr>
              <w:rFonts w:cs="Calibri"/>
            </w:rPr>
            <w:fldChar w:fldCharType="separate"/>
          </w:r>
          <w:r w:rsidRPr="003524D8">
            <w:rPr>
              <w:rFonts w:cs="Calibri"/>
            </w:rPr>
            <w:t>(Acquah, et al., 2017)</w:t>
          </w:r>
          <w:r w:rsidRPr="003524D8">
            <w:rPr>
              <w:rFonts w:cs="Calibri"/>
            </w:rPr>
            <w:fldChar w:fldCharType="end"/>
          </w:r>
        </w:sdtContent>
      </w:sdt>
      <w:r w:rsidRPr="003524D8">
        <w:rPr>
          <w:rFonts w:cs="Calibri"/>
        </w:rPr>
        <w:t xml:space="preserve"> </w:t>
      </w:r>
    </w:p>
    <w:p w14:paraId="454CFF97" w14:textId="77777777" w:rsidR="00DF1414" w:rsidRPr="003524D8" w:rsidRDefault="00DF1414" w:rsidP="00D835E5">
      <w:pPr>
        <w:rPr>
          <w:rFonts w:cs="Calibri"/>
        </w:rPr>
      </w:pPr>
    </w:p>
    <w:p w14:paraId="47FD4524" w14:textId="27D7C371" w:rsidR="001A3E97" w:rsidRDefault="4A69E116" w:rsidP="001A3E97">
      <w:pPr>
        <w:rPr>
          <w:rFonts w:cs="Calibri"/>
        </w:rPr>
      </w:pPr>
      <w:r w:rsidRPr="003524D8">
        <w:rPr>
          <w:rFonts w:cs="Calibri"/>
        </w:rPr>
        <w:t xml:space="preserve">The multifaceted issues faced by Level 1 &amp; 2 students in Further Education in England and Wales are rooted in socio-economic, educational, and mental health challenges. Addressing these concerns requires a bespoke, comprehensive approach </w:t>
      </w:r>
      <w:sdt>
        <w:sdtPr>
          <w:rPr>
            <w:rFonts w:cs="Calibri"/>
          </w:rPr>
          <w:id w:val="335652924"/>
          <w:citation/>
        </w:sdtPr>
        <w:sdtContent>
          <w:r w:rsidR="00996CFD" w:rsidRPr="003524D8">
            <w:rPr>
              <w:rFonts w:cs="Calibri"/>
            </w:rPr>
            <w:fldChar w:fldCharType="begin"/>
          </w:r>
          <w:r w:rsidR="00996CFD" w:rsidRPr="003524D8">
            <w:rPr>
              <w:rFonts w:cs="Calibri"/>
            </w:rPr>
            <w:instrText xml:space="preserve"> CITATION Col22 \l 2057 </w:instrText>
          </w:r>
          <w:r w:rsidR="00996CFD" w:rsidRPr="003524D8">
            <w:rPr>
              <w:rFonts w:cs="Calibri"/>
            </w:rPr>
            <w:fldChar w:fldCharType="separate"/>
          </w:r>
          <w:r w:rsidRPr="003524D8">
            <w:rPr>
              <w:rFonts w:cs="Calibri"/>
            </w:rPr>
            <w:t>(Collings, et al., 2022)</w:t>
          </w:r>
          <w:r w:rsidR="00996CFD" w:rsidRPr="003524D8">
            <w:rPr>
              <w:rFonts w:cs="Calibri"/>
            </w:rPr>
            <w:fldChar w:fldCharType="end"/>
          </w:r>
        </w:sdtContent>
      </w:sdt>
      <w:r w:rsidRPr="003524D8">
        <w:rPr>
          <w:rFonts w:cs="Calibri"/>
        </w:rPr>
        <w:t xml:space="preserve"> that includes enhanced support services, clearer pathways for progression, and a curriculum that engages and motivates students with the necessary flexible inf</w:t>
      </w:r>
      <w:r w:rsidR="00C44A68" w:rsidRPr="003524D8">
        <w:rPr>
          <w:rFonts w:cs="Calibri"/>
        </w:rPr>
        <w:t>ra</w:t>
      </w:r>
      <w:r w:rsidRPr="003524D8">
        <w:rPr>
          <w:rFonts w:cs="Calibri"/>
        </w:rPr>
        <w:t xml:space="preserve">structure, by applying blended synchronous teaching and learning for flexible learning </w:t>
      </w:r>
      <w:sdt>
        <w:sdtPr>
          <w:rPr>
            <w:rFonts w:cs="Calibri"/>
          </w:rPr>
          <w:id w:val="532697602"/>
          <w:citation/>
        </w:sdtPr>
        <w:sdtContent>
          <w:r w:rsidR="00996CFD" w:rsidRPr="003524D8">
            <w:rPr>
              <w:rFonts w:cs="Calibri"/>
            </w:rPr>
            <w:fldChar w:fldCharType="begin"/>
          </w:r>
          <w:r w:rsidR="00996CFD" w:rsidRPr="003524D8">
            <w:rPr>
              <w:rFonts w:cs="Calibri"/>
            </w:rPr>
            <w:instrText xml:space="preserve"> CITATION LiX22 \l 2057 </w:instrText>
          </w:r>
          <w:r w:rsidR="00996CFD" w:rsidRPr="003524D8">
            <w:rPr>
              <w:rFonts w:cs="Calibri"/>
            </w:rPr>
            <w:fldChar w:fldCharType="separate"/>
          </w:r>
          <w:r w:rsidRPr="003524D8">
            <w:rPr>
              <w:rFonts w:cs="Calibri"/>
            </w:rPr>
            <w:t>(Li, et al., 2022)</w:t>
          </w:r>
          <w:r w:rsidR="00996CFD" w:rsidRPr="003524D8">
            <w:rPr>
              <w:rFonts w:cs="Calibri"/>
            </w:rPr>
            <w:fldChar w:fldCharType="end"/>
          </w:r>
        </w:sdtContent>
      </w:sdt>
      <w:r w:rsidRPr="003524D8">
        <w:rPr>
          <w:rFonts w:cs="Calibri"/>
        </w:rPr>
        <w:t xml:space="preserve">. These steps are </w:t>
      </w:r>
      <w:r w:rsidRPr="003524D8">
        <w:rPr>
          <w:rFonts w:cs="Calibri"/>
        </w:rPr>
        <w:lastRenderedPageBreak/>
        <w:t>essential for fostering an inclusive educational environment that enables all students to succeed.</w:t>
      </w:r>
    </w:p>
    <w:p w14:paraId="70382932" w14:textId="77777777" w:rsidR="00993D91" w:rsidRPr="001A3E97" w:rsidRDefault="00993D91" w:rsidP="001A3E97">
      <w:pPr>
        <w:rPr>
          <w:rFonts w:cs="Calibri"/>
        </w:rPr>
      </w:pPr>
    </w:p>
    <w:p w14:paraId="50B33782" w14:textId="2E1C078B" w:rsidR="001A3E97" w:rsidRDefault="001A3E97" w:rsidP="001A3E97">
      <w:pPr>
        <w:rPr>
          <w:rFonts w:cs="Calibri"/>
        </w:rPr>
      </w:pPr>
      <w:r w:rsidRPr="001A3E97">
        <w:rPr>
          <w:rFonts w:cs="Calibri"/>
          <w:noProof/>
        </w:rPr>
        <w:t>Lumatauw</w:t>
      </w:r>
      <w:r>
        <w:rPr>
          <w:rFonts w:cs="Calibri"/>
          <w:noProof/>
        </w:rPr>
        <w:t xml:space="preserve"> </w:t>
      </w:r>
      <w:r w:rsidRPr="001A3E97">
        <w:rPr>
          <w:rFonts w:cs="Calibri"/>
          <w:noProof/>
        </w:rPr>
        <w:t>et al.</w:t>
      </w:r>
      <w:r>
        <w:rPr>
          <w:rFonts w:cs="Calibri"/>
          <w:noProof/>
        </w:rPr>
        <w:t xml:space="preserve"> </w:t>
      </w:r>
      <w:sdt>
        <w:sdtPr>
          <w:rPr>
            <w:rFonts w:cs="Calibri"/>
          </w:rPr>
          <w:id w:val="216949490"/>
          <w:citation/>
        </w:sdtPr>
        <w:sdtContent>
          <w:r>
            <w:rPr>
              <w:rFonts w:cs="Calibri"/>
            </w:rPr>
            <w:fldChar w:fldCharType="begin"/>
          </w:r>
          <w:r>
            <w:rPr>
              <w:rFonts w:cs="Calibri"/>
            </w:rPr>
            <w:instrText xml:space="preserve">CITATION Lum20 \n  \l 2057 </w:instrText>
          </w:r>
          <w:r>
            <w:rPr>
              <w:rFonts w:cs="Calibri"/>
            </w:rPr>
            <w:fldChar w:fldCharType="separate"/>
          </w:r>
          <w:r w:rsidRPr="001A3E97">
            <w:rPr>
              <w:rFonts w:cs="Calibri"/>
              <w:noProof/>
            </w:rPr>
            <w:t>(2020)</w:t>
          </w:r>
          <w:r>
            <w:rPr>
              <w:rFonts w:cs="Calibri"/>
            </w:rPr>
            <w:fldChar w:fldCharType="end"/>
          </w:r>
        </w:sdtContent>
      </w:sdt>
      <w:r>
        <w:rPr>
          <w:rFonts w:cs="Calibri"/>
        </w:rPr>
        <w:t xml:space="preserve"> see s</w:t>
      </w:r>
      <w:r w:rsidRPr="001A3E97">
        <w:rPr>
          <w:rFonts w:cs="Calibri"/>
        </w:rPr>
        <w:t>tudent-centred learning</w:t>
      </w:r>
      <w:r>
        <w:rPr>
          <w:rFonts w:cs="Calibri"/>
        </w:rPr>
        <w:t xml:space="preserve"> as being</w:t>
      </w:r>
      <w:r w:rsidRPr="001A3E97">
        <w:rPr>
          <w:rFonts w:cs="Calibri"/>
        </w:rPr>
        <w:t xml:space="preserve"> increasingly recogni</w:t>
      </w:r>
      <w:r>
        <w:rPr>
          <w:rFonts w:cs="Calibri"/>
        </w:rPr>
        <w:t>s</w:t>
      </w:r>
      <w:r w:rsidRPr="001A3E97">
        <w:rPr>
          <w:rFonts w:cs="Calibri"/>
        </w:rPr>
        <w:t>ed as an effective approach for Level 2 vocational education, shifting the focus from teacher-led instruction to active student engagement. This method fosters autonomy, practical skill development, and relevance to real-world applications</w:t>
      </w:r>
      <w:r>
        <w:rPr>
          <w:rFonts w:cs="Calibri"/>
        </w:rPr>
        <w:t xml:space="preserve"> </w:t>
      </w:r>
      <w:sdt>
        <w:sdtPr>
          <w:rPr>
            <w:rFonts w:cs="Calibri"/>
          </w:rPr>
          <w:id w:val="1195969337"/>
          <w:citation/>
        </w:sdtPr>
        <w:sdtContent>
          <w:r>
            <w:rPr>
              <w:rFonts w:cs="Calibri"/>
            </w:rPr>
            <w:fldChar w:fldCharType="begin"/>
          </w:r>
          <w:r>
            <w:rPr>
              <w:rFonts w:cs="Calibri"/>
            </w:rPr>
            <w:instrText xml:space="preserve"> CITATION Ker23 \l 2057 </w:instrText>
          </w:r>
          <w:r>
            <w:rPr>
              <w:rFonts w:cs="Calibri"/>
            </w:rPr>
            <w:fldChar w:fldCharType="separate"/>
          </w:r>
          <w:r w:rsidRPr="001A3E97">
            <w:rPr>
              <w:rFonts w:cs="Calibri"/>
              <w:noProof/>
            </w:rPr>
            <w:t>(Kerimbayev, et al., 2023)</w:t>
          </w:r>
          <w:r>
            <w:rPr>
              <w:rFonts w:cs="Calibri"/>
            </w:rPr>
            <w:fldChar w:fldCharType="end"/>
          </w:r>
        </w:sdtContent>
      </w:sdt>
      <w:r w:rsidRPr="001A3E97">
        <w:rPr>
          <w:rFonts w:cs="Calibri"/>
        </w:rPr>
        <w:t xml:space="preserve">. Since 2015, studies have highlighted key benefits: </w:t>
      </w:r>
      <w:r w:rsidR="00993D91">
        <w:rPr>
          <w:rFonts w:cs="Calibri"/>
        </w:rPr>
        <w:t>s</w:t>
      </w:r>
      <w:r w:rsidR="00993D91" w:rsidRPr="001A3E97">
        <w:rPr>
          <w:rFonts w:cs="Calibri"/>
        </w:rPr>
        <w:t>tudent-centred learning</w:t>
      </w:r>
      <w:r w:rsidRPr="001A3E97">
        <w:rPr>
          <w:rFonts w:cs="Calibri"/>
        </w:rPr>
        <w:t xml:space="preserve"> promotes engagement and motivation by encouraging participation, leading to better attendance and attitudes. It enhances critical thinking and problem-solving through decision-making and collaboration. Active learning improves retention and performance, as demonstrated in a meta-analysis </w:t>
      </w:r>
      <w:sdt>
        <w:sdtPr>
          <w:rPr>
            <w:rFonts w:cs="Calibri"/>
          </w:rPr>
          <w:id w:val="717010331"/>
          <w:citation/>
        </w:sdtPr>
        <w:sdtContent>
          <w:r w:rsidR="00993D91">
            <w:rPr>
              <w:rFonts w:cs="Calibri"/>
            </w:rPr>
            <w:fldChar w:fldCharType="begin"/>
          </w:r>
          <w:r w:rsidR="00993D91">
            <w:rPr>
              <w:rFonts w:cs="Calibri"/>
            </w:rPr>
            <w:instrText xml:space="preserve"> CITATION Ced15 \l 2057 </w:instrText>
          </w:r>
          <w:r w:rsidR="00993D91">
            <w:rPr>
              <w:rFonts w:cs="Calibri"/>
            </w:rPr>
            <w:fldChar w:fldCharType="separate"/>
          </w:r>
          <w:r w:rsidR="00993D91" w:rsidRPr="00993D91">
            <w:rPr>
              <w:rFonts w:cs="Calibri"/>
              <w:noProof/>
            </w:rPr>
            <w:t>(Cedefop, 2015)</w:t>
          </w:r>
          <w:r w:rsidR="00993D91">
            <w:rPr>
              <w:rFonts w:cs="Calibri"/>
            </w:rPr>
            <w:fldChar w:fldCharType="end"/>
          </w:r>
        </w:sdtContent>
      </w:sdt>
      <w:r w:rsidRPr="001A3E97">
        <w:rPr>
          <w:rFonts w:cs="Calibri"/>
        </w:rPr>
        <w:t xml:space="preserve">. SCL links classroom learning to practical skills, preparing students for careers, while accommodating diverse needs through personalized experiences. It also fosters lifelong learning by cultivating self-direction and adaptability </w:t>
      </w:r>
      <w:sdt>
        <w:sdtPr>
          <w:rPr>
            <w:rFonts w:cs="Calibri"/>
          </w:rPr>
          <w:id w:val="933642250"/>
          <w:citation/>
        </w:sdtPr>
        <w:sdtContent>
          <w:r w:rsidR="00993D91">
            <w:rPr>
              <w:rFonts w:cs="Calibri"/>
            </w:rPr>
            <w:fldChar w:fldCharType="begin"/>
          </w:r>
          <w:r w:rsidR="00993D91">
            <w:rPr>
              <w:rFonts w:cs="Calibri"/>
            </w:rPr>
            <w:instrText xml:space="preserve"> CITATION Dun18 \l 2057 </w:instrText>
          </w:r>
          <w:r w:rsidR="00993D91">
            <w:rPr>
              <w:rFonts w:cs="Calibri"/>
            </w:rPr>
            <w:fldChar w:fldCharType="separate"/>
          </w:r>
          <w:r w:rsidR="00993D91" w:rsidRPr="00993D91">
            <w:rPr>
              <w:rFonts w:cs="Calibri"/>
              <w:noProof/>
            </w:rPr>
            <w:t>(Dunn, 2018)</w:t>
          </w:r>
          <w:r w:rsidR="00993D91">
            <w:rPr>
              <w:rFonts w:cs="Calibri"/>
            </w:rPr>
            <w:fldChar w:fldCharType="end"/>
          </w:r>
        </w:sdtContent>
      </w:sdt>
      <w:r w:rsidR="00993D91">
        <w:rPr>
          <w:rFonts w:cs="Calibri"/>
        </w:rPr>
        <w:t>, crucial to this investigation.</w:t>
      </w:r>
    </w:p>
    <w:p w14:paraId="06A19787" w14:textId="77777777" w:rsidR="001A3E97" w:rsidRDefault="001A3E97" w:rsidP="003524D8">
      <w:pPr>
        <w:rPr>
          <w:rFonts w:cs="Calibri"/>
        </w:rPr>
      </w:pPr>
    </w:p>
    <w:p w14:paraId="72288CA9" w14:textId="0AD488E4" w:rsidR="00996CFD" w:rsidRPr="00C40FA7" w:rsidRDefault="00996CFD" w:rsidP="001A3E97">
      <w:pPr>
        <w:rPr>
          <w:rFonts w:cs="Calibri"/>
        </w:rPr>
      </w:pPr>
      <w:r w:rsidRPr="00C40FA7">
        <w:rPr>
          <w:rFonts w:cs="Calibri"/>
        </w:rPr>
        <w:br w:type="page"/>
      </w:r>
    </w:p>
    <w:p w14:paraId="2B450269" w14:textId="4D45A671" w:rsidR="00DF1414" w:rsidRPr="003524D8" w:rsidRDefault="00DF1414" w:rsidP="003524D8">
      <w:pPr>
        <w:pStyle w:val="Heading1"/>
        <w:numPr>
          <w:ilvl w:val="0"/>
          <w:numId w:val="52"/>
        </w:numPr>
      </w:pPr>
      <w:bookmarkStart w:id="7" w:name="_Toc185674564"/>
      <w:r w:rsidRPr="003524D8">
        <w:lastRenderedPageBreak/>
        <w:t>METHODOLOGY</w:t>
      </w:r>
      <w:bookmarkEnd w:id="7"/>
    </w:p>
    <w:p w14:paraId="6A5AF1E2" w14:textId="5734CE8B" w:rsidR="004D1442" w:rsidRPr="003524D8" w:rsidRDefault="004D1442" w:rsidP="00D835E5">
      <w:pPr>
        <w:spacing w:before="240" w:after="240"/>
        <w:rPr>
          <w:rFonts w:eastAsia="Calibri" w:cs="Calibri"/>
        </w:rPr>
      </w:pPr>
      <w:r w:rsidRPr="003524D8">
        <w:rPr>
          <w:rFonts w:eastAsia="Calibri" w:cs="Calibri"/>
        </w:rPr>
        <w:t xml:space="preserve">Creswell &amp; </w:t>
      </w:r>
      <w:proofErr w:type="spellStart"/>
      <w:r w:rsidRPr="003524D8">
        <w:rPr>
          <w:rFonts w:eastAsia="Calibri" w:cs="Calibri"/>
        </w:rPr>
        <w:t>Poth</w:t>
      </w:r>
      <w:proofErr w:type="spellEnd"/>
      <w:r w:rsidRPr="003524D8">
        <w:rPr>
          <w:rFonts w:eastAsia="Calibri" w:cs="Calibri"/>
        </w:rPr>
        <w:t xml:space="preserve"> </w:t>
      </w:r>
      <w:sdt>
        <w:sdtPr>
          <w:rPr>
            <w:rFonts w:eastAsia="Calibri" w:cs="Calibri"/>
          </w:rPr>
          <w:id w:val="1007021915"/>
          <w:citation/>
        </w:sdtPr>
        <w:sdtContent>
          <w:r w:rsidRPr="003524D8">
            <w:rPr>
              <w:rFonts w:eastAsia="Calibri" w:cs="Calibri"/>
            </w:rPr>
            <w:fldChar w:fldCharType="begin"/>
          </w:r>
          <w:r w:rsidRPr="003524D8">
            <w:rPr>
              <w:rFonts w:eastAsia="Calibri" w:cs="Calibri"/>
            </w:rPr>
            <w:instrText xml:space="preserve">CITATION Cre16 \n  \l 2057 </w:instrText>
          </w:r>
          <w:r w:rsidRPr="003524D8">
            <w:rPr>
              <w:rFonts w:eastAsia="Calibri" w:cs="Calibri"/>
            </w:rPr>
            <w:fldChar w:fldCharType="separate"/>
          </w:r>
          <w:r w:rsidRPr="003524D8">
            <w:rPr>
              <w:rFonts w:eastAsia="Calibri" w:cs="Calibri"/>
              <w:noProof/>
            </w:rPr>
            <w:t>(2016)</w:t>
          </w:r>
          <w:r w:rsidRPr="003524D8">
            <w:rPr>
              <w:rFonts w:eastAsia="Calibri" w:cs="Calibri"/>
            </w:rPr>
            <w:fldChar w:fldCharType="end"/>
          </w:r>
        </w:sdtContent>
      </w:sdt>
      <w:r w:rsidRPr="003524D8">
        <w:rPr>
          <w:rFonts w:eastAsia="Calibri" w:cs="Calibri"/>
        </w:rPr>
        <w:t xml:space="preserve"> state that a qualitative research approach is well-suited to exploring complex, subjective experiences and understanding participants' perspectives in depth. It is especially effective in contexts where human interactions, emotions, and nuanced social dynamics are central</w:t>
      </w:r>
      <w:r w:rsidR="00F76706" w:rsidRPr="003524D8">
        <w:rPr>
          <w:rFonts w:eastAsia="Calibri" w:cs="Calibri"/>
        </w:rPr>
        <w:t xml:space="preserve"> </w:t>
      </w:r>
      <w:sdt>
        <w:sdtPr>
          <w:rPr>
            <w:rFonts w:eastAsia="Calibri" w:cs="Calibri"/>
          </w:rPr>
          <w:id w:val="444888232"/>
          <w:citation/>
        </w:sdtPr>
        <w:sdtContent>
          <w:r w:rsidR="00F76706" w:rsidRPr="003524D8">
            <w:rPr>
              <w:rFonts w:eastAsia="Calibri" w:cs="Calibri"/>
            </w:rPr>
            <w:fldChar w:fldCharType="begin"/>
          </w:r>
          <w:r w:rsidR="00F76706" w:rsidRPr="003524D8">
            <w:rPr>
              <w:rFonts w:eastAsia="Calibri" w:cs="Calibri"/>
            </w:rPr>
            <w:instrText xml:space="preserve"> CITATION Pat17 \l 2057 </w:instrText>
          </w:r>
          <w:r w:rsidR="00F76706" w:rsidRPr="003524D8">
            <w:rPr>
              <w:rFonts w:eastAsia="Calibri" w:cs="Calibri"/>
            </w:rPr>
            <w:fldChar w:fldCharType="separate"/>
          </w:r>
          <w:r w:rsidR="00F76706" w:rsidRPr="003524D8">
            <w:rPr>
              <w:rFonts w:eastAsia="Calibri" w:cs="Calibri"/>
              <w:noProof/>
            </w:rPr>
            <w:t>(Patton, et al., 2017)</w:t>
          </w:r>
          <w:r w:rsidR="00F76706" w:rsidRPr="003524D8">
            <w:rPr>
              <w:rFonts w:eastAsia="Calibri" w:cs="Calibri"/>
            </w:rPr>
            <w:fldChar w:fldCharType="end"/>
          </w:r>
        </w:sdtContent>
      </w:sdt>
      <w:r w:rsidRPr="003524D8">
        <w:rPr>
          <w:rFonts w:eastAsia="Calibri" w:cs="Calibri"/>
        </w:rPr>
        <w:t xml:space="preserve">. Unlike quantitative methods, which emphasise measurable variables and statistical generalisations, qualitative research captures the richness and diversity of individual experiences, attitudes, and meanings </w:t>
      </w:r>
      <w:sdt>
        <w:sdtPr>
          <w:rPr>
            <w:rFonts w:eastAsia="Calibri" w:cs="Calibri"/>
          </w:rPr>
          <w:id w:val="-1538571836"/>
          <w:citation/>
        </w:sdtPr>
        <w:sdtContent>
          <w:r w:rsidRPr="003524D8">
            <w:rPr>
              <w:rFonts w:eastAsia="Calibri" w:cs="Calibri"/>
            </w:rPr>
            <w:fldChar w:fldCharType="begin"/>
          </w:r>
          <w:r w:rsidRPr="003524D8">
            <w:rPr>
              <w:rFonts w:eastAsia="Calibri" w:cs="Calibri"/>
            </w:rPr>
            <w:instrText xml:space="preserve"> CITATION Bra22 \l 2057 </w:instrText>
          </w:r>
          <w:r w:rsidRPr="003524D8">
            <w:rPr>
              <w:rFonts w:eastAsia="Calibri" w:cs="Calibri"/>
            </w:rPr>
            <w:fldChar w:fldCharType="separate"/>
          </w:r>
          <w:r w:rsidRPr="003524D8">
            <w:rPr>
              <w:rFonts w:eastAsia="Calibri" w:cs="Calibri"/>
              <w:noProof/>
            </w:rPr>
            <w:t>(Braun &amp; Clarke, 2022)</w:t>
          </w:r>
          <w:r w:rsidRPr="003524D8">
            <w:rPr>
              <w:rFonts w:eastAsia="Calibri" w:cs="Calibri"/>
            </w:rPr>
            <w:fldChar w:fldCharType="end"/>
          </w:r>
        </w:sdtContent>
      </w:sdt>
      <w:r w:rsidRPr="003524D8">
        <w:rPr>
          <w:rFonts w:eastAsia="Calibri" w:cs="Calibri"/>
        </w:rPr>
        <w:t xml:space="preserve">. </w:t>
      </w:r>
      <w:r w:rsidRPr="003524D8">
        <w:rPr>
          <w:rFonts w:eastAsia="Calibri" w:cs="Calibri"/>
          <w:noProof/>
        </w:rPr>
        <w:t>Merriam &amp; Tisdell</w:t>
      </w:r>
      <w:r w:rsidRPr="003524D8">
        <w:rPr>
          <w:rFonts w:eastAsia="Calibri" w:cs="Calibri"/>
        </w:rPr>
        <w:t xml:space="preserve"> </w:t>
      </w:r>
      <w:sdt>
        <w:sdtPr>
          <w:rPr>
            <w:rFonts w:eastAsia="Calibri" w:cs="Calibri"/>
          </w:rPr>
          <w:id w:val="1778365844"/>
          <w:citation/>
        </w:sdtPr>
        <w:sdtContent>
          <w:r w:rsidRPr="003524D8">
            <w:rPr>
              <w:rFonts w:eastAsia="Calibri" w:cs="Calibri"/>
            </w:rPr>
            <w:fldChar w:fldCharType="begin"/>
          </w:r>
          <w:r w:rsidRPr="003524D8">
            <w:rPr>
              <w:rFonts w:eastAsia="Calibri" w:cs="Calibri"/>
            </w:rPr>
            <w:instrText xml:space="preserve">CITATION Mer16 \n  \l 2057 </w:instrText>
          </w:r>
          <w:r w:rsidRPr="003524D8">
            <w:rPr>
              <w:rFonts w:eastAsia="Calibri" w:cs="Calibri"/>
            </w:rPr>
            <w:fldChar w:fldCharType="separate"/>
          </w:r>
          <w:r w:rsidRPr="003524D8">
            <w:rPr>
              <w:rFonts w:eastAsia="Calibri" w:cs="Calibri"/>
              <w:noProof/>
            </w:rPr>
            <w:t>(2016)</w:t>
          </w:r>
          <w:r w:rsidRPr="003524D8">
            <w:rPr>
              <w:rFonts w:eastAsia="Calibri" w:cs="Calibri"/>
            </w:rPr>
            <w:fldChar w:fldCharType="end"/>
          </w:r>
        </w:sdtContent>
      </w:sdt>
      <w:r w:rsidRPr="003524D8">
        <w:rPr>
          <w:rFonts w:eastAsia="Calibri" w:cs="Calibri"/>
        </w:rPr>
        <w:t xml:space="preserve"> suggest </w:t>
      </w:r>
      <w:r w:rsidR="00096B40">
        <w:rPr>
          <w:rFonts w:eastAsia="Calibri" w:cs="Calibri"/>
        </w:rPr>
        <w:t xml:space="preserve">that </w:t>
      </w:r>
      <w:r w:rsidRPr="003524D8">
        <w:rPr>
          <w:rFonts w:eastAsia="Calibri" w:cs="Calibri"/>
        </w:rPr>
        <w:t>this approach is invaluable in an educational and professional setting such as this investigation, where teaching, learning, and collaboration are influenced by context-specific factors. Qualitative research also supports the development of practical and theoretical insights by illuminating the</w:t>
      </w:r>
      <w:r w:rsidR="00F76706" w:rsidRPr="003524D8">
        <w:rPr>
          <w:rFonts w:eastAsia="Calibri" w:cs="Calibri"/>
        </w:rPr>
        <w:t xml:space="preserve"> ‘</w:t>
      </w:r>
      <w:r w:rsidRPr="003524D8">
        <w:rPr>
          <w:rFonts w:eastAsia="Calibri" w:cs="Calibri"/>
        </w:rPr>
        <w:t>how</w:t>
      </w:r>
      <w:r w:rsidR="00F76706" w:rsidRPr="003524D8">
        <w:rPr>
          <w:rFonts w:eastAsia="Calibri" w:cs="Calibri"/>
        </w:rPr>
        <w:t>’</w:t>
      </w:r>
      <w:r w:rsidRPr="003524D8">
        <w:rPr>
          <w:rFonts w:eastAsia="Calibri" w:cs="Calibri"/>
        </w:rPr>
        <w:t xml:space="preserve"> and </w:t>
      </w:r>
      <w:r w:rsidR="00F76706" w:rsidRPr="003524D8">
        <w:rPr>
          <w:rFonts w:eastAsia="Calibri" w:cs="Calibri"/>
        </w:rPr>
        <w:t>‘</w:t>
      </w:r>
      <w:r w:rsidRPr="003524D8">
        <w:rPr>
          <w:rFonts w:eastAsia="Calibri" w:cs="Calibri"/>
        </w:rPr>
        <w:t>why</w:t>
      </w:r>
      <w:r w:rsidR="00F76706" w:rsidRPr="003524D8">
        <w:rPr>
          <w:rFonts w:eastAsia="Calibri" w:cs="Calibri"/>
        </w:rPr>
        <w:t>’</w:t>
      </w:r>
      <w:r w:rsidRPr="003524D8">
        <w:rPr>
          <w:rFonts w:eastAsia="Calibri" w:cs="Calibri"/>
        </w:rPr>
        <w:t xml:space="preserve"> behind behaviours and decisions (Denzin &amp; Lincoln, 2018). </w:t>
      </w:r>
      <w:r w:rsidR="007F321D" w:rsidRPr="003524D8">
        <w:rPr>
          <w:rFonts w:eastAsia="Calibri" w:cs="Calibri"/>
        </w:rPr>
        <w:t>Q</w:t>
      </w:r>
      <w:r w:rsidRPr="003524D8">
        <w:rPr>
          <w:rFonts w:eastAsia="Calibri" w:cs="Calibri"/>
        </w:rPr>
        <w:t xml:space="preserve">ualitative research emphasises reflexivity, encouraging researchers to consider their influence on the study and engage authentically with participants </w:t>
      </w:r>
      <w:sdt>
        <w:sdtPr>
          <w:rPr>
            <w:rFonts w:eastAsia="Calibri" w:cs="Calibri"/>
          </w:rPr>
          <w:id w:val="194133490"/>
          <w:citation/>
        </w:sdtPr>
        <w:sdtContent>
          <w:r w:rsidRPr="003524D8">
            <w:rPr>
              <w:rFonts w:eastAsia="Calibri" w:cs="Calibri"/>
            </w:rPr>
            <w:fldChar w:fldCharType="begin"/>
          </w:r>
          <w:r w:rsidRPr="003524D8">
            <w:rPr>
              <w:rFonts w:eastAsia="Calibri" w:cs="Calibri"/>
            </w:rPr>
            <w:instrText xml:space="preserve"> CITATION Fin17 \l 2057 </w:instrText>
          </w:r>
          <w:r w:rsidRPr="003524D8">
            <w:rPr>
              <w:rFonts w:eastAsia="Calibri" w:cs="Calibri"/>
            </w:rPr>
            <w:fldChar w:fldCharType="separate"/>
          </w:r>
          <w:r w:rsidRPr="003524D8">
            <w:rPr>
              <w:rFonts w:eastAsia="Calibri" w:cs="Calibri"/>
              <w:noProof/>
            </w:rPr>
            <w:t>(Finlay, 2017)</w:t>
          </w:r>
          <w:r w:rsidRPr="003524D8">
            <w:rPr>
              <w:rFonts w:eastAsia="Calibri" w:cs="Calibri"/>
            </w:rPr>
            <w:fldChar w:fldCharType="end"/>
          </w:r>
        </w:sdtContent>
      </w:sdt>
      <w:r w:rsidR="007F321D" w:rsidRPr="003524D8">
        <w:rPr>
          <w:rFonts w:eastAsia="Calibri" w:cs="Calibri"/>
        </w:rPr>
        <w:t xml:space="preserve">, while </w:t>
      </w:r>
      <w:r w:rsidRPr="003524D8">
        <w:rPr>
          <w:rFonts w:eastAsia="Calibri" w:cs="Calibri"/>
        </w:rPr>
        <w:t xml:space="preserve">Flick </w:t>
      </w:r>
      <w:sdt>
        <w:sdtPr>
          <w:rPr>
            <w:rFonts w:eastAsia="Calibri" w:cs="Calibri"/>
          </w:rPr>
          <w:id w:val="1093361117"/>
          <w:citation/>
        </w:sdtPr>
        <w:sdtContent>
          <w:r w:rsidRPr="003524D8">
            <w:rPr>
              <w:rFonts w:eastAsia="Calibri" w:cs="Calibri"/>
            </w:rPr>
            <w:fldChar w:fldCharType="begin"/>
          </w:r>
          <w:r w:rsidRPr="003524D8">
            <w:rPr>
              <w:rFonts w:eastAsia="Calibri" w:cs="Calibri"/>
            </w:rPr>
            <w:instrText xml:space="preserve">CITATION Fin24 \n  \l 2057 </w:instrText>
          </w:r>
          <w:r w:rsidRPr="003524D8">
            <w:rPr>
              <w:rFonts w:eastAsia="Calibri" w:cs="Calibri"/>
            </w:rPr>
            <w:fldChar w:fldCharType="separate"/>
          </w:r>
          <w:r w:rsidRPr="003524D8">
            <w:rPr>
              <w:rFonts w:eastAsia="Calibri" w:cs="Calibri"/>
              <w:noProof/>
            </w:rPr>
            <w:t>(2024)</w:t>
          </w:r>
          <w:r w:rsidRPr="003524D8">
            <w:rPr>
              <w:rFonts w:eastAsia="Calibri" w:cs="Calibri"/>
            </w:rPr>
            <w:fldChar w:fldCharType="end"/>
          </w:r>
        </w:sdtContent>
      </w:sdt>
      <w:r w:rsidRPr="003524D8">
        <w:rPr>
          <w:rFonts w:eastAsia="Calibri" w:cs="Calibri"/>
        </w:rPr>
        <w:t>, focus</w:t>
      </w:r>
      <w:r w:rsidR="007F321D" w:rsidRPr="003524D8">
        <w:rPr>
          <w:rFonts w:eastAsia="Calibri" w:cs="Calibri"/>
        </w:rPr>
        <w:t>sing</w:t>
      </w:r>
      <w:r w:rsidRPr="003524D8">
        <w:rPr>
          <w:rFonts w:eastAsia="Calibri" w:cs="Calibri"/>
        </w:rPr>
        <w:t xml:space="preserve"> on lived experiences</w:t>
      </w:r>
      <w:r w:rsidR="007F321D" w:rsidRPr="003524D8">
        <w:rPr>
          <w:rFonts w:eastAsia="Calibri" w:cs="Calibri"/>
        </w:rPr>
        <w:t>,</w:t>
      </w:r>
      <w:r w:rsidRPr="003524D8">
        <w:rPr>
          <w:rFonts w:eastAsia="Calibri" w:cs="Calibri"/>
        </w:rPr>
        <w:t xml:space="preserve"> </w:t>
      </w:r>
      <w:r w:rsidR="00096B40">
        <w:rPr>
          <w:rFonts w:eastAsia="Calibri" w:cs="Calibri"/>
        </w:rPr>
        <w:t>suggests that it is</w:t>
      </w:r>
      <w:r w:rsidRPr="003524D8">
        <w:rPr>
          <w:rFonts w:eastAsia="Calibri" w:cs="Calibri"/>
        </w:rPr>
        <w:t xml:space="preserve"> an indispensable approach for understanding and improving human-centred processes.</w:t>
      </w:r>
    </w:p>
    <w:p w14:paraId="06E5997B" w14:textId="626AF9C6" w:rsidR="000F4A24" w:rsidRPr="003524D8" w:rsidRDefault="007F321D" w:rsidP="007F321D">
      <w:pPr>
        <w:spacing w:before="240" w:after="240"/>
        <w:rPr>
          <w:rFonts w:eastAsia="Calibri" w:cs="Calibri"/>
        </w:rPr>
      </w:pPr>
      <w:r w:rsidRPr="003524D8">
        <w:rPr>
          <w:rStyle w:val="Strong"/>
          <w:rFonts w:eastAsiaTheme="majorEastAsia" w:cs="Calibri"/>
          <w:b w:val="0"/>
          <w:bCs w:val="0"/>
        </w:rPr>
        <w:t>A</w:t>
      </w:r>
      <w:r w:rsidR="00F76706" w:rsidRPr="003524D8">
        <w:rPr>
          <w:rStyle w:val="Strong"/>
          <w:rFonts w:eastAsiaTheme="majorEastAsia" w:cs="Calibri"/>
          <w:b w:val="0"/>
          <w:bCs w:val="0"/>
        </w:rPr>
        <w:t xml:space="preserve">n interpretivist paradigm will be employed using </w:t>
      </w:r>
      <w:r w:rsidR="00F76706" w:rsidRPr="003524D8">
        <w:rPr>
          <w:rFonts w:eastAsiaTheme="majorEastAsia" w:cs="Calibri"/>
        </w:rPr>
        <w:t xml:space="preserve">interviews to explore participants' perspectives </w:t>
      </w:r>
      <w:r w:rsidR="004D1442" w:rsidRPr="003524D8">
        <w:rPr>
          <w:rFonts w:eastAsia="Calibri" w:cs="Calibri"/>
        </w:rPr>
        <w:t xml:space="preserve">through dialogue and interaction between researcher and participant </w:t>
      </w:r>
      <w:sdt>
        <w:sdtPr>
          <w:rPr>
            <w:rFonts w:eastAsia="Calibri" w:cs="Calibri"/>
          </w:rPr>
          <w:id w:val="-886409524"/>
          <w:citation/>
        </w:sdtPr>
        <w:sdtContent>
          <w:r w:rsidR="004D1442" w:rsidRPr="003524D8">
            <w:rPr>
              <w:rFonts w:eastAsia="Calibri" w:cs="Calibri"/>
            </w:rPr>
            <w:fldChar w:fldCharType="begin"/>
          </w:r>
          <w:r w:rsidR="004D1442" w:rsidRPr="003524D8">
            <w:rPr>
              <w:rFonts w:eastAsia="Calibri" w:cs="Calibri"/>
            </w:rPr>
            <w:instrText xml:space="preserve"> CITATION Cre16 \l 2057 </w:instrText>
          </w:r>
          <w:r w:rsidR="004D1442" w:rsidRPr="003524D8">
            <w:rPr>
              <w:rFonts w:eastAsia="Calibri" w:cs="Calibri"/>
            </w:rPr>
            <w:fldChar w:fldCharType="separate"/>
          </w:r>
          <w:r w:rsidR="004D1442" w:rsidRPr="003524D8">
            <w:rPr>
              <w:rFonts w:eastAsia="Calibri" w:cs="Calibri"/>
              <w:noProof/>
            </w:rPr>
            <w:t>(Creswell &amp; Poth, 2016)</w:t>
          </w:r>
          <w:r w:rsidR="004D1442" w:rsidRPr="003524D8">
            <w:rPr>
              <w:rFonts w:eastAsia="Calibri" w:cs="Calibri"/>
            </w:rPr>
            <w:fldChar w:fldCharType="end"/>
          </w:r>
        </w:sdtContent>
      </w:sdt>
      <w:r w:rsidR="004D1442" w:rsidRPr="003524D8">
        <w:rPr>
          <w:rFonts w:eastAsia="Calibri" w:cs="Calibri"/>
        </w:rPr>
        <w:t xml:space="preserve">. This paradigm acknowledges the subjective nature of human experience, making it well-suited to exploring complex, context-dependent phenomena </w:t>
      </w:r>
      <w:sdt>
        <w:sdtPr>
          <w:rPr>
            <w:rFonts w:eastAsia="Calibri" w:cs="Calibri"/>
          </w:rPr>
          <w:id w:val="1188644054"/>
          <w:citation/>
        </w:sdtPr>
        <w:sdtContent>
          <w:r w:rsidR="004D1442" w:rsidRPr="003524D8">
            <w:rPr>
              <w:rFonts w:eastAsia="Calibri" w:cs="Calibri"/>
            </w:rPr>
            <w:fldChar w:fldCharType="begin"/>
          </w:r>
          <w:r w:rsidR="004D1442" w:rsidRPr="003524D8">
            <w:rPr>
              <w:rFonts w:eastAsia="Calibri" w:cs="Calibri"/>
            </w:rPr>
            <w:instrText xml:space="preserve"> CITATION Den17 \l 2057 </w:instrText>
          </w:r>
          <w:r w:rsidR="004D1442" w:rsidRPr="003524D8">
            <w:rPr>
              <w:rFonts w:eastAsia="Calibri" w:cs="Calibri"/>
            </w:rPr>
            <w:fldChar w:fldCharType="separate"/>
          </w:r>
          <w:r w:rsidR="004D1442" w:rsidRPr="003524D8">
            <w:rPr>
              <w:rFonts w:eastAsia="Calibri" w:cs="Calibri"/>
              <w:noProof/>
            </w:rPr>
            <w:t>(Denzin &amp; Lincoln, 2017)</w:t>
          </w:r>
          <w:r w:rsidR="004D1442" w:rsidRPr="003524D8">
            <w:rPr>
              <w:rFonts w:eastAsia="Calibri" w:cs="Calibri"/>
            </w:rPr>
            <w:fldChar w:fldCharType="end"/>
          </w:r>
        </w:sdtContent>
      </w:sdt>
      <w:r w:rsidR="004D1442" w:rsidRPr="003524D8">
        <w:rPr>
          <w:rFonts w:eastAsia="Calibri" w:cs="Calibri"/>
        </w:rPr>
        <w:t>. Simultaneously, it aligns with relativist ontologies, which accept that multiple, socially constructed realities exist</w:t>
      </w:r>
      <w:r w:rsidR="00096B40">
        <w:rPr>
          <w:rFonts w:eastAsia="Calibri" w:cs="Calibri"/>
        </w:rPr>
        <w:t>,</w:t>
      </w:r>
      <w:r w:rsidR="004D1442" w:rsidRPr="003524D8">
        <w:rPr>
          <w:rFonts w:eastAsia="Calibri" w:cs="Calibri"/>
        </w:rPr>
        <w:t xml:space="preserve"> and that understanding these perspectives requires immersion in participants’ lived experiences </w:t>
      </w:r>
      <w:sdt>
        <w:sdtPr>
          <w:rPr>
            <w:rFonts w:eastAsia="Calibri" w:cs="Calibri"/>
          </w:rPr>
          <w:id w:val="432712528"/>
          <w:citation/>
        </w:sdtPr>
        <w:sdtContent>
          <w:r w:rsidR="004D1442" w:rsidRPr="003524D8">
            <w:rPr>
              <w:rFonts w:eastAsia="Calibri" w:cs="Calibri"/>
            </w:rPr>
            <w:fldChar w:fldCharType="begin"/>
          </w:r>
          <w:r w:rsidR="004D1442" w:rsidRPr="003524D8">
            <w:rPr>
              <w:rFonts w:eastAsia="Calibri" w:cs="Calibri"/>
            </w:rPr>
            <w:instrText xml:space="preserve"> CITATION Fin24 \l 2057 </w:instrText>
          </w:r>
          <w:r w:rsidR="004D1442" w:rsidRPr="003524D8">
            <w:rPr>
              <w:rFonts w:eastAsia="Calibri" w:cs="Calibri"/>
            </w:rPr>
            <w:fldChar w:fldCharType="separate"/>
          </w:r>
          <w:r w:rsidR="004D1442" w:rsidRPr="003524D8">
            <w:rPr>
              <w:rFonts w:eastAsia="Calibri" w:cs="Calibri"/>
              <w:noProof/>
            </w:rPr>
            <w:t>(Fink, 2024)</w:t>
          </w:r>
          <w:r w:rsidR="004D1442" w:rsidRPr="003524D8">
            <w:rPr>
              <w:rFonts w:eastAsia="Calibri" w:cs="Calibri"/>
            </w:rPr>
            <w:fldChar w:fldCharType="end"/>
          </w:r>
        </w:sdtContent>
      </w:sdt>
      <w:r w:rsidR="004D1442" w:rsidRPr="003524D8">
        <w:rPr>
          <w:rFonts w:eastAsia="Calibri" w:cs="Calibri"/>
        </w:rPr>
        <w:t xml:space="preserve">. </w:t>
      </w:r>
      <w:r w:rsidR="00446C7C" w:rsidRPr="003524D8">
        <w:rPr>
          <w:rFonts w:eastAsiaTheme="majorEastAsia" w:cs="Calibri"/>
        </w:rPr>
        <w:t>Th</w:t>
      </w:r>
      <w:r w:rsidR="00096B40">
        <w:rPr>
          <w:rFonts w:eastAsiaTheme="majorEastAsia" w:cs="Calibri"/>
        </w:rPr>
        <w:t>is</w:t>
      </w:r>
      <w:r w:rsidR="00446C7C" w:rsidRPr="003524D8">
        <w:rPr>
          <w:rFonts w:eastAsiaTheme="majorEastAsia" w:cs="Calibri"/>
        </w:rPr>
        <w:t xml:space="preserve"> study will </w:t>
      </w:r>
      <w:r w:rsidR="007327E4">
        <w:rPr>
          <w:rFonts w:eastAsiaTheme="majorEastAsia" w:cs="Calibri"/>
        </w:rPr>
        <w:t xml:space="preserve">comprise </w:t>
      </w:r>
      <w:r w:rsidRPr="003524D8">
        <w:rPr>
          <w:rFonts w:eastAsiaTheme="majorEastAsia" w:cs="Calibri"/>
        </w:rPr>
        <w:t xml:space="preserve">three </w:t>
      </w:r>
      <w:r w:rsidR="00446C7C" w:rsidRPr="003524D8">
        <w:rPr>
          <w:rFonts w:eastAsiaTheme="majorEastAsia" w:cs="Calibri"/>
        </w:rPr>
        <w:t xml:space="preserve">semi-structured interviews to </w:t>
      </w:r>
      <w:r w:rsidR="000F4A24" w:rsidRPr="003524D8">
        <w:rPr>
          <w:rFonts w:eastAsiaTheme="majorEastAsia" w:cs="Calibri"/>
        </w:rPr>
        <w:t>capture the nuanced student perspective and of FE educators, to reflect and produce recommendations</w:t>
      </w:r>
      <w:r w:rsidRPr="003524D8">
        <w:rPr>
          <w:rFonts w:eastAsiaTheme="majorEastAsia" w:cs="Calibri"/>
        </w:rPr>
        <w:t xml:space="preserve"> </w:t>
      </w:r>
      <w:r w:rsidR="000F4A24" w:rsidRPr="003524D8">
        <w:rPr>
          <w:rFonts w:eastAsiaTheme="majorEastAsia" w:cs="Calibri"/>
        </w:rPr>
        <w:t>specific</w:t>
      </w:r>
      <w:r w:rsidRPr="003524D8">
        <w:rPr>
          <w:rFonts w:eastAsiaTheme="majorEastAsia" w:cs="Calibri"/>
        </w:rPr>
        <w:t xml:space="preserve"> to creating a student-centred learning environment</w:t>
      </w:r>
      <w:r w:rsidR="000F4A24" w:rsidRPr="003524D8">
        <w:rPr>
          <w:rFonts w:eastAsiaTheme="majorEastAsia" w:cs="Calibri"/>
        </w:rPr>
        <w:t xml:space="preserve"> </w:t>
      </w:r>
      <w:sdt>
        <w:sdtPr>
          <w:rPr>
            <w:rFonts w:eastAsiaTheme="majorEastAsia" w:cs="Calibri"/>
          </w:rPr>
          <w:id w:val="-1427030763"/>
          <w:citation/>
        </w:sdtPr>
        <w:sdtContent>
          <w:r w:rsidR="000F4A24" w:rsidRPr="003524D8">
            <w:rPr>
              <w:rFonts w:eastAsiaTheme="majorEastAsia" w:cs="Calibri"/>
            </w:rPr>
            <w:fldChar w:fldCharType="begin"/>
          </w:r>
          <w:r w:rsidR="000F4A24" w:rsidRPr="003524D8">
            <w:rPr>
              <w:rFonts w:eastAsiaTheme="majorEastAsia" w:cs="Calibri"/>
            </w:rPr>
            <w:instrText xml:space="preserve"> CITATION Mer21 \l 2057 </w:instrText>
          </w:r>
          <w:r w:rsidR="000F4A24" w:rsidRPr="003524D8">
            <w:rPr>
              <w:rFonts w:eastAsiaTheme="majorEastAsia" w:cs="Calibri"/>
            </w:rPr>
            <w:fldChar w:fldCharType="separate"/>
          </w:r>
          <w:r w:rsidR="000F4A24" w:rsidRPr="003524D8">
            <w:rPr>
              <w:rFonts w:eastAsiaTheme="majorEastAsia" w:cs="Calibri"/>
            </w:rPr>
            <w:t>(Mertler, 2021)</w:t>
          </w:r>
          <w:r w:rsidR="000F4A24" w:rsidRPr="003524D8">
            <w:rPr>
              <w:rFonts w:eastAsiaTheme="majorEastAsia" w:cs="Calibri"/>
            </w:rPr>
            <w:fldChar w:fldCharType="end"/>
          </w:r>
        </w:sdtContent>
      </w:sdt>
      <w:r w:rsidRPr="003524D8">
        <w:rPr>
          <w:rFonts w:eastAsiaTheme="majorEastAsia" w:cs="Calibri"/>
        </w:rPr>
        <w:t xml:space="preserve">, and </w:t>
      </w:r>
      <w:r w:rsidR="000F4A24" w:rsidRPr="003524D8">
        <w:rPr>
          <w:rFonts w:eastAsiaTheme="majorEastAsia" w:cs="Calibri"/>
        </w:rPr>
        <w:t>dealing with complex educational settings where differ</w:t>
      </w:r>
      <w:r w:rsidRPr="003524D8">
        <w:rPr>
          <w:rFonts w:eastAsiaTheme="majorEastAsia" w:cs="Calibri"/>
        </w:rPr>
        <w:t>ing</w:t>
      </w:r>
      <w:r w:rsidR="000F4A24" w:rsidRPr="003524D8">
        <w:rPr>
          <w:rFonts w:eastAsiaTheme="majorEastAsia" w:cs="Calibri"/>
        </w:rPr>
        <w:t xml:space="preserve"> </w:t>
      </w:r>
      <w:r w:rsidR="00446C7C" w:rsidRPr="003524D8">
        <w:rPr>
          <w:rFonts w:eastAsiaTheme="majorEastAsia" w:cs="Calibri"/>
        </w:rPr>
        <w:t xml:space="preserve">teaching and </w:t>
      </w:r>
      <w:r w:rsidR="000F4A24" w:rsidRPr="003524D8">
        <w:rPr>
          <w:rFonts w:eastAsiaTheme="majorEastAsia" w:cs="Calibri"/>
        </w:rPr>
        <w:t xml:space="preserve">learning preferences and motivations exist </w:t>
      </w:r>
      <w:sdt>
        <w:sdtPr>
          <w:rPr>
            <w:rFonts w:eastAsiaTheme="majorEastAsia" w:cs="Calibri"/>
          </w:rPr>
          <w:id w:val="-543910658"/>
          <w:citation/>
        </w:sdtPr>
        <w:sdtContent>
          <w:r w:rsidR="000F4A24" w:rsidRPr="003524D8">
            <w:rPr>
              <w:rFonts w:eastAsiaTheme="majorEastAsia" w:cs="Calibri"/>
            </w:rPr>
            <w:fldChar w:fldCharType="begin"/>
          </w:r>
          <w:r w:rsidR="000F4A24" w:rsidRPr="003524D8">
            <w:rPr>
              <w:rFonts w:eastAsiaTheme="majorEastAsia" w:cs="Calibri"/>
            </w:rPr>
            <w:instrText xml:space="preserve"> CITATION War20 \l 2057 </w:instrText>
          </w:r>
          <w:r w:rsidR="000F4A24" w:rsidRPr="003524D8">
            <w:rPr>
              <w:rFonts w:eastAsiaTheme="majorEastAsia" w:cs="Calibri"/>
            </w:rPr>
            <w:fldChar w:fldCharType="separate"/>
          </w:r>
          <w:r w:rsidR="000F4A24" w:rsidRPr="003524D8">
            <w:rPr>
              <w:rFonts w:eastAsiaTheme="majorEastAsia" w:cs="Calibri"/>
              <w:noProof/>
            </w:rPr>
            <w:t>(Ward &amp; Delamont, 2020)</w:t>
          </w:r>
          <w:r w:rsidR="000F4A24" w:rsidRPr="003524D8">
            <w:rPr>
              <w:rFonts w:eastAsiaTheme="majorEastAsia" w:cs="Calibri"/>
            </w:rPr>
            <w:fldChar w:fldCharType="end"/>
          </w:r>
        </w:sdtContent>
      </w:sdt>
      <w:r w:rsidR="000F4A24" w:rsidRPr="003524D8">
        <w:rPr>
          <w:rFonts w:eastAsiaTheme="majorEastAsia" w:cs="Calibri"/>
        </w:rPr>
        <w:t xml:space="preserve">. </w:t>
      </w:r>
    </w:p>
    <w:p w14:paraId="5F6DE687" w14:textId="77777777" w:rsidR="00446C7C" w:rsidRPr="003524D8" w:rsidRDefault="00446C7C" w:rsidP="00D835E5">
      <w:pPr>
        <w:rPr>
          <w:rFonts w:eastAsiaTheme="majorEastAsia" w:cs="Calibri"/>
        </w:rPr>
      </w:pPr>
    </w:p>
    <w:p w14:paraId="0C7E6488" w14:textId="34ABF87D" w:rsidR="00446C7C" w:rsidRPr="003524D8" w:rsidRDefault="001658B3" w:rsidP="00D835E5">
      <w:pPr>
        <w:rPr>
          <w:rFonts w:cs="Calibri"/>
        </w:rPr>
      </w:pPr>
      <w:r w:rsidRPr="003524D8">
        <w:rPr>
          <w:rFonts w:cs="Calibri"/>
          <w:noProof/>
        </w:rPr>
        <w:lastRenderedPageBreak/>
        <w:t>Cohen et al.</w:t>
      </w:r>
      <w:r w:rsidR="00446C7C" w:rsidRPr="003524D8">
        <w:rPr>
          <w:rFonts w:cs="Calibri"/>
        </w:rPr>
        <w:t xml:space="preserve"> </w:t>
      </w:r>
      <w:sdt>
        <w:sdtPr>
          <w:rPr>
            <w:rFonts w:cs="Calibri"/>
          </w:rPr>
          <w:id w:val="373199140"/>
          <w:citation/>
        </w:sdtPr>
        <w:sdtContent>
          <w:r w:rsidR="00446C7C" w:rsidRPr="003524D8">
            <w:rPr>
              <w:rFonts w:cs="Calibri"/>
            </w:rPr>
            <w:fldChar w:fldCharType="begin"/>
          </w:r>
          <w:r w:rsidRPr="003524D8">
            <w:rPr>
              <w:rFonts w:cs="Calibri"/>
            </w:rPr>
            <w:instrText xml:space="preserve">CITATION Coh17 \n  \l 2057 </w:instrText>
          </w:r>
          <w:r w:rsidR="00446C7C" w:rsidRPr="003524D8">
            <w:rPr>
              <w:rFonts w:cs="Calibri"/>
            </w:rPr>
            <w:fldChar w:fldCharType="separate"/>
          </w:r>
          <w:r w:rsidRPr="003524D8">
            <w:rPr>
              <w:rFonts w:cs="Calibri"/>
              <w:noProof/>
            </w:rPr>
            <w:t>(2017)</w:t>
          </w:r>
          <w:r w:rsidR="00446C7C" w:rsidRPr="003524D8">
            <w:rPr>
              <w:rFonts w:cs="Calibri"/>
            </w:rPr>
            <w:fldChar w:fldCharType="end"/>
          </w:r>
        </w:sdtContent>
      </w:sdt>
      <w:r w:rsidR="00446C7C" w:rsidRPr="003524D8">
        <w:rPr>
          <w:rFonts w:cs="Calibri"/>
        </w:rPr>
        <w:t xml:space="preserve"> </w:t>
      </w:r>
      <w:r w:rsidR="007F321D" w:rsidRPr="003524D8">
        <w:rPr>
          <w:rFonts w:cs="Calibri"/>
        </w:rPr>
        <w:t xml:space="preserve">establish </w:t>
      </w:r>
      <w:r w:rsidR="00096B40">
        <w:rPr>
          <w:rFonts w:cs="Calibri"/>
        </w:rPr>
        <w:t xml:space="preserve">that undertaking </w:t>
      </w:r>
      <w:r w:rsidR="00446C7C" w:rsidRPr="003524D8">
        <w:rPr>
          <w:rStyle w:val="Strong"/>
          <w:rFonts w:eastAsiaTheme="majorEastAsia" w:cs="Calibri"/>
          <w:b w:val="0"/>
          <w:bCs w:val="0"/>
        </w:rPr>
        <w:t>semi-structured interviews</w:t>
      </w:r>
      <w:r w:rsidR="00446C7C" w:rsidRPr="003524D8">
        <w:rPr>
          <w:rFonts w:cs="Calibri"/>
        </w:rPr>
        <w:t xml:space="preserve"> with colleagues allows for a balance between consistency and flexibility, enabling rich, in-depth responses while </w:t>
      </w:r>
      <w:r w:rsidR="006F7C42" w:rsidRPr="003524D8">
        <w:rPr>
          <w:rFonts w:cs="Calibri"/>
        </w:rPr>
        <w:t xml:space="preserve">fostering candid reflections through established trust and rapport </w:t>
      </w:r>
      <w:sdt>
        <w:sdtPr>
          <w:rPr>
            <w:rFonts w:cs="Calibri"/>
          </w:rPr>
          <w:id w:val="1953830432"/>
          <w:citation/>
        </w:sdtPr>
        <w:sdtContent>
          <w:r w:rsidR="006F7C42" w:rsidRPr="003524D8">
            <w:rPr>
              <w:rFonts w:cs="Calibri"/>
            </w:rPr>
            <w:fldChar w:fldCharType="begin"/>
          </w:r>
          <w:r w:rsidR="006F7C42" w:rsidRPr="003524D8">
            <w:rPr>
              <w:rFonts w:cs="Calibri"/>
            </w:rPr>
            <w:instrText xml:space="preserve"> CITATION Bel18 \l 2057 </w:instrText>
          </w:r>
          <w:r w:rsidR="006F7C42" w:rsidRPr="003524D8">
            <w:rPr>
              <w:rFonts w:cs="Calibri"/>
            </w:rPr>
            <w:fldChar w:fldCharType="separate"/>
          </w:r>
          <w:r w:rsidR="006F7C42" w:rsidRPr="003524D8">
            <w:rPr>
              <w:rFonts w:cs="Calibri"/>
              <w:noProof/>
            </w:rPr>
            <w:t>(Bell, et al., 2024)</w:t>
          </w:r>
          <w:r w:rsidR="006F7C42" w:rsidRPr="003524D8">
            <w:rPr>
              <w:rFonts w:cs="Calibri"/>
            </w:rPr>
            <w:fldChar w:fldCharType="end"/>
          </w:r>
        </w:sdtContent>
      </w:sdt>
      <w:r w:rsidR="00446C7C" w:rsidRPr="003524D8">
        <w:rPr>
          <w:rFonts w:cs="Calibri"/>
        </w:rPr>
        <w:t xml:space="preserve">. This method is particularly valuable for exploring shared professional experiences and uncovering nuanced insights that may not emerge through rigid questions </w:t>
      </w:r>
      <w:sdt>
        <w:sdtPr>
          <w:rPr>
            <w:rFonts w:cs="Calibri"/>
          </w:rPr>
          <w:id w:val="1936937080"/>
          <w:citation/>
        </w:sdtPr>
        <w:sdtContent>
          <w:r w:rsidR="00446C7C" w:rsidRPr="003524D8">
            <w:rPr>
              <w:rFonts w:cs="Calibri"/>
            </w:rPr>
            <w:fldChar w:fldCharType="begin"/>
          </w:r>
          <w:r w:rsidR="00446C7C" w:rsidRPr="003524D8">
            <w:rPr>
              <w:rFonts w:cs="Calibri"/>
            </w:rPr>
            <w:instrText xml:space="preserve"> CITATION Kva07 \l 2057 </w:instrText>
          </w:r>
          <w:r w:rsidR="00446C7C" w:rsidRPr="003524D8">
            <w:rPr>
              <w:rFonts w:cs="Calibri"/>
            </w:rPr>
            <w:fldChar w:fldCharType="separate"/>
          </w:r>
          <w:r w:rsidR="00446C7C" w:rsidRPr="003524D8">
            <w:rPr>
              <w:rFonts w:cs="Calibri"/>
              <w:noProof/>
            </w:rPr>
            <w:t>(Kvale, 2007)</w:t>
          </w:r>
          <w:r w:rsidR="00446C7C" w:rsidRPr="003524D8">
            <w:rPr>
              <w:rFonts w:cs="Calibri"/>
            </w:rPr>
            <w:fldChar w:fldCharType="end"/>
          </w:r>
        </w:sdtContent>
      </w:sdt>
      <w:r w:rsidR="00446C7C" w:rsidRPr="003524D8">
        <w:rPr>
          <w:rFonts w:cs="Calibri"/>
        </w:rPr>
        <w:t>.</w:t>
      </w:r>
      <w:r w:rsidR="006553C6" w:rsidRPr="003524D8">
        <w:rPr>
          <w:rFonts w:cs="Calibri"/>
        </w:rPr>
        <w:t xml:space="preserve"> </w:t>
      </w:r>
      <w:r w:rsidR="00DD39CE" w:rsidRPr="003524D8">
        <w:rPr>
          <w:rFonts w:cs="Calibri"/>
        </w:rPr>
        <w:t xml:space="preserve">Additionally, </w:t>
      </w:r>
      <w:r w:rsidR="00096B40">
        <w:rPr>
          <w:rFonts w:cs="Calibri"/>
        </w:rPr>
        <w:t xml:space="preserve">the work of </w:t>
      </w:r>
      <w:proofErr w:type="spellStart"/>
      <w:r w:rsidR="006553C6" w:rsidRPr="003524D8">
        <w:rPr>
          <w:rFonts w:cs="Calibri"/>
        </w:rPr>
        <w:t>Tummons</w:t>
      </w:r>
      <w:proofErr w:type="spellEnd"/>
      <w:r w:rsidR="006553C6" w:rsidRPr="003524D8">
        <w:rPr>
          <w:rFonts w:cs="Calibri"/>
        </w:rPr>
        <w:t xml:space="preserve"> </w:t>
      </w:r>
      <w:sdt>
        <w:sdtPr>
          <w:rPr>
            <w:rFonts w:cs="Calibri"/>
          </w:rPr>
          <w:id w:val="65921368"/>
          <w:citation/>
        </w:sdtPr>
        <w:sdtContent>
          <w:r w:rsidR="006553C6" w:rsidRPr="003524D8">
            <w:rPr>
              <w:rFonts w:cs="Calibri"/>
            </w:rPr>
            <w:fldChar w:fldCharType="begin"/>
          </w:r>
          <w:r w:rsidR="006553C6" w:rsidRPr="003524D8">
            <w:rPr>
              <w:rFonts w:cs="Calibri"/>
            </w:rPr>
            <w:instrText xml:space="preserve">CITATION Tum14 \n  \l 2057 </w:instrText>
          </w:r>
          <w:r w:rsidR="006553C6" w:rsidRPr="003524D8">
            <w:rPr>
              <w:rFonts w:cs="Calibri"/>
            </w:rPr>
            <w:fldChar w:fldCharType="separate"/>
          </w:r>
          <w:r w:rsidR="006553C6" w:rsidRPr="003524D8">
            <w:rPr>
              <w:rFonts w:cs="Calibri"/>
              <w:noProof/>
            </w:rPr>
            <w:t>(2014)</w:t>
          </w:r>
          <w:r w:rsidR="006553C6" w:rsidRPr="003524D8">
            <w:rPr>
              <w:rFonts w:cs="Calibri"/>
            </w:rPr>
            <w:fldChar w:fldCharType="end"/>
          </w:r>
        </w:sdtContent>
      </w:sdt>
      <w:r w:rsidR="00096B40">
        <w:rPr>
          <w:rFonts w:cs="Calibri"/>
        </w:rPr>
        <w:t>, located in an FE setting,</w:t>
      </w:r>
      <w:r w:rsidR="00446C7C" w:rsidRPr="003524D8">
        <w:rPr>
          <w:rFonts w:cs="Calibri"/>
        </w:rPr>
        <w:t xml:space="preserve"> </w:t>
      </w:r>
      <w:r w:rsidR="006553C6" w:rsidRPr="003524D8">
        <w:rPr>
          <w:rFonts w:cs="Calibri"/>
        </w:rPr>
        <w:t xml:space="preserve">reflects that interviewing </w:t>
      </w:r>
      <w:r w:rsidR="00096B40">
        <w:rPr>
          <w:rFonts w:cs="Calibri"/>
        </w:rPr>
        <w:t>one’s</w:t>
      </w:r>
      <w:r w:rsidR="006553C6" w:rsidRPr="003524D8">
        <w:rPr>
          <w:rFonts w:cs="Calibri"/>
        </w:rPr>
        <w:t xml:space="preserve"> own students provides context-specific insights into their learning experiences, motivations, and challenges. </w:t>
      </w:r>
      <w:r w:rsidR="00DD39CE" w:rsidRPr="003524D8">
        <w:rPr>
          <w:rFonts w:cs="Calibri"/>
        </w:rPr>
        <w:t>However,</w:t>
      </w:r>
      <w:r w:rsidR="00762CA4" w:rsidRPr="003524D8">
        <w:rPr>
          <w:rFonts w:cs="Calibri"/>
        </w:rPr>
        <w:t xml:space="preserve"> Galloway </w:t>
      </w:r>
      <w:sdt>
        <w:sdtPr>
          <w:rPr>
            <w:rFonts w:cs="Calibri"/>
          </w:rPr>
          <w:id w:val="-778184955"/>
          <w:citation/>
        </w:sdtPr>
        <w:sdtContent>
          <w:r w:rsidR="00762CA4" w:rsidRPr="003524D8">
            <w:rPr>
              <w:rFonts w:cs="Calibri"/>
            </w:rPr>
            <w:fldChar w:fldCharType="begin"/>
          </w:r>
          <w:r w:rsidR="00762CA4" w:rsidRPr="003524D8">
            <w:rPr>
              <w:rFonts w:cs="Calibri"/>
            </w:rPr>
            <w:instrText xml:space="preserve">CITATION Gal16 \n  \l 2057 </w:instrText>
          </w:r>
          <w:r w:rsidR="00762CA4" w:rsidRPr="003524D8">
            <w:rPr>
              <w:rFonts w:cs="Calibri"/>
            </w:rPr>
            <w:fldChar w:fldCharType="separate"/>
          </w:r>
          <w:r w:rsidR="00762CA4" w:rsidRPr="003524D8">
            <w:rPr>
              <w:rFonts w:cs="Calibri"/>
              <w:noProof/>
            </w:rPr>
            <w:t>(2016)</w:t>
          </w:r>
          <w:r w:rsidR="00762CA4" w:rsidRPr="003524D8">
            <w:rPr>
              <w:rFonts w:cs="Calibri"/>
            </w:rPr>
            <w:fldChar w:fldCharType="end"/>
          </w:r>
        </w:sdtContent>
      </w:sdt>
      <w:r w:rsidR="00762CA4" w:rsidRPr="003524D8">
        <w:rPr>
          <w:rFonts w:cs="Calibri"/>
        </w:rPr>
        <w:t xml:space="preserve"> recognises the challenges she face</w:t>
      </w:r>
      <w:r w:rsidR="00096B40">
        <w:rPr>
          <w:rFonts w:cs="Calibri"/>
        </w:rPr>
        <w:t>d</w:t>
      </w:r>
      <w:r w:rsidR="00762CA4" w:rsidRPr="003524D8">
        <w:rPr>
          <w:rFonts w:cs="Calibri"/>
        </w:rPr>
        <w:t xml:space="preserve"> in her doctoral research when researching </w:t>
      </w:r>
      <w:r w:rsidR="00096B40">
        <w:rPr>
          <w:rFonts w:cs="Calibri"/>
        </w:rPr>
        <w:t xml:space="preserve">with </w:t>
      </w:r>
      <w:r w:rsidR="00762CA4" w:rsidRPr="003524D8">
        <w:rPr>
          <w:rFonts w:cs="Calibri"/>
        </w:rPr>
        <w:t>her own students</w:t>
      </w:r>
      <w:r w:rsidRPr="003524D8">
        <w:rPr>
          <w:rFonts w:cs="Calibri"/>
        </w:rPr>
        <w:t xml:space="preserve"> as they </w:t>
      </w:r>
      <w:r w:rsidR="00096B40">
        <w:rPr>
          <w:rFonts w:cs="Calibri"/>
        </w:rPr>
        <w:t xml:space="preserve">may have had </w:t>
      </w:r>
      <w:r w:rsidRPr="003524D8">
        <w:rPr>
          <w:rFonts w:cs="Calibri"/>
        </w:rPr>
        <w:t>a vested interest in a positive outcome</w:t>
      </w:r>
      <w:r w:rsidR="00762CA4" w:rsidRPr="003524D8">
        <w:rPr>
          <w:rFonts w:cs="Calibri"/>
        </w:rPr>
        <w:t>.</w:t>
      </w:r>
      <w:r w:rsidRPr="003524D8">
        <w:rPr>
          <w:rFonts w:cs="Calibri"/>
        </w:rPr>
        <w:t xml:space="preserve"> This researcher will have to be mindful of similar issues </w:t>
      </w:r>
      <w:proofErr w:type="gramStart"/>
      <w:r w:rsidRPr="003524D8">
        <w:rPr>
          <w:rFonts w:cs="Calibri"/>
        </w:rPr>
        <w:t>in order to</w:t>
      </w:r>
      <w:proofErr w:type="gramEnd"/>
      <w:r w:rsidRPr="003524D8">
        <w:rPr>
          <w:rFonts w:cs="Calibri"/>
        </w:rPr>
        <w:t xml:space="preserve"> avoid bias and will prepare </w:t>
      </w:r>
      <w:r w:rsidR="007F321D" w:rsidRPr="003524D8">
        <w:rPr>
          <w:rFonts w:eastAsiaTheme="majorEastAsia" w:cs="Calibri"/>
        </w:rPr>
        <w:t xml:space="preserve">semi-structured </w:t>
      </w:r>
      <w:r w:rsidRPr="003524D8">
        <w:rPr>
          <w:rFonts w:eastAsiaTheme="majorEastAsia" w:cs="Calibri"/>
        </w:rPr>
        <w:t>questions</w:t>
      </w:r>
      <w:r w:rsidR="007F321D" w:rsidRPr="003524D8">
        <w:rPr>
          <w:rFonts w:eastAsiaTheme="majorEastAsia" w:cs="Calibri"/>
        </w:rPr>
        <w:t xml:space="preserve"> before</w:t>
      </w:r>
      <w:r w:rsidR="00096B40">
        <w:rPr>
          <w:rFonts w:eastAsiaTheme="majorEastAsia" w:cs="Calibri"/>
        </w:rPr>
        <w:t>,</w:t>
      </w:r>
      <w:r w:rsidR="007F321D" w:rsidRPr="003524D8">
        <w:rPr>
          <w:rFonts w:eastAsiaTheme="majorEastAsia" w:cs="Calibri"/>
        </w:rPr>
        <w:t xml:space="preserve"> and</w:t>
      </w:r>
      <w:r w:rsidRPr="003524D8">
        <w:rPr>
          <w:rFonts w:eastAsiaTheme="majorEastAsia" w:cs="Calibri"/>
        </w:rPr>
        <w:t xml:space="preserve"> take notes</w:t>
      </w:r>
      <w:r w:rsidR="007F321D" w:rsidRPr="003524D8">
        <w:rPr>
          <w:rFonts w:eastAsiaTheme="majorEastAsia" w:cs="Calibri"/>
        </w:rPr>
        <w:t xml:space="preserve"> during</w:t>
      </w:r>
      <w:r w:rsidR="00096B40">
        <w:rPr>
          <w:rFonts w:eastAsiaTheme="majorEastAsia" w:cs="Calibri"/>
        </w:rPr>
        <w:t>,</w:t>
      </w:r>
      <w:r w:rsidR="007F321D" w:rsidRPr="003524D8">
        <w:rPr>
          <w:rFonts w:eastAsiaTheme="majorEastAsia" w:cs="Calibri"/>
        </w:rPr>
        <w:t xml:space="preserve"> the interviews</w:t>
      </w:r>
      <w:sdt>
        <w:sdtPr>
          <w:rPr>
            <w:rFonts w:eastAsiaTheme="majorEastAsia" w:cs="Calibri"/>
          </w:rPr>
          <w:id w:val="1203834931"/>
          <w:citation/>
        </w:sdtPr>
        <w:sdtContent>
          <w:r w:rsidRPr="003524D8">
            <w:rPr>
              <w:rFonts w:eastAsiaTheme="majorEastAsia" w:cs="Calibri"/>
            </w:rPr>
            <w:fldChar w:fldCharType="begin"/>
          </w:r>
          <w:r w:rsidR="007F321D" w:rsidRPr="003524D8">
            <w:rPr>
              <w:rFonts w:eastAsiaTheme="majorEastAsia" w:cs="Calibri"/>
            </w:rPr>
            <w:instrText xml:space="preserve">CITATION Sal16 \l 2057 </w:instrText>
          </w:r>
          <w:r w:rsidRPr="003524D8">
            <w:rPr>
              <w:rFonts w:eastAsiaTheme="majorEastAsia" w:cs="Calibri"/>
            </w:rPr>
            <w:fldChar w:fldCharType="separate"/>
          </w:r>
          <w:r w:rsidR="007F321D" w:rsidRPr="003524D8">
            <w:rPr>
              <w:rFonts w:eastAsiaTheme="majorEastAsia" w:cs="Calibri"/>
              <w:noProof/>
            </w:rPr>
            <w:t xml:space="preserve"> (Saldaña, 2021)</w:t>
          </w:r>
          <w:r w:rsidRPr="003524D8">
            <w:rPr>
              <w:rFonts w:eastAsiaTheme="majorEastAsia" w:cs="Calibri"/>
            </w:rPr>
            <w:fldChar w:fldCharType="end"/>
          </w:r>
        </w:sdtContent>
      </w:sdt>
      <w:r w:rsidRPr="003524D8">
        <w:rPr>
          <w:rFonts w:eastAsiaTheme="majorEastAsia" w:cs="Calibri"/>
        </w:rPr>
        <w:t>.</w:t>
      </w:r>
      <w:r w:rsidRPr="003524D8">
        <w:rPr>
          <w:rFonts w:cs="Calibri"/>
        </w:rPr>
        <w:t xml:space="preserve"> </w:t>
      </w:r>
      <w:r w:rsidR="00762CA4" w:rsidRPr="003524D8">
        <w:rPr>
          <w:rFonts w:cs="Calibri"/>
        </w:rPr>
        <w:t xml:space="preserve"> </w:t>
      </w:r>
    </w:p>
    <w:p w14:paraId="18487771" w14:textId="77777777" w:rsidR="00446C7C" w:rsidRPr="003524D8" w:rsidRDefault="00446C7C" w:rsidP="00D835E5">
      <w:pPr>
        <w:rPr>
          <w:rFonts w:eastAsiaTheme="majorEastAsia" w:cs="Calibri"/>
        </w:rPr>
      </w:pPr>
    </w:p>
    <w:p w14:paraId="399895F7" w14:textId="6C2556B3" w:rsidR="006F7C42" w:rsidRPr="003524D8" w:rsidRDefault="00145DFA" w:rsidP="00D835E5">
      <w:pPr>
        <w:rPr>
          <w:rFonts w:cs="Calibri"/>
        </w:rPr>
      </w:pPr>
      <w:r w:rsidRPr="003524D8">
        <w:rPr>
          <w:rFonts w:cs="Calibri"/>
        </w:rPr>
        <w:t>The</w:t>
      </w:r>
      <w:r w:rsidR="006F7C42" w:rsidRPr="003524D8">
        <w:rPr>
          <w:rFonts w:cs="Calibri"/>
        </w:rPr>
        <w:t xml:space="preserve"> focused sample selected</w:t>
      </w:r>
      <w:sdt>
        <w:sdtPr>
          <w:rPr>
            <w:rFonts w:cs="Calibri"/>
          </w:rPr>
          <w:id w:val="1684626946"/>
          <w:citation/>
        </w:sdtPr>
        <w:sdtContent>
          <w:r w:rsidR="00BC0521" w:rsidRPr="003524D8">
            <w:rPr>
              <w:rFonts w:cs="Calibri"/>
            </w:rPr>
            <w:fldChar w:fldCharType="begin"/>
          </w:r>
          <w:r w:rsidR="00BC0521" w:rsidRPr="003524D8">
            <w:rPr>
              <w:rFonts w:cs="Calibri"/>
            </w:rPr>
            <w:instrText xml:space="preserve"> CITATION Bel18 \l 2057 </w:instrText>
          </w:r>
          <w:r w:rsidR="00BC0521" w:rsidRPr="003524D8">
            <w:rPr>
              <w:rFonts w:cs="Calibri"/>
            </w:rPr>
            <w:fldChar w:fldCharType="separate"/>
          </w:r>
          <w:r w:rsidR="00BC0521" w:rsidRPr="003524D8">
            <w:rPr>
              <w:rFonts w:cs="Calibri"/>
              <w:noProof/>
            </w:rPr>
            <w:t xml:space="preserve"> (Bell, et al., 2024)</w:t>
          </w:r>
          <w:r w:rsidR="00BC0521" w:rsidRPr="003524D8">
            <w:rPr>
              <w:rFonts w:cs="Calibri"/>
            </w:rPr>
            <w:fldChar w:fldCharType="end"/>
          </w:r>
        </w:sdtContent>
      </w:sdt>
      <w:r w:rsidR="006F7C42" w:rsidRPr="003524D8">
        <w:rPr>
          <w:rFonts w:cs="Calibri"/>
        </w:rPr>
        <w:t xml:space="preserve">, </w:t>
      </w:r>
      <w:r w:rsidRPr="003524D8">
        <w:rPr>
          <w:rFonts w:cs="Calibri"/>
        </w:rPr>
        <w:t>was a</w:t>
      </w:r>
      <w:r w:rsidR="006F7C42" w:rsidRPr="003524D8">
        <w:rPr>
          <w:rFonts w:cs="Calibri"/>
        </w:rPr>
        <w:t xml:space="preserve"> Level 2 student, a Level 2 lecturer</w:t>
      </w:r>
      <w:r w:rsidRPr="003524D8">
        <w:rPr>
          <w:rFonts w:cs="Calibri"/>
        </w:rPr>
        <w:t>/tutor</w:t>
      </w:r>
      <w:r w:rsidR="006F7C42" w:rsidRPr="003524D8">
        <w:rPr>
          <w:rFonts w:cs="Calibri"/>
        </w:rPr>
        <w:t>, and a Level 2 course coordinator</w:t>
      </w:r>
      <w:r w:rsidRPr="003524D8">
        <w:rPr>
          <w:rFonts w:cs="Calibri"/>
        </w:rPr>
        <w:t>/tutor</w:t>
      </w:r>
      <w:r w:rsidR="00EB2D8E" w:rsidRPr="003524D8">
        <w:rPr>
          <w:rFonts w:cs="Calibri"/>
        </w:rPr>
        <w:t xml:space="preserve"> in order to illicit varying responses</w:t>
      </w:r>
      <w:r w:rsidR="00BC0521" w:rsidRPr="003524D8">
        <w:rPr>
          <w:rFonts w:cs="Calibri"/>
        </w:rPr>
        <w:t xml:space="preserve"> </w:t>
      </w:r>
      <w:sdt>
        <w:sdtPr>
          <w:rPr>
            <w:rFonts w:cs="Calibri"/>
          </w:rPr>
          <w:id w:val="-1969118888"/>
          <w:citation/>
        </w:sdtPr>
        <w:sdtContent>
          <w:r w:rsidR="00BC0521" w:rsidRPr="003524D8">
            <w:rPr>
              <w:rFonts w:cs="Calibri"/>
            </w:rPr>
            <w:fldChar w:fldCharType="begin"/>
          </w:r>
          <w:r w:rsidR="00BC0521" w:rsidRPr="003524D8">
            <w:rPr>
              <w:rFonts w:cs="Calibri"/>
            </w:rPr>
            <w:instrText xml:space="preserve"> CITATION Pow18 \l 2057 </w:instrText>
          </w:r>
          <w:r w:rsidR="00BC0521" w:rsidRPr="003524D8">
            <w:rPr>
              <w:rFonts w:cs="Calibri"/>
            </w:rPr>
            <w:fldChar w:fldCharType="separate"/>
          </w:r>
          <w:r w:rsidR="00BC0521" w:rsidRPr="003524D8">
            <w:rPr>
              <w:rFonts w:cs="Calibri"/>
              <w:noProof/>
            </w:rPr>
            <w:t>(Powney &amp; Watts, 2018)</w:t>
          </w:r>
          <w:r w:rsidR="00BC0521" w:rsidRPr="003524D8">
            <w:rPr>
              <w:rFonts w:cs="Calibri"/>
            </w:rPr>
            <w:fldChar w:fldCharType="end"/>
          </w:r>
        </w:sdtContent>
      </w:sdt>
      <w:r w:rsidR="00BC0521" w:rsidRPr="003524D8">
        <w:rPr>
          <w:rFonts w:cs="Calibri"/>
        </w:rPr>
        <w:t>.</w:t>
      </w:r>
      <w:r w:rsidR="00EB2D8E" w:rsidRPr="003524D8">
        <w:rPr>
          <w:rFonts w:cs="Calibri"/>
        </w:rPr>
        <w:t xml:space="preserve"> Th</w:t>
      </w:r>
      <w:r w:rsidRPr="003524D8">
        <w:rPr>
          <w:rFonts w:cs="Calibri"/>
        </w:rPr>
        <w:t>is</w:t>
      </w:r>
      <w:r w:rsidR="00EB2D8E" w:rsidRPr="003524D8">
        <w:rPr>
          <w:rFonts w:cs="Calibri"/>
        </w:rPr>
        <w:t xml:space="preserve"> researcher is a </w:t>
      </w:r>
      <w:r w:rsidRPr="003524D8">
        <w:rPr>
          <w:rFonts w:cs="Calibri"/>
        </w:rPr>
        <w:t xml:space="preserve">colleague of the tutors and lectures the student. Tutor 1, a newly appointed music lecturer, completed a BTEC Level 3 Music Course in South Wales and earned a </w:t>
      </w:r>
      <w:proofErr w:type="spellStart"/>
      <w:r w:rsidRPr="003524D8">
        <w:rPr>
          <w:rFonts w:cs="Calibri"/>
        </w:rPr>
        <w:t>BEd</w:t>
      </w:r>
      <w:proofErr w:type="spellEnd"/>
      <w:r w:rsidRPr="003524D8">
        <w:rPr>
          <w:rFonts w:cs="Calibri"/>
        </w:rPr>
        <w:t xml:space="preserve"> in Music Education with QTS. As a recently trained teacher actively involved in the music industry, he brings valuable insights as a new entrant to FE, making him an ideal study participant. Tutor 2 completed a BTEC Level Three and a degree in Dance, overcoming challenges with GCSE English and Maths to earn a PGCE and a </w:t>
      </w:r>
      <w:proofErr w:type="gramStart"/>
      <w:r w:rsidRPr="003524D8">
        <w:rPr>
          <w:rFonts w:cs="Calibri"/>
        </w:rPr>
        <w:t>Master’s</w:t>
      </w:r>
      <w:proofErr w:type="gramEnd"/>
      <w:r w:rsidRPr="003524D8">
        <w:rPr>
          <w:rFonts w:cs="Calibri"/>
        </w:rPr>
        <w:t xml:space="preserve"> degree with distinction. With 14 years of experience </w:t>
      </w:r>
      <w:r w:rsidR="00096B40">
        <w:rPr>
          <w:rFonts w:cs="Calibri"/>
        </w:rPr>
        <w:t xml:space="preserve">of </w:t>
      </w:r>
      <w:r w:rsidRPr="003524D8">
        <w:rPr>
          <w:rFonts w:cs="Calibri"/>
        </w:rPr>
        <w:t>teaching</w:t>
      </w:r>
      <w:r w:rsidR="00096B40">
        <w:rPr>
          <w:rFonts w:cs="Calibri"/>
        </w:rPr>
        <w:t xml:space="preserve"> in</w:t>
      </w:r>
      <w:r w:rsidRPr="003524D8">
        <w:rPr>
          <w:rFonts w:cs="Calibri"/>
        </w:rPr>
        <w:t xml:space="preserve"> FE, she primarily teaches Level 2 courses, drawing on her professional performance background and personal growth to deliver inclusive teaching. </w:t>
      </w:r>
      <w:r w:rsidRPr="003524D8">
        <w:rPr>
          <w:rFonts w:eastAsiaTheme="majorEastAsia" w:cs="Calibri"/>
          <w:bCs/>
        </w:rPr>
        <w:t>Student 1 attended a local comprehensive school, enjoying subjects like PE, Art, and Science, and passing GCSE Maths and English. Despite performing well, he disliked school due to the large number of people</w:t>
      </w:r>
      <w:r w:rsidR="00B545C8">
        <w:rPr>
          <w:rFonts w:eastAsiaTheme="majorEastAsia" w:cs="Calibri"/>
          <w:bCs/>
        </w:rPr>
        <w:t xml:space="preserve"> that surrounded him</w:t>
      </w:r>
      <w:r w:rsidRPr="003524D8">
        <w:rPr>
          <w:rFonts w:eastAsiaTheme="majorEastAsia" w:cs="Calibri"/>
          <w:bCs/>
        </w:rPr>
        <w:t xml:space="preserve">. </w:t>
      </w:r>
      <w:r w:rsidR="00B545C8">
        <w:rPr>
          <w:rFonts w:eastAsiaTheme="majorEastAsia" w:cs="Calibri"/>
          <w:bCs/>
        </w:rPr>
        <w:t>He has found C</w:t>
      </w:r>
      <w:r w:rsidRPr="003524D8">
        <w:rPr>
          <w:rFonts w:eastAsiaTheme="majorEastAsia" w:cs="Calibri"/>
          <w:bCs/>
        </w:rPr>
        <w:t>ollege more enjoyable as he c</w:t>
      </w:r>
      <w:r w:rsidR="00B545C8">
        <w:rPr>
          <w:rFonts w:eastAsiaTheme="majorEastAsia" w:cs="Calibri"/>
          <w:bCs/>
        </w:rPr>
        <w:t>an</w:t>
      </w:r>
      <w:r w:rsidRPr="003524D8">
        <w:rPr>
          <w:rFonts w:eastAsiaTheme="majorEastAsia" w:cs="Calibri"/>
          <w:bCs/>
        </w:rPr>
        <w:t xml:space="preserve"> focus on personal interests</w:t>
      </w:r>
      <w:r w:rsidR="00B545C8">
        <w:rPr>
          <w:rFonts w:eastAsiaTheme="majorEastAsia" w:cs="Calibri"/>
          <w:bCs/>
        </w:rPr>
        <w:t xml:space="preserve"> with a smaller number of like-minded students and staff</w:t>
      </w:r>
      <w:r w:rsidRPr="003524D8">
        <w:rPr>
          <w:rFonts w:eastAsiaTheme="majorEastAsia" w:cs="Calibri"/>
          <w:bCs/>
        </w:rPr>
        <w:t xml:space="preserve">. After completing a Level 2 welding course, he realised </w:t>
      </w:r>
      <w:r w:rsidR="00B545C8">
        <w:rPr>
          <w:rFonts w:eastAsiaTheme="majorEastAsia" w:cs="Calibri"/>
          <w:bCs/>
        </w:rPr>
        <w:t>that this</w:t>
      </w:r>
      <w:r w:rsidRPr="003524D8">
        <w:rPr>
          <w:rFonts w:eastAsiaTheme="majorEastAsia" w:cs="Calibri"/>
          <w:bCs/>
        </w:rPr>
        <w:t xml:space="preserve"> was</w:t>
      </w:r>
      <w:r w:rsidR="00B545C8">
        <w:rPr>
          <w:rFonts w:eastAsiaTheme="majorEastAsia" w:cs="Calibri"/>
          <w:bCs/>
        </w:rPr>
        <w:t xml:space="preserve"> </w:t>
      </w:r>
      <w:r w:rsidRPr="003524D8">
        <w:rPr>
          <w:rFonts w:eastAsiaTheme="majorEastAsia" w:cs="Calibri"/>
          <w:bCs/>
        </w:rPr>
        <w:t>n</w:t>
      </w:r>
      <w:r w:rsidR="00B545C8">
        <w:rPr>
          <w:rFonts w:eastAsiaTheme="majorEastAsia" w:cs="Calibri"/>
          <w:bCs/>
        </w:rPr>
        <w:t>o</w:t>
      </w:r>
      <w:r w:rsidRPr="003524D8">
        <w:rPr>
          <w:rFonts w:eastAsiaTheme="majorEastAsia" w:cs="Calibri"/>
          <w:bCs/>
        </w:rPr>
        <w:t xml:space="preserve">t his passion and took a break </w:t>
      </w:r>
      <w:r w:rsidRPr="003524D8">
        <w:rPr>
          <w:rFonts w:eastAsiaTheme="majorEastAsia" w:cs="Calibri"/>
          <w:bCs/>
        </w:rPr>
        <w:lastRenderedPageBreak/>
        <w:t>from education. Later, he enrolled in the Level 2 Music Course. As a mature student over 18, he brings thoughtful insights and rich, context-specific perspectives</w:t>
      </w:r>
      <w:r w:rsidR="006F7C42" w:rsidRPr="003524D8">
        <w:rPr>
          <w:rFonts w:cs="Calibri"/>
        </w:rPr>
        <w:t xml:space="preserve"> </w:t>
      </w:r>
      <w:sdt>
        <w:sdtPr>
          <w:rPr>
            <w:rFonts w:cs="Calibri"/>
          </w:rPr>
          <w:id w:val="-1531179151"/>
          <w:citation/>
        </w:sdtPr>
        <w:sdtContent>
          <w:r w:rsidR="006F7C42" w:rsidRPr="003524D8">
            <w:rPr>
              <w:rFonts w:cs="Calibri"/>
            </w:rPr>
            <w:fldChar w:fldCharType="begin"/>
          </w:r>
          <w:r w:rsidR="006F7C42" w:rsidRPr="003524D8">
            <w:rPr>
              <w:rFonts w:cs="Calibri"/>
            </w:rPr>
            <w:instrText xml:space="preserve"> CITATION Zha21 \l 2057 </w:instrText>
          </w:r>
          <w:r w:rsidR="006F7C42" w:rsidRPr="003524D8">
            <w:rPr>
              <w:rFonts w:cs="Calibri"/>
            </w:rPr>
            <w:fldChar w:fldCharType="separate"/>
          </w:r>
          <w:r w:rsidR="006F7C42" w:rsidRPr="003524D8">
            <w:rPr>
              <w:rFonts w:cs="Calibri"/>
              <w:noProof/>
            </w:rPr>
            <w:t>(Zhao, 2021)</w:t>
          </w:r>
          <w:r w:rsidR="006F7C42" w:rsidRPr="003524D8">
            <w:rPr>
              <w:rFonts w:cs="Calibri"/>
            </w:rPr>
            <w:fldChar w:fldCharType="end"/>
          </w:r>
        </w:sdtContent>
      </w:sdt>
      <w:r w:rsidR="006F7C42" w:rsidRPr="003524D8">
        <w:rPr>
          <w:rFonts w:cs="Calibri"/>
        </w:rPr>
        <w:t>.</w:t>
      </w:r>
    </w:p>
    <w:p w14:paraId="42EF975C" w14:textId="77777777" w:rsidR="006F7C42" w:rsidRPr="003524D8" w:rsidRDefault="006F7C42" w:rsidP="00D835E5">
      <w:pPr>
        <w:rPr>
          <w:rFonts w:eastAsiaTheme="majorEastAsia" w:cs="Calibri"/>
          <w:b/>
        </w:rPr>
      </w:pPr>
    </w:p>
    <w:p w14:paraId="46F6C903" w14:textId="54F3B1FE" w:rsidR="00693E56" w:rsidRPr="003524D8" w:rsidRDefault="006F7C42" w:rsidP="00D835E5">
      <w:pPr>
        <w:rPr>
          <w:rFonts w:eastAsiaTheme="majorEastAsia" w:cs="Calibri"/>
        </w:rPr>
      </w:pPr>
      <w:r w:rsidRPr="003524D8">
        <w:rPr>
          <w:rFonts w:eastAsiaTheme="majorEastAsia" w:cs="Calibri"/>
        </w:rPr>
        <w:t>Ot</w:t>
      </w:r>
      <w:r w:rsidR="000F4A24" w:rsidRPr="003524D8">
        <w:rPr>
          <w:rFonts w:eastAsiaTheme="majorEastAsia" w:cs="Calibri"/>
        </w:rPr>
        <w:t>her methods were considered</w:t>
      </w:r>
      <w:r w:rsidR="00B545C8">
        <w:rPr>
          <w:rFonts w:eastAsiaTheme="majorEastAsia" w:cs="Calibri"/>
        </w:rPr>
        <w:t xml:space="preserve"> but discounted; for example,</w:t>
      </w:r>
      <w:r w:rsidRPr="003524D8">
        <w:rPr>
          <w:rFonts w:eastAsiaTheme="majorEastAsia" w:cs="Calibri"/>
        </w:rPr>
        <w:t xml:space="preserve"> a</w:t>
      </w:r>
      <w:r w:rsidR="000F4A24" w:rsidRPr="003524D8">
        <w:rPr>
          <w:rFonts w:eastAsiaTheme="majorEastAsia" w:cs="Calibri"/>
        </w:rPr>
        <w:t xml:space="preserve"> questionnaire was deemed</w:t>
      </w:r>
      <w:r w:rsidR="00B545C8" w:rsidRPr="003524D8">
        <w:rPr>
          <w:rFonts w:eastAsiaTheme="majorEastAsia" w:cs="Calibri"/>
        </w:rPr>
        <w:t xml:space="preserve">  </w:t>
      </w:r>
      <w:r w:rsidR="00B545C8">
        <w:rPr>
          <w:rFonts w:eastAsiaTheme="majorEastAsia" w:cs="Calibri"/>
        </w:rPr>
        <w:t>un</w:t>
      </w:r>
      <w:r w:rsidR="00B545C8" w:rsidRPr="003524D8">
        <w:rPr>
          <w:rFonts w:eastAsiaTheme="majorEastAsia" w:cs="Calibri"/>
        </w:rPr>
        <w:t xml:space="preserve">suitable for exploring the nuanced and personal insights </w:t>
      </w:r>
      <w:sdt>
        <w:sdtPr>
          <w:rPr>
            <w:rFonts w:eastAsiaTheme="majorEastAsia" w:cs="Calibri"/>
          </w:rPr>
          <w:id w:val="-1822801835"/>
          <w:citation/>
        </w:sdtPr>
        <w:sdtContent>
          <w:r w:rsidR="00B545C8" w:rsidRPr="003524D8">
            <w:rPr>
              <w:rFonts w:eastAsiaTheme="majorEastAsia" w:cs="Calibri"/>
            </w:rPr>
            <w:fldChar w:fldCharType="begin"/>
          </w:r>
          <w:r w:rsidR="00B545C8" w:rsidRPr="003524D8">
            <w:rPr>
              <w:rFonts w:eastAsiaTheme="majorEastAsia" w:cs="Calibri"/>
            </w:rPr>
            <w:instrText xml:space="preserve"> CITATION Mer21 \l 2057 </w:instrText>
          </w:r>
          <w:r w:rsidR="00B545C8" w:rsidRPr="003524D8">
            <w:rPr>
              <w:rFonts w:eastAsiaTheme="majorEastAsia" w:cs="Calibri"/>
            </w:rPr>
            <w:fldChar w:fldCharType="separate"/>
          </w:r>
          <w:r w:rsidR="00B545C8" w:rsidRPr="003524D8">
            <w:rPr>
              <w:rFonts w:eastAsiaTheme="majorEastAsia" w:cs="Calibri"/>
              <w:noProof/>
            </w:rPr>
            <w:t>(Mertler, 2021)</w:t>
          </w:r>
          <w:r w:rsidR="00B545C8" w:rsidRPr="003524D8">
            <w:rPr>
              <w:rFonts w:eastAsiaTheme="majorEastAsia" w:cs="Calibri"/>
            </w:rPr>
            <w:fldChar w:fldCharType="end"/>
          </w:r>
        </w:sdtContent>
      </w:sdt>
      <w:r w:rsidR="000F4A24" w:rsidRPr="003524D8">
        <w:rPr>
          <w:rFonts w:eastAsiaTheme="majorEastAsia" w:cs="Calibri"/>
        </w:rPr>
        <w:t xml:space="preserve"> </w:t>
      </w:r>
      <w:r w:rsidR="00B545C8">
        <w:rPr>
          <w:rFonts w:eastAsiaTheme="majorEastAsia" w:cs="Calibri"/>
        </w:rPr>
        <w:t>sought by this study, and were considered inappropriate</w:t>
      </w:r>
      <w:r w:rsidR="000F4A24" w:rsidRPr="003524D8">
        <w:rPr>
          <w:rFonts w:eastAsiaTheme="majorEastAsia" w:cs="Calibri"/>
        </w:rPr>
        <w:t xml:space="preserve"> for this small-scale research project as it seeks to understand in-depth experiences rather than generalisable patterns </w:t>
      </w:r>
      <w:sdt>
        <w:sdtPr>
          <w:rPr>
            <w:rFonts w:eastAsiaTheme="majorEastAsia" w:cs="Calibri"/>
          </w:rPr>
          <w:id w:val="839737103"/>
          <w:citation/>
        </w:sdtPr>
        <w:sdtContent>
          <w:r w:rsidR="000F4A24" w:rsidRPr="003524D8">
            <w:rPr>
              <w:rFonts w:eastAsiaTheme="majorEastAsia" w:cs="Calibri"/>
            </w:rPr>
            <w:fldChar w:fldCharType="begin"/>
          </w:r>
          <w:r w:rsidR="000F4A24" w:rsidRPr="003524D8">
            <w:rPr>
              <w:rFonts w:eastAsiaTheme="majorEastAsia" w:cs="Calibri"/>
            </w:rPr>
            <w:instrText xml:space="preserve"> CITATION Coh17 \l 2057 </w:instrText>
          </w:r>
          <w:r w:rsidR="000F4A24" w:rsidRPr="003524D8">
            <w:rPr>
              <w:rFonts w:eastAsiaTheme="majorEastAsia" w:cs="Calibri"/>
            </w:rPr>
            <w:fldChar w:fldCharType="separate"/>
          </w:r>
          <w:r w:rsidR="000F4A24" w:rsidRPr="003524D8">
            <w:rPr>
              <w:rFonts w:eastAsiaTheme="majorEastAsia" w:cs="Calibri"/>
              <w:noProof/>
            </w:rPr>
            <w:t>(Cohen, et al., 2017)</w:t>
          </w:r>
          <w:r w:rsidR="000F4A24" w:rsidRPr="003524D8">
            <w:rPr>
              <w:rFonts w:eastAsiaTheme="majorEastAsia" w:cs="Calibri"/>
            </w:rPr>
            <w:fldChar w:fldCharType="end"/>
          </w:r>
        </w:sdtContent>
      </w:sdt>
      <w:r w:rsidR="000F4A24" w:rsidRPr="003524D8">
        <w:rPr>
          <w:rFonts w:eastAsiaTheme="majorEastAsia" w:cs="Calibri"/>
        </w:rPr>
        <w:t xml:space="preserve">. In this instance, interviews offer richer, more contextual data, aligning with the project's goals to explore individual needs and preferences in depth and how it may be delivered </w:t>
      </w:r>
      <w:sdt>
        <w:sdtPr>
          <w:rPr>
            <w:rFonts w:eastAsiaTheme="majorEastAsia" w:cs="Calibri"/>
          </w:rPr>
          <w:id w:val="1271588823"/>
          <w:citation/>
        </w:sdtPr>
        <w:sdtContent>
          <w:r w:rsidR="000F4A24" w:rsidRPr="003524D8">
            <w:rPr>
              <w:rFonts w:eastAsiaTheme="majorEastAsia" w:cs="Calibri"/>
            </w:rPr>
            <w:fldChar w:fldCharType="begin"/>
          </w:r>
          <w:r w:rsidR="000F4A24" w:rsidRPr="003524D8">
            <w:rPr>
              <w:rFonts w:eastAsiaTheme="majorEastAsia" w:cs="Calibri"/>
            </w:rPr>
            <w:instrText xml:space="preserve">CITATION Pow18 \l 2057 </w:instrText>
          </w:r>
          <w:r w:rsidR="000F4A24" w:rsidRPr="003524D8">
            <w:rPr>
              <w:rFonts w:eastAsiaTheme="majorEastAsia" w:cs="Calibri"/>
            </w:rPr>
            <w:fldChar w:fldCharType="separate"/>
          </w:r>
          <w:r w:rsidR="000F4A24" w:rsidRPr="003524D8">
            <w:rPr>
              <w:rFonts w:eastAsiaTheme="majorEastAsia" w:cs="Calibri"/>
              <w:noProof/>
            </w:rPr>
            <w:t>(Powney &amp; Watts, 2018)</w:t>
          </w:r>
          <w:r w:rsidR="000F4A24" w:rsidRPr="003524D8">
            <w:rPr>
              <w:rFonts w:eastAsiaTheme="majorEastAsia" w:cs="Calibri"/>
            </w:rPr>
            <w:fldChar w:fldCharType="end"/>
          </w:r>
        </w:sdtContent>
      </w:sdt>
      <w:r w:rsidR="000F4A24" w:rsidRPr="003524D8">
        <w:rPr>
          <w:rFonts w:eastAsiaTheme="majorEastAsia" w:cs="Calibri"/>
        </w:rPr>
        <w:t>.</w:t>
      </w:r>
      <w:r w:rsidRPr="003524D8">
        <w:rPr>
          <w:rFonts w:eastAsiaTheme="majorEastAsia" w:cs="Calibri"/>
        </w:rPr>
        <w:t xml:space="preserve"> </w:t>
      </w:r>
      <w:r w:rsidR="000F4A24" w:rsidRPr="003524D8">
        <w:rPr>
          <w:rFonts w:eastAsiaTheme="majorEastAsia" w:cs="Calibri"/>
        </w:rPr>
        <w:t xml:space="preserve">Classroom observations were not chosen for this research because they may not </w:t>
      </w:r>
      <w:r w:rsidR="00B545C8">
        <w:rPr>
          <w:rFonts w:eastAsiaTheme="majorEastAsia" w:cs="Calibri"/>
        </w:rPr>
        <w:t xml:space="preserve">be able to </w:t>
      </w:r>
      <w:r w:rsidR="000F4A24" w:rsidRPr="003524D8">
        <w:rPr>
          <w:rFonts w:eastAsiaTheme="majorEastAsia" w:cs="Calibri"/>
        </w:rPr>
        <w:t xml:space="preserve">provide the deep, reflective insights necessary to understand students' and educators' subjective experiences </w:t>
      </w:r>
      <w:sdt>
        <w:sdtPr>
          <w:rPr>
            <w:rFonts w:eastAsiaTheme="majorEastAsia" w:cs="Calibri"/>
          </w:rPr>
          <w:id w:val="-489493561"/>
          <w:citation/>
        </w:sdtPr>
        <w:sdtContent>
          <w:r w:rsidR="000F4A24" w:rsidRPr="003524D8">
            <w:rPr>
              <w:rFonts w:eastAsiaTheme="majorEastAsia" w:cs="Calibri"/>
            </w:rPr>
            <w:fldChar w:fldCharType="begin"/>
          </w:r>
          <w:r w:rsidR="000F4A24" w:rsidRPr="003524D8">
            <w:rPr>
              <w:rFonts w:eastAsiaTheme="majorEastAsia" w:cs="Calibri"/>
            </w:rPr>
            <w:instrText xml:space="preserve"> CITATION Coh17 \l 2057 </w:instrText>
          </w:r>
          <w:r w:rsidR="000F4A24" w:rsidRPr="003524D8">
            <w:rPr>
              <w:rFonts w:eastAsiaTheme="majorEastAsia" w:cs="Calibri"/>
            </w:rPr>
            <w:fldChar w:fldCharType="separate"/>
          </w:r>
          <w:r w:rsidR="000F4A24" w:rsidRPr="003524D8">
            <w:rPr>
              <w:rFonts w:eastAsiaTheme="majorEastAsia" w:cs="Calibri"/>
              <w:noProof/>
            </w:rPr>
            <w:t>(Cohen, et al., 2017)</w:t>
          </w:r>
          <w:r w:rsidR="000F4A24" w:rsidRPr="003524D8">
            <w:rPr>
              <w:rFonts w:eastAsiaTheme="majorEastAsia" w:cs="Calibri"/>
            </w:rPr>
            <w:fldChar w:fldCharType="end"/>
          </w:r>
        </w:sdtContent>
      </w:sdt>
      <w:r w:rsidR="000F4A24" w:rsidRPr="003524D8">
        <w:rPr>
          <w:rFonts w:eastAsiaTheme="majorEastAsia" w:cs="Calibri"/>
        </w:rPr>
        <w:t xml:space="preserve">. As Wragg </w:t>
      </w:r>
      <w:sdt>
        <w:sdtPr>
          <w:rPr>
            <w:rFonts w:eastAsiaTheme="majorEastAsia" w:cs="Calibri"/>
          </w:rPr>
          <w:id w:val="1064760116"/>
          <w:citation/>
        </w:sdtPr>
        <w:sdtContent>
          <w:r w:rsidR="000F4A24" w:rsidRPr="003524D8">
            <w:rPr>
              <w:rFonts w:eastAsiaTheme="majorEastAsia" w:cs="Calibri"/>
            </w:rPr>
            <w:fldChar w:fldCharType="begin"/>
          </w:r>
          <w:r w:rsidR="000F4A24" w:rsidRPr="003524D8">
            <w:rPr>
              <w:rFonts w:eastAsiaTheme="majorEastAsia" w:cs="Calibri"/>
            </w:rPr>
            <w:instrText xml:space="preserve">CITATION Wra12 \n  \l 2057 </w:instrText>
          </w:r>
          <w:r w:rsidR="000F4A24" w:rsidRPr="003524D8">
            <w:rPr>
              <w:rFonts w:eastAsiaTheme="majorEastAsia" w:cs="Calibri"/>
            </w:rPr>
            <w:fldChar w:fldCharType="separate"/>
          </w:r>
          <w:r w:rsidR="000F4A24" w:rsidRPr="003524D8">
            <w:rPr>
              <w:rFonts w:eastAsiaTheme="majorEastAsia" w:cs="Calibri"/>
              <w:noProof/>
            </w:rPr>
            <w:t>(2012)</w:t>
          </w:r>
          <w:r w:rsidR="000F4A24" w:rsidRPr="003524D8">
            <w:rPr>
              <w:rFonts w:eastAsiaTheme="majorEastAsia" w:cs="Calibri"/>
            </w:rPr>
            <w:fldChar w:fldCharType="end"/>
          </w:r>
        </w:sdtContent>
      </w:sdt>
      <w:r w:rsidR="000F4A24" w:rsidRPr="003524D8">
        <w:rPr>
          <w:rFonts w:eastAsiaTheme="majorEastAsia" w:cs="Calibri"/>
        </w:rPr>
        <w:t xml:space="preserve"> notes, observations primarily capture behaviour and interactions which, while valuable, may not reveal underlying or additional motivations, challenges, or personal needs of students</w:t>
      </w:r>
      <w:r w:rsidR="00B545C8">
        <w:rPr>
          <w:rFonts w:eastAsiaTheme="majorEastAsia" w:cs="Calibri"/>
        </w:rPr>
        <w:t xml:space="preserve">. Also, </w:t>
      </w:r>
      <w:r w:rsidR="000F4A24" w:rsidRPr="003524D8">
        <w:rPr>
          <w:rFonts w:eastAsiaTheme="majorEastAsia" w:cs="Calibri"/>
        </w:rPr>
        <w:t xml:space="preserve">observations can be intrusive, potentially altering behaviour and compromising authentic data </w:t>
      </w:r>
      <w:sdt>
        <w:sdtPr>
          <w:rPr>
            <w:rFonts w:eastAsiaTheme="majorEastAsia" w:cs="Calibri"/>
          </w:rPr>
          <w:id w:val="-391346274"/>
          <w:citation/>
        </w:sdtPr>
        <w:sdtContent>
          <w:r w:rsidR="000F4A24" w:rsidRPr="003524D8">
            <w:rPr>
              <w:rFonts w:eastAsiaTheme="majorEastAsia" w:cs="Calibri"/>
            </w:rPr>
            <w:fldChar w:fldCharType="begin"/>
          </w:r>
          <w:r w:rsidR="000F4A24" w:rsidRPr="003524D8">
            <w:rPr>
              <w:rFonts w:eastAsiaTheme="majorEastAsia" w:cs="Calibri"/>
            </w:rPr>
            <w:instrText xml:space="preserve"> CITATION OLe20 \l 2057 </w:instrText>
          </w:r>
          <w:r w:rsidR="000F4A24" w:rsidRPr="003524D8">
            <w:rPr>
              <w:rFonts w:eastAsiaTheme="majorEastAsia" w:cs="Calibri"/>
            </w:rPr>
            <w:fldChar w:fldCharType="separate"/>
          </w:r>
          <w:r w:rsidR="000F4A24" w:rsidRPr="003524D8">
            <w:rPr>
              <w:rFonts w:eastAsiaTheme="majorEastAsia" w:cs="Calibri"/>
              <w:noProof/>
            </w:rPr>
            <w:t>(O'Leary, 2020)</w:t>
          </w:r>
          <w:r w:rsidR="000F4A24" w:rsidRPr="003524D8">
            <w:rPr>
              <w:rFonts w:eastAsiaTheme="majorEastAsia" w:cs="Calibri"/>
            </w:rPr>
            <w:fldChar w:fldCharType="end"/>
          </w:r>
        </w:sdtContent>
      </w:sdt>
      <w:r w:rsidR="000F4A24" w:rsidRPr="003524D8">
        <w:rPr>
          <w:rFonts w:eastAsiaTheme="majorEastAsia" w:cs="Calibri"/>
        </w:rPr>
        <w:t xml:space="preserve">. </w:t>
      </w:r>
    </w:p>
    <w:p w14:paraId="3EB7A0FC" w14:textId="77777777" w:rsidR="00D25FDD" w:rsidRPr="003524D8" w:rsidRDefault="00D25FDD" w:rsidP="00D25FDD">
      <w:pPr>
        <w:spacing w:after="160"/>
        <w:rPr>
          <w:rFonts w:eastAsiaTheme="majorEastAsia" w:cs="Calibri"/>
        </w:rPr>
      </w:pPr>
    </w:p>
    <w:p w14:paraId="02E9A90C" w14:textId="07B49AFA" w:rsidR="00F25801" w:rsidRPr="003524D8" w:rsidRDefault="003524D8" w:rsidP="008E0178">
      <w:pPr>
        <w:pStyle w:val="Heading2"/>
        <w:rPr>
          <w:rStyle w:val="Strong"/>
          <w:rFonts w:cs="Calibri"/>
          <w:b w:val="0"/>
          <w:bCs w:val="0"/>
        </w:rPr>
      </w:pPr>
      <w:bookmarkStart w:id="8" w:name="_Toc185674565"/>
      <w:r>
        <w:rPr>
          <w:rStyle w:val="Strong"/>
          <w:rFonts w:cs="Calibri"/>
          <w:b w:val="0"/>
          <w:bCs w:val="0"/>
        </w:rPr>
        <w:t xml:space="preserve">3.1 </w:t>
      </w:r>
      <w:r w:rsidR="00693E56" w:rsidRPr="003524D8">
        <w:rPr>
          <w:rStyle w:val="Strong"/>
          <w:rFonts w:cs="Calibri"/>
          <w:b w:val="0"/>
          <w:bCs w:val="0"/>
        </w:rPr>
        <w:t>DATA ANALYSIS</w:t>
      </w:r>
      <w:bookmarkEnd w:id="8"/>
    </w:p>
    <w:p w14:paraId="78871A56" w14:textId="76AEF6D1" w:rsidR="000F4A24" w:rsidRPr="003524D8" w:rsidRDefault="00693E56" w:rsidP="00D835E5">
      <w:pPr>
        <w:rPr>
          <w:rFonts w:eastAsiaTheme="majorEastAsia" w:cs="Calibri"/>
        </w:rPr>
      </w:pPr>
      <w:r w:rsidRPr="003524D8">
        <w:rPr>
          <w:rStyle w:val="Strong"/>
          <w:rFonts w:eastAsiaTheme="majorEastAsia" w:cs="Calibri"/>
          <w:b w:val="0"/>
          <w:bCs w:val="0"/>
        </w:rPr>
        <w:t xml:space="preserve">Participant interviews will be </w:t>
      </w:r>
      <w:r w:rsidR="00F25801" w:rsidRPr="003524D8">
        <w:rPr>
          <w:rStyle w:val="Strong"/>
          <w:rFonts w:eastAsiaTheme="majorEastAsia" w:cs="Calibri"/>
          <w:b w:val="0"/>
          <w:bCs w:val="0"/>
        </w:rPr>
        <w:t xml:space="preserve">audio recorded and </w:t>
      </w:r>
      <w:r w:rsidRPr="003524D8">
        <w:rPr>
          <w:rStyle w:val="Strong"/>
          <w:rFonts w:eastAsiaTheme="majorEastAsia" w:cs="Calibri"/>
          <w:b w:val="0"/>
          <w:bCs w:val="0"/>
        </w:rPr>
        <w:t xml:space="preserve">transcribed, enabling a </w:t>
      </w:r>
      <w:r w:rsidRPr="003524D8">
        <w:rPr>
          <w:rFonts w:eastAsiaTheme="majorEastAsia" w:cs="Calibri"/>
        </w:rPr>
        <w:t xml:space="preserve">thematic analysis </w:t>
      </w:r>
      <w:sdt>
        <w:sdtPr>
          <w:rPr>
            <w:rFonts w:eastAsiaTheme="majorEastAsia" w:cs="Calibri"/>
          </w:rPr>
          <w:id w:val="619660644"/>
          <w:citation/>
        </w:sdtPr>
        <w:sdtContent>
          <w:r w:rsidRPr="003524D8">
            <w:rPr>
              <w:rFonts w:eastAsiaTheme="majorEastAsia" w:cs="Calibri"/>
            </w:rPr>
            <w:fldChar w:fldCharType="begin"/>
          </w:r>
          <w:r w:rsidRPr="003524D8">
            <w:rPr>
              <w:rFonts w:eastAsiaTheme="majorEastAsia" w:cs="Calibri"/>
            </w:rPr>
            <w:instrText xml:space="preserve"> CITATION Bra21 \l 2057 </w:instrText>
          </w:r>
          <w:r w:rsidRPr="003524D8">
            <w:rPr>
              <w:rFonts w:eastAsiaTheme="majorEastAsia" w:cs="Calibri"/>
            </w:rPr>
            <w:fldChar w:fldCharType="separate"/>
          </w:r>
          <w:r w:rsidRPr="003524D8">
            <w:rPr>
              <w:rFonts w:eastAsiaTheme="majorEastAsia" w:cs="Calibri"/>
              <w:noProof/>
            </w:rPr>
            <w:t>(Braun &amp; Clarke, 2021)</w:t>
          </w:r>
          <w:r w:rsidRPr="003524D8">
            <w:rPr>
              <w:rFonts w:eastAsiaTheme="majorEastAsia" w:cs="Calibri"/>
            </w:rPr>
            <w:fldChar w:fldCharType="end"/>
          </w:r>
        </w:sdtContent>
      </w:sdt>
      <w:r w:rsidRPr="003524D8">
        <w:rPr>
          <w:rFonts w:eastAsiaTheme="majorEastAsia" w:cs="Calibri"/>
        </w:rPr>
        <w:t xml:space="preserve"> to identify key themes, patterns, and insights that can be derived from the data</w:t>
      </w:r>
      <w:sdt>
        <w:sdtPr>
          <w:rPr>
            <w:rFonts w:eastAsiaTheme="majorEastAsia" w:cs="Calibri"/>
          </w:rPr>
          <w:id w:val="835811106"/>
          <w:citation/>
        </w:sdtPr>
        <w:sdtContent>
          <w:r w:rsidRPr="003524D8">
            <w:rPr>
              <w:rFonts w:eastAsiaTheme="majorEastAsia" w:cs="Calibri"/>
            </w:rPr>
            <w:fldChar w:fldCharType="begin"/>
          </w:r>
          <w:r w:rsidRPr="003524D8">
            <w:rPr>
              <w:rFonts w:eastAsiaTheme="majorEastAsia" w:cs="Calibri"/>
            </w:rPr>
            <w:instrText xml:space="preserve"> CITATION Bel18 \l 2057 </w:instrText>
          </w:r>
          <w:r w:rsidRPr="003524D8">
            <w:rPr>
              <w:rFonts w:eastAsiaTheme="majorEastAsia" w:cs="Calibri"/>
            </w:rPr>
            <w:fldChar w:fldCharType="separate"/>
          </w:r>
          <w:r w:rsidRPr="003524D8">
            <w:rPr>
              <w:rFonts w:eastAsiaTheme="majorEastAsia" w:cs="Calibri"/>
              <w:noProof/>
            </w:rPr>
            <w:t xml:space="preserve"> (Bell, et al., 2024)</w:t>
          </w:r>
          <w:r w:rsidRPr="003524D8">
            <w:rPr>
              <w:rFonts w:eastAsiaTheme="majorEastAsia" w:cs="Calibri"/>
            </w:rPr>
            <w:fldChar w:fldCharType="end"/>
          </w:r>
        </w:sdtContent>
      </w:sdt>
      <w:r w:rsidRPr="003524D8">
        <w:rPr>
          <w:rFonts w:eastAsiaTheme="majorEastAsia" w:cs="Calibri"/>
        </w:rPr>
        <w:t xml:space="preserve">. </w:t>
      </w:r>
      <w:r w:rsidRPr="003524D8">
        <w:rPr>
          <w:rFonts w:eastAsia="Aptos" w:cs="Calibri"/>
          <w:color w:val="000000" w:themeColor="text1"/>
        </w:rPr>
        <w:t xml:space="preserve">Utilising the Braun and Clarke </w:t>
      </w:r>
      <w:sdt>
        <w:sdtPr>
          <w:rPr>
            <w:rFonts w:eastAsia="Aptos" w:cs="Calibri"/>
            <w:color w:val="000000" w:themeColor="text1"/>
          </w:rPr>
          <w:id w:val="1519278319"/>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CITATION Bra06 \n  \l 2057 </w:instrText>
          </w:r>
          <w:r w:rsidRPr="003524D8">
            <w:rPr>
              <w:rFonts w:eastAsia="Aptos" w:cs="Calibri"/>
              <w:color w:val="000000" w:themeColor="text1"/>
            </w:rPr>
            <w:fldChar w:fldCharType="separate"/>
          </w:r>
          <w:r w:rsidRPr="003524D8">
            <w:rPr>
              <w:rFonts w:eastAsia="Aptos" w:cs="Calibri"/>
              <w:noProof/>
              <w:color w:val="000000" w:themeColor="text1"/>
            </w:rPr>
            <w:t>(2006)</w:t>
          </w:r>
          <w:r w:rsidRPr="003524D8">
            <w:rPr>
              <w:rFonts w:eastAsia="Aptos" w:cs="Calibri"/>
              <w:color w:val="000000" w:themeColor="text1"/>
            </w:rPr>
            <w:fldChar w:fldCharType="end"/>
          </w:r>
        </w:sdtContent>
      </w:sdt>
      <w:r w:rsidRPr="003524D8">
        <w:rPr>
          <w:rFonts w:eastAsia="Aptos" w:cs="Calibri"/>
          <w:color w:val="000000" w:themeColor="text1"/>
        </w:rPr>
        <w:t xml:space="preserve"> method, the thematic analysis within this research will endeavour to be a robust and flexible tool for analysing the qualitative data collected by this researcher. While thematic analysis is not tied to a specific theoretical framework, it does allow researchers to adopt various epistemological and ontological stances </w:t>
      </w:r>
      <w:sdt>
        <w:sdtPr>
          <w:rPr>
            <w:rFonts w:eastAsia="Aptos" w:cs="Calibri"/>
            <w:color w:val="000000" w:themeColor="text1"/>
          </w:rPr>
          <w:id w:val="-1024867843"/>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 CITATION Cas18 \l 2057 </w:instrText>
          </w:r>
          <w:r w:rsidRPr="003524D8">
            <w:rPr>
              <w:rFonts w:eastAsia="Aptos" w:cs="Calibri"/>
              <w:color w:val="000000" w:themeColor="text1"/>
            </w:rPr>
            <w:fldChar w:fldCharType="separate"/>
          </w:r>
          <w:r w:rsidRPr="003524D8">
            <w:rPr>
              <w:rFonts w:eastAsia="Aptos" w:cs="Calibri"/>
              <w:noProof/>
              <w:color w:val="000000" w:themeColor="text1"/>
            </w:rPr>
            <w:t>(Castleberry &amp; Nolen, 2018)</w:t>
          </w:r>
          <w:r w:rsidRPr="003524D8">
            <w:rPr>
              <w:rFonts w:eastAsia="Aptos" w:cs="Calibri"/>
              <w:color w:val="000000" w:themeColor="text1"/>
            </w:rPr>
            <w:fldChar w:fldCharType="end"/>
          </w:r>
        </w:sdtContent>
      </w:sdt>
      <w:r w:rsidRPr="003524D8">
        <w:rPr>
          <w:rFonts w:eastAsia="Aptos" w:cs="Calibri"/>
          <w:color w:val="000000" w:themeColor="text1"/>
        </w:rPr>
        <w:t>. In the context of studying vocational education, this flexibility is advantageous because the research involves exploring diverse phenomena, such as teaching strategies, student engagement, and institutional practices from the point of a deliverer and student</w:t>
      </w:r>
      <w:sdt>
        <w:sdtPr>
          <w:rPr>
            <w:rFonts w:eastAsia="Aptos" w:cs="Calibri"/>
            <w:color w:val="000000" w:themeColor="text1"/>
          </w:rPr>
          <w:id w:val="1066842883"/>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 CITATION Pow18 \l 2057 </w:instrText>
          </w:r>
          <w:r w:rsidRPr="003524D8">
            <w:rPr>
              <w:rFonts w:eastAsia="Aptos" w:cs="Calibri"/>
              <w:color w:val="000000" w:themeColor="text1"/>
            </w:rPr>
            <w:fldChar w:fldCharType="separate"/>
          </w:r>
          <w:r w:rsidRPr="003524D8">
            <w:rPr>
              <w:rFonts w:eastAsia="Aptos" w:cs="Calibri"/>
              <w:noProof/>
              <w:color w:val="000000" w:themeColor="text1"/>
            </w:rPr>
            <w:t xml:space="preserve"> (Powney &amp; Watts, 2018)</w:t>
          </w:r>
          <w:r w:rsidRPr="003524D8">
            <w:rPr>
              <w:rFonts w:eastAsia="Aptos" w:cs="Calibri"/>
              <w:color w:val="000000" w:themeColor="text1"/>
            </w:rPr>
            <w:fldChar w:fldCharType="end"/>
          </w:r>
        </w:sdtContent>
      </w:sdt>
      <w:r w:rsidRPr="003524D8">
        <w:rPr>
          <w:rFonts w:eastAsia="Aptos" w:cs="Calibri"/>
          <w:color w:val="000000" w:themeColor="text1"/>
        </w:rPr>
        <w:t>. Thematic analysis is particularly effective for capturing the complexity of these dynamics</w:t>
      </w:r>
      <w:sdt>
        <w:sdtPr>
          <w:rPr>
            <w:rFonts w:eastAsia="Aptos" w:cs="Calibri"/>
            <w:color w:val="000000" w:themeColor="text1"/>
          </w:rPr>
          <w:id w:val="-2074808685"/>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 CITATION Bra22 \l 2057 </w:instrText>
          </w:r>
          <w:r w:rsidRPr="003524D8">
            <w:rPr>
              <w:rFonts w:eastAsia="Aptos" w:cs="Calibri"/>
              <w:color w:val="000000" w:themeColor="text1"/>
            </w:rPr>
            <w:fldChar w:fldCharType="separate"/>
          </w:r>
          <w:r w:rsidRPr="003524D8">
            <w:rPr>
              <w:rFonts w:eastAsia="Aptos" w:cs="Calibri"/>
              <w:noProof/>
              <w:color w:val="000000" w:themeColor="text1"/>
            </w:rPr>
            <w:t xml:space="preserve"> (Braun &amp; Clarke, 2022)</w:t>
          </w:r>
          <w:r w:rsidRPr="003524D8">
            <w:rPr>
              <w:rFonts w:eastAsia="Aptos" w:cs="Calibri"/>
              <w:color w:val="000000" w:themeColor="text1"/>
            </w:rPr>
            <w:fldChar w:fldCharType="end"/>
          </w:r>
        </w:sdtContent>
      </w:sdt>
      <w:r w:rsidRPr="003524D8">
        <w:rPr>
          <w:rFonts w:eastAsia="Aptos" w:cs="Calibri"/>
          <w:color w:val="000000" w:themeColor="text1"/>
        </w:rPr>
        <w:t>.</w:t>
      </w:r>
    </w:p>
    <w:p w14:paraId="4D95DCE1" w14:textId="3317BA46" w:rsidR="000F4A24" w:rsidRPr="003524D8" w:rsidRDefault="000F4A24" w:rsidP="00D835E5">
      <w:pPr>
        <w:spacing w:before="240" w:after="240"/>
        <w:rPr>
          <w:rStyle w:val="Strong"/>
          <w:rFonts w:eastAsia="Calibri" w:cs="Calibri"/>
          <w:b w:val="0"/>
          <w:bCs w:val="0"/>
        </w:rPr>
      </w:pPr>
      <w:r w:rsidRPr="003524D8">
        <w:rPr>
          <w:rFonts w:eastAsia="Aptos" w:cs="Calibri"/>
          <w:color w:val="000000" w:themeColor="text1"/>
        </w:rPr>
        <w:lastRenderedPageBreak/>
        <w:t xml:space="preserve">By examining patterns within </w:t>
      </w:r>
      <w:r w:rsidR="00DD39CE" w:rsidRPr="003524D8">
        <w:rPr>
          <w:rFonts w:eastAsia="Aptos" w:cs="Calibri"/>
          <w:color w:val="000000" w:themeColor="text1"/>
        </w:rPr>
        <w:t xml:space="preserve">the three </w:t>
      </w:r>
      <w:r w:rsidRPr="003524D8">
        <w:rPr>
          <w:rFonts w:eastAsia="Aptos" w:cs="Calibri"/>
          <w:color w:val="000000" w:themeColor="text1"/>
        </w:rPr>
        <w:t>semi-structured interviews</w:t>
      </w:r>
      <w:r w:rsidR="00455D5C" w:rsidRPr="003524D8">
        <w:rPr>
          <w:rFonts w:eastAsia="Aptos" w:cs="Calibri"/>
          <w:color w:val="000000" w:themeColor="text1"/>
        </w:rPr>
        <w:t xml:space="preserve"> </w:t>
      </w:r>
      <w:sdt>
        <w:sdtPr>
          <w:rPr>
            <w:rFonts w:eastAsia="Aptos" w:cs="Calibri"/>
            <w:color w:val="000000" w:themeColor="text1"/>
          </w:rPr>
          <w:id w:val="-1686356575"/>
          <w:citation/>
        </w:sdtPr>
        <w:sdtContent>
          <w:r w:rsidR="00455D5C" w:rsidRPr="003524D8">
            <w:rPr>
              <w:rFonts w:eastAsia="Aptos" w:cs="Calibri"/>
              <w:color w:val="000000" w:themeColor="text1"/>
            </w:rPr>
            <w:fldChar w:fldCharType="begin"/>
          </w:r>
          <w:r w:rsidR="00455D5C" w:rsidRPr="003524D8">
            <w:rPr>
              <w:rFonts w:eastAsia="Aptos" w:cs="Calibri"/>
              <w:color w:val="000000" w:themeColor="text1"/>
            </w:rPr>
            <w:instrText xml:space="preserve"> CITATION Mag17 \l 2057 </w:instrText>
          </w:r>
          <w:r w:rsidR="00455D5C" w:rsidRPr="003524D8">
            <w:rPr>
              <w:rFonts w:eastAsia="Aptos" w:cs="Calibri"/>
              <w:color w:val="000000" w:themeColor="text1"/>
            </w:rPr>
            <w:fldChar w:fldCharType="separate"/>
          </w:r>
          <w:r w:rsidR="00455D5C" w:rsidRPr="003524D8">
            <w:rPr>
              <w:rFonts w:eastAsia="Aptos" w:cs="Calibri"/>
              <w:noProof/>
              <w:color w:val="000000" w:themeColor="text1"/>
            </w:rPr>
            <w:t>(Maguire &amp; Delahunt, 2017)</w:t>
          </w:r>
          <w:r w:rsidR="00455D5C" w:rsidRPr="003524D8">
            <w:rPr>
              <w:rFonts w:eastAsia="Aptos" w:cs="Calibri"/>
              <w:color w:val="000000" w:themeColor="text1"/>
            </w:rPr>
            <w:fldChar w:fldCharType="end"/>
          </w:r>
        </w:sdtContent>
      </w:sdt>
      <w:r w:rsidR="00455D5C" w:rsidRPr="003524D8">
        <w:rPr>
          <w:rFonts w:eastAsia="Aptos" w:cs="Calibri"/>
          <w:color w:val="000000" w:themeColor="text1"/>
        </w:rPr>
        <w:t xml:space="preserve">, </w:t>
      </w:r>
      <w:r w:rsidRPr="003524D8">
        <w:rPr>
          <w:rFonts w:eastAsia="Aptos" w:cs="Calibri"/>
          <w:color w:val="000000" w:themeColor="text1"/>
        </w:rPr>
        <w:t xml:space="preserve">this research </w:t>
      </w:r>
      <w:r w:rsidR="006553C6" w:rsidRPr="003524D8">
        <w:rPr>
          <w:rFonts w:eastAsia="Aptos" w:cs="Calibri"/>
          <w:color w:val="000000" w:themeColor="text1"/>
        </w:rPr>
        <w:t>will</w:t>
      </w:r>
      <w:r w:rsidRPr="003524D8">
        <w:rPr>
          <w:rFonts w:eastAsia="Aptos" w:cs="Calibri"/>
          <w:color w:val="000000" w:themeColor="text1"/>
        </w:rPr>
        <w:t xml:space="preserve"> explore </w:t>
      </w:r>
      <w:r w:rsidR="006553C6" w:rsidRPr="003524D8">
        <w:rPr>
          <w:rFonts w:eastAsia="Aptos" w:cs="Calibri"/>
          <w:color w:val="000000" w:themeColor="text1"/>
        </w:rPr>
        <w:t>the themes that develop</w:t>
      </w:r>
      <w:r w:rsidR="00DD39CE" w:rsidRPr="003524D8">
        <w:rPr>
          <w:rFonts w:eastAsia="Aptos" w:cs="Calibri"/>
          <w:color w:val="000000" w:themeColor="text1"/>
        </w:rPr>
        <w:t xml:space="preserve"> in </w:t>
      </w:r>
      <w:r w:rsidR="00DF1414" w:rsidRPr="003524D8">
        <w:rPr>
          <w:rFonts w:eastAsiaTheme="majorEastAsia" w:cs="Calibri"/>
        </w:rPr>
        <w:t>a cross-case</w:t>
      </w:r>
      <w:r w:rsidR="00FB55D2" w:rsidRPr="003524D8">
        <w:rPr>
          <w:rFonts w:eastAsiaTheme="majorEastAsia" w:cs="Calibri"/>
        </w:rPr>
        <w:t xml:space="preserve"> </w:t>
      </w:r>
      <w:r w:rsidR="00DF1414" w:rsidRPr="003524D8">
        <w:rPr>
          <w:rFonts w:eastAsiaTheme="majorEastAsia" w:cs="Calibri"/>
        </w:rPr>
        <w:t>analysi</w:t>
      </w:r>
      <w:r w:rsidR="00FB55D2" w:rsidRPr="003524D8">
        <w:rPr>
          <w:rFonts w:eastAsiaTheme="majorEastAsia" w:cs="Calibri"/>
        </w:rPr>
        <w:t xml:space="preserve">s </w:t>
      </w:r>
      <w:sdt>
        <w:sdtPr>
          <w:rPr>
            <w:rFonts w:eastAsiaTheme="majorEastAsia" w:cs="Calibri"/>
          </w:rPr>
          <w:id w:val="1764494460"/>
          <w:citation/>
        </w:sdtPr>
        <w:sdtContent>
          <w:r w:rsidR="00FB55D2" w:rsidRPr="003524D8">
            <w:rPr>
              <w:rFonts w:eastAsiaTheme="majorEastAsia" w:cs="Calibri"/>
            </w:rPr>
            <w:fldChar w:fldCharType="begin"/>
          </w:r>
          <w:r w:rsidR="00FB55D2" w:rsidRPr="003524D8">
            <w:rPr>
              <w:rFonts w:eastAsiaTheme="majorEastAsia" w:cs="Calibri"/>
            </w:rPr>
            <w:instrText xml:space="preserve"> CITATION San07 \l 2057 </w:instrText>
          </w:r>
          <w:r w:rsidR="00FB55D2" w:rsidRPr="003524D8">
            <w:rPr>
              <w:rFonts w:eastAsiaTheme="majorEastAsia" w:cs="Calibri"/>
            </w:rPr>
            <w:fldChar w:fldCharType="separate"/>
          </w:r>
          <w:r w:rsidR="00FB55D2" w:rsidRPr="003524D8">
            <w:rPr>
              <w:rFonts w:eastAsiaTheme="majorEastAsia" w:cs="Calibri"/>
              <w:noProof/>
            </w:rPr>
            <w:t>(Sandars, et al., 2007)</w:t>
          </w:r>
          <w:r w:rsidR="00FB55D2" w:rsidRPr="003524D8">
            <w:rPr>
              <w:rFonts w:eastAsiaTheme="majorEastAsia" w:cs="Calibri"/>
            </w:rPr>
            <w:fldChar w:fldCharType="end"/>
          </w:r>
        </w:sdtContent>
      </w:sdt>
      <w:r w:rsidR="004C5A0D" w:rsidRPr="003524D8">
        <w:rPr>
          <w:rFonts w:eastAsiaTheme="majorEastAsia" w:cs="Calibri"/>
        </w:rPr>
        <w:t xml:space="preserve">, </w:t>
      </w:r>
      <w:r w:rsidR="00DD39CE" w:rsidRPr="003524D8">
        <w:rPr>
          <w:rFonts w:eastAsiaTheme="majorEastAsia" w:cs="Calibri"/>
        </w:rPr>
        <w:t>and</w:t>
      </w:r>
      <w:r w:rsidR="00DF1414" w:rsidRPr="003524D8">
        <w:rPr>
          <w:rFonts w:eastAsiaTheme="majorEastAsia" w:cs="Calibri"/>
        </w:rPr>
        <w:t xml:space="preserve"> identifying common themes as well as unique perspectives</w:t>
      </w:r>
      <w:r w:rsidR="00DD39CE" w:rsidRPr="003524D8">
        <w:rPr>
          <w:rFonts w:eastAsiaTheme="majorEastAsia" w:cs="Calibri"/>
        </w:rPr>
        <w:t>. This will provide</w:t>
      </w:r>
      <w:r w:rsidR="00DF1414" w:rsidRPr="003524D8">
        <w:rPr>
          <w:rFonts w:eastAsiaTheme="majorEastAsia" w:cs="Calibri"/>
        </w:rPr>
        <w:t xml:space="preserve"> a richer understanding of the topic</w:t>
      </w:r>
      <w:sdt>
        <w:sdtPr>
          <w:rPr>
            <w:rFonts w:eastAsiaTheme="majorEastAsia" w:cs="Calibri"/>
          </w:rPr>
          <w:id w:val="1905096657"/>
          <w:citation/>
        </w:sdtPr>
        <w:sdtContent>
          <w:r w:rsidR="00DD39CE" w:rsidRPr="003524D8">
            <w:rPr>
              <w:rFonts w:eastAsiaTheme="majorEastAsia" w:cs="Calibri"/>
            </w:rPr>
            <w:fldChar w:fldCharType="begin"/>
          </w:r>
          <w:r w:rsidR="00DD39CE" w:rsidRPr="003524D8">
            <w:rPr>
              <w:rFonts w:eastAsiaTheme="majorEastAsia" w:cs="Calibri"/>
            </w:rPr>
            <w:instrText xml:space="preserve"> CITATION Pow18 \l 2057 </w:instrText>
          </w:r>
          <w:r w:rsidR="00DD39CE" w:rsidRPr="003524D8">
            <w:rPr>
              <w:rFonts w:eastAsiaTheme="majorEastAsia" w:cs="Calibri"/>
            </w:rPr>
            <w:fldChar w:fldCharType="separate"/>
          </w:r>
          <w:r w:rsidR="00DD39CE" w:rsidRPr="003524D8">
            <w:rPr>
              <w:rFonts w:eastAsiaTheme="majorEastAsia" w:cs="Calibri"/>
              <w:noProof/>
            </w:rPr>
            <w:t xml:space="preserve"> (Powney &amp; Watts, 2018)</w:t>
          </w:r>
          <w:r w:rsidR="00DD39CE" w:rsidRPr="003524D8">
            <w:rPr>
              <w:rFonts w:eastAsiaTheme="majorEastAsia" w:cs="Calibri"/>
            </w:rPr>
            <w:fldChar w:fldCharType="end"/>
          </w:r>
        </w:sdtContent>
      </w:sdt>
      <w:r w:rsidR="00DF1414" w:rsidRPr="003524D8">
        <w:rPr>
          <w:rFonts w:eastAsiaTheme="majorEastAsia" w:cs="Calibri"/>
        </w:rPr>
        <w:t>.</w:t>
      </w:r>
      <w:r w:rsidR="00DF1414" w:rsidRPr="003524D8">
        <w:rPr>
          <w:rFonts w:cs="Calibri"/>
        </w:rPr>
        <w:t xml:space="preserve"> </w:t>
      </w:r>
      <w:r w:rsidR="00455D5C" w:rsidRPr="003524D8">
        <w:rPr>
          <w:rFonts w:eastAsia="Aptos" w:cs="Calibri"/>
          <w:color w:val="000000" w:themeColor="text1"/>
        </w:rPr>
        <w:t xml:space="preserve">Braun and Clarke </w:t>
      </w:r>
      <w:sdt>
        <w:sdtPr>
          <w:rPr>
            <w:rFonts w:eastAsia="Aptos" w:cs="Calibri"/>
            <w:color w:val="000000" w:themeColor="text1"/>
          </w:rPr>
          <w:id w:val="993063836"/>
          <w:citation/>
        </w:sdtPr>
        <w:sdtContent>
          <w:r w:rsidR="00455D5C" w:rsidRPr="003524D8">
            <w:rPr>
              <w:rFonts w:eastAsia="Aptos" w:cs="Calibri"/>
              <w:color w:val="000000" w:themeColor="text1"/>
            </w:rPr>
            <w:fldChar w:fldCharType="begin"/>
          </w:r>
          <w:r w:rsidR="00455D5C" w:rsidRPr="003524D8">
            <w:rPr>
              <w:rFonts w:eastAsia="Aptos" w:cs="Calibri"/>
              <w:color w:val="000000" w:themeColor="text1"/>
            </w:rPr>
            <w:instrText xml:space="preserve">CITATION Bra06 \n  \l 2057 </w:instrText>
          </w:r>
          <w:r w:rsidR="00455D5C" w:rsidRPr="003524D8">
            <w:rPr>
              <w:rFonts w:eastAsia="Aptos" w:cs="Calibri"/>
              <w:color w:val="000000" w:themeColor="text1"/>
            </w:rPr>
            <w:fldChar w:fldCharType="separate"/>
          </w:r>
          <w:r w:rsidR="00455D5C" w:rsidRPr="003524D8">
            <w:rPr>
              <w:rFonts w:eastAsia="Aptos" w:cs="Calibri"/>
              <w:noProof/>
              <w:color w:val="000000" w:themeColor="text1"/>
            </w:rPr>
            <w:t>(2006)</w:t>
          </w:r>
          <w:r w:rsidR="00455D5C" w:rsidRPr="003524D8">
            <w:rPr>
              <w:rFonts w:eastAsia="Aptos" w:cs="Calibri"/>
              <w:color w:val="000000" w:themeColor="text1"/>
            </w:rPr>
            <w:fldChar w:fldCharType="end"/>
          </w:r>
        </w:sdtContent>
      </w:sdt>
      <w:r w:rsidR="00455D5C" w:rsidRPr="003524D8">
        <w:rPr>
          <w:rFonts w:eastAsia="Aptos" w:cs="Calibri"/>
          <w:color w:val="000000" w:themeColor="text1"/>
        </w:rPr>
        <w:t xml:space="preserve"> </w:t>
      </w:r>
      <w:r w:rsidRPr="003524D8">
        <w:rPr>
          <w:rFonts w:eastAsia="Calibri" w:cs="Calibri"/>
        </w:rPr>
        <w:t>offer a detailed six-phase framework</w:t>
      </w:r>
      <w:r w:rsidR="00455D5C" w:rsidRPr="003524D8">
        <w:rPr>
          <w:rFonts w:eastAsia="Calibri" w:cs="Calibri"/>
        </w:rPr>
        <w:t>, as shown in</w:t>
      </w:r>
      <w:r w:rsidR="00B545C8">
        <w:rPr>
          <w:rFonts w:eastAsia="Calibri" w:cs="Calibri"/>
        </w:rPr>
        <w:t xml:space="preserve"> </w:t>
      </w:r>
      <w:r w:rsidR="00B545C8">
        <w:rPr>
          <w:rFonts w:eastAsia="Calibri" w:cs="Calibri"/>
        </w:rPr>
        <w:fldChar w:fldCharType="begin"/>
      </w:r>
      <w:r w:rsidR="00B545C8">
        <w:rPr>
          <w:rFonts w:eastAsia="Calibri" w:cs="Calibri"/>
        </w:rPr>
        <w:instrText xml:space="preserve"> REF _Ref185605749 \h </w:instrText>
      </w:r>
      <w:r w:rsidR="00B545C8">
        <w:rPr>
          <w:rFonts w:eastAsia="Calibri" w:cs="Calibri"/>
        </w:rPr>
      </w:r>
      <w:r w:rsidR="00B545C8">
        <w:rPr>
          <w:rFonts w:eastAsia="Calibri" w:cs="Calibri"/>
        </w:rPr>
        <w:fldChar w:fldCharType="separate"/>
      </w:r>
      <w:r w:rsidR="00B545C8">
        <w:t xml:space="preserve">Figure </w:t>
      </w:r>
      <w:r w:rsidR="00B545C8">
        <w:rPr>
          <w:noProof/>
        </w:rPr>
        <w:t>1</w:t>
      </w:r>
      <w:r w:rsidR="00B545C8">
        <w:rPr>
          <w:rFonts w:eastAsia="Calibri" w:cs="Calibri"/>
        </w:rPr>
        <w:fldChar w:fldCharType="end"/>
      </w:r>
      <w:r w:rsidR="00B545C8">
        <w:rPr>
          <w:rFonts w:eastAsia="Calibri" w:cs="Calibri"/>
        </w:rPr>
        <w:t>, which will be followed by this researcher.</w:t>
      </w:r>
    </w:p>
    <w:p w14:paraId="412891CF" w14:textId="77777777" w:rsidR="00B545C8" w:rsidRDefault="3E3FDF3A" w:rsidP="00B545C8">
      <w:pPr>
        <w:keepNext/>
        <w:spacing w:before="240" w:after="240"/>
      </w:pPr>
      <w:r w:rsidRPr="003524D8">
        <w:rPr>
          <w:rFonts w:cs="Calibri"/>
          <w:noProof/>
        </w:rPr>
        <w:drawing>
          <wp:inline distT="0" distB="0" distL="0" distR="0" wp14:anchorId="6B50D25B" wp14:editId="1B4F08B0">
            <wp:extent cx="5943600" cy="552450"/>
            <wp:effectExtent l="0" t="0" r="0" b="0"/>
            <wp:docPr id="1639544960" name="Picture 163954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44960" name="Picture 1639544960"/>
                    <pic:cNvPicPr/>
                  </pic:nvPicPr>
                  <pic:blipFill>
                    <a:blip r:embed="rId9">
                      <a:extLst>
                        <a:ext uri="{28A0092B-C50C-407E-A947-70E740481C1C}">
                          <a14:useLocalDpi xmlns:a14="http://schemas.microsoft.com/office/drawing/2010/main" val="0"/>
                        </a:ext>
                      </a:extLst>
                    </a:blip>
                    <a:stretch>
                      <a:fillRect/>
                    </a:stretch>
                  </pic:blipFill>
                  <pic:spPr>
                    <a:xfrm>
                      <a:off x="0" y="0"/>
                      <a:ext cx="5943600" cy="552450"/>
                    </a:xfrm>
                    <a:prstGeom prst="rect">
                      <a:avLst/>
                    </a:prstGeom>
                  </pic:spPr>
                </pic:pic>
              </a:graphicData>
            </a:graphic>
          </wp:inline>
        </w:drawing>
      </w:r>
    </w:p>
    <w:p w14:paraId="0C70820D" w14:textId="69AD85BC" w:rsidR="00996CFD" w:rsidRPr="00B545C8" w:rsidRDefault="00B545C8" w:rsidP="00B545C8">
      <w:pPr>
        <w:pStyle w:val="Caption"/>
        <w:rPr>
          <w:rFonts w:cs="Calibri"/>
          <w:color w:val="auto"/>
        </w:rPr>
      </w:pPr>
      <w:bookmarkStart w:id="9" w:name="_Ref185605749"/>
      <w:bookmarkStart w:id="10" w:name="_Toc185609201"/>
      <w:r>
        <w:t xml:space="preserve">Figure </w:t>
      </w:r>
      <w:r>
        <w:fldChar w:fldCharType="begin"/>
      </w:r>
      <w:r>
        <w:instrText xml:space="preserve"> SEQ Figure \* ARABIC </w:instrText>
      </w:r>
      <w:r>
        <w:fldChar w:fldCharType="separate"/>
      </w:r>
      <w:r>
        <w:rPr>
          <w:noProof/>
        </w:rPr>
        <w:t>1</w:t>
      </w:r>
      <w:r>
        <w:fldChar w:fldCharType="end"/>
      </w:r>
      <w:bookmarkEnd w:id="9"/>
      <w:r>
        <w:t xml:space="preserve">: </w:t>
      </w:r>
      <w:r w:rsidRPr="00F91074">
        <w:t>The Braun and Clarke Method (2006)</w:t>
      </w:r>
      <w:bookmarkEnd w:id="10"/>
    </w:p>
    <w:p w14:paraId="29F89957" w14:textId="20C40CF1" w:rsidR="00996CFD" w:rsidRPr="003524D8" w:rsidRDefault="00B545C8" w:rsidP="00D835E5">
      <w:pPr>
        <w:spacing w:before="240" w:after="240"/>
        <w:rPr>
          <w:rFonts w:eastAsia="Calibri" w:cs="Calibri"/>
        </w:rPr>
      </w:pPr>
      <w:r>
        <w:rPr>
          <w:rFonts w:eastAsia="Aptos" w:cs="Calibri"/>
          <w:color w:val="000000" w:themeColor="text1"/>
        </w:rPr>
        <w:t>This framework</w:t>
      </w:r>
      <w:r w:rsidR="00747429" w:rsidRPr="003524D8">
        <w:rPr>
          <w:rFonts w:eastAsia="Aptos" w:cs="Calibri"/>
          <w:color w:val="000000" w:themeColor="text1"/>
        </w:rPr>
        <w:t xml:space="preserve"> </w:t>
      </w:r>
      <w:r w:rsidR="3E3FDF3A" w:rsidRPr="003524D8">
        <w:rPr>
          <w:rFonts w:eastAsia="Aptos" w:cs="Calibri"/>
          <w:color w:val="000000" w:themeColor="text1"/>
        </w:rPr>
        <w:t>provides a structured</w:t>
      </w:r>
      <w:r>
        <w:rPr>
          <w:rFonts w:eastAsia="Aptos" w:cs="Calibri"/>
          <w:color w:val="000000" w:themeColor="text1"/>
        </w:rPr>
        <w:t>,</w:t>
      </w:r>
      <w:r w:rsidR="3E3FDF3A" w:rsidRPr="003524D8">
        <w:rPr>
          <w:rFonts w:eastAsia="Aptos" w:cs="Calibri"/>
          <w:color w:val="000000" w:themeColor="text1"/>
        </w:rPr>
        <w:t xml:space="preserve"> yet adaptable</w:t>
      </w:r>
      <w:r>
        <w:rPr>
          <w:rFonts w:eastAsia="Aptos" w:cs="Calibri"/>
          <w:color w:val="000000" w:themeColor="text1"/>
        </w:rPr>
        <w:t>,</w:t>
      </w:r>
      <w:r w:rsidR="3E3FDF3A" w:rsidRPr="003524D8">
        <w:rPr>
          <w:rFonts w:eastAsia="Aptos" w:cs="Calibri"/>
          <w:color w:val="000000" w:themeColor="text1"/>
        </w:rPr>
        <w:t xml:space="preserve"> approach for analysing qualitative data</w:t>
      </w:r>
      <w:r w:rsidR="00BA1DE0" w:rsidRPr="003524D8">
        <w:rPr>
          <w:rFonts w:eastAsia="Aptos" w:cs="Calibri"/>
          <w:color w:val="000000" w:themeColor="text1"/>
        </w:rPr>
        <w:t xml:space="preserve"> and</w:t>
      </w:r>
      <w:r w:rsidR="3E3FDF3A" w:rsidRPr="003524D8">
        <w:rPr>
          <w:rFonts w:eastAsia="Aptos" w:cs="Calibri"/>
          <w:color w:val="000000" w:themeColor="text1"/>
        </w:rPr>
        <w:t xml:space="preserve"> ensures </w:t>
      </w:r>
      <w:r w:rsidR="00336A7A" w:rsidRPr="003524D8">
        <w:rPr>
          <w:rFonts w:eastAsia="Aptos" w:cs="Calibri"/>
          <w:color w:val="000000" w:themeColor="text1"/>
        </w:rPr>
        <w:t xml:space="preserve">that </w:t>
      </w:r>
      <w:r w:rsidR="3E3FDF3A" w:rsidRPr="003524D8">
        <w:rPr>
          <w:rFonts w:eastAsia="Aptos" w:cs="Calibri"/>
          <w:color w:val="000000" w:themeColor="text1"/>
        </w:rPr>
        <w:t>the analysis is rigorous and transparent, making it easier for stakeholders, such as policymakers or college administrators, to trust and apply the findings</w:t>
      </w:r>
      <w:r w:rsidR="00B95F86" w:rsidRPr="003524D8">
        <w:rPr>
          <w:rFonts w:eastAsia="Aptos" w:cs="Calibri"/>
          <w:color w:val="000000" w:themeColor="text1"/>
        </w:rPr>
        <w:t xml:space="preserve"> </w:t>
      </w:r>
      <w:sdt>
        <w:sdtPr>
          <w:rPr>
            <w:rFonts w:eastAsia="Aptos" w:cs="Calibri"/>
            <w:color w:val="000000" w:themeColor="text1"/>
          </w:rPr>
          <w:id w:val="-772314596"/>
          <w:citation/>
        </w:sdtPr>
        <w:sdtContent>
          <w:r w:rsidR="00B95F86" w:rsidRPr="003524D8">
            <w:rPr>
              <w:rFonts w:eastAsia="Aptos" w:cs="Calibri"/>
              <w:color w:val="000000" w:themeColor="text1"/>
            </w:rPr>
            <w:fldChar w:fldCharType="begin"/>
          </w:r>
          <w:r w:rsidR="00B95F86" w:rsidRPr="003524D8">
            <w:rPr>
              <w:rFonts w:eastAsia="Aptos" w:cs="Calibri"/>
              <w:color w:val="000000" w:themeColor="text1"/>
            </w:rPr>
            <w:instrText xml:space="preserve"> CITATION Now17 \l 2057 </w:instrText>
          </w:r>
          <w:r w:rsidR="00B95F86" w:rsidRPr="003524D8">
            <w:rPr>
              <w:rFonts w:eastAsia="Aptos" w:cs="Calibri"/>
              <w:color w:val="000000" w:themeColor="text1"/>
            </w:rPr>
            <w:fldChar w:fldCharType="separate"/>
          </w:r>
          <w:r w:rsidR="00B95F86" w:rsidRPr="003524D8">
            <w:rPr>
              <w:rFonts w:eastAsia="Aptos" w:cs="Calibri"/>
              <w:noProof/>
              <w:color w:val="000000" w:themeColor="text1"/>
            </w:rPr>
            <w:t>(Nowell, et al., 2017)</w:t>
          </w:r>
          <w:r w:rsidR="00B95F86" w:rsidRPr="003524D8">
            <w:rPr>
              <w:rFonts w:eastAsia="Aptos" w:cs="Calibri"/>
              <w:color w:val="000000" w:themeColor="text1"/>
            </w:rPr>
            <w:fldChar w:fldCharType="end"/>
          </w:r>
        </w:sdtContent>
      </w:sdt>
      <w:r w:rsidR="3E3FDF3A" w:rsidRPr="003524D8">
        <w:rPr>
          <w:rFonts w:eastAsia="Aptos" w:cs="Calibri"/>
          <w:color w:val="000000" w:themeColor="text1"/>
        </w:rPr>
        <w:t>.</w:t>
      </w:r>
      <w:r w:rsidR="00455D5C" w:rsidRPr="003524D8">
        <w:rPr>
          <w:rFonts w:eastAsia="Aptos" w:cs="Calibri"/>
          <w:color w:val="000000" w:themeColor="text1"/>
        </w:rPr>
        <w:t xml:space="preserve"> </w:t>
      </w:r>
      <w:r w:rsidR="3E3FDF3A" w:rsidRPr="003524D8">
        <w:rPr>
          <w:rFonts w:eastAsia="Aptos" w:cs="Calibri"/>
          <w:color w:val="000000" w:themeColor="text1"/>
        </w:rPr>
        <w:t>Braun and Clarke</w:t>
      </w:r>
      <w:sdt>
        <w:sdtPr>
          <w:rPr>
            <w:rFonts w:eastAsia="Aptos" w:cs="Calibri"/>
            <w:color w:val="000000" w:themeColor="text1"/>
          </w:rPr>
          <w:id w:val="-856347203"/>
          <w:citation/>
        </w:sdtPr>
        <w:sdtContent>
          <w:r w:rsidR="00B95F86" w:rsidRPr="003524D8">
            <w:rPr>
              <w:rFonts w:eastAsia="Aptos" w:cs="Calibri"/>
              <w:color w:val="000000" w:themeColor="text1"/>
            </w:rPr>
            <w:fldChar w:fldCharType="begin"/>
          </w:r>
          <w:r w:rsidR="00B95F86" w:rsidRPr="003524D8">
            <w:rPr>
              <w:rFonts w:eastAsia="Aptos" w:cs="Calibri"/>
              <w:color w:val="000000" w:themeColor="text1"/>
            </w:rPr>
            <w:instrText xml:space="preserve">CITATION Bra06 \n  \l 2057 </w:instrText>
          </w:r>
          <w:r w:rsidR="00B95F86" w:rsidRPr="003524D8">
            <w:rPr>
              <w:rFonts w:eastAsia="Aptos" w:cs="Calibri"/>
              <w:color w:val="000000" w:themeColor="text1"/>
            </w:rPr>
            <w:fldChar w:fldCharType="separate"/>
          </w:r>
          <w:r w:rsidR="00B95F86" w:rsidRPr="003524D8">
            <w:rPr>
              <w:rFonts w:eastAsia="Aptos" w:cs="Calibri"/>
              <w:noProof/>
              <w:color w:val="000000" w:themeColor="text1"/>
            </w:rPr>
            <w:t xml:space="preserve"> (2006)</w:t>
          </w:r>
          <w:r w:rsidR="00B95F86" w:rsidRPr="003524D8">
            <w:rPr>
              <w:rFonts w:eastAsia="Aptos" w:cs="Calibri"/>
              <w:color w:val="000000" w:themeColor="text1"/>
            </w:rPr>
            <w:fldChar w:fldCharType="end"/>
          </w:r>
        </w:sdtContent>
      </w:sdt>
      <w:r w:rsidR="00B95F86" w:rsidRPr="003524D8">
        <w:rPr>
          <w:rFonts w:eastAsia="Aptos" w:cs="Calibri"/>
          <w:color w:val="000000" w:themeColor="text1"/>
        </w:rPr>
        <w:t xml:space="preserve"> </w:t>
      </w:r>
      <w:r w:rsidR="3E3FDF3A" w:rsidRPr="003524D8">
        <w:rPr>
          <w:rFonts w:eastAsia="Aptos" w:cs="Calibri"/>
          <w:color w:val="000000" w:themeColor="text1"/>
        </w:rPr>
        <w:t>emphasi</w:t>
      </w:r>
      <w:r w:rsidR="001E525F" w:rsidRPr="003524D8">
        <w:rPr>
          <w:rFonts w:eastAsia="Aptos" w:cs="Calibri"/>
          <w:color w:val="000000" w:themeColor="text1"/>
        </w:rPr>
        <w:t>s</w:t>
      </w:r>
      <w:r w:rsidR="3E3FDF3A" w:rsidRPr="003524D8">
        <w:rPr>
          <w:rFonts w:eastAsia="Aptos" w:cs="Calibri"/>
          <w:color w:val="000000" w:themeColor="text1"/>
        </w:rPr>
        <w:t>e the active role of the researcher in the analytical process</w:t>
      </w:r>
      <w:r w:rsidR="00BA1DE0" w:rsidRPr="003524D8">
        <w:rPr>
          <w:rFonts w:eastAsia="Aptos" w:cs="Calibri"/>
          <w:color w:val="000000" w:themeColor="text1"/>
        </w:rPr>
        <w:t xml:space="preserve"> and in</w:t>
      </w:r>
      <w:r w:rsidR="00BA1DE0" w:rsidRPr="003524D8">
        <w:rPr>
          <w:rFonts w:eastAsia="Calibri" w:cs="Calibri"/>
        </w:rPr>
        <w:t xml:space="preserve"> </w:t>
      </w:r>
      <w:r w:rsidR="00455D5C" w:rsidRPr="003524D8">
        <w:rPr>
          <w:rFonts w:eastAsia="Calibri" w:cs="Calibri"/>
        </w:rPr>
        <w:t>subsequent works</w:t>
      </w:r>
      <w:sdt>
        <w:sdtPr>
          <w:rPr>
            <w:rFonts w:eastAsia="Calibri" w:cs="Calibri"/>
          </w:rPr>
          <w:id w:val="-1989701005"/>
          <w:citation/>
        </w:sdtPr>
        <w:sdtContent>
          <w:r w:rsidR="00455D5C" w:rsidRPr="003524D8">
            <w:rPr>
              <w:rFonts w:eastAsia="Calibri" w:cs="Calibri"/>
            </w:rPr>
            <w:fldChar w:fldCharType="begin"/>
          </w:r>
          <w:r w:rsidR="00455D5C" w:rsidRPr="003524D8">
            <w:rPr>
              <w:rFonts w:eastAsia="Calibri" w:cs="Calibri"/>
            </w:rPr>
            <w:instrText xml:space="preserve">CITATION Bra21 \n  \l 2057 </w:instrText>
          </w:r>
          <w:r w:rsidR="00455D5C" w:rsidRPr="003524D8">
            <w:rPr>
              <w:rFonts w:eastAsia="Calibri" w:cs="Calibri"/>
            </w:rPr>
            <w:fldChar w:fldCharType="separate"/>
          </w:r>
          <w:r w:rsidR="00455D5C" w:rsidRPr="003524D8">
            <w:rPr>
              <w:rFonts w:eastAsia="Calibri" w:cs="Calibri"/>
              <w:noProof/>
            </w:rPr>
            <w:t xml:space="preserve"> (2021)</w:t>
          </w:r>
          <w:r w:rsidR="00455D5C" w:rsidRPr="003524D8">
            <w:rPr>
              <w:rFonts w:eastAsia="Calibri" w:cs="Calibri"/>
            </w:rPr>
            <w:fldChar w:fldCharType="end"/>
          </w:r>
        </w:sdtContent>
      </w:sdt>
      <w:r w:rsidR="007327E4">
        <w:rPr>
          <w:rFonts w:eastAsia="Calibri" w:cs="Calibri"/>
        </w:rPr>
        <w:t>,</w:t>
      </w:r>
      <w:r w:rsidR="00455D5C" w:rsidRPr="003524D8">
        <w:rPr>
          <w:rFonts w:eastAsia="Calibri" w:cs="Calibri"/>
        </w:rPr>
        <w:t xml:space="preserve"> </w:t>
      </w:r>
      <w:sdt>
        <w:sdtPr>
          <w:rPr>
            <w:rFonts w:eastAsia="Calibri" w:cs="Calibri"/>
          </w:rPr>
          <w:id w:val="-2132629345"/>
          <w:citation/>
        </w:sdtPr>
        <w:sdtContent>
          <w:r w:rsidR="00455D5C" w:rsidRPr="003524D8">
            <w:rPr>
              <w:rFonts w:eastAsia="Calibri" w:cs="Calibri"/>
            </w:rPr>
            <w:fldChar w:fldCharType="begin"/>
          </w:r>
          <w:r w:rsidR="00455D5C" w:rsidRPr="003524D8">
            <w:rPr>
              <w:rFonts w:eastAsia="Calibri" w:cs="Calibri"/>
            </w:rPr>
            <w:instrText xml:space="preserve">CITATION Bra22 \n  \l 2057 </w:instrText>
          </w:r>
          <w:r w:rsidR="00455D5C" w:rsidRPr="003524D8">
            <w:rPr>
              <w:rFonts w:eastAsia="Calibri" w:cs="Calibri"/>
            </w:rPr>
            <w:fldChar w:fldCharType="separate"/>
          </w:r>
          <w:r w:rsidR="00455D5C" w:rsidRPr="003524D8">
            <w:rPr>
              <w:rFonts w:eastAsia="Calibri" w:cs="Calibri"/>
              <w:noProof/>
            </w:rPr>
            <w:t>(2022)</w:t>
          </w:r>
          <w:r w:rsidR="00455D5C" w:rsidRPr="003524D8">
            <w:rPr>
              <w:rFonts w:eastAsia="Calibri" w:cs="Calibri"/>
            </w:rPr>
            <w:fldChar w:fldCharType="end"/>
          </w:r>
        </w:sdtContent>
      </w:sdt>
      <w:r w:rsidR="00BA1DE0" w:rsidRPr="003524D8">
        <w:rPr>
          <w:rFonts w:eastAsia="Calibri" w:cs="Calibri"/>
        </w:rPr>
        <w:t xml:space="preserve">, they </w:t>
      </w:r>
      <w:r w:rsidR="00455D5C" w:rsidRPr="003524D8">
        <w:rPr>
          <w:rFonts w:eastAsia="Calibri" w:cs="Calibri"/>
        </w:rPr>
        <w:t xml:space="preserve">expand on the reflexive approach, emphasising the interpretive process and the researcher’s active role in theme construction. </w:t>
      </w:r>
      <w:r w:rsidR="3E3FDF3A" w:rsidRPr="003524D8">
        <w:rPr>
          <w:rFonts w:eastAsia="Aptos" w:cs="Calibri"/>
          <w:color w:val="000000" w:themeColor="text1"/>
        </w:rPr>
        <w:t>Reflexivity is particularly important in this context, as this researcher is embedded within the FE</w:t>
      </w:r>
      <w:r w:rsidR="001E525F" w:rsidRPr="003524D8">
        <w:rPr>
          <w:rFonts w:eastAsia="Aptos" w:cs="Calibri"/>
          <w:color w:val="000000" w:themeColor="text1"/>
        </w:rPr>
        <w:t>I</w:t>
      </w:r>
      <w:r w:rsidR="3E3FDF3A" w:rsidRPr="003524D8">
        <w:rPr>
          <w:rFonts w:eastAsia="Aptos" w:cs="Calibri"/>
          <w:color w:val="000000" w:themeColor="text1"/>
        </w:rPr>
        <w:t xml:space="preserve"> institution being </w:t>
      </w:r>
      <w:r w:rsidR="007327E4" w:rsidRPr="003524D8">
        <w:rPr>
          <w:rFonts w:eastAsia="Aptos" w:cs="Calibri"/>
          <w:color w:val="000000" w:themeColor="text1"/>
        </w:rPr>
        <w:t>studied and</w:t>
      </w:r>
      <w:r w:rsidR="3E3FDF3A" w:rsidRPr="003524D8">
        <w:rPr>
          <w:rFonts w:eastAsia="Aptos" w:cs="Calibri"/>
          <w:color w:val="000000" w:themeColor="text1"/>
        </w:rPr>
        <w:t xml:space="preserve"> must critically engage with </w:t>
      </w:r>
      <w:r w:rsidR="00BA1DE0" w:rsidRPr="003524D8">
        <w:rPr>
          <w:rFonts w:eastAsia="Aptos" w:cs="Calibri"/>
          <w:color w:val="000000" w:themeColor="text1"/>
        </w:rPr>
        <w:t>his</w:t>
      </w:r>
      <w:r w:rsidR="3E3FDF3A" w:rsidRPr="003524D8">
        <w:rPr>
          <w:rFonts w:eastAsia="Aptos" w:cs="Calibri"/>
          <w:color w:val="000000" w:themeColor="text1"/>
        </w:rPr>
        <w:t xml:space="preserve"> own biases and assumptions</w:t>
      </w:r>
      <w:r w:rsidR="00BA1DE0" w:rsidRPr="003524D8">
        <w:rPr>
          <w:rFonts w:eastAsia="Aptos" w:cs="Calibri"/>
          <w:color w:val="000000" w:themeColor="text1"/>
        </w:rPr>
        <w:t xml:space="preserve"> </w:t>
      </w:r>
      <w:sdt>
        <w:sdtPr>
          <w:rPr>
            <w:rFonts w:eastAsia="Aptos" w:cs="Calibri"/>
            <w:color w:val="000000" w:themeColor="text1"/>
          </w:rPr>
          <w:id w:val="1943571147"/>
          <w:citation/>
        </w:sdtPr>
        <w:sdtContent>
          <w:r w:rsidR="0080787D" w:rsidRPr="003524D8">
            <w:rPr>
              <w:rFonts w:eastAsia="Aptos" w:cs="Calibri"/>
              <w:color w:val="000000" w:themeColor="text1"/>
            </w:rPr>
            <w:fldChar w:fldCharType="begin"/>
          </w:r>
          <w:r w:rsidR="0080787D" w:rsidRPr="003524D8">
            <w:rPr>
              <w:rFonts w:eastAsia="Aptos" w:cs="Calibri"/>
              <w:color w:val="000000" w:themeColor="text1"/>
            </w:rPr>
            <w:instrText xml:space="preserve"> CITATION Hol20 \l 2057 </w:instrText>
          </w:r>
          <w:r w:rsidR="0080787D" w:rsidRPr="003524D8">
            <w:rPr>
              <w:rFonts w:eastAsia="Aptos" w:cs="Calibri"/>
              <w:color w:val="000000" w:themeColor="text1"/>
            </w:rPr>
            <w:fldChar w:fldCharType="separate"/>
          </w:r>
          <w:r w:rsidR="0080787D" w:rsidRPr="003524D8">
            <w:rPr>
              <w:rFonts w:eastAsia="Aptos" w:cs="Calibri"/>
              <w:noProof/>
              <w:color w:val="000000" w:themeColor="text1"/>
            </w:rPr>
            <w:t>(Holmes, 2020)</w:t>
          </w:r>
          <w:r w:rsidR="0080787D" w:rsidRPr="003524D8">
            <w:rPr>
              <w:rFonts w:eastAsia="Aptos" w:cs="Calibri"/>
              <w:color w:val="000000" w:themeColor="text1"/>
            </w:rPr>
            <w:fldChar w:fldCharType="end"/>
          </w:r>
        </w:sdtContent>
      </w:sdt>
      <w:r w:rsidR="0080787D" w:rsidRPr="003524D8">
        <w:rPr>
          <w:rFonts w:eastAsia="Aptos" w:cs="Calibri"/>
          <w:color w:val="000000" w:themeColor="text1"/>
        </w:rPr>
        <w:t xml:space="preserve">, </w:t>
      </w:r>
      <w:r w:rsidR="3E3FDF3A" w:rsidRPr="003524D8">
        <w:rPr>
          <w:rFonts w:eastAsia="Aptos" w:cs="Calibri"/>
          <w:color w:val="000000" w:themeColor="text1"/>
        </w:rPr>
        <w:t xml:space="preserve">particularly when interpreting data from colleagues and students. </w:t>
      </w:r>
      <w:r w:rsidR="00AF0439" w:rsidRPr="003524D8">
        <w:rPr>
          <w:rFonts w:eastAsia="Aptos" w:cs="Calibri"/>
          <w:color w:val="000000" w:themeColor="text1"/>
        </w:rPr>
        <w:t>R</w:t>
      </w:r>
      <w:r w:rsidR="3E3FDF3A" w:rsidRPr="003524D8">
        <w:rPr>
          <w:rFonts w:eastAsia="Aptos" w:cs="Calibri"/>
          <w:color w:val="000000" w:themeColor="text1"/>
        </w:rPr>
        <w:t>ecogni</w:t>
      </w:r>
      <w:r w:rsidR="00AF0439" w:rsidRPr="003524D8">
        <w:rPr>
          <w:rFonts w:eastAsia="Aptos" w:cs="Calibri"/>
          <w:color w:val="000000" w:themeColor="text1"/>
        </w:rPr>
        <w:t xml:space="preserve">sing </w:t>
      </w:r>
      <w:r w:rsidR="3E3FDF3A" w:rsidRPr="003524D8">
        <w:rPr>
          <w:rFonts w:eastAsia="Aptos" w:cs="Calibri"/>
          <w:color w:val="000000" w:themeColor="text1"/>
        </w:rPr>
        <w:t xml:space="preserve">a researcher’s dual role as an educator and investigator may influence interpretations </w:t>
      </w:r>
      <w:r w:rsidR="007327E4">
        <w:rPr>
          <w:rFonts w:eastAsia="Aptos" w:cs="Calibri"/>
          <w:color w:val="000000" w:themeColor="text1"/>
        </w:rPr>
        <w:t xml:space="preserve">of </w:t>
      </w:r>
      <w:r w:rsidR="3E3FDF3A" w:rsidRPr="003524D8">
        <w:rPr>
          <w:rFonts w:eastAsia="Aptos" w:cs="Calibri"/>
          <w:color w:val="000000" w:themeColor="text1"/>
        </w:rPr>
        <w:t>students’ critiques of teaching methods or institutional practices</w:t>
      </w:r>
      <w:r w:rsidR="00AF0439" w:rsidRPr="003524D8">
        <w:rPr>
          <w:rFonts w:eastAsia="Aptos" w:cs="Calibri"/>
          <w:color w:val="000000" w:themeColor="text1"/>
        </w:rPr>
        <w:t xml:space="preserve"> </w:t>
      </w:r>
      <w:sdt>
        <w:sdtPr>
          <w:rPr>
            <w:rFonts w:eastAsia="Aptos" w:cs="Calibri"/>
            <w:color w:val="000000" w:themeColor="text1"/>
          </w:rPr>
          <w:id w:val="1469627075"/>
          <w:citation/>
        </w:sdtPr>
        <w:sdtContent>
          <w:r w:rsidR="00AF0439" w:rsidRPr="003524D8">
            <w:rPr>
              <w:rFonts w:eastAsia="Aptos" w:cs="Calibri"/>
              <w:color w:val="000000" w:themeColor="text1"/>
            </w:rPr>
            <w:fldChar w:fldCharType="begin"/>
          </w:r>
          <w:r w:rsidR="00AF0439" w:rsidRPr="003524D8">
            <w:rPr>
              <w:rFonts w:eastAsia="Aptos" w:cs="Calibri"/>
              <w:color w:val="000000" w:themeColor="text1"/>
            </w:rPr>
            <w:instrText xml:space="preserve"> CITATION War20 \l 2057 </w:instrText>
          </w:r>
          <w:r w:rsidR="00AF0439" w:rsidRPr="003524D8">
            <w:rPr>
              <w:rFonts w:eastAsia="Aptos" w:cs="Calibri"/>
              <w:color w:val="000000" w:themeColor="text1"/>
            </w:rPr>
            <w:fldChar w:fldCharType="separate"/>
          </w:r>
          <w:r w:rsidR="00AF0439" w:rsidRPr="003524D8">
            <w:rPr>
              <w:rFonts w:eastAsia="Aptos" w:cs="Calibri"/>
              <w:noProof/>
              <w:color w:val="000000" w:themeColor="text1"/>
            </w:rPr>
            <w:t>(Ward &amp; Delamont, 2020)</w:t>
          </w:r>
          <w:r w:rsidR="00AF0439" w:rsidRPr="003524D8">
            <w:rPr>
              <w:rFonts w:eastAsia="Aptos" w:cs="Calibri"/>
              <w:color w:val="000000" w:themeColor="text1"/>
            </w:rPr>
            <w:fldChar w:fldCharType="end"/>
          </w:r>
        </w:sdtContent>
      </w:sdt>
      <w:r w:rsidR="3E3FDF3A" w:rsidRPr="003524D8">
        <w:rPr>
          <w:rFonts w:eastAsia="Aptos" w:cs="Calibri"/>
          <w:color w:val="000000" w:themeColor="text1"/>
        </w:rPr>
        <w:t xml:space="preserve">. The reflexive approach encouraged by </w:t>
      </w:r>
      <w:r w:rsidR="00336A7A" w:rsidRPr="003524D8">
        <w:rPr>
          <w:rFonts w:eastAsia="Aptos" w:cs="Calibri"/>
          <w:color w:val="000000" w:themeColor="text1"/>
        </w:rPr>
        <w:t>Braun and Clarke</w:t>
      </w:r>
      <w:r w:rsidR="3E3FDF3A" w:rsidRPr="003524D8">
        <w:rPr>
          <w:rFonts w:eastAsia="Aptos" w:cs="Calibri"/>
          <w:color w:val="000000" w:themeColor="text1"/>
        </w:rPr>
        <w:t xml:space="preserve"> helps mitigate these challenges, ensuring </w:t>
      </w:r>
      <w:r w:rsidR="00336A7A" w:rsidRPr="003524D8">
        <w:rPr>
          <w:rFonts w:eastAsia="Aptos" w:cs="Calibri"/>
          <w:color w:val="000000" w:themeColor="text1"/>
        </w:rPr>
        <w:t xml:space="preserve">that </w:t>
      </w:r>
      <w:r w:rsidR="3E3FDF3A" w:rsidRPr="003524D8">
        <w:rPr>
          <w:rFonts w:eastAsia="Aptos" w:cs="Calibri"/>
          <w:color w:val="000000" w:themeColor="text1"/>
        </w:rPr>
        <w:t>findings are robust and credible. Furthermore,</w:t>
      </w:r>
      <w:r w:rsidR="00AF0439" w:rsidRPr="003524D8">
        <w:rPr>
          <w:rFonts w:eastAsia="Aptos" w:cs="Calibri"/>
          <w:color w:val="000000" w:themeColor="text1"/>
        </w:rPr>
        <w:t xml:space="preserve"> </w:t>
      </w:r>
      <w:r w:rsidR="00AF0439" w:rsidRPr="003524D8">
        <w:rPr>
          <w:rFonts w:eastAsia="Aptos" w:cs="Calibri"/>
          <w:noProof/>
          <w:color w:val="000000" w:themeColor="text1"/>
        </w:rPr>
        <w:t xml:space="preserve">Terry </w:t>
      </w:r>
      <w:r w:rsidR="00336A7A" w:rsidRPr="003524D8">
        <w:rPr>
          <w:rFonts w:eastAsia="Aptos" w:cs="Calibri"/>
          <w:noProof/>
          <w:color w:val="000000" w:themeColor="text1"/>
        </w:rPr>
        <w:t>and</w:t>
      </w:r>
      <w:r w:rsidR="00AF0439" w:rsidRPr="003524D8">
        <w:rPr>
          <w:rFonts w:eastAsia="Aptos" w:cs="Calibri"/>
          <w:noProof/>
          <w:color w:val="000000" w:themeColor="text1"/>
        </w:rPr>
        <w:t xml:space="preserve"> Hayfield</w:t>
      </w:r>
      <w:r w:rsidR="3E3FDF3A" w:rsidRPr="003524D8">
        <w:rPr>
          <w:rFonts w:eastAsia="Aptos" w:cs="Calibri"/>
          <w:color w:val="000000" w:themeColor="text1"/>
        </w:rPr>
        <w:t xml:space="preserve"> </w:t>
      </w:r>
      <w:sdt>
        <w:sdtPr>
          <w:rPr>
            <w:rFonts w:eastAsia="Aptos" w:cs="Calibri"/>
            <w:color w:val="000000" w:themeColor="text1"/>
          </w:rPr>
          <w:id w:val="-975295479"/>
          <w:citation/>
        </w:sdtPr>
        <w:sdtContent>
          <w:r w:rsidR="00AF0439" w:rsidRPr="003524D8">
            <w:rPr>
              <w:rFonts w:eastAsia="Aptos" w:cs="Calibri"/>
              <w:color w:val="000000" w:themeColor="text1"/>
            </w:rPr>
            <w:fldChar w:fldCharType="begin"/>
          </w:r>
          <w:r w:rsidR="00AF0439" w:rsidRPr="003524D8">
            <w:rPr>
              <w:rFonts w:eastAsia="Aptos" w:cs="Calibri"/>
              <w:color w:val="000000" w:themeColor="text1"/>
            </w:rPr>
            <w:instrText xml:space="preserve">CITATION Ter21 \n  \l 2057 </w:instrText>
          </w:r>
          <w:r w:rsidR="00AF0439" w:rsidRPr="003524D8">
            <w:rPr>
              <w:rFonts w:eastAsia="Aptos" w:cs="Calibri"/>
              <w:color w:val="000000" w:themeColor="text1"/>
            </w:rPr>
            <w:fldChar w:fldCharType="separate"/>
          </w:r>
          <w:r w:rsidR="00AF0439" w:rsidRPr="003524D8">
            <w:rPr>
              <w:rFonts w:eastAsia="Aptos" w:cs="Calibri"/>
              <w:noProof/>
              <w:color w:val="000000" w:themeColor="text1"/>
            </w:rPr>
            <w:t>(2021)</w:t>
          </w:r>
          <w:r w:rsidR="00AF0439" w:rsidRPr="003524D8">
            <w:rPr>
              <w:rFonts w:eastAsia="Aptos" w:cs="Calibri"/>
              <w:color w:val="000000" w:themeColor="text1"/>
            </w:rPr>
            <w:fldChar w:fldCharType="end"/>
          </w:r>
        </w:sdtContent>
      </w:sdt>
      <w:r w:rsidR="00AF0439" w:rsidRPr="003524D8">
        <w:rPr>
          <w:rFonts w:eastAsia="Aptos" w:cs="Calibri"/>
          <w:color w:val="000000" w:themeColor="text1"/>
        </w:rPr>
        <w:t xml:space="preserve"> suggest that </w:t>
      </w:r>
      <w:r w:rsidR="3E3FDF3A" w:rsidRPr="003524D8">
        <w:rPr>
          <w:rFonts w:eastAsia="Aptos" w:cs="Calibri"/>
          <w:color w:val="000000" w:themeColor="text1"/>
        </w:rPr>
        <w:t>thematic analysis is well-suited to qualitative research</w:t>
      </w:r>
      <w:r w:rsidR="00336A7A" w:rsidRPr="003524D8">
        <w:rPr>
          <w:rFonts w:eastAsia="Aptos" w:cs="Calibri"/>
          <w:color w:val="000000" w:themeColor="text1"/>
        </w:rPr>
        <w:t>,</w:t>
      </w:r>
      <w:r w:rsidR="3E3FDF3A" w:rsidRPr="003524D8">
        <w:rPr>
          <w:rFonts w:eastAsia="Aptos" w:cs="Calibri"/>
          <w:color w:val="000000" w:themeColor="text1"/>
        </w:rPr>
        <w:t xml:space="preserve"> involving multiple stakeholder perspectives as</w:t>
      </w:r>
      <w:r w:rsidR="00336A7A" w:rsidRPr="003524D8">
        <w:rPr>
          <w:rFonts w:eastAsia="Aptos" w:cs="Calibri"/>
          <w:color w:val="000000" w:themeColor="text1"/>
        </w:rPr>
        <w:t>,</w:t>
      </w:r>
      <w:r w:rsidR="3E3FDF3A" w:rsidRPr="003524D8">
        <w:rPr>
          <w:rFonts w:eastAsia="Aptos" w:cs="Calibri"/>
          <w:color w:val="000000" w:themeColor="text1"/>
        </w:rPr>
        <w:t xml:space="preserve"> in this study, the data includes interviews with lecturers about their pedagogical approaches, student reflections on learning experiences, and discussions about institutional policies and practice. The Braun and Clarke </w:t>
      </w:r>
      <w:sdt>
        <w:sdtPr>
          <w:rPr>
            <w:rFonts w:eastAsia="Aptos" w:cs="Calibri"/>
            <w:color w:val="000000" w:themeColor="text1"/>
          </w:rPr>
          <w:id w:val="1646235001"/>
          <w:citation/>
        </w:sdtPr>
        <w:sdtContent>
          <w:r w:rsidR="001E525F" w:rsidRPr="003524D8">
            <w:rPr>
              <w:rFonts w:eastAsia="Aptos" w:cs="Calibri"/>
              <w:color w:val="000000" w:themeColor="text1"/>
            </w:rPr>
            <w:fldChar w:fldCharType="begin"/>
          </w:r>
          <w:r w:rsidR="001E525F" w:rsidRPr="003524D8">
            <w:rPr>
              <w:rFonts w:eastAsia="Aptos" w:cs="Calibri"/>
              <w:color w:val="000000" w:themeColor="text1"/>
            </w:rPr>
            <w:instrText xml:space="preserve">CITATION Bra06 \n  \l 2057 </w:instrText>
          </w:r>
          <w:r w:rsidR="001E525F" w:rsidRPr="003524D8">
            <w:rPr>
              <w:rFonts w:eastAsia="Aptos" w:cs="Calibri"/>
              <w:color w:val="000000" w:themeColor="text1"/>
            </w:rPr>
            <w:fldChar w:fldCharType="separate"/>
          </w:r>
          <w:r w:rsidR="001E525F" w:rsidRPr="003524D8">
            <w:rPr>
              <w:rFonts w:eastAsia="Aptos" w:cs="Calibri"/>
              <w:noProof/>
              <w:color w:val="000000" w:themeColor="text1"/>
            </w:rPr>
            <w:t>(2006)</w:t>
          </w:r>
          <w:r w:rsidR="001E525F" w:rsidRPr="003524D8">
            <w:rPr>
              <w:rFonts w:eastAsia="Aptos" w:cs="Calibri"/>
              <w:color w:val="000000" w:themeColor="text1"/>
            </w:rPr>
            <w:fldChar w:fldCharType="end"/>
          </w:r>
        </w:sdtContent>
      </w:sdt>
      <w:r w:rsidR="001E525F" w:rsidRPr="003524D8">
        <w:rPr>
          <w:rFonts w:eastAsia="Aptos" w:cs="Calibri"/>
          <w:color w:val="000000" w:themeColor="text1"/>
        </w:rPr>
        <w:t xml:space="preserve"> </w:t>
      </w:r>
      <w:r w:rsidR="3E3FDF3A" w:rsidRPr="003524D8">
        <w:rPr>
          <w:rFonts w:eastAsia="Aptos" w:cs="Calibri"/>
          <w:color w:val="000000" w:themeColor="text1"/>
        </w:rPr>
        <w:t>method allows for the integration of these varied perspectives into a coherent analytical framework</w:t>
      </w:r>
      <w:r w:rsidR="001E525F" w:rsidRPr="003524D8">
        <w:rPr>
          <w:rFonts w:eastAsia="Aptos" w:cs="Calibri"/>
          <w:color w:val="000000" w:themeColor="text1"/>
        </w:rPr>
        <w:t xml:space="preserve"> </w:t>
      </w:r>
      <w:sdt>
        <w:sdtPr>
          <w:rPr>
            <w:rFonts w:eastAsia="Aptos" w:cs="Calibri"/>
            <w:color w:val="000000" w:themeColor="text1"/>
          </w:rPr>
          <w:id w:val="-265849300"/>
          <w:citation/>
        </w:sdtPr>
        <w:sdtContent>
          <w:r w:rsidR="001E525F" w:rsidRPr="003524D8">
            <w:rPr>
              <w:rFonts w:eastAsia="Aptos" w:cs="Calibri"/>
              <w:color w:val="000000" w:themeColor="text1"/>
            </w:rPr>
            <w:fldChar w:fldCharType="begin"/>
          </w:r>
          <w:r w:rsidR="001E525F" w:rsidRPr="003524D8">
            <w:rPr>
              <w:rFonts w:eastAsia="Aptos" w:cs="Calibri"/>
              <w:color w:val="000000" w:themeColor="text1"/>
            </w:rPr>
            <w:instrText xml:space="preserve"> CITATION Ter17 \l 2057 </w:instrText>
          </w:r>
          <w:r w:rsidR="001E525F" w:rsidRPr="003524D8">
            <w:rPr>
              <w:rFonts w:eastAsia="Aptos" w:cs="Calibri"/>
              <w:color w:val="000000" w:themeColor="text1"/>
            </w:rPr>
            <w:fldChar w:fldCharType="separate"/>
          </w:r>
          <w:r w:rsidR="001E525F" w:rsidRPr="003524D8">
            <w:rPr>
              <w:rFonts w:eastAsia="Aptos" w:cs="Calibri"/>
              <w:noProof/>
              <w:color w:val="000000" w:themeColor="text1"/>
            </w:rPr>
            <w:t>(Terry, et al., 2017)</w:t>
          </w:r>
          <w:r w:rsidR="001E525F" w:rsidRPr="003524D8">
            <w:rPr>
              <w:rFonts w:eastAsia="Aptos" w:cs="Calibri"/>
              <w:color w:val="000000" w:themeColor="text1"/>
            </w:rPr>
            <w:fldChar w:fldCharType="end"/>
          </w:r>
        </w:sdtContent>
      </w:sdt>
      <w:r w:rsidR="001E525F" w:rsidRPr="003524D8">
        <w:rPr>
          <w:rFonts w:eastAsia="Aptos" w:cs="Calibri"/>
          <w:color w:val="000000" w:themeColor="text1"/>
        </w:rPr>
        <w:t>.</w:t>
      </w:r>
      <w:r w:rsidR="3E3FDF3A" w:rsidRPr="003524D8">
        <w:rPr>
          <w:rFonts w:eastAsia="Aptos" w:cs="Calibri"/>
          <w:color w:val="000000" w:themeColor="text1"/>
        </w:rPr>
        <w:t xml:space="preserve"> </w:t>
      </w:r>
    </w:p>
    <w:p w14:paraId="52EB8820" w14:textId="05F857AE" w:rsidR="00C40FA7" w:rsidRPr="003524D8" w:rsidRDefault="004C5A0D" w:rsidP="00D835E5">
      <w:pPr>
        <w:spacing w:before="240" w:after="240"/>
        <w:rPr>
          <w:rFonts w:eastAsia="Aptos" w:cs="Calibri"/>
          <w:color w:val="000000" w:themeColor="text1"/>
        </w:rPr>
      </w:pPr>
      <w:r w:rsidRPr="003524D8">
        <w:rPr>
          <w:rFonts w:eastAsia="Aptos" w:cs="Calibri"/>
          <w:color w:val="000000" w:themeColor="text1"/>
        </w:rPr>
        <w:lastRenderedPageBreak/>
        <w:t xml:space="preserve">This researcher will engage in a process of </w:t>
      </w:r>
      <w:r w:rsidR="3E3FDF3A" w:rsidRPr="003524D8">
        <w:rPr>
          <w:rFonts w:eastAsia="Aptos" w:cs="Calibri"/>
          <w:color w:val="000000" w:themeColor="text1"/>
        </w:rPr>
        <w:t>manually marking, highlighting, or annotating data to identify patterns and themes is an informal</w:t>
      </w:r>
      <w:r w:rsidR="007327E4">
        <w:rPr>
          <w:rFonts w:eastAsia="Aptos" w:cs="Calibri"/>
          <w:color w:val="000000" w:themeColor="text1"/>
        </w:rPr>
        <w:t>,</w:t>
      </w:r>
      <w:r w:rsidR="3E3FDF3A" w:rsidRPr="003524D8">
        <w:rPr>
          <w:rFonts w:eastAsia="Aptos" w:cs="Calibri"/>
          <w:color w:val="000000" w:themeColor="text1"/>
        </w:rPr>
        <w:t xml:space="preserve"> yet effective</w:t>
      </w:r>
      <w:r w:rsidR="007327E4">
        <w:rPr>
          <w:rFonts w:eastAsia="Aptos" w:cs="Calibri"/>
          <w:color w:val="000000" w:themeColor="text1"/>
        </w:rPr>
        <w:t>,</w:t>
      </w:r>
      <w:r w:rsidR="3E3FDF3A" w:rsidRPr="003524D8">
        <w:rPr>
          <w:rFonts w:eastAsia="Aptos" w:cs="Calibri"/>
          <w:color w:val="000000" w:themeColor="text1"/>
        </w:rPr>
        <w:t xml:space="preserve"> technique often used in qualitative research</w:t>
      </w:r>
      <w:r w:rsidR="00577058" w:rsidRPr="003524D8">
        <w:rPr>
          <w:rFonts w:eastAsia="Aptos" w:cs="Calibri"/>
          <w:color w:val="000000" w:themeColor="text1"/>
        </w:rPr>
        <w:t xml:space="preserve"> </w:t>
      </w:r>
      <w:sdt>
        <w:sdtPr>
          <w:rPr>
            <w:rFonts w:eastAsia="Aptos" w:cs="Calibri"/>
            <w:color w:val="000000" w:themeColor="text1"/>
          </w:rPr>
          <w:id w:val="-814870989"/>
          <w:citation/>
        </w:sdtPr>
        <w:sdtContent>
          <w:r w:rsidR="00577058" w:rsidRPr="003524D8">
            <w:rPr>
              <w:rFonts w:eastAsia="Aptos" w:cs="Calibri"/>
              <w:color w:val="000000" w:themeColor="text1"/>
            </w:rPr>
            <w:fldChar w:fldCharType="begin"/>
          </w:r>
          <w:r w:rsidR="00577058" w:rsidRPr="003524D8">
            <w:rPr>
              <w:rFonts w:eastAsia="Aptos" w:cs="Calibri"/>
              <w:color w:val="000000" w:themeColor="text1"/>
            </w:rPr>
            <w:instrText xml:space="preserve"> CITATION Cha06 \l 2057 </w:instrText>
          </w:r>
          <w:r w:rsidR="00577058" w:rsidRPr="003524D8">
            <w:rPr>
              <w:rFonts w:eastAsia="Aptos" w:cs="Calibri"/>
              <w:color w:val="000000" w:themeColor="text1"/>
            </w:rPr>
            <w:fldChar w:fldCharType="separate"/>
          </w:r>
          <w:r w:rsidR="00577058" w:rsidRPr="003524D8">
            <w:rPr>
              <w:rFonts w:eastAsia="Aptos" w:cs="Calibri"/>
              <w:noProof/>
              <w:color w:val="000000" w:themeColor="text1"/>
            </w:rPr>
            <w:t>(Charmaz, 2006)</w:t>
          </w:r>
          <w:r w:rsidR="00577058" w:rsidRPr="003524D8">
            <w:rPr>
              <w:rFonts w:eastAsia="Aptos" w:cs="Calibri"/>
              <w:color w:val="000000" w:themeColor="text1"/>
            </w:rPr>
            <w:fldChar w:fldCharType="end"/>
          </w:r>
        </w:sdtContent>
      </w:sdt>
      <w:r w:rsidR="00577058" w:rsidRPr="003524D8">
        <w:rPr>
          <w:rFonts w:eastAsia="Aptos" w:cs="Calibri"/>
          <w:color w:val="000000" w:themeColor="text1"/>
        </w:rPr>
        <w:t>, where the volume of data will be manageable without the need for advanced coding software</w:t>
      </w:r>
      <w:r w:rsidR="3E3FDF3A" w:rsidRPr="003524D8">
        <w:rPr>
          <w:rFonts w:eastAsia="Aptos" w:cs="Calibri"/>
          <w:color w:val="000000" w:themeColor="text1"/>
        </w:rPr>
        <w:t xml:space="preserve">. </w:t>
      </w:r>
      <w:r w:rsidRPr="003524D8">
        <w:rPr>
          <w:rFonts w:eastAsia="Aptos" w:cs="Calibri"/>
          <w:color w:val="000000" w:themeColor="text1"/>
        </w:rPr>
        <w:t>By manually interacting with the data, th</w:t>
      </w:r>
      <w:r w:rsidR="007327E4">
        <w:rPr>
          <w:rFonts w:eastAsia="Aptos" w:cs="Calibri"/>
          <w:color w:val="000000" w:themeColor="text1"/>
        </w:rPr>
        <w:t>e</w:t>
      </w:r>
      <w:r w:rsidRPr="003524D8">
        <w:rPr>
          <w:rFonts w:eastAsia="Aptos" w:cs="Calibri"/>
          <w:color w:val="000000" w:themeColor="text1"/>
        </w:rPr>
        <w:t xml:space="preserve"> researcher will develop an intimate understanding of the content, enhanc</w:t>
      </w:r>
      <w:r w:rsidR="00D25FDD" w:rsidRPr="003524D8">
        <w:rPr>
          <w:rFonts w:eastAsia="Aptos" w:cs="Calibri"/>
          <w:color w:val="000000" w:themeColor="text1"/>
        </w:rPr>
        <w:t>ing</w:t>
      </w:r>
      <w:r w:rsidRPr="003524D8">
        <w:rPr>
          <w:rFonts w:eastAsia="Aptos" w:cs="Calibri"/>
          <w:color w:val="000000" w:themeColor="text1"/>
        </w:rPr>
        <w:t xml:space="preserve"> the ability to recognise meaningful patterns</w:t>
      </w:r>
      <w:r w:rsidR="00BA1DE0" w:rsidRPr="003524D8">
        <w:rPr>
          <w:rFonts w:eastAsia="Aptos" w:cs="Calibri"/>
          <w:color w:val="000000" w:themeColor="text1"/>
        </w:rPr>
        <w:t xml:space="preserve"> </w:t>
      </w:r>
      <w:sdt>
        <w:sdtPr>
          <w:rPr>
            <w:rFonts w:eastAsia="Aptos" w:cs="Calibri"/>
            <w:color w:val="000000" w:themeColor="text1"/>
          </w:rPr>
          <w:id w:val="326099033"/>
          <w:citation/>
        </w:sdtPr>
        <w:sdtContent>
          <w:r w:rsidR="00BA1DE0" w:rsidRPr="003524D8">
            <w:rPr>
              <w:rFonts w:eastAsia="Aptos" w:cs="Calibri"/>
              <w:color w:val="000000" w:themeColor="text1"/>
            </w:rPr>
            <w:fldChar w:fldCharType="begin"/>
          </w:r>
          <w:r w:rsidR="00BA1DE0" w:rsidRPr="003524D8">
            <w:rPr>
              <w:rFonts w:eastAsia="Aptos" w:cs="Calibri"/>
              <w:color w:val="000000" w:themeColor="text1"/>
            </w:rPr>
            <w:instrText xml:space="preserve">CITATION Fin17 \l 2057 </w:instrText>
          </w:r>
          <w:r w:rsidR="00BA1DE0" w:rsidRPr="003524D8">
            <w:rPr>
              <w:rFonts w:eastAsia="Aptos" w:cs="Calibri"/>
              <w:color w:val="000000" w:themeColor="text1"/>
            </w:rPr>
            <w:fldChar w:fldCharType="separate"/>
          </w:r>
          <w:r w:rsidR="00BA1DE0" w:rsidRPr="003524D8">
            <w:rPr>
              <w:rFonts w:eastAsia="Aptos" w:cs="Calibri"/>
              <w:noProof/>
              <w:color w:val="000000" w:themeColor="text1"/>
            </w:rPr>
            <w:t>(Finlay, 2017)</w:t>
          </w:r>
          <w:r w:rsidR="00BA1DE0" w:rsidRPr="003524D8">
            <w:rPr>
              <w:rFonts w:eastAsia="Aptos" w:cs="Calibri"/>
              <w:color w:val="000000" w:themeColor="text1"/>
            </w:rPr>
            <w:fldChar w:fldCharType="end"/>
          </w:r>
        </w:sdtContent>
      </w:sdt>
      <w:r w:rsidR="007327E4">
        <w:rPr>
          <w:rFonts w:eastAsia="Aptos" w:cs="Calibri"/>
          <w:color w:val="000000" w:themeColor="text1"/>
        </w:rPr>
        <w:t xml:space="preserve"> </w:t>
      </w:r>
      <w:r w:rsidRPr="003524D8">
        <w:rPr>
          <w:rFonts w:eastAsia="Aptos" w:cs="Calibri"/>
          <w:color w:val="000000" w:themeColor="text1"/>
        </w:rPr>
        <w:t xml:space="preserve">beneficial in small-scale investigations, where close reading and familiarity with each data point are critical </w:t>
      </w:r>
      <w:sdt>
        <w:sdtPr>
          <w:rPr>
            <w:rFonts w:eastAsia="Aptos" w:cs="Calibri"/>
            <w:color w:val="000000" w:themeColor="text1"/>
          </w:rPr>
          <w:id w:val="-1768221995"/>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 CITATION Now17 \l 2057 </w:instrText>
          </w:r>
          <w:r w:rsidRPr="003524D8">
            <w:rPr>
              <w:rFonts w:eastAsia="Aptos" w:cs="Calibri"/>
              <w:color w:val="000000" w:themeColor="text1"/>
            </w:rPr>
            <w:fldChar w:fldCharType="separate"/>
          </w:r>
          <w:r w:rsidRPr="003524D8">
            <w:rPr>
              <w:rFonts w:eastAsia="Aptos" w:cs="Calibri"/>
              <w:noProof/>
              <w:color w:val="000000" w:themeColor="text1"/>
            </w:rPr>
            <w:t>(Nowell, et al., 2017)</w:t>
          </w:r>
          <w:r w:rsidRPr="003524D8">
            <w:rPr>
              <w:rFonts w:eastAsia="Aptos" w:cs="Calibri"/>
              <w:color w:val="000000" w:themeColor="text1"/>
            </w:rPr>
            <w:fldChar w:fldCharType="end"/>
          </w:r>
        </w:sdtContent>
      </w:sdt>
      <w:r w:rsidRPr="003524D8">
        <w:rPr>
          <w:rFonts w:eastAsia="Aptos" w:cs="Calibri"/>
          <w:color w:val="000000" w:themeColor="text1"/>
        </w:rPr>
        <w:t>.</w:t>
      </w:r>
      <w:r w:rsidR="00D25FDD" w:rsidRPr="003524D8">
        <w:rPr>
          <w:rFonts w:eastAsia="Aptos" w:cs="Calibri"/>
          <w:color w:val="000000" w:themeColor="text1"/>
        </w:rPr>
        <w:t xml:space="preserve"> </w:t>
      </w:r>
      <w:r w:rsidR="008B2170" w:rsidRPr="003524D8">
        <w:rPr>
          <w:rFonts w:eastAsia="Aptos" w:cs="Calibri"/>
          <w:noProof/>
          <w:color w:val="000000" w:themeColor="text1"/>
        </w:rPr>
        <w:t xml:space="preserve">Miles et al. </w:t>
      </w:r>
      <w:sdt>
        <w:sdtPr>
          <w:rPr>
            <w:rFonts w:eastAsia="Aptos" w:cs="Calibri"/>
            <w:noProof/>
            <w:color w:val="000000" w:themeColor="text1"/>
          </w:rPr>
          <w:id w:val="1707216275"/>
          <w:citation/>
        </w:sdtPr>
        <w:sdtContent>
          <w:r w:rsidR="008B2170" w:rsidRPr="003524D8">
            <w:rPr>
              <w:rFonts w:eastAsia="Aptos" w:cs="Calibri"/>
              <w:noProof/>
              <w:color w:val="000000" w:themeColor="text1"/>
            </w:rPr>
            <w:fldChar w:fldCharType="begin"/>
          </w:r>
          <w:r w:rsidR="008B2170" w:rsidRPr="003524D8">
            <w:rPr>
              <w:rFonts w:eastAsia="Aptos" w:cs="Calibri"/>
              <w:noProof/>
              <w:color w:val="000000" w:themeColor="text1"/>
            </w:rPr>
            <w:instrText xml:space="preserve">CITATION Mil14 \n  \l 2057 </w:instrText>
          </w:r>
          <w:r w:rsidR="008B2170" w:rsidRPr="003524D8">
            <w:rPr>
              <w:rFonts w:eastAsia="Aptos" w:cs="Calibri"/>
              <w:noProof/>
              <w:color w:val="000000" w:themeColor="text1"/>
            </w:rPr>
            <w:fldChar w:fldCharType="separate"/>
          </w:r>
          <w:r w:rsidR="008B2170" w:rsidRPr="003524D8">
            <w:rPr>
              <w:rFonts w:eastAsia="Aptos" w:cs="Calibri"/>
              <w:noProof/>
              <w:color w:val="000000" w:themeColor="text1"/>
            </w:rPr>
            <w:t>(2014)</w:t>
          </w:r>
          <w:r w:rsidR="008B2170" w:rsidRPr="003524D8">
            <w:rPr>
              <w:rFonts w:eastAsia="Aptos" w:cs="Calibri"/>
              <w:noProof/>
              <w:color w:val="000000" w:themeColor="text1"/>
            </w:rPr>
            <w:fldChar w:fldCharType="end"/>
          </w:r>
        </w:sdtContent>
      </w:sdt>
      <w:r w:rsidR="008B2170" w:rsidRPr="003524D8">
        <w:rPr>
          <w:rFonts w:eastAsia="Aptos" w:cs="Calibri"/>
          <w:color w:val="000000" w:themeColor="text1"/>
        </w:rPr>
        <w:t xml:space="preserve"> </w:t>
      </w:r>
      <w:r w:rsidR="00D25FDD" w:rsidRPr="003524D8">
        <w:rPr>
          <w:rFonts w:eastAsia="Aptos" w:cs="Calibri"/>
          <w:color w:val="000000" w:themeColor="text1"/>
        </w:rPr>
        <w:t xml:space="preserve">sees it </w:t>
      </w:r>
      <w:r w:rsidR="3E3FDF3A" w:rsidRPr="003524D8">
        <w:rPr>
          <w:rFonts w:eastAsia="Aptos" w:cs="Calibri"/>
          <w:color w:val="000000" w:themeColor="text1"/>
        </w:rPr>
        <w:t xml:space="preserve">as an </w:t>
      </w:r>
      <w:r w:rsidR="00D25FDD" w:rsidRPr="003524D8">
        <w:rPr>
          <w:rFonts w:eastAsia="Aptos" w:cs="Calibri"/>
          <w:color w:val="000000" w:themeColor="text1"/>
        </w:rPr>
        <w:t>‘</w:t>
      </w:r>
      <w:r w:rsidR="3E3FDF3A" w:rsidRPr="003524D8">
        <w:rPr>
          <w:rFonts w:eastAsia="Aptos" w:cs="Calibri"/>
          <w:color w:val="000000" w:themeColor="text1"/>
        </w:rPr>
        <w:t>accessible and straightforward</w:t>
      </w:r>
      <w:r w:rsidR="00D25FDD" w:rsidRPr="003524D8">
        <w:rPr>
          <w:rFonts w:eastAsia="Aptos" w:cs="Calibri"/>
          <w:color w:val="000000" w:themeColor="text1"/>
        </w:rPr>
        <w:t>’</w:t>
      </w:r>
      <w:r w:rsidR="3E3FDF3A" w:rsidRPr="003524D8">
        <w:rPr>
          <w:rFonts w:eastAsia="Aptos" w:cs="Calibri"/>
          <w:color w:val="000000" w:themeColor="text1"/>
        </w:rPr>
        <w:t xml:space="preserve"> method that requires minimal technical expertise</w:t>
      </w:r>
      <w:r w:rsidR="007327E4">
        <w:rPr>
          <w:rFonts w:eastAsia="Aptos" w:cs="Calibri"/>
          <w:color w:val="000000" w:themeColor="text1"/>
        </w:rPr>
        <w:t>,</w:t>
      </w:r>
      <w:r w:rsidR="00D25FDD" w:rsidRPr="003524D8">
        <w:rPr>
          <w:rFonts w:eastAsia="Aptos" w:cs="Calibri"/>
          <w:color w:val="000000" w:themeColor="text1"/>
        </w:rPr>
        <w:t xml:space="preserve"> </w:t>
      </w:r>
      <w:r w:rsidR="3E3FDF3A" w:rsidRPr="003524D8">
        <w:rPr>
          <w:rFonts w:eastAsia="Aptos" w:cs="Calibri"/>
          <w:color w:val="000000" w:themeColor="text1"/>
        </w:rPr>
        <w:t>especially for novice researchers o</w:t>
      </w:r>
      <w:r w:rsidR="00D25FDD" w:rsidRPr="003524D8">
        <w:rPr>
          <w:rFonts w:eastAsia="Aptos" w:cs="Calibri"/>
          <w:color w:val="000000" w:themeColor="text1"/>
        </w:rPr>
        <w:t>n</w:t>
      </w:r>
      <w:r w:rsidR="3E3FDF3A" w:rsidRPr="003524D8">
        <w:rPr>
          <w:rFonts w:eastAsia="Aptos" w:cs="Calibri"/>
          <w:color w:val="000000" w:themeColor="text1"/>
        </w:rPr>
        <w:t xml:space="preserve"> small projects</w:t>
      </w:r>
      <w:r w:rsidR="00415851" w:rsidRPr="003524D8">
        <w:rPr>
          <w:rFonts w:eastAsia="Aptos" w:cs="Calibri"/>
          <w:color w:val="000000" w:themeColor="text1"/>
        </w:rPr>
        <w:t xml:space="preserve"> </w:t>
      </w:r>
      <w:sdt>
        <w:sdtPr>
          <w:rPr>
            <w:rFonts w:eastAsia="Aptos" w:cs="Calibri"/>
            <w:color w:val="000000" w:themeColor="text1"/>
          </w:rPr>
          <w:id w:val="-1330057943"/>
          <w:citation/>
        </w:sdtPr>
        <w:sdtContent>
          <w:r w:rsidR="00415851" w:rsidRPr="003524D8">
            <w:rPr>
              <w:rFonts w:eastAsia="Aptos" w:cs="Calibri"/>
              <w:color w:val="000000" w:themeColor="text1"/>
            </w:rPr>
            <w:fldChar w:fldCharType="begin"/>
          </w:r>
          <w:r w:rsidR="001F077E" w:rsidRPr="003524D8">
            <w:rPr>
              <w:rFonts w:eastAsia="Aptos" w:cs="Calibri"/>
              <w:color w:val="000000" w:themeColor="text1"/>
            </w:rPr>
            <w:instrText xml:space="preserve">CITATION Sal16 \l 2057 </w:instrText>
          </w:r>
          <w:r w:rsidR="00415851" w:rsidRPr="003524D8">
            <w:rPr>
              <w:rFonts w:eastAsia="Aptos" w:cs="Calibri"/>
              <w:color w:val="000000" w:themeColor="text1"/>
            </w:rPr>
            <w:fldChar w:fldCharType="separate"/>
          </w:r>
          <w:r w:rsidR="001F077E" w:rsidRPr="003524D8">
            <w:rPr>
              <w:rFonts w:eastAsia="Aptos" w:cs="Calibri"/>
              <w:noProof/>
              <w:color w:val="000000" w:themeColor="text1"/>
            </w:rPr>
            <w:t>(Saldaña, 2021)</w:t>
          </w:r>
          <w:r w:rsidR="00415851" w:rsidRPr="003524D8">
            <w:rPr>
              <w:rFonts w:eastAsia="Aptos" w:cs="Calibri"/>
              <w:color w:val="000000" w:themeColor="text1"/>
            </w:rPr>
            <w:fldChar w:fldCharType="end"/>
          </w:r>
        </w:sdtContent>
      </w:sdt>
      <w:r w:rsidR="3E3FDF3A" w:rsidRPr="003524D8">
        <w:rPr>
          <w:rFonts w:eastAsia="Aptos" w:cs="Calibri"/>
          <w:color w:val="000000" w:themeColor="text1"/>
        </w:rPr>
        <w:t xml:space="preserve">. </w:t>
      </w:r>
      <w:r w:rsidR="00D25FDD" w:rsidRPr="003524D8">
        <w:rPr>
          <w:rFonts w:eastAsia="Aptos" w:cs="Calibri"/>
          <w:color w:val="000000" w:themeColor="text1"/>
        </w:rPr>
        <w:t>I</w:t>
      </w:r>
      <w:r w:rsidR="3E3FDF3A" w:rsidRPr="003524D8">
        <w:rPr>
          <w:rFonts w:eastAsia="Aptos" w:cs="Calibri"/>
          <w:color w:val="000000" w:themeColor="text1"/>
        </w:rPr>
        <w:t xml:space="preserve">t </w:t>
      </w:r>
      <w:r w:rsidR="0032401C" w:rsidRPr="003524D8">
        <w:rPr>
          <w:rFonts w:eastAsia="Aptos" w:cs="Calibri"/>
          <w:color w:val="000000" w:themeColor="text1"/>
        </w:rPr>
        <w:t xml:space="preserve">will </w:t>
      </w:r>
      <w:r w:rsidR="3E3FDF3A" w:rsidRPr="003524D8">
        <w:rPr>
          <w:rFonts w:eastAsia="Aptos" w:cs="Calibri"/>
          <w:color w:val="000000" w:themeColor="text1"/>
        </w:rPr>
        <w:t>allow this researcher to focus on identifying recurring ideas, phrases, and concepts</w:t>
      </w:r>
      <w:r w:rsidR="00D25FDD" w:rsidRPr="003524D8">
        <w:rPr>
          <w:rFonts w:eastAsia="Aptos" w:cs="Calibri"/>
          <w:color w:val="000000" w:themeColor="text1"/>
        </w:rPr>
        <w:t xml:space="preserve"> b</w:t>
      </w:r>
      <w:r w:rsidR="3E3FDF3A" w:rsidRPr="003524D8">
        <w:rPr>
          <w:rFonts w:eastAsia="Aptos" w:cs="Calibri"/>
          <w:color w:val="000000" w:themeColor="text1"/>
        </w:rPr>
        <w:t>y marking significant sections of transcripts</w:t>
      </w:r>
      <w:r w:rsidR="00D25FDD" w:rsidRPr="003524D8">
        <w:rPr>
          <w:rFonts w:eastAsia="Aptos" w:cs="Calibri"/>
          <w:color w:val="000000" w:themeColor="text1"/>
        </w:rPr>
        <w:t xml:space="preserve">, </w:t>
      </w:r>
      <w:r w:rsidR="3E3FDF3A" w:rsidRPr="003524D8">
        <w:rPr>
          <w:rFonts w:eastAsia="Aptos" w:cs="Calibri"/>
          <w:color w:val="000000" w:themeColor="text1"/>
        </w:rPr>
        <w:t>quickly highlight</w:t>
      </w:r>
      <w:r w:rsidR="007327E4">
        <w:rPr>
          <w:rFonts w:eastAsia="Aptos" w:cs="Calibri"/>
          <w:color w:val="000000" w:themeColor="text1"/>
        </w:rPr>
        <w:t>ing</w:t>
      </w:r>
      <w:r w:rsidR="3E3FDF3A" w:rsidRPr="003524D8">
        <w:rPr>
          <w:rFonts w:eastAsia="Aptos" w:cs="Calibri"/>
          <w:color w:val="000000" w:themeColor="text1"/>
        </w:rPr>
        <w:t xml:space="preserve"> and organi</w:t>
      </w:r>
      <w:r w:rsidR="005D75D1" w:rsidRPr="003524D8">
        <w:rPr>
          <w:rFonts w:eastAsia="Aptos" w:cs="Calibri"/>
          <w:color w:val="000000" w:themeColor="text1"/>
        </w:rPr>
        <w:t>s</w:t>
      </w:r>
      <w:r w:rsidR="007327E4">
        <w:rPr>
          <w:rFonts w:eastAsia="Aptos" w:cs="Calibri"/>
          <w:color w:val="000000" w:themeColor="text1"/>
        </w:rPr>
        <w:t>ing</w:t>
      </w:r>
      <w:r w:rsidR="3E3FDF3A" w:rsidRPr="003524D8">
        <w:rPr>
          <w:rFonts w:eastAsia="Aptos" w:cs="Calibri"/>
          <w:color w:val="000000" w:themeColor="text1"/>
        </w:rPr>
        <w:t xml:space="preserve"> e</w:t>
      </w:r>
      <w:r w:rsidR="007327E4">
        <w:rPr>
          <w:rFonts w:eastAsia="Aptos" w:cs="Calibri"/>
          <w:color w:val="000000" w:themeColor="text1"/>
        </w:rPr>
        <w:t xml:space="preserve">volving </w:t>
      </w:r>
      <w:r w:rsidR="3E3FDF3A" w:rsidRPr="003524D8">
        <w:rPr>
          <w:rFonts w:eastAsia="Aptos" w:cs="Calibri"/>
          <w:color w:val="000000" w:themeColor="text1"/>
        </w:rPr>
        <w:t>themes, enabling a deep and nuanced analysis</w:t>
      </w:r>
      <w:r w:rsidR="00D25FDD" w:rsidRPr="003524D8">
        <w:rPr>
          <w:rFonts w:eastAsia="Aptos" w:cs="Calibri"/>
          <w:color w:val="000000" w:themeColor="text1"/>
        </w:rPr>
        <w:t xml:space="preserve"> but</w:t>
      </w:r>
      <w:r w:rsidR="3E3FDF3A" w:rsidRPr="003524D8">
        <w:rPr>
          <w:rFonts w:eastAsia="Aptos" w:cs="Calibri"/>
          <w:color w:val="000000" w:themeColor="text1"/>
        </w:rPr>
        <w:t xml:space="preserve"> not requir</w:t>
      </w:r>
      <w:r w:rsidR="007327E4">
        <w:rPr>
          <w:rFonts w:eastAsia="Aptos" w:cs="Calibri"/>
          <w:color w:val="000000" w:themeColor="text1"/>
        </w:rPr>
        <w:t xml:space="preserve">ing </w:t>
      </w:r>
      <w:r w:rsidR="3E3FDF3A" w:rsidRPr="003524D8">
        <w:rPr>
          <w:rFonts w:eastAsia="Aptos" w:cs="Calibri"/>
          <w:color w:val="000000" w:themeColor="text1"/>
        </w:rPr>
        <w:t>adherence to rigid procedural steps</w:t>
      </w:r>
      <w:r w:rsidR="00D25FDD" w:rsidRPr="003524D8">
        <w:rPr>
          <w:rFonts w:eastAsia="Aptos" w:cs="Calibri"/>
          <w:color w:val="000000" w:themeColor="text1"/>
        </w:rPr>
        <w:t xml:space="preserve"> </w:t>
      </w:r>
      <w:sdt>
        <w:sdtPr>
          <w:rPr>
            <w:rFonts w:eastAsia="Aptos" w:cs="Calibri"/>
            <w:color w:val="000000" w:themeColor="text1"/>
          </w:rPr>
          <w:id w:val="-333763532"/>
          <w:citation/>
        </w:sdtPr>
        <w:sdtContent>
          <w:r w:rsidR="003B247A">
            <w:rPr>
              <w:rFonts w:eastAsia="Aptos" w:cs="Calibri"/>
              <w:color w:val="000000" w:themeColor="text1"/>
            </w:rPr>
            <w:fldChar w:fldCharType="begin"/>
          </w:r>
          <w:r w:rsidR="003B247A">
            <w:rPr>
              <w:rFonts w:eastAsia="Aptos" w:cs="Calibri"/>
              <w:color w:val="000000" w:themeColor="text1"/>
            </w:rPr>
            <w:instrText xml:space="preserve"> CITATION Cla17 \l 2057 </w:instrText>
          </w:r>
          <w:r w:rsidR="003B247A">
            <w:rPr>
              <w:rFonts w:eastAsia="Aptos" w:cs="Calibri"/>
              <w:color w:val="000000" w:themeColor="text1"/>
            </w:rPr>
            <w:fldChar w:fldCharType="separate"/>
          </w:r>
          <w:r w:rsidR="003B247A" w:rsidRPr="003B247A">
            <w:rPr>
              <w:rFonts w:eastAsia="Aptos" w:cs="Calibri"/>
              <w:noProof/>
              <w:color w:val="000000" w:themeColor="text1"/>
            </w:rPr>
            <w:t>(Clarke &amp; Braun, 2017)</w:t>
          </w:r>
          <w:r w:rsidR="003B247A">
            <w:rPr>
              <w:rFonts w:eastAsia="Aptos" w:cs="Calibri"/>
              <w:color w:val="000000" w:themeColor="text1"/>
            </w:rPr>
            <w:fldChar w:fldCharType="end"/>
          </w:r>
        </w:sdtContent>
      </w:sdt>
      <w:r w:rsidR="3E3FDF3A" w:rsidRPr="003524D8">
        <w:rPr>
          <w:rFonts w:eastAsia="Aptos" w:cs="Calibri"/>
          <w:color w:val="000000" w:themeColor="text1"/>
        </w:rPr>
        <w:t>.</w:t>
      </w:r>
    </w:p>
    <w:p w14:paraId="0EE6125B" w14:textId="7A86CA8A" w:rsidR="008C023D" w:rsidRPr="003524D8" w:rsidRDefault="003524D8" w:rsidP="008E0178">
      <w:pPr>
        <w:pStyle w:val="Heading2"/>
        <w:rPr>
          <w:rFonts w:eastAsia="Aptos"/>
          <w:color w:val="000000" w:themeColor="text1"/>
        </w:rPr>
      </w:pPr>
      <w:bookmarkStart w:id="11" w:name="_Toc185674566"/>
      <w:r>
        <w:t xml:space="preserve">3.2 </w:t>
      </w:r>
      <w:r w:rsidR="6B0AD657" w:rsidRPr="003524D8">
        <w:t>ETHICS</w:t>
      </w:r>
      <w:bookmarkEnd w:id="11"/>
    </w:p>
    <w:p w14:paraId="2D0229F2" w14:textId="58B2B26E" w:rsidR="00EE65C6" w:rsidRPr="003524D8" w:rsidRDefault="00EE65C6" w:rsidP="00D835E5">
      <w:pPr>
        <w:rPr>
          <w:rFonts w:eastAsiaTheme="majorEastAsia" w:cs="Calibri"/>
        </w:rPr>
      </w:pPr>
      <w:r w:rsidRPr="003524D8">
        <w:rPr>
          <w:rFonts w:eastAsiaTheme="majorEastAsia" w:cs="Calibri"/>
        </w:rPr>
        <w:t xml:space="preserve">To ensure ethical practices in data collection, several key considerations will be prioritised. Informed consent is essential to ensure </w:t>
      </w:r>
      <w:r w:rsidR="007327E4">
        <w:rPr>
          <w:rFonts w:eastAsiaTheme="majorEastAsia" w:cs="Calibri"/>
        </w:rPr>
        <w:t xml:space="preserve">that </w:t>
      </w:r>
      <w:r w:rsidRPr="003524D8">
        <w:rPr>
          <w:rFonts w:eastAsiaTheme="majorEastAsia" w:cs="Calibri"/>
        </w:rPr>
        <w:t xml:space="preserve">participants understand the research purpose, procedures, potential risks, and their rights </w:t>
      </w:r>
      <w:sdt>
        <w:sdtPr>
          <w:rPr>
            <w:rFonts w:eastAsiaTheme="majorEastAsia" w:cs="Calibri"/>
          </w:rPr>
          <w:id w:val="1500008503"/>
          <w:citation/>
        </w:sdtPr>
        <w:sdtContent>
          <w:r w:rsidR="002526CB" w:rsidRPr="003524D8">
            <w:rPr>
              <w:rFonts w:eastAsiaTheme="majorEastAsia" w:cs="Calibri"/>
            </w:rPr>
            <w:fldChar w:fldCharType="begin"/>
          </w:r>
          <w:r w:rsidR="002526CB" w:rsidRPr="003524D8">
            <w:rPr>
              <w:rFonts w:eastAsiaTheme="majorEastAsia" w:cs="Calibri"/>
            </w:rPr>
            <w:instrText xml:space="preserve">CITATION Bel18 \l 2057 </w:instrText>
          </w:r>
          <w:r w:rsidR="002526CB" w:rsidRPr="003524D8">
            <w:rPr>
              <w:rFonts w:eastAsiaTheme="majorEastAsia" w:cs="Calibri"/>
            </w:rPr>
            <w:fldChar w:fldCharType="separate"/>
          </w:r>
          <w:r w:rsidR="38D9AEEE" w:rsidRPr="003524D8">
            <w:rPr>
              <w:rFonts w:eastAsiaTheme="majorEastAsia" w:cs="Calibri"/>
              <w:noProof/>
            </w:rPr>
            <w:t>(Bell, et al., 2024)</w:t>
          </w:r>
          <w:r w:rsidR="002526CB" w:rsidRPr="003524D8">
            <w:rPr>
              <w:rFonts w:eastAsiaTheme="majorEastAsia" w:cs="Calibri"/>
            </w:rPr>
            <w:fldChar w:fldCharType="end"/>
          </w:r>
        </w:sdtContent>
      </w:sdt>
      <w:r w:rsidR="2E826687" w:rsidRPr="003524D8">
        <w:rPr>
          <w:rFonts w:eastAsiaTheme="majorEastAsia" w:cs="Calibri"/>
        </w:rPr>
        <w:t xml:space="preserve">. </w:t>
      </w:r>
      <w:r w:rsidRPr="003524D8">
        <w:rPr>
          <w:rFonts w:eastAsiaTheme="majorEastAsia" w:cs="Calibri"/>
        </w:rPr>
        <w:t xml:space="preserve">Participants will receive a clear, written consent form outlining the study’s aims, their involvement and data usage. They will be informed of their right to withdraw at any point without consequences </w:t>
      </w:r>
      <w:sdt>
        <w:sdtPr>
          <w:rPr>
            <w:rFonts w:eastAsiaTheme="majorEastAsia" w:cs="Calibri"/>
          </w:rPr>
          <w:id w:val="1448274187"/>
          <w:citation/>
        </w:sdtPr>
        <w:sdtContent>
          <w:r w:rsidR="002B06C7" w:rsidRPr="003524D8">
            <w:rPr>
              <w:rFonts w:eastAsiaTheme="majorEastAsia" w:cs="Calibri"/>
            </w:rPr>
            <w:fldChar w:fldCharType="begin"/>
          </w:r>
          <w:r w:rsidR="002B06C7" w:rsidRPr="003524D8">
            <w:rPr>
              <w:rFonts w:eastAsiaTheme="majorEastAsia" w:cs="Calibri"/>
            </w:rPr>
            <w:instrText xml:space="preserve"> CITATION Mer21 \l 2057 </w:instrText>
          </w:r>
          <w:r w:rsidR="002B06C7" w:rsidRPr="003524D8">
            <w:rPr>
              <w:rFonts w:eastAsiaTheme="majorEastAsia" w:cs="Calibri"/>
            </w:rPr>
            <w:fldChar w:fldCharType="separate"/>
          </w:r>
          <w:r w:rsidR="718D1F79" w:rsidRPr="003524D8">
            <w:rPr>
              <w:rFonts w:eastAsiaTheme="majorEastAsia" w:cs="Calibri"/>
              <w:noProof/>
            </w:rPr>
            <w:t xml:space="preserve"> (Mertler, 2021)</w:t>
          </w:r>
          <w:r w:rsidR="002B06C7" w:rsidRPr="003524D8">
            <w:rPr>
              <w:rFonts w:eastAsiaTheme="majorEastAsia" w:cs="Calibri"/>
            </w:rPr>
            <w:fldChar w:fldCharType="end"/>
          </w:r>
        </w:sdtContent>
      </w:sdt>
      <w:r w:rsidR="00F25801" w:rsidRPr="003524D8">
        <w:rPr>
          <w:rFonts w:eastAsiaTheme="majorEastAsia" w:cs="Calibri"/>
        </w:rPr>
        <w:t xml:space="preserve"> as shown in</w:t>
      </w:r>
      <w:r w:rsidR="003B247A">
        <w:rPr>
          <w:rFonts w:eastAsiaTheme="majorEastAsia" w:cs="Calibri"/>
        </w:rPr>
        <w:t xml:space="preserve"> (</w:t>
      </w:r>
      <w:r w:rsidR="003B247A">
        <w:rPr>
          <w:rFonts w:eastAsiaTheme="majorEastAsia" w:cs="Calibri"/>
        </w:rPr>
        <w:fldChar w:fldCharType="begin"/>
      </w:r>
      <w:r w:rsidR="003B247A">
        <w:rPr>
          <w:rFonts w:eastAsiaTheme="majorEastAsia" w:cs="Calibri"/>
        </w:rPr>
        <w:instrText xml:space="preserve"> REF _Ref185336626 \h </w:instrText>
      </w:r>
      <w:r w:rsidR="003B247A">
        <w:rPr>
          <w:rFonts w:eastAsiaTheme="majorEastAsia" w:cs="Calibri"/>
        </w:rPr>
      </w:r>
      <w:r w:rsidR="003B247A">
        <w:rPr>
          <w:rFonts w:eastAsiaTheme="majorEastAsia" w:cs="Calibri"/>
        </w:rPr>
        <w:fldChar w:fldCharType="separate"/>
      </w:r>
      <w:r w:rsidR="003B247A" w:rsidRPr="003524D8">
        <w:t>A</w:t>
      </w:r>
      <w:r w:rsidR="003B247A">
        <w:t>ppendix</w:t>
      </w:r>
      <w:r w:rsidR="003B247A" w:rsidRPr="003524D8">
        <w:t xml:space="preserve"> 1</w:t>
      </w:r>
      <w:r w:rsidR="003B247A">
        <w:rPr>
          <w:rFonts w:eastAsiaTheme="majorEastAsia" w:cs="Calibri"/>
        </w:rPr>
        <w:fldChar w:fldCharType="end"/>
      </w:r>
      <w:r w:rsidR="003B247A">
        <w:rPr>
          <w:rFonts w:eastAsiaTheme="majorEastAsia" w:cs="Calibri"/>
        </w:rPr>
        <w:t xml:space="preserve">) </w:t>
      </w:r>
      <w:r w:rsidRPr="003524D8">
        <w:rPr>
          <w:rFonts w:eastAsiaTheme="majorEastAsia" w:cs="Calibri"/>
        </w:rPr>
        <w:t>and consent will be provided in an accessible language, with time allocated for questions and clarifications</w:t>
      </w:r>
      <w:r w:rsidR="2E0259B1" w:rsidRPr="003524D8">
        <w:rPr>
          <w:rFonts w:eastAsiaTheme="majorEastAsia" w:cs="Calibri"/>
        </w:rPr>
        <w:t xml:space="preserve"> </w:t>
      </w:r>
      <w:sdt>
        <w:sdtPr>
          <w:rPr>
            <w:rFonts w:eastAsiaTheme="majorEastAsia" w:cs="Calibri"/>
          </w:rPr>
          <w:id w:val="-2020150109"/>
          <w:citation/>
        </w:sdtPr>
        <w:sdtContent>
          <w:r w:rsidR="00E91998" w:rsidRPr="003524D8">
            <w:rPr>
              <w:rFonts w:eastAsiaTheme="majorEastAsia" w:cs="Calibri"/>
            </w:rPr>
            <w:fldChar w:fldCharType="begin"/>
          </w:r>
          <w:r w:rsidR="00E91998" w:rsidRPr="003524D8">
            <w:rPr>
              <w:rFonts w:eastAsiaTheme="majorEastAsia" w:cs="Calibri"/>
            </w:rPr>
            <w:instrText xml:space="preserve"> CITATION Coh17 \l 2057 </w:instrText>
          </w:r>
          <w:r w:rsidR="00E91998" w:rsidRPr="003524D8">
            <w:rPr>
              <w:rFonts w:eastAsiaTheme="majorEastAsia" w:cs="Calibri"/>
            </w:rPr>
            <w:fldChar w:fldCharType="separate"/>
          </w:r>
          <w:r w:rsidR="2E0259B1" w:rsidRPr="003524D8">
            <w:rPr>
              <w:rFonts w:eastAsiaTheme="majorEastAsia" w:cs="Calibri"/>
              <w:noProof/>
            </w:rPr>
            <w:t>(Cohen, et al., 2017)</w:t>
          </w:r>
          <w:r w:rsidR="00E91998" w:rsidRPr="003524D8">
            <w:rPr>
              <w:rFonts w:eastAsiaTheme="majorEastAsia" w:cs="Calibri"/>
            </w:rPr>
            <w:fldChar w:fldCharType="end"/>
          </w:r>
        </w:sdtContent>
      </w:sdt>
      <w:r w:rsidR="3368EFD3" w:rsidRPr="003524D8">
        <w:rPr>
          <w:rFonts w:eastAsiaTheme="majorEastAsia" w:cs="Calibri"/>
        </w:rPr>
        <w:t>.</w:t>
      </w:r>
      <w:r w:rsidR="5278D690" w:rsidRPr="003524D8">
        <w:rPr>
          <w:rFonts w:eastAsiaTheme="majorEastAsia" w:cs="Calibri"/>
        </w:rPr>
        <w:t xml:space="preserve"> </w:t>
      </w:r>
      <w:r w:rsidRPr="003524D8">
        <w:rPr>
          <w:rFonts w:eastAsiaTheme="majorEastAsia" w:cs="Calibri"/>
        </w:rPr>
        <w:t xml:space="preserve">Confidentiality is crucial for protecting participants' identities and personal information. Data will be anonymised using pseudonyms or codes, in line with BERA </w:t>
      </w:r>
      <w:sdt>
        <w:sdtPr>
          <w:rPr>
            <w:rFonts w:eastAsiaTheme="majorEastAsia" w:cs="Calibri"/>
          </w:rPr>
          <w:id w:val="975647683"/>
          <w:citation/>
        </w:sdtPr>
        <w:sdtContent>
          <w:r w:rsidR="00D24042" w:rsidRPr="003524D8">
            <w:rPr>
              <w:rFonts w:eastAsiaTheme="majorEastAsia" w:cs="Calibri"/>
            </w:rPr>
            <w:fldChar w:fldCharType="begin"/>
          </w:r>
          <w:r w:rsidR="00D24042" w:rsidRPr="003524D8">
            <w:rPr>
              <w:rFonts w:eastAsiaTheme="majorEastAsia" w:cs="Calibri"/>
            </w:rPr>
            <w:instrText xml:space="preserve">CITATION BER241 \n  \l 2057 </w:instrText>
          </w:r>
          <w:r w:rsidR="00D24042" w:rsidRPr="003524D8">
            <w:rPr>
              <w:rFonts w:eastAsiaTheme="majorEastAsia" w:cs="Calibri"/>
            </w:rPr>
            <w:fldChar w:fldCharType="separate"/>
          </w:r>
          <w:r w:rsidR="39F6DDF6" w:rsidRPr="003524D8">
            <w:rPr>
              <w:rFonts w:eastAsiaTheme="majorEastAsia" w:cs="Calibri"/>
              <w:noProof/>
            </w:rPr>
            <w:t>(2024)</w:t>
          </w:r>
          <w:r w:rsidR="00D24042" w:rsidRPr="003524D8">
            <w:rPr>
              <w:rFonts w:eastAsiaTheme="majorEastAsia" w:cs="Calibri"/>
            </w:rPr>
            <w:fldChar w:fldCharType="end"/>
          </w:r>
        </w:sdtContent>
      </w:sdt>
      <w:r w:rsidR="00D60058" w:rsidRPr="003524D8">
        <w:rPr>
          <w:rFonts w:eastAsiaTheme="majorEastAsia" w:cs="Calibri"/>
        </w:rPr>
        <w:t>’s</w:t>
      </w:r>
      <w:r w:rsidR="39F6DDF6" w:rsidRPr="003524D8">
        <w:rPr>
          <w:rFonts w:eastAsiaTheme="majorEastAsia" w:cs="Calibri"/>
        </w:rPr>
        <w:t xml:space="preserve"> </w:t>
      </w:r>
      <w:r w:rsidR="5D7F605A" w:rsidRPr="003524D8">
        <w:rPr>
          <w:rFonts w:eastAsiaTheme="majorEastAsia" w:cs="Calibri"/>
        </w:rPr>
        <w:t>guidelines</w:t>
      </w:r>
      <w:r w:rsidR="2E826687" w:rsidRPr="003524D8">
        <w:rPr>
          <w:rFonts w:eastAsiaTheme="majorEastAsia" w:cs="Calibri"/>
        </w:rPr>
        <w:t xml:space="preserve">. </w:t>
      </w:r>
      <w:r w:rsidRPr="003524D8">
        <w:rPr>
          <w:rFonts w:eastAsiaTheme="majorEastAsia" w:cs="Calibri"/>
        </w:rPr>
        <w:t>When reporting findings, care will be taken to exclude</w:t>
      </w:r>
      <w:r w:rsidR="007327E4">
        <w:rPr>
          <w:rFonts w:eastAsiaTheme="majorEastAsia" w:cs="Calibri"/>
        </w:rPr>
        <w:t xml:space="preserve"> any</w:t>
      </w:r>
      <w:r w:rsidRPr="003524D8">
        <w:rPr>
          <w:rFonts w:eastAsiaTheme="majorEastAsia" w:cs="Calibri"/>
        </w:rPr>
        <w:t xml:space="preserve"> identifying details, particularly within </w:t>
      </w:r>
      <w:r w:rsidR="007327E4">
        <w:rPr>
          <w:rFonts w:eastAsiaTheme="majorEastAsia" w:cs="Calibri"/>
        </w:rPr>
        <w:t>this</w:t>
      </w:r>
      <w:r w:rsidRPr="003524D8">
        <w:rPr>
          <w:rFonts w:eastAsiaTheme="majorEastAsia" w:cs="Calibri"/>
        </w:rPr>
        <w:t xml:space="preserve"> small sample. As colleagues in a close-knit workplace are participating, assurances will be given that responses will not be shared informally or unintentionally with staff or students </w:t>
      </w:r>
      <w:sdt>
        <w:sdtPr>
          <w:rPr>
            <w:rFonts w:eastAsiaTheme="majorEastAsia" w:cs="Calibri"/>
          </w:rPr>
          <w:id w:val="-1829124008"/>
          <w:citation/>
        </w:sdtPr>
        <w:sdtContent>
          <w:r w:rsidR="00545998" w:rsidRPr="003524D8">
            <w:rPr>
              <w:rFonts w:eastAsiaTheme="majorEastAsia" w:cs="Calibri"/>
            </w:rPr>
            <w:fldChar w:fldCharType="begin"/>
          </w:r>
          <w:r w:rsidR="00545998" w:rsidRPr="003524D8">
            <w:rPr>
              <w:rFonts w:eastAsiaTheme="majorEastAsia" w:cs="Calibri"/>
            </w:rPr>
            <w:instrText xml:space="preserve"> CITATION Bos20 \l 2057 </w:instrText>
          </w:r>
          <w:r w:rsidR="00545998" w:rsidRPr="003524D8">
            <w:rPr>
              <w:rFonts w:eastAsiaTheme="majorEastAsia" w:cs="Calibri"/>
            </w:rPr>
            <w:fldChar w:fldCharType="separate"/>
          </w:r>
          <w:r w:rsidR="2B4896BF" w:rsidRPr="003524D8">
            <w:rPr>
              <w:rFonts w:eastAsiaTheme="majorEastAsia" w:cs="Calibri"/>
              <w:noProof/>
            </w:rPr>
            <w:t>(Bos, 2020)</w:t>
          </w:r>
          <w:r w:rsidR="00545998" w:rsidRPr="003524D8">
            <w:rPr>
              <w:rFonts w:eastAsiaTheme="majorEastAsia" w:cs="Calibri"/>
            </w:rPr>
            <w:fldChar w:fldCharType="end"/>
          </w:r>
        </w:sdtContent>
      </w:sdt>
      <w:r w:rsidR="23DB58DD" w:rsidRPr="003524D8">
        <w:rPr>
          <w:rFonts w:eastAsiaTheme="majorEastAsia" w:cs="Calibri"/>
        </w:rPr>
        <w:t>.</w:t>
      </w:r>
      <w:r w:rsidR="598DDA4A" w:rsidRPr="003524D8">
        <w:rPr>
          <w:rFonts w:eastAsiaTheme="majorEastAsia" w:cs="Calibri"/>
        </w:rPr>
        <w:t xml:space="preserve"> This will ensure that responses will not be linked back to individuals in any way that could impact </w:t>
      </w:r>
      <w:r w:rsidR="7E241264" w:rsidRPr="003524D8">
        <w:rPr>
          <w:rFonts w:eastAsiaTheme="majorEastAsia" w:cs="Calibri"/>
        </w:rPr>
        <w:t xml:space="preserve">personal and </w:t>
      </w:r>
      <w:r w:rsidR="598DDA4A" w:rsidRPr="003524D8">
        <w:rPr>
          <w:rFonts w:eastAsiaTheme="majorEastAsia" w:cs="Calibri"/>
        </w:rPr>
        <w:t>professional relationships</w:t>
      </w:r>
      <w:r w:rsidR="165F0756" w:rsidRPr="003524D8">
        <w:rPr>
          <w:rFonts w:eastAsiaTheme="majorEastAsia" w:cs="Calibri"/>
        </w:rPr>
        <w:t xml:space="preserve"> </w:t>
      </w:r>
      <w:sdt>
        <w:sdtPr>
          <w:rPr>
            <w:rFonts w:eastAsiaTheme="majorEastAsia" w:cs="Calibri"/>
          </w:rPr>
          <w:id w:val="-951314905"/>
          <w:citation/>
        </w:sdtPr>
        <w:sdtContent>
          <w:r w:rsidR="00653D2E" w:rsidRPr="003524D8">
            <w:rPr>
              <w:rFonts w:eastAsiaTheme="majorEastAsia" w:cs="Calibri"/>
            </w:rPr>
            <w:fldChar w:fldCharType="begin"/>
          </w:r>
          <w:r w:rsidR="00653D2E" w:rsidRPr="003524D8">
            <w:rPr>
              <w:rFonts w:eastAsiaTheme="majorEastAsia" w:cs="Calibri"/>
            </w:rPr>
            <w:instrText xml:space="preserve"> CITATION Coh17 \l 2057 </w:instrText>
          </w:r>
          <w:r w:rsidR="00653D2E" w:rsidRPr="003524D8">
            <w:rPr>
              <w:rFonts w:eastAsiaTheme="majorEastAsia" w:cs="Calibri"/>
            </w:rPr>
            <w:fldChar w:fldCharType="separate"/>
          </w:r>
          <w:r w:rsidR="165F0756" w:rsidRPr="003524D8">
            <w:rPr>
              <w:rFonts w:eastAsiaTheme="majorEastAsia" w:cs="Calibri"/>
              <w:noProof/>
            </w:rPr>
            <w:t>(Cohen, et al., 2017)</w:t>
          </w:r>
          <w:r w:rsidR="00653D2E" w:rsidRPr="003524D8">
            <w:rPr>
              <w:rFonts w:eastAsiaTheme="majorEastAsia" w:cs="Calibri"/>
            </w:rPr>
            <w:fldChar w:fldCharType="end"/>
          </w:r>
        </w:sdtContent>
      </w:sdt>
      <w:r w:rsidR="7521E52B" w:rsidRPr="003524D8">
        <w:rPr>
          <w:rFonts w:eastAsiaTheme="majorEastAsia" w:cs="Calibri"/>
        </w:rPr>
        <w:t xml:space="preserve">. </w:t>
      </w:r>
      <w:r w:rsidRPr="003524D8">
        <w:rPr>
          <w:rFonts w:eastAsiaTheme="majorEastAsia" w:cs="Calibri"/>
        </w:rPr>
        <w:t xml:space="preserve">Given potential workplace hierarchies, there is a </w:t>
      </w:r>
      <w:r w:rsidRPr="003524D8">
        <w:rPr>
          <w:rFonts w:eastAsiaTheme="majorEastAsia" w:cs="Calibri"/>
        </w:rPr>
        <w:lastRenderedPageBreak/>
        <w:t xml:space="preserve">risk of implicit pressure on participants to take part or </w:t>
      </w:r>
      <w:r w:rsidR="007327E4">
        <w:rPr>
          <w:rFonts w:eastAsiaTheme="majorEastAsia" w:cs="Calibri"/>
        </w:rPr>
        <w:t xml:space="preserve">to </w:t>
      </w:r>
      <w:r w:rsidRPr="003524D8">
        <w:rPr>
          <w:rFonts w:eastAsiaTheme="majorEastAsia" w:cs="Calibri"/>
        </w:rPr>
        <w:t xml:space="preserve">respond in ways that align with perceived expectations </w:t>
      </w:r>
      <w:sdt>
        <w:sdtPr>
          <w:rPr>
            <w:rFonts w:eastAsiaTheme="majorEastAsia" w:cs="Calibri"/>
          </w:rPr>
          <w:id w:val="1340426661"/>
          <w:citation/>
        </w:sdtPr>
        <w:sdtContent>
          <w:r w:rsidR="00B06609" w:rsidRPr="003524D8">
            <w:rPr>
              <w:rFonts w:eastAsiaTheme="majorEastAsia" w:cs="Calibri"/>
            </w:rPr>
            <w:fldChar w:fldCharType="begin"/>
          </w:r>
          <w:r w:rsidR="00B06609" w:rsidRPr="003524D8">
            <w:rPr>
              <w:rFonts w:eastAsiaTheme="majorEastAsia" w:cs="Calibri"/>
            </w:rPr>
            <w:instrText xml:space="preserve"> CITATION War20 \l 2057 </w:instrText>
          </w:r>
          <w:r w:rsidR="00B06609" w:rsidRPr="003524D8">
            <w:rPr>
              <w:rFonts w:eastAsiaTheme="majorEastAsia" w:cs="Calibri"/>
            </w:rPr>
            <w:fldChar w:fldCharType="separate"/>
          </w:r>
          <w:r w:rsidR="786DBA9A" w:rsidRPr="003524D8">
            <w:rPr>
              <w:rFonts w:eastAsiaTheme="majorEastAsia" w:cs="Calibri"/>
              <w:noProof/>
            </w:rPr>
            <w:t>(Ward &amp; Delamont, 2020)</w:t>
          </w:r>
          <w:r w:rsidR="00B06609" w:rsidRPr="003524D8">
            <w:rPr>
              <w:rFonts w:eastAsiaTheme="majorEastAsia" w:cs="Calibri"/>
            </w:rPr>
            <w:fldChar w:fldCharType="end"/>
          </w:r>
        </w:sdtContent>
      </w:sdt>
      <w:r w:rsidR="7521E52B" w:rsidRPr="003524D8">
        <w:rPr>
          <w:rFonts w:eastAsiaTheme="majorEastAsia" w:cs="Calibri"/>
        </w:rPr>
        <w:t xml:space="preserve">. </w:t>
      </w:r>
    </w:p>
    <w:p w14:paraId="484FC570" w14:textId="77777777" w:rsidR="00EE65C6" w:rsidRPr="003524D8" w:rsidRDefault="00EE65C6" w:rsidP="00D835E5">
      <w:pPr>
        <w:rPr>
          <w:rFonts w:eastAsiaTheme="majorEastAsia" w:cs="Calibri"/>
        </w:rPr>
      </w:pPr>
    </w:p>
    <w:p w14:paraId="679E3A02" w14:textId="51FA5BED" w:rsidR="00EE65C6" w:rsidRPr="00EE65C6" w:rsidRDefault="00EE65C6" w:rsidP="00EE65C6">
      <w:pPr>
        <w:rPr>
          <w:rFonts w:eastAsiaTheme="majorEastAsia" w:cs="Calibri"/>
        </w:rPr>
      </w:pPr>
      <w:r w:rsidRPr="003524D8">
        <w:rPr>
          <w:rStyle w:val="Strong"/>
          <w:rFonts w:eastAsiaTheme="majorEastAsia"/>
          <w:b w:val="0"/>
          <w:bCs w:val="0"/>
        </w:rPr>
        <w:t>Bias and objectivity</w:t>
      </w:r>
      <w:r w:rsidRPr="003524D8">
        <w:t xml:space="preserve"> are also concerns, as familiarity with participants may introduce unconscious bias or influence interpretation of responses. Awareness of this risk and maintaining an objective approach are essential to ensure fairness and minimise researcher influence </w:t>
      </w:r>
      <w:sdt>
        <w:sdtPr>
          <w:rPr>
            <w:rFonts w:eastAsiaTheme="majorEastAsia" w:cs="Calibri"/>
          </w:rPr>
          <w:id w:val="836048329"/>
          <w:citation/>
        </w:sdtPr>
        <w:sdtContent>
          <w:r w:rsidR="005D0C0E" w:rsidRPr="003524D8">
            <w:rPr>
              <w:rFonts w:eastAsiaTheme="majorEastAsia" w:cs="Calibri"/>
            </w:rPr>
            <w:fldChar w:fldCharType="begin"/>
          </w:r>
          <w:r w:rsidR="005D0C0E" w:rsidRPr="003524D8">
            <w:rPr>
              <w:rFonts w:eastAsiaTheme="majorEastAsia" w:cs="Calibri"/>
            </w:rPr>
            <w:instrText xml:space="preserve"> CITATION Pow18 \l 2057 </w:instrText>
          </w:r>
          <w:r w:rsidR="005D0C0E" w:rsidRPr="003524D8">
            <w:rPr>
              <w:rFonts w:eastAsiaTheme="majorEastAsia" w:cs="Calibri"/>
            </w:rPr>
            <w:fldChar w:fldCharType="separate"/>
          </w:r>
          <w:r w:rsidR="74E432E3" w:rsidRPr="003524D8">
            <w:rPr>
              <w:rFonts w:eastAsiaTheme="majorEastAsia" w:cs="Calibri"/>
              <w:noProof/>
            </w:rPr>
            <w:t>(Powney &amp; Watts, 2018)</w:t>
          </w:r>
          <w:r w:rsidR="005D0C0E" w:rsidRPr="003524D8">
            <w:rPr>
              <w:rFonts w:eastAsiaTheme="majorEastAsia" w:cs="Calibri"/>
            </w:rPr>
            <w:fldChar w:fldCharType="end"/>
          </w:r>
        </w:sdtContent>
      </w:sdt>
      <w:r w:rsidR="2D0D0265" w:rsidRPr="003524D8">
        <w:rPr>
          <w:rFonts w:eastAsiaTheme="majorEastAsia" w:cs="Calibri"/>
        </w:rPr>
        <w:t>.</w:t>
      </w:r>
      <w:r w:rsidR="5278D690" w:rsidRPr="003524D8">
        <w:rPr>
          <w:rFonts w:eastAsiaTheme="majorEastAsia" w:cs="Calibri"/>
        </w:rPr>
        <w:t xml:space="preserve"> </w:t>
      </w:r>
      <w:r w:rsidRPr="00EE65C6">
        <w:rPr>
          <w:rFonts w:eastAsiaTheme="majorEastAsia" w:cs="Calibri"/>
        </w:rPr>
        <w:t xml:space="preserve">Data security is vital, particularly given the sensitive nature of educational research </w:t>
      </w:r>
      <w:sdt>
        <w:sdtPr>
          <w:rPr>
            <w:rFonts w:eastAsiaTheme="majorEastAsia" w:cs="Calibri"/>
          </w:rPr>
          <w:id w:val="597841499"/>
          <w:citation/>
        </w:sdtPr>
        <w:sdtContent>
          <w:r w:rsidRPr="003524D8">
            <w:rPr>
              <w:rFonts w:eastAsiaTheme="majorEastAsia" w:cs="Calibri"/>
            </w:rPr>
            <w:fldChar w:fldCharType="begin"/>
          </w:r>
          <w:r w:rsidRPr="003524D8">
            <w:rPr>
              <w:rFonts w:eastAsiaTheme="majorEastAsia" w:cs="Calibri"/>
            </w:rPr>
            <w:instrText xml:space="preserve"> CITATION Bel18 \l 2057 </w:instrText>
          </w:r>
          <w:r w:rsidRPr="003524D8">
            <w:rPr>
              <w:rFonts w:eastAsiaTheme="majorEastAsia" w:cs="Calibri"/>
            </w:rPr>
            <w:fldChar w:fldCharType="separate"/>
          </w:r>
          <w:r w:rsidRPr="003524D8">
            <w:rPr>
              <w:rFonts w:eastAsiaTheme="majorEastAsia" w:cs="Calibri"/>
              <w:noProof/>
            </w:rPr>
            <w:t>(Bell, et al., 2024)</w:t>
          </w:r>
          <w:r w:rsidRPr="003524D8">
            <w:rPr>
              <w:rFonts w:eastAsiaTheme="majorEastAsia" w:cs="Calibri"/>
            </w:rPr>
            <w:fldChar w:fldCharType="end"/>
          </w:r>
        </w:sdtContent>
      </w:sdt>
      <w:r w:rsidRPr="003524D8">
        <w:rPr>
          <w:rFonts w:eastAsiaTheme="majorEastAsia" w:cs="Calibri"/>
        </w:rPr>
        <w:t xml:space="preserve">. </w:t>
      </w:r>
      <w:r w:rsidRPr="00EE65C6">
        <w:rPr>
          <w:rFonts w:eastAsiaTheme="majorEastAsia" w:cs="Calibri"/>
        </w:rPr>
        <w:t>All interview transcripts and data will be stored securely in encrypted digital files, with access restricted to the researcher</w:t>
      </w:r>
      <w:r w:rsidR="007327E4">
        <w:rPr>
          <w:rFonts w:eastAsiaTheme="majorEastAsia" w:cs="Calibri"/>
        </w:rPr>
        <w:t xml:space="preserve"> alone</w:t>
      </w:r>
      <w:r w:rsidRPr="00EE65C6">
        <w:rPr>
          <w:rFonts w:eastAsiaTheme="majorEastAsia" w:cs="Calibri"/>
        </w:rPr>
        <w:t xml:space="preserve"> </w:t>
      </w:r>
      <w:sdt>
        <w:sdtPr>
          <w:rPr>
            <w:rFonts w:eastAsiaTheme="majorEastAsia" w:cs="Calibri"/>
          </w:rPr>
          <w:id w:val="-776486749"/>
          <w:citation/>
        </w:sdtPr>
        <w:sdtContent>
          <w:r w:rsidRPr="003524D8">
            <w:rPr>
              <w:rFonts w:eastAsiaTheme="majorEastAsia" w:cs="Calibri"/>
            </w:rPr>
            <w:fldChar w:fldCharType="begin"/>
          </w:r>
          <w:r w:rsidRPr="003524D8">
            <w:rPr>
              <w:rFonts w:eastAsiaTheme="majorEastAsia" w:cs="Calibri"/>
            </w:rPr>
            <w:instrText xml:space="preserve"> CITATION Bos20 \l 2057 </w:instrText>
          </w:r>
          <w:r w:rsidRPr="003524D8">
            <w:rPr>
              <w:rFonts w:eastAsiaTheme="majorEastAsia" w:cs="Calibri"/>
            </w:rPr>
            <w:fldChar w:fldCharType="separate"/>
          </w:r>
          <w:r w:rsidRPr="003524D8">
            <w:rPr>
              <w:rFonts w:eastAsiaTheme="majorEastAsia" w:cs="Calibri"/>
              <w:noProof/>
            </w:rPr>
            <w:t>(Bos, 2020)</w:t>
          </w:r>
          <w:r w:rsidRPr="003524D8">
            <w:rPr>
              <w:rFonts w:eastAsiaTheme="majorEastAsia" w:cs="Calibri"/>
            </w:rPr>
            <w:fldChar w:fldCharType="end"/>
          </w:r>
        </w:sdtContent>
      </w:sdt>
      <w:r w:rsidRPr="003524D8">
        <w:rPr>
          <w:rFonts w:eastAsiaTheme="majorEastAsia" w:cs="Calibri"/>
        </w:rPr>
        <w:t xml:space="preserve">. </w:t>
      </w:r>
      <w:r w:rsidRPr="00EE65C6">
        <w:rPr>
          <w:rFonts w:eastAsiaTheme="majorEastAsia" w:cs="Calibri"/>
        </w:rPr>
        <w:t>Compliance with relevant data protection laws, including the UK’s General Data Protection Regulation, will protect participants' rights and privacy.</w:t>
      </w:r>
      <w:r w:rsidRPr="003524D8">
        <w:rPr>
          <w:rFonts w:eastAsiaTheme="majorEastAsia" w:cs="Calibri"/>
        </w:rPr>
        <w:t xml:space="preserve"> </w:t>
      </w:r>
      <w:r w:rsidRPr="00EE65C6">
        <w:rPr>
          <w:rFonts w:eastAsiaTheme="majorEastAsia" w:cs="Calibri"/>
        </w:rPr>
        <w:t>Participants will be treated with respect, and potential harm will be minimised</w:t>
      </w:r>
      <w:sdt>
        <w:sdtPr>
          <w:rPr>
            <w:rFonts w:eastAsiaTheme="majorEastAsia" w:cs="Calibri"/>
          </w:rPr>
          <w:id w:val="-2135706678"/>
          <w:citation/>
        </w:sdtPr>
        <w:sdtContent>
          <w:r w:rsidRPr="003524D8">
            <w:rPr>
              <w:rFonts w:eastAsiaTheme="majorEastAsia" w:cs="Calibri"/>
            </w:rPr>
            <w:fldChar w:fldCharType="begin"/>
          </w:r>
          <w:r w:rsidRPr="003524D8">
            <w:rPr>
              <w:rFonts w:eastAsiaTheme="majorEastAsia" w:cs="Calibri"/>
            </w:rPr>
            <w:instrText xml:space="preserve"> CITATION Mer21 \l 2057 </w:instrText>
          </w:r>
          <w:r w:rsidRPr="003524D8">
            <w:rPr>
              <w:rFonts w:eastAsiaTheme="majorEastAsia" w:cs="Calibri"/>
            </w:rPr>
            <w:fldChar w:fldCharType="separate"/>
          </w:r>
          <w:r w:rsidRPr="003524D8">
            <w:rPr>
              <w:rFonts w:eastAsiaTheme="majorEastAsia" w:cs="Calibri"/>
              <w:noProof/>
            </w:rPr>
            <w:t xml:space="preserve"> (Mertler, 2021)</w:t>
          </w:r>
          <w:r w:rsidRPr="003524D8">
            <w:rPr>
              <w:rFonts w:eastAsiaTheme="majorEastAsia" w:cs="Calibri"/>
            </w:rPr>
            <w:fldChar w:fldCharType="end"/>
          </w:r>
        </w:sdtContent>
      </w:sdt>
      <w:r w:rsidRPr="003524D8">
        <w:rPr>
          <w:rFonts w:eastAsiaTheme="majorEastAsia" w:cs="Calibri"/>
        </w:rPr>
        <w:t xml:space="preserve">. </w:t>
      </w:r>
      <w:r w:rsidRPr="00EE65C6">
        <w:rPr>
          <w:rFonts w:eastAsiaTheme="majorEastAsia" w:cs="Calibri"/>
        </w:rPr>
        <w:t xml:space="preserve">Interviews will be conducted sensitively, avoiding distressing questions and ensuring </w:t>
      </w:r>
      <w:r w:rsidR="007327E4">
        <w:rPr>
          <w:rFonts w:eastAsiaTheme="majorEastAsia" w:cs="Calibri"/>
        </w:rPr>
        <w:t xml:space="preserve">that </w:t>
      </w:r>
      <w:r w:rsidRPr="00EE65C6">
        <w:rPr>
          <w:rFonts w:eastAsiaTheme="majorEastAsia" w:cs="Calibri"/>
        </w:rPr>
        <w:t xml:space="preserve">participants </w:t>
      </w:r>
      <w:proofErr w:type="gramStart"/>
      <w:r w:rsidRPr="00EE65C6">
        <w:rPr>
          <w:rFonts w:eastAsiaTheme="majorEastAsia" w:cs="Calibri"/>
        </w:rPr>
        <w:t>feel comfortable at all times</w:t>
      </w:r>
      <w:proofErr w:type="gramEnd"/>
      <w:sdt>
        <w:sdtPr>
          <w:rPr>
            <w:rFonts w:eastAsiaTheme="majorEastAsia" w:cs="Calibri"/>
          </w:rPr>
          <w:id w:val="2112317373"/>
          <w:citation/>
        </w:sdtPr>
        <w:sdtContent>
          <w:r w:rsidRPr="003524D8">
            <w:rPr>
              <w:rFonts w:eastAsiaTheme="majorEastAsia" w:cs="Calibri"/>
            </w:rPr>
            <w:fldChar w:fldCharType="begin"/>
          </w:r>
          <w:r w:rsidRPr="003524D8">
            <w:rPr>
              <w:rFonts w:eastAsiaTheme="majorEastAsia" w:cs="Calibri"/>
            </w:rPr>
            <w:instrText xml:space="preserve"> CITATION Coh17 \l 2057 </w:instrText>
          </w:r>
          <w:r w:rsidRPr="003524D8">
            <w:rPr>
              <w:rFonts w:eastAsiaTheme="majorEastAsia" w:cs="Calibri"/>
            </w:rPr>
            <w:fldChar w:fldCharType="separate"/>
          </w:r>
          <w:r w:rsidRPr="003524D8">
            <w:rPr>
              <w:rFonts w:eastAsiaTheme="majorEastAsia" w:cs="Calibri"/>
              <w:noProof/>
            </w:rPr>
            <w:t xml:space="preserve"> (Cohen, et al., 2017)</w:t>
          </w:r>
          <w:r w:rsidRPr="003524D8">
            <w:rPr>
              <w:rFonts w:eastAsiaTheme="majorEastAsia" w:cs="Calibri"/>
            </w:rPr>
            <w:fldChar w:fldCharType="end"/>
          </w:r>
        </w:sdtContent>
      </w:sdt>
      <w:r w:rsidRPr="003524D8">
        <w:rPr>
          <w:rFonts w:eastAsiaTheme="majorEastAsia" w:cs="Calibri"/>
        </w:rPr>
        <w:t xml:space="preserve">. </w:t>
      </w:r>
      <w:r w:rsidRPr="00EE65C6">
        <w:rPr>
          <w:rFonts w:eastAsiaTheme="majorEastAsia" w:cs="Calibri"/>
        </w:rPr>
        <w:t xml:space="preserve">The study will follow ethical guidance, including the </w:t>
      </w:r>
      <w:r w:rsidRPr="003524D8">
        <w:rPr>
          <w:rFonts w:eastAsiaTheme="majorEastAsia" w:cs="Calibri"/>
        </w:rPr>
        <w:t xml:space="preserve">Frascati Manual </w:t>
      </w:r>
      <w:sdt>
        <w:sdtPr>
          <w:rPr>
            <w:rFonts w:eastAsiaTheme="majorEastAsia" w:cs="Calibri"/>
          </w:rPr>
          <w:id w:val="836884847"/>
          <w:citation/>
        </w:sdtPr>
        <w:sdtContent>
          <w:r w:rsidRPr="003524D8">
            <w:rPr>
              <w:rFonts w:eastAsiaTheme="majorEastAsia" w:cs="Calibri"/>
            </w:rPr>
            <w:fldChar w:fldCharType="begin"/>
          </w:r>
          <w:r w:rsidRPr="003524D8">
            <w:rPr>
              <w:rFonts w:eastAsiaTheme="majorEastAsia" w:cs="Calibri"/>
            </w:rPr>
            <w:instrText xml:space="preserve"> CITATION OEC15 \l 2057 </w:instrText>
          </w:r>
          <w:r w:rsidRPr="003524D8">
            <w:rPr>
              <w:rFonts w:eastAsiaTheme="majorEastAsia" w:cs="Calibri"/>
            </w:rPr>
            <w:fldChar w:fldCharType="separate"/>
          </w:r>
          <w:r w:rsidRPr="003524D8">
            <w:rPr>
              <w:rFonts w:eastAsiaTheme="majorEastAsia" w:cs="Calibri"/>
              <w:noProof/>
            </w:rPr>
            <w:t>(OECD, 2015)</w:t>
          </w:r>
          <w:r w:rsidRPr="003524D8">
            <w:rPr>
              <w:rFonts w:eastAsiaTheme="majorEastAsia" w:cs="Calibri"/>
            </w:rPr>
            <w:fldChar w:fldCharType="end"/>
          </w:r>
        </w:sdtContent>
      </w:sdt>
      <w:r w:rsidRPr="003524D8">
        <w:rPr>
          <w:rFonts w:eastAsiaTheme="majorEastAsia" w:cs="Calibri"/>
        </w:rPr>
        <w:t xml:space="preserve">, </w:t>
      </w:r>
      <w:r w:rsidRPr="00EE65C6">
        <w:rPr>
          <w:rFonts w:eastAsiaTheme="majorEastAsia" w:cs="Calibri"/>
        </w:rPr>
        <w:t>and formal approval will be obtained through Form PG2: Application for Ethical Approva</w:t>
      </w:r>
      <w:r w:rsidR="003B247A">
        <w:rPr>
          <w:rFonts w:eastAsiaTheme="majorEastAsia" w:cs="Calibri"/>
        </w:rPr>
        <w:t>l.</w:t>
      </w:r>
      <w:r w:rsidRPr="00EE65C6">
        <w:rPr>
          <w:rFonts w:eastAsiaTheme="majorEastAsia" w:cs="Calibri"/>
        </w:rPr>
        <w:t xml:space="preserve"> By adhering to these principles, the research will prioritise participants' well-being and uphold the highest ethical standards throughout the data collection process.</w:t>
      </w:r>
    </w:p>
    <w:p w14:paraId="0A3BEE29" w14:textId="77777777" w:rsidR="0047204B" w:rsidRPr="00C40FA7" w:rsidRDefault="0047204B" w:rsidP="00D835E5">
      <w:pPr>
        <w:spacing w:after="160"/>
        <w:rPr>
          <w:rFonts w:cs="Calibri"/>
          <w:highlight w:val="yellow"/>
        </w:rPr>
      </w:pPr>
      <w:r w:rsidRPr="00C40FA7">
        <w:rPr>
          <w:rFonts w:cs="Calibri"/>
          <w:highlight w:val="yellow"/>
        </w:rPr>
        <w:br w:type="page"/>
      </w:r>
    </w:p>
    <w:p w14:paraId="45207016" w14:textId="7931663B" w:rsidR="00F25801" w:rsidRPr="003524D8" w:rsidRDefault="00F25801" w:rsidP="003524D8">
      <w:pPr>
        <w:pStyle w:val="Heading1"/>
        <w:numPr>
          <w:ilvl w:val="0"/>
          <w:numId w:val="52"/>
        </w:numPr>
      </w:pPr>
      <w:bookmarkStart w:id="12" w:name="_Toc185674567"/>
      <w:r w:rsidRPr="003524D8">
        <w:lastRenderedPageBreak/>
        <w:t>PRESENTATION OF DATA AND</w:t>
      </w:r>
      <w:r w:rsidR="00120E89" w:rsidRPr="003524D8">
        <w:t xml:space="preserve"> DISCUSSION</w:t>
      </w:r>
      <w:bookmarkEnd w:id="12"/>
      <w:r w:rsidR="00120E89" w:rsidRPr="003524D8">
        <w:t xml:space="preserve"> </w:t>
      </w:r>
    </w:p>
    <w:p w14:paraId="7B2C7E94" w14:textId="7EA6B1DA" w:rsidR="00365C04" w:rsidRPr="00B00C14" w:rsidRDefault="00B00C14" w:rsidP="00D835E5">
      <w:pPr>
        <w:rPr>
          <w:rFonts w:eastAsiaTheme="majorEastAsia" w:cs="Calibri"/>
        </w:rPr>
      </w:pPr>
      <w:r>
        <w:rPr>
          <w:rFonts w:eastAsia="Aptos" w:cs="Calibri"/>
          <w:color w:val="000000" w:themeColor="text1"/>
        </w:rPr>
        <w:t xml:space="preserve">The data collected was arranged, </w:t>
      </w:r>
      <w:r w:rsidRPr="003524D8">
        <w:rPr>
          <w:rFonts w:eastAsia="Aptos" w:cs="Calibri"/>
          <w:color w:val="000000" w:themeColor="text1"/>
        </w:rPr>
        <w:t>highlight</w:t>
      </w:r>
      <w:r>
        <w:rPr>
          <w:rFonts w:eastAsia="Aptos" w:cs="Calibri"/>
          <w:color w:val="000000" w:themeColor="text1"/>
        </w:rPr>
        <w:t>ed and</w:t>
      </w:r>
      <w:r w:rsidRPr="003524D8">
        <w:rPr>
          <w:rFonts w:eastAsia="Aptos" w:cs="Calibri"/>
          <w:color w:val="000000" w:themeColor="text1"/>
        </w:rPr>
        <w:t xml:space="preserve"> patterns and themes</w:t>
      </w:r>
      <w:r>
        <w:rPr>
          <w:rFonts w:eastAsia="Aptos" w:cs="Calibri"/>
          <w:color w:val="000000" w:themeColor="text1"/>
        </w:rPr>
        <w:t xml:space="preserve"> </w:t>
      </w:r>
      <w:r w:rsidRPr="003B247A">
        <w:rPr>
          <w:rFonts w:eastAsia="Aptos" w:cs="Calibri"/>
          <w:color w:val="000000" w:themeColor="text1"/>
        </w:rPr>
        <w:t xml:space="preserve">identified </w:t>
      </w:r>
      <w:r w:rsidR="003B247A">
        <w:rPr>
          <w:rFonts w:eastAsia="Aptos" w:cs="Calibri"/>
          <w:color w:val="000000" w:themeColor="text1"/>
        </w:rPr>
        <w:t>(</w:t>
      </w:r>
      <w:r w:rsidR="003B247A">
        <w:rPr>
          <w:rFonts w:eastAsia="Aptos" w:cs="Calibri"/>
          <w:color w:val="000000" w:themeColor="text1"/>
        </w:rPr>
        <w:fldChar w:fldCharType="begin"/>
      </w:r>
      <w:r w:rsidR="003B247A">
        <w:rPr>
          <w:rFonts w:eastAsia="Aptos" w:cs="Calibri"/>
          <w:color w:val="000000" w:themeColor="text1"/>
        </w:rPr>
        <w:instrText xml:space="preserve"> REF _Ref185609969 \h </w:instrText>
      </w:r>
      <w:r w:rsidR="003B247A">
        <w:rPr>
          <w:rFonts w:eastAsia="Aptos" w:cs="Calibri"/>
          <w:color w:val="000000" w:themeColor="text1"/>
        </w:rPr>
      </w:r>
      <w:r w:rsidR="003B247A">
        <w:rPr>
          <w:rFonts w:eastAsia="Aptos" w:cs="Calibri"/>
          <w:color w:val="000000" w:themeColor="text1"/>
        </w:rPr>
        <w:fldChar w:fldCharType="separate"/>
      </w:r>
      <w:r w:rsidR="003B247A" w:rsidRPr="003524D8">
        <w:t>A</w:t>
      </w:r>
      <w:r w:rsidR="003B247A">
        <w:t xml:space="preserve">ppendix </w:t>
      </w:r>
      <w:r w:rsidR="003B247A" w:rsidRPr="003524D8">
        <w:t>2</w:t>
      </w:r>
      <w:r w:rsidR="003B247A">
        <w:rPr>
          <w:rFonts w:eastAsia="Aptos" w:cs="Calibri"/>
          <w:color w:val="000000" w:themeColor="text1"/>
        </w:rPr>
        <w:fldChar w:fldCharType="end"/>
      </w:r>
      <w:r w:rsidR="003B247A">
        <w:rPr>
          <w:rFonts w:eastAsia="Aptos" w:cs="Calibri"/>
          <w:color w:val="000000" w:themeColor="text1"/>
        </w:rPr>
        <w:t xml:space="preserve">) </w:t>
      </w:r>
      <w:r w:rsidR="00C26F31" w:rsidRPr="003524D8">
        <w:rPr>
          <w:rFonts w:eastAsiaTheme="majorEastAsia" w:cs="Calibri"/>
        </w:rPr>
        <w:t xml:space="preserve">which allowed comparisons and contrasts </w:t>
      </w:r>
      <w:sdt>
        <w:sdtPr>
          <w:rPr>
            <w:rFonts w:eastAsia="Aptos" w:cs="Calibri"/>
            <w:color w:val="000000" w:themeColor="text1"/>
          </w:rPr>
          <w:id w:val="836493971"/>
          <w:citation/>
        </w:sdtPr>
        <w:sdtContent>
          <w:r w:rsidRPr="003524D8">
            <w:rPr>
              <w:rFonts w:eastAsia="Aptos" w:cs="Calibri"/>
              <w:color w:val="000000" w:themeColor="text1"/>
            </w:rPr>
            <w:fldChar w:fldCharType="begin"/>
          </w:r>
          <w:r w:rsidRPr="003524D8">
            <w:rPr>
              <w:rFonts w:eastAsia="Aptos" w:cs="Calibri"/>
              <w:color w:val="000000" w:themeColor="text1"/>
            </w:rPr>
            <w:instrText xml:space="preserve"> CITATION Cha06 \l 2057 </w:instrText>
          </w:r>
          <w:r w:rsidRPr="003524D8">
            <w:rPr>
              <w:rFonts w:eastAsia="Aptos" w:cs="Calibri"/>
              <w:color w:val="000000" w:themeColor="text1"/>
            </w:rPr>
            <w:fldChar w:fldCharType="separate"/>
          </w:r>
          <w:r w:rsidRPr="003524D8">
            <w:rPr>
              <w:rFonts w:eastAsia="Aptos" w:cs="Calibri"/>
              <w:noProof/>
              <w:color w:val="000000" w:themeColor="text1"/>
            </w:rPr>
            <w:t>(Charmaz, 2006)</w:t>
          </w:r>
          <w:r w:rsidRPr="003524D8">
            <w:rPr>
              <w:rFonts w:eastAsia="Aptos" w:cs="Calibri"/>
              <w:color w:val="000000" w:themeColor="text1"/>
            </w:rPr>
            <w:fldChar w:fldCharType="end"/>
          </w:r>
        </w:sdtContent>
      </w:sdt>
      <w:r w:rsidRPr="003524D8">
        <w:rPr>
          <w:rFonts w:eastAsiaTheme="majorEastAsia" w:cs="Calibri"/>
        </w:rPr>
        <w:t xml:space="preserve"> </w:t>
      </w:r>
      <w:r w:rsidR="00C26F31" w:rsidRPr="003524D8">
        <w:rPr>
          <w:rFonts w:eastAsiaTheme="majorEastAsia" w:cs="Calibri"/>
        </w:rPr>
        <w:t>of the</w:t>
      </w:r>
      <w:r>
        <w:rPr>
          <w:rFonts w:eastAsiaTheme="majorEastAsia" w:cs="Calibri"/>
        </w:rPr>
        <w:t xml:space="preserve"> participants</w:t>
      </w:r>
      <w:r w:rsidR="007327E4">
        <w:rPr>
          <w:rFonts w:eastAsiaTheme="majorEastAsia" w:cs="Calibri"/>
        </w:rPr>
        <w:t>’</w:t>
      </w:r>
      <w:r w:rsidR="00C26F31" w:rsidRPr="003524D8">
        <w:rPr>
          <w:rFonts w:eastAsiaTheme="majorEastAsia" w:cs="Calibri"/>
        </w:rPr>
        <w:t xml:space="preserve"> experiences </w:t>
      </w:r>
      <w:r>
        <w:rPr>
          <w:rFonts w:eastAsiaTheme="majorEastAsia" w:cs="Calibri"/>
        </w:rPr>
        <w:t xml:space="preserve">and perspectives </w:t>
      </w:r>
      <w:r w:rsidR="00C26F31" w:rsidRPr="003524D8">
        <w:rPr>
          <w:rFonts w:eastAsiaTheme="majorEastAsia" w:cs="Calibri"/>
        </w:rPr>
        <w:t xml:space="preserve">to be </w:t>
      </w:r>
      <w:r>
        <w:rPr>
          <w:rFonts w:eastAsiaTheme="majorEastAsia" w:cs="Calibri"/>
        </w:rPr>
        <w:t>categorised</w:t>
      </w:r>
      <w:sdt>
        <w:sdtPr>
          <w:rPr>
            <w:rFonts w:eastAsiaTheme="majorEastAsia" w:cs="Calibri"/>
          </w:rPr>
          <w:id w:val="-505518221"/>
          <w:citation/>
        </w:sdtPr>
        <w:sdtContent>
          <w:r w:rsidRPr="003524D8">
            <w:rPr>
              <w:rFonts w:eastAsiaTheme="majorEastAsia" w:cs="Calibri"/>
            </w:rPr>
            <w:fldChar w:fldCharType="begin"/>
          </w:r>
          <w:r w:rsidRPr="003524D8">
            <w:rPr>
              <w:rFonts w:eastAsiaTheme="majorEastAsia" w:cs="Calibri"/>
            </w:rPr>
            <w:instrText xml:space="preserve"> CITATION Bel18 \l 2057 </w:instrText>
          </w:r>
          <w:r w:rsidRPr="003524D8">
            <w:rPr>
              <w:rFonts w:eastAsiaTheme="majorEastAsia" w:cs="Calibri"/>
            </w:rPr>
            <w:fldChar w:fldCharType="separate"/>
          </w:r>
          <w:r w:rsidRPr="003524D8">
            <w:rPr>
              <w:rFonts w:eastAsiaTheme="majorEastAsia" w:cs="Calibri"/>
              <w:noProof/>
            </w:rPr>
            <w:t xml:space="preserve"> (Bell, et al., 2024)</w:t>
          </w:r>
          <w:r w:rsidRPr="003524D8">
            <w:rPr>
              <w:rFonts w:eastAsiaTheme="majorEastAsia" w:cs="Calibri"/>
            </w:rPr>
            <w:fldChar w:fldCharType="end"/>
          </w:r>
        </w:sdtContent>
      </w:sdt>
      <w:r w:rsidR="00C26F31" w:rsidRPr="003524D8">
        <w:rPr>
          <w:rFonts w:eastAsiaTheme="majorEastAsia" w:cs="Calibri"/>
        </w:rPr>
        <w:t xml:space="preserve">. </w:t>
      </w:r>
      <w:r w:rsidR="00B545C8">
        <w:rPr>
          <w:rFonts w:eastAsia="Aptos" w:cs="Calibri"/>
          <w:color w:val="000000" w:themeColor="text1"/>
        </w:rPr>
        <w:fldChar w:fldCharType="begin"/>
      </w:r>
      <w:r w:rsidR="00B545C8">
        <w:rPr>
          <w:rFonts w:eastAsiaTheme="majorEastAsia" w:cs="Calibri"/>
        </w:rPr>
        <w:instrText xml:space="preserve"> REF _Ref185605688 \h </w:instrText>
      </w:r>
      <w:r w:rsidR="00B545C8">
        <w:rPr>
          <w:rFonts w:eastAsia="Aptos" w:cs="Calibri"/>
          <w:color w:val="000000" w:themeColor="text1"/>
        </w:rPr>
      </w:r>
      <w:r w:rsidR="00B545C8">
        <w:rPr>
          <w:rFonts w:eastAsia="Aptos" w:cs="Calibri"/>
          <w:color w:val="000000" w:themeColor="text1"/>
        </w:rPr>
        <w:fldChar w:fldCharType="separate"/>
      </w:r>
      <w:r w:rsidR="00B545C8" w:rsidRPr="003524D8">
        <w:rPr>
          <w:rFonts w:cs="Calibri"/>
        </w:rPr>
        <w:t xml:space="preserve">Figure </w:t>
      </w:r>
      <w:r w:rsidR="00B545C8">
        <w:rPr>
          <w:rFonts w:cs="Calibri"/>
          <w:noProof/>
        </w:rPr>
        <w:t>2</w:t>
      </w:r>
      <w:r w:rsidR="00B545C8">
        <w:rPr>
          <w:rFonts w:eastAsia="Aptos" w:cs="Calibri"/>
          <w:color w:val="000000" w:themeColor="text1"/>
        </w:rPr>
        <w:fldChar w:fldCharType="end"/>
      </w:r>
      <w:r w:rsidR="00B545C8">
        <w:rPr>
          <w:rFonts w:eastAsia="Aptos" w:cs="Calibri"/>
          <w:color w:val="000000" w:themeColor="text1"/>
        </w:rPr>
        <w:t xml:space="preserve"> </w:t>
      </w:r>
      <w:r w:rsidR="00F25801" w:rsidRPr="003524D8">
        <w:rPr>
          <w:rFonts w:eastAsia="Aptos" w:cs="Calibri"/>
          <w:color w:val="000000" w:themeColor="text1"/>
        </w:rPr>
        <w:t>shows the eight themes that were identified by the researcher from the thematic analysis.</w:t>
      </w:r>
      <w:r w:rsidR="00365C04" w:rsidRPr="003524D8">
        <w:rPr>
          <w:rFonts w:eastAsia="Aptos" w:cs="Calibri"/>
          <w:color w:val="000000" w:themeColor="text1"/>
        </w:rPr>
        <w:t xml:space="preserve"> Six of the eight themes will be discussed below</w:t>
      </w:r>
      <w:r w:rsidR="007327E4">
        <w:rPr>
          <w:rFonts w:eastAsia="Aptos" w:cs="Calibri"/>
          <w:color w:val="000000" w:themeColor="text1"/>
        </w:rPr>
        <w:t xml:space="preserve"> as, a</w:t>
      </w:r>
      <w:r w:rsidR="00365C04" w:rsidRPr="003524D8">
        <w:rPr>
          <w:rFonts w:eastAsia="Aptos" w:cs="Calibri"/>
          <w:color w:val="000000" w:themeColor="text1"/>
        </w:rPr>
        <w:t>lthough ‘Preparation for Level Three’ and ‘Personal Reflection’ were identified as themes that were discussed by all the participants, the information provided did not directly answer the research question and</w:t>
      </w:r>
      <w:r w:rsidR="00DE109B" w:rsidRPr="003524D8">
        <w:rPr>
          <w:rFonts w:eastAsia="Aptos" w:cs="Calibri"/>
          <w:color w:val="000000" w:themeColor="text1"/>
        </w:rPr>
        <w:t>,</w:t>
      </w:r>
      <w:r w:rsidR="00365C04" w:rsidRPr="003524D8">
        <w:rPr>
          <w:rFonts w:eastAsia="Aptos" w:cs="Calibri"/>
          <w:color w:val="000000" w:themeColor="text1"/>
        </w:rPr>
        <w:t xml:space="preserve"> therefore</w:t>
      </w:r>
      <w:r w:rsidR="00DE109B" w:rsidRPr="003524D8">
        <w:rPr>
          <w:rFonts w:eastAsia="Aptos" w:cs="Calibri"/>
          <w:color w:val="000000" w:themeColor="text1"/>
        </w:rPr>
        <w:t>,</w:t>
      </w:r>
      <w:r w:rsidR="00365C04" w:rsidRPr="003524D8">
        <w:rPr>
          <w:rFonts w:eastAsia="Aptos" w:cs="Calibri"/>
          <w:color w:val="000000" w:themeColor="text1"/>
        </w:rPr>
        <w:t xml:space="preserve"> has not been </w:t>
      </w:r>
      <w:r w:rsidR="004746B3">
        <w:rPr>
          <w:rFonts w:eastAsia="Aptos" w:cs="Calibri"/>
          <w:color w:val="000000" w:themeColor="text1"/>
        </w:rPr>
        <w:t>included</w:t>
      </w:r>
      <w:r w:rsidR="004B2775" w:rsidRPr="003524D8">
        <w:rPr>
          <w:rFonts w:eastAsia="Aptos" w:cs="Calibri"/>
          <w:color w:val="000000" w:themeColor="text1"/>
        </w:rPr>
        <w:t xml:space="preserve"> </w:t>
      </w:r>
      <w:sdt>
        <w:sdtPr>
          <w:rPr>
            <w:rFonts w:eastAsia="Aptos" w:cs="Calibri"/>
            <w:color w:val="000000" w:themeColor="text1"/>
          </w:rPr>
          <w:id w:val="1583864913"/>
          <w:citation/>
        </w:sdtPr>
        <w:sdtContent>
          <w:r w:rsidR="004B2775" w:rsidRPr="003524D8">
            <w:rPr>
              <w:rFonts w:eastAsia="Aptos" w:cs="Calibri"/>
              <w:color w:val="000000" w:themeColor="text1"/>
            </w:rPr>
            <w:fldChar w:fldCharType="begin"/>
          </w:r>
          <w:r w:rsidR="004B2775" w:rsidRPr="003524D8">
            <w:rPr>
              <w:rFonts w:eastAsia="Aptos" w:cs="Calibri"/>
              <w:color w:val="000000" w:themeColor="text1"/>
            </w:rPr>
            <w:instrText xml:space="preserve"> CITATION Bry16 \l 2057 </w:instrText>
          </w:r>
          <w:r w:rsidR="004B2775" w:rsidRPr="003524D8">
            <w:rPr>
              <w:rFonts w:eastAsia="Aptos" w:cs="Calibri"/>
              <w:color w:val="000000" w:themeColor="text1"/>
            </w:rPr>
            <w:fldChar w:fldCharType="separate"/>
          </w:r>
          <w:r w:rsidR="004B2775" w:rsidRPr="003524D8">
            <w:rPr>
              <w:rFonts w:eastAsia="Aptos" w:cs="Calibri"/>
              <w:noProof/>
              <w:color w:val="000000" w:themeColor="text1"/>
            </w:rPr>
            <w:t>(Bryman, 2016)</w:t>
          </w:r>
          <w:r w:rsidR="004B2775" w:rsidRPr="003524D8">
            <w:rPr>
              <w:rFonts w:eastAsia="Aptos" w:cs="Calibri"/>
              <w:color w:val="000000" w:themeColor="text1"/>
            </w:rPr>
            <w:fldChar w:fldCharType="end"/>
          </w:r>
        </w:sdtContent>
      </w:sdt>
      <w:r w:rsidR="00365C04" w:rsidRPr="003524D8">
        <w:rPr>
          <w:rFonts w:eastAsia="Aptos" w:cs="Calibri"/>
          <w:color w:val="000000" w:themeColor="text1"/>
        </w:rPr>
        <w:t>.</w:t>
      </w:r>
    </w:p>
    <w:p w14:paraId="64490ED2" w14:textId="399776D5" w:rsidR="00120E89" w:rsidRPr="003524D8" w:rsidRDefault="00BF5779" w:rsidP="00D835E5">
      <w:pPr>
        <w:keepNext/>
        <w:spacing w:before="240" w:after="240"/>
        <w:rPr>
          <w:rFonts w:cs="Calibri"/>
        </w:rPr>
      </w:pPr>
      <w:r w:rsidRPr="003524D8">
        <w:rPr>
          <w:rFonts w:eastAsia="Aptos" w:cs="Calibri"/>
          <w:noProof/>
          <w:color w:val="000000" w:themeColor="text1"/>
        </w:rPr>
        <w:drawing>
          <wp:anchor distT="0" distB="0" distL="114300" distR="114300" simplePos="0" relativeHeight="251660288" behindDoc="0" locked="0" layoutInCell="1" allowOverlap="1" wp14:anchorId="1A937BC4" wp14:editId="13B50114">
            <wp:simplePos x="0" y="0"/>
            <wp:positionH relativeFrom="column">
              <wp:posOffset>1322024</wp:posOffset>
            </wp:positionH>
            <wp:positionV relativeFrom="paragraph">
              <wp:posOffset>77187</wp:posOffset>
            </wp:positionV>
            <wp:extent cx="3283027" cy="3218489"/>
            <wp:effectExtent l="0" t="0" r="0" b="0"/>
            <wp:wrapSquare wrapText="bothSides"/>
            <wp:docPr id="636611700" name="Picture 4"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11700" name="Picture 4" descr="A diagram of different colored circl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3027" cy="3218489"/>
                    </a:xfrm>
                    <a:prstGeom prst="rect">
                      <a:avLst/>
                    </a:prstGeom>
                  </pic:spPr>
                </pic:pic>
              </a:graphicData>
            </a:graphic>
            <wp14:sizeRelH relativeFrom="page">
              <wp14:pctWidth>0</wp14:pctWidth>
            </wp14:sizeRelH>
            <wp14:sizeRelV relativeFrom="page">
              <wp14:pctHeight>0</wp14:pctHeight>
            </wp14:sizeRelV>
          </wp:anchor>
        </w:drawing>
      </w:r>
    </w:p>
    <w:p w14:paraId="280FDDD4" w14:textId="77777777" w:rsidR="00BF5779" w:rsidRPr="003524D8" w:rsidRDefault="00BF5779" w:rsidP="00D835E5">
      <w:pPr>
        <w:pStyle w:val="Caption"/>
        <w:spacing w:line="360" w:lineRule="auto"/>
        <w:rPr>
          <w:rFonts w:cs="Calibri"/>
        </w:rPr>
      </w:pPr>
      <w:bookmarkStart w:id="13" w:name="_Ref184996548"/>
    </w:p>
    <w:p w14:paraId="2674B9BE" w14:textId="77777777" w:rsidR="00BF5779" w:rsidRPr="003524D8" w:rsidRDefault="00BF5779" w:rsidP="00D835E5">
      <w:pPr>
        <w:pStyle w:val="Caption"/>
        <w:spacing w:line="360" w:lineRule="auto"/>
        <w:rPr>
          <w:rFonts w:cs="Calibri"/>
        </w:rPr>
      </w:pPr>
    </w:p>
    <w:p w14:paraId="7DFEF8D4" w14:textId="77777777" w:rsidR="00BF5779" w:rsidRPr="003524D8" w:rsidRDefault="00BF5779" w:rsidP="00D835E5">
      <w:pPr>
        <w:pStyle w:val="Caption"/>
        <w:spacing w:line="360" w:lineRule="auto"/>
        <w:rPr>
          <w:rFonts w:cs="Calibri"/>
        </w:rPr>
      </w:pPr>
    </w:p>
    <w:p w14:paraId="50BD2C3A" w14:textId="77777777" w:rsidR="00BF5779" w:rsidRPr="003524D8" w:rsidRDefault="00BF5779" w:rsidP="00D835E5">
      <w:pPr>
        <w:pStyle w:val="Caption"/>
        <w:spacing w:line="360" w:lineRule="auto"/>
        <w:rPr>
          <w:rFonts w:cs="Calibri"/>
        </w:rPr>
      </w:pPr>
    </w:p>
    <w:p w14:paraId="07AA7D00" w14:textId="77777777" w:rsidR="00BF5779" w:rsidRPr="003524D8" w:rsidRDefault="00BF5779" w:rsidP="00D835E5">
      <w:pPr>
        <w:pStyle w:val="Caption"/>
        <w:spacing w:line="360" w:lineRule="auto"/>
        <w:rPr>
          <w:rFonts w:cs="Calibri"/>
        </w:rPr>
      </w:pPr>
    </w:p>
    <w:p w14:paraId="77032B08" w14:textId="77777777" w:rsidR="00BF5779" w:rsidRPr="003524D8" w:rsidRDefault="00BF5779" w:rsidP="00D835E5">
      <w:pPr>
        <w:pStyle w:val="Caption"/>
        <w:spacing w:line="360" w:lineRule="auto"/>
        <w:rPr>
          <w:rFonts w:cs="Calibri"/>
        </w:rPr>
      </w:pPr>
    </w:p>
    <w:p w14:paraId="690CE239" w14:textId="77777777" w:rsidR="00BF5779" w:rsidRPr="003524D8" w:rsidRDefault="00BF5779" w:rsidP="00D835E5">
      <w:pPr>
        <w:pStyle w:val="Caption"/>
        <w:spacing w:line="360" w:lineRule="auto"/>
        <w:rPr>
          <w:rFonts w:cs="Calibri"/>
        </w:rPr>
      </w:pPr>
    </w:p>
    <w:p w14:paraId="3E068C61" w14:textId="77777777" w:rsidR="00BF5779" w:rsidRPr="003524D8" w:rsidRDefault="00BF5779" w:rsidP="00D835E5">
      <w:pPr>
        <w:pStyle w:val="Caption"/>
        <w:spacing w:line="360" w:lineRule="auto"/>
        <w:rPr>
          <w:rFonts w:cs="Calibri"/>
        </w:rPr>
      </w:pPr>
    </w:p>
    <w:p w14:paraId="02EC8028" w14:textId="77777777" w:rsidR="00BF5779" w:rsidRPr="003524D8" w:rsidRDefault="00BF5779" w:rsidP="00D835E5">
      <w:pPr>
        <w:pStyle w:val="Caption"/>
        <w:spacing w:line="360" w:lineRule="auto"/>
        <w:rPr>
          <w:rFonts w:cs="Calibri"/>
        </w:rPr>
      </w:pPr>
    </w:p>
    <w:p w14:paraId="65B3842A" w14:textId="27CC2385" w:rsidR="00DF5D10" w:rsidRPr="003524D8" w:rsidRDefault="00120E89" w:rsidP="00D835E5">
      <w:pPr>
        <w:pStyle w:val="Caption"/>
        <w:spacing w:line="360" w:lineRule="auto"/>
        <w:rPr>
          <w:rFonts w:eastAsia="Aptos" w:cs="Calibri"/>
          <w:color w:val="000000" w:themeColor="text1"/>
        </w:rPr>
      </w:pPr>
      <w:bookmarkStart w:id="14" w:name="_Ref185605688"/>
      <w:bookmarkStart w:id="15" w:name="_Toc185333951"/>
      <w:bookmarkStart w:id="16" w:name="_Toc185342755"/>
      <w:bookmarkStart w:id="17" w:name="_Toc185342830"/>
      <w:bookmarkStart w:id="18" w:name="_Toc185609202"/>
      <w:r w:rsidRPr="003524D8">
        <w:rPr>
          <w:rFonts w:cs="Calibri"/>
        </w:rPr>
        <w:t xml:space="preserve">Figure </w:t>
      </w:r>
      <w:r w:rsidRPr="003524D8">
        <w:rPr>
          <w:rFonts w:cs="Calibri"/>
        </w:rPr>
        <w:fldChar w:fldCharType="begin"/>
      </w:r>
      <w:r w:rsidRPr="003524D8">
        <w:rPr>
          <w:rFonts w:cs="Calibri"/>
        </w:rPr>
        <w:instrText xml:space="preserve"> SEQ Figure \* ARABIC </w:instrText>
      </w:r>
      <w:r w:rsidRPr="003524D8">
        <w:rPr>
          <w:rFonts w:cs="Calibri"/>
        </w:rPr>
        <w:fldChar w:fldCharType="separate"/>
      </w:r>
      <w:r w:rsidR="00B545C8">
        <w:rPr>
          <w:rFonts w:cs="Calibri"/>
          <w:noProof/>
        </w:rPr>
        <w:t>2</w:t>
      </w:r>
      <w:r w:rsidRPr="003524D8">
        <w:rPr>
          <w:rFonts w:cs="Calibri"/>
        </w:rPr>
        <w:fldChar w:fldCharType="end"/>
      </w:r>
      <w:bookmarkEnd w:id="13"/>
      <w:bookmarkEnd w:id="14"/>
      <w:r w:rsidRPr="003524D8">
        <w:rPr>
          <w:rFonts w:cs="Calibri"/>
        </w:rPr>
        <w:t>: Participant Themes (</w:t>
      </w:r>
      <w:bookmarkEnd w:id="15"/>
      <w:r w:rsidR="008E0178" w:rsidRPr="003524D8">
        <w:rPr>
          <w:rFonts w:eastAsia="Aptos" w:cs="Calibri"/>
          <w:noProof/>
          <w:color w:val="000000" w:themeColor="text1"/>
        </w:rPr>
        <w:t>Charmaz 2006</w:t>
      </w:r>
      <w:r w:rsidR="008E0178">
        <w:rPr>
          <w:rFonts w:eastAsia="Aptos" w:cs="Calibri"/>
          <w:noProof/>
          <w:color w:val="000000" w:themeColor="text1"/>
        </w:rPr>
        <w:t xml:space="preserve"> &amp; </w:t>
      </w:r>
      <w:r w:rsidR="008E0178" w:rsidRPr="003524D8">
        <w:rPr>
          <w:rFonts w:eastAsiaTheme="majorEastAsia" w:cs="Calibri"/>
          <w:noProof/>
        </w:rPr>
        <w:t>Bel</w:t>
      </w:r>
      <w:r w:rsidR="008E0178">
        <w:rPr>
          <w:rFonts w:eastAsiaTheme="majorEastAsia" w:cs="Calibri"/>
          <w:noProof/>
        </w:rPr>
        <w:t>l</w:t>
      </w:r>
      <w:r w:rsidR="008E0178" w:rsidRPr="003524D8">
        <w:rPr>
          <w:rFonts w:eastAsiaTheme="majorEastAsia" w:cs="Calibri"/>
          <w:noProof/>
        </w:rPr>
        <w:t xml:space="preserve"> et al.</w:t>
      </w:r>
      <w:r w:rsidR="008E0178">
        <w:rPr>
          <w:rFonts w:eastAsiaTheme="majorEastAsia" w:cs="Calibri"/>
          <w:noProof/>
        </w:rPr>
        <w:t>,</w:t>
      </w:r>
      <w:r w:rsidR="008E0178" w:rsidRPr="003524D8">
        <w:rPr>
          <w:rFonts w:eastAsiaTheme="majorEastAsia" w:cs="Calibri"/>
          <w:noProof/>
        </w:rPr>
        <w:t xml:space="preserve"> 2024</w:t>
      </w:r>
      <w:r w:rsidR="008E0178" w:rsidRPr="003524D8">
        <w:rPr>
          <w:rFonts w:eastAsia="Aptos" w:cs="Calibri"/>
          <w:noProof/>
          <w:color w:val="000000" w:themeColor="text1"/>
        </w:rPr>
        <w:t>)</w:t>
      </w:r>
      <w:bookmarkEnd w:id="16"/>
      <w:bookmarkEnd w:id="17"/>
      <w:bookmarkEnd w:id="18"/>
    </w:p>
    <w:p w14:paraId="419A2F1F" w14:textId="4BD1E9BB" w:rsidR="00607809" w:rsidRPr="003524D8" w:rsidRDefault="003524D8" w:rsidP="008E0178">
      <w:pPr>
        <w:pStyle w:val="Heading2"/>
      </w:pPr>
      <w:bookmarkStart w:id="19" w:name="_Toc185674568"/>
      <w:r>
        <w:t xml:space="preserve">4.1 </w:t>
      </w:r>
      <w:r w:rsidR="00721E1C" w:rsidRPr="003524D8">
        <w:t>STUDENT SUPPORT</w:t>
      </w:r>
      <w:bookmarkEnd w:id="19"/>
    </w:p>
    <w:p w14:paraId="4D7CAD26" w14:textId="408432F2" w:rsidR="00AC42EC" w:rsidRPr="003524D8" w:rsidRDefault="004746B3" w:rsidP="00D835E5">
      <w:pPr>
        <w:rPr>
          <w:rFonts w:cs="Calibri"/>
        </w:rPr>
      </w:pPr>
      <w:r>
        <w:rPr>
          <w:rFonts w:cs="Calibri"/>
        </w:rPr>
        <w:t xml:space="preserve">A prevalent theme that was identified was the strength of support offered to students. </w:t>
      </w:r>
      <w:r w:rsidR="00A5625A" w:rsidRPr="003524D8">
        <w:rPr>
          <w:rFonts w:cs="Calibri"/>
        </w:rPr>
        <w:t xml:space="preserve">Considered by Collings et al. </w:t>
      </w:r>
      <w:sdt>
        <w:sdtPr>
          <w:rPr>
            <w:rFonts w:cs="Calibri"/>
          </w:rPr>
          <w:id w:val="41258661"/>
          <w:citation/>
        </w:sdtPr>
        <w:sdtContent>
          <w:r w:rsidR="00A5625A" w:rsidRPr="003524D8">
            <w:rPr>
              <w:rFonts w:cs="Calibri"/>
            </w:rPr>
            <w:fldChar w:fldCharType="begin"/>
          </w:r>
          <w:r w:rsidR="00A5625A" w:rsidRPr="003524D8">
            <w:rPr>
              <w:rFonts w:cs="Calibri"/>
            </w:rPr>
            <w:instrText xml:space="preserve">CITATION Col22 \n  \l 2057 </w:instrText>
          </w:r>
          <w:r w:rsidR="00A5625A" w:rsidRPr="003524D8">
            <w:rPr>
              <w:rFonts w:cs="Calibri"/>
            </w:rPr>
            <w:fldChar w:fldCharType="separate"/>
          </w:r>
          <w:r w:rsidR="00A5625A" w:rsidRPr="003524D8">
            <w:rPr>
              <w:rFonts w:cs="Calibri"/>
              <w:noProof/>
            </w:rPr>
            <w:t>(2022)</w:t>
          </w:r>
          <w:r w:rsidR="00A5625A" w:rsidRPr="003524D8">
            <w:rPr>
              <w:rFonts w:cs="Calibri"/>
            </w:rPr>
            <w:fldChar w:fldCharType="end"/>
          </w:r>
        </w:sdtContent>
      </w:sdt>
      <w:r w:rsidR="00A5625A" w:rsidRPr="003524D8">
        <w:rPr>
          <w:rFonts w:cs="Calibri"/>
        </w:rPr>
        <w:t xml:space="preserve">, </w:t>
      </w:r>
      <w:r w:rsidR="003634F7" w:rsidRPr="003524D8">
        <w:rPr>
          <w:rFonts w:cs="Calibri"/>
        </w:rPr>
        <w:t>Tutor 1</w:t>
      </w:r>
      <w:r w:rsidR="00721E1C" w:rsidRPr="003524D8">
        <w:rPr>
          <w:rFonts w:cs="Calibri"/>
        </w:rPr>
        <w:t xml:space="preserve"> report</w:t>
      </w:r>
      <w:r w:rsidR="00A5625A" w:rsidRPr="003524D8">
        <w:rPr>
          <w:rFonts w:cs="Calibri"/>
        </w:rPr>
        <w:t>ed</w:t>
      </w:r>
      <w:r w:rsidR="00721E1C" w:rsidRPr="003524D8">
        <w:rPr>
          <w:rFonts w:cs="Calibri"/>
        </w:rPr>
        <w:t xml:space="preserve"> that students openly shared their problems, noting that: “they're not afraid to come to me privately and discuss those issues”. </w:t>
      </w:r>
      <w:r w:rsidR="003634F7" w:rsidRPr="003524D8">
        <w:rPr>
          <w:rFonts w:cs="Calibri"/>
        </w:rPr>
        <w:t xml:space="preserve">Student 1 corroborated this, stating that “the lectures personally helped me, especially [name] </w:t>
      </w:r>
      <w:r w:rsidR="003634F7" w:rsidRPr="003524D8">
        <w:rPr>
          <w:rFonts w:cs="Calibri"/>
        </w:rPr>
        <w:lastRenderedPageBreak/>
        <w:t>and [they have] spoken to me whenever I’ve had down days, or when I've missed class due to my housing issues</w:t>
      </w:r>
      <w:r w:rsidR="008D3ABB" w:rsidRPr="003524D8">
        <w:rPr>
          <w:rFonts w:cs="Calibri"/>
        </w:rPr>
        <w:t>…the tutors have helped me to make myself feel better when I'm in a bad mood or I'm a little bit down”</w:t>
      </w:r>
      <w:r w:rsidR="00A5625A" w:rsidRPr="003524D8">
        <w:rPr>
          <w:rFonts w:cs="Calibri"/>
        </w:rPr>
        <w:t xml:space="preserve">, which aligns with the work </w:t>
      </w:r>
      <w:r w:rsidR="00A5625A" w:rsidRPr="001602EB">
        <w:rPr>
          <w:rFonts w:cs="Calibri"/>
        </w:rPr>
        <w:t xml:space="preserve">of Pollard et al. </w:t>
      </w:r>
      <w:sdt>
        <w:sdtPr>
          <w:rPr>
            <w:rFonts w:cs="Calibri"/>
          </w:rPr>
          <w:id w:val="-1188287283"/>
          <w:citation/>
        </w:sdtPr>
        <w:sdtContent>
          <w:r w:rsidR="00A5625A" w:rsidRPr="001602EB">
            <w:rPr>
              <w:rFonts w:cs="Calibri"/>
            </w:rPr>
            <w:fldChar w:fldCharType="begin"/>
          </w:r>
          <w:r w:rsidR="00A5625A" w:rsidRPr="001602EB">
            <w:rPr>
              <w:rFonts w:cs="Calibri"/>
            </w:rPr>
            <w:instrText xml:space="preserve">CITATION Pol21 \n  \l 2057 </w:instrText>
          </w:r>
          <w:r w:rsidR="00A5625A" w:rsidRPr="001602EB">
            <w:rPr>
              <w:rFonts w:cs="Calibri"/>
            </w:rPr>
            <w:fldChar w:fldCharType="separate"/>
          </w:r>
          <w:r w:rsidR="00A5625A" w:rsidRPr="001602EB">
            <w:rPr>
              <w:rFonts w:cs="Calibri"/>
              <w:noProof/>
            </w:rPr>
            <w:t>(2021)</w:t>
          </w:r>
          <w:r w:rsidR="00A5625A" w:rsidRPr="001602EB">
            <w:rPr>
              <w:rFonts w:cs="Calibri"/>
            </w:rPr>
            <w:fldChar w:fldCharType="end"/>
          </w:r>
        </w:sdtContent>
      </w:sdt>
      <w:r w:rsidR="001602EB">
        <w:rPr>
          <w:rFonts w:cs="Calibri"/>
        </w:rPr>
        <w:t xml:space="preserve"> undertaken in a Higher Education context</w:t>
      </w:r>
      <w:r w:rsidR="00A5625A" w:rsidRPr="003524D8">
        <w:rPr>
          <w:rFonts w:cs="Calibri"/>
        </w:rPr>
        <w:t>.</w:t>
      </w:r>
      <w:r w:rsidR="008D3ABB" w:rsidRPr="003524D8">
        <w:rPr>
          <w:rFonts w:cs="Calibri"/>
        </w:rPr>
        <w:t xml:space="preserve"> </w:t>
      </w:r>
      <w:r w:rsidR="003634F7" w:rsidRPr="003524D8">
        <w:rPr>
          <w:rFonts w:cs="Calibri"/>
        </w:rPr>
        <w:t>Tutor 2 sees herself as “99% social worker and 1% lecturer” and stated that “the social needs of these students far outweighs their educational needs”. Her approach to dealing with the issues can be identified as a mum; lecturer; deliverer of information as well as a social worker, support worker and health advisor</w:t>
      </w:r>
      <w:r w:rsidR="00035550" w:rsidRPr="003524D8">
        <w:rPr>
          <w:rFonts w:cs="Calibri"/>
        </w:rPr>
        <w:t xml:space="preserve">, relating to the work of </w:t>
      </w:r>
      <w:r w:rsidR="00035550" w:rsidRPr="003524D8">
        <w:rPr>
          <w:rFonts w:cs="Calibri"/>
          <w:noProof/>
        </w:rPr>
        <w:t xml:space="preserve">Fisher, et al. </w:t>
      </w:r>
      <w:sdt>
        <w:sdtPr>
          <w:rPr>
            <w:rFonts w:eastAsiaTheme="majorEastAsia" w:cs="Calibri"/>
          </w:rPr>
          <w:id w:val="1288391304"/>
          <w:citation/>
        </w:sdtPr>
        <w:sdtContent>
          <w:r w:rsidR="00035550" w:rsidRPr="003524D8">
            <w:rPr>
              <w:rFonts w:eastAsiaTheme="majorEastAsia" w:cs="Calibri"/>
            </w:rPr>
            <w:fldChar w:fldCharType="begin"/>
          </w:r>
          <w:r w:rsidR="00035550" w:rsidRPr="003524D8">
            <w:rPr>
              <w:rFonts w:cs="Calibri"/>
            </w:rPr>
            <w:instrText xml:space="preserve">CITATION Fis19 \n  \l 2057 </w:instrText>
          </w:r>
          <w:r w:rsidR="00035550" w:rsidRPr="003524D8">
            <w:rPr>
              <w:rFonts w:eastAsiaTheme="majorEastAsia" w:cs="Calibri"/>
            </w:rPr>
            <w:fldChar w:fldCharType="separate"/>
          </w:r>
          <w:r w:rsidR="00035550" w:rsidRPr="003524D8">
            <w:rPr>
              <w:rFonts w:cs="Calibri"/>
              <w:noProof/>
            </w:rPr>
            <w:t>(2019)</w:t>
          </w:r>
          <w:r w:rsidR="00035550" w:rsidRPr="003524D8">
            <w:rPr>
              <w:rFonts w:eastAsiaTheme="majorEastAsia" w:cs="Calibri"/>
            </w:rPr>
            <w:fldChar w:fldCharType="end"/>
          </w:r>
        </w:sdtContent>
      </w:sdt>
      <w:r w:rsidR="00035550" w:rsidRPr="003524D8">
        <w:rPr>
          <w:rFonts w:eastAsiaTheme="majorEastAsia" w:cs="Calibri"/>
        </w:rPr>
        <w:t xml:space="preserve"> who note the need to create a nurturing atmosphere.</w:t>
      </w:r>
      <w:r w:rsidR="00035550" w:rsidRPr="003524D8">
        <w:rPr>
          <w:rFonts w:cs="Calibri"/>
        </w:rPr>
        <w:t xml:space="preserve"> </w:t>
      </w:r>
      <w:r w:rsidR="00AC42EC" w:rsidRPr="003524D8">
        <w:rPr>
          <w:rFonts w:cs="Calibri"/>
        </w:rPr>
        <w:t>Due to many ‘accelerated inequalities’ experience</w:t>
      </w:r>
      <w:r w:rsidR="00465E94" w:rsidRPr="003524D8">
        <w:rPr>
          <w:rFonts w:cs="Calibri"/>
        </w:rPr>
        <w:t>d</w:t>
      </w:r>
      <w:r w:rsidR="00AC42EC" w:rsidRPr="003524D8">
        <w:rPr>
          <w:rFonts w:cs="Calibri"/>
        </w:rPr>
        <w:t xml:space="preserve"> in secondary school </w:t>
      </w:r>
      <w:sdt>
        <w:sdtPr>
          <w:rPr>
            <w:rFonts w:cs="Calibri"/>
          </w:rPr>
          <w:id w:val="1001623298"/>
          <w:citation/>
        </w:sdtPr>
        <w:sdtContent>
          <w:r w:rsidR="00AC42EC" w:rsidRPr="003524D8">
            <w:rPr>
              <w:rFonts w:cs="Calibri"/>
            </w:rPr>
            <w:fldChar w:fldCharType="begin"/>
          </w:r>
          <w:r w:rsidR="00AC42EC" w:rsidRPr="003524D8">
            <w:rPr>
              <w:rFonts w:cs="Calibri"/>
            </w:rPr>
            <w:instrText xml:space="preserve">CITATION Hol23 \l 2057 </w:instrText>
          </w:r>
          <w:r w:rsidR="00AC42EC" w:rsidRPr="003524D8">
            <w:rPr>
              <w:rFonts w:cs="Calibri"/>
            </w:rPr>
            <w:fldChar w:fldCharType="separate"/>
          </w:r>
          <w:r w:rsidR="00AC42EC" w:rsidRPr="003524D8">
            <w:rPr>
              <w:rFonts w:cs="Calibri"/>
              <w:noProof/>
            </w:rPr>
            <w:t>(Holt-White &amp; Cullinane, 2023)</w:t>
          </w:r>
          <w:r w:rsidR="00AC42EC" w:rsidRPr="003524D8">
            <w:rPr>
              <w:rFonts w:cs="Calibri"/>
            </w:rPr>
            <w:fldChar w:fldCharType="end"/>
          </w:r>
        </w:sdtContent>
      </w:sdt>
      <w:r w:rsidR="00465E94" w:rsidRPr="003524D8">
        <w:rPr>
          <w:rFonts w:cs="Calibri"/>
        </w:rPr>
        <w:t xml:space="preserve">, </w:t>
      </w:r>
      <w:r w:rsidR="00035550" w:rsidRPr="003524D8">
        <w:rPr>
          <w:rFonts w:cs="Calibri"/>
        </w:rPr>
        <w:t>Tutor 2</w:t>
      </w:r>
      <w:r w:rsidR="003634F7" w:rsidRPr="003524D8">
        <w:rPr>
          <w:rFonts w:cs="Calibri"/>
        </w:rPr>
        <w:t xml:space="preserve"> feels </w:t>
      </w:r>
      <w:r w:rsidR="00035550" w:rsidRPr="003524D8">
        <w:rPr>
          <w:rFonts w:cs="Calibri"/>
        </w:rPr>
        <w:t>that she</w:t>
      </w:r>
      <w:r w:rsidR="003634F7" w:rsidRPr="003524D8">
        <w:rPr>
          <w:rFonts w:cs="Calibri"/>
        </w:rPr>
        <w:t xml:space="preserve"> is “moulding them into the humans that they want to be</w:t>
      </w:r>
      <w:r w:rsidR="00277D02" w:rsidRPr="003524D8">
        <w:rPr>
          <w:rFonts w:cs="Calibri"/>
        </w:rPr>
        <w:t>,</w:t>
      </w:r>
      <w:r w:rsidR="003634F7" w:rsidRPr="003524D8">
        <w:rPr>
          <w:rFonts w:cs="Calibri"/>
        </w:rPr>
        <w:t xml:space="preserve"> and that involves teaching them how to communicate”</w:t>
      </w:r>
      <w:r>
        <w:rPr>
          <w:rFonts w:cs="Calibri"/>
        </w:rPr>
        <w:t>,</w:t>
      </w:r>
      <w:r w:rsidR="003634F7" w:rsidRPr="003524D8">
        <w:rPr>
          <w:rFonts w:cs="Calibri"/>
        </w:rPr>
        <w:t xml:space="preserve"> being empathetic, and allowing them time to learn, retain and use that learning to develop themselves.</w:t>
      </w:r>
      <w:r w:rsidR="001829E2" w:rsidRPr="003524D8">
        <w:rPr>
          <w:rFonts w:cs="Calibri"/>
        </w:rPr>
        <w:t xml:space="preserve"> </w:t>
      </w:r>
      <w:r w:rsidR="002026B2" w:rsidRPr="003524D8">
        <w:rPr>
          <w:rFonts w:cs="Calibri"/>
        </w:rPr>
        <w:t xml:space="preserve">This includes workshops </w:t>
      </w:r>
      <w:r w:rsidR="001829E2" w:rsidRPr="003524D8">
        <w:rPr>
          <w:rFonts w:cs="Calibri"/>
        </w:rPr>
        <w:t xml:space="preserve">provided by </w:t>
      </w:r>
      <w:r w:rsidR="002026B2" w:rsidRPr="003524D8">
        <w:rPr>
          <w:rFonts w:cs="Calibri"/>
        </w:rPr>
        <w:t xml:space="preserve">the library to help </w:t>
      </w:r>
      <w:r w:rsidR="00465E94" w:rsidRPr="003524D8">
        <w:rPr>
          <w:rFonts w:cs="Calibri"/>
        </w:rPr>
        <w:t>students</w:t>
      </w:r>
      <w:r w:rsidR="002026B2" w:rsidRPr="003524D8">
        <w:rPr>
          <w:rFonts w:cs="Calibri"/>
        </w:rPr>
        <w:t xml:space="preserve"> research. </w:t>
      </w:r>
      <w:r w:rsidR="001829E2" w:rsidRPr="003524D8">
        <w:rPr>
          <w:rFonts w:cs="Calibri"/>
        </w:rPr>
        <w:t>However</w:t>
      </w:r>
      <w:r>
        <w:rPr>
          <w:rFonts w:cs="Calibri"/>
        </w:rPr>
        <w:t>, she noted that</w:t>
      </w:r>
      <w:r w:rsidR="001829E2" w:rsidRPr="003524D8">
        <w:rPr>
          <w:rFonts w:cs="Calibri"/>
        </w:rPr>
        <w:t xml:space="preserve"> “</w:t>
      </w:r>
      <w:r w:rsidR="002026B2" w:rsidRPr="003524D8">
        <w:rPr>
          <w:rFonts w:cs="Calibri"/>
        </w:rPr>
        <w:t>Level 2 don't know how to research</w:t>
      </w:r>
      <w:r w:rsidR="001829E2" w:rsidRPr="003524D8">
        <w:rPr>
          <w:rFonts w:cs="Calibri"/>
        </w:rPr>
        <w:t>”</w:t>
      </w:r>
      <w:r w:rsidR="002026B2" w:rsidRPr="003524D8">
        <w:rPr>
          <w:rFonts w:cs="Calibri"/>
        </w:rPr>
        <w:t xml:space="preserve"> and there</w:t>
      </w:r>
      <w:r w:rsidR="001829E2" w:rsidRPr="003524D8">
        <w:rPr>
          <w:rFonts w:cs="Calibri"/>
        </w:rPr>
        <w:t xml:space="preserve"> is “</w:t>
      </w:r>
      <w:r w:rsidR="002026B2" w:rsidRPr="003524D8">
        <w:rPr>
          <w:rFonts w:cs="Calibri"/>
        </w:rPr>
        <w:t>not an awful lot of help out there for students</w:t>
      </w:r>
      <w:r w:rsidR="00465E94" w:rsidRPr="003524D8">
        <w:rPr>
          <w:rFonts w:cs="Calibri"/>
        </w:rPr>
        <w:t>…</w:t>
      </w:r>
      <w:r w:rsidR="002026B2" w:rsidRPr="003524D8">
        <w:rPr>
          <w:rFonts w:cs="Calibri"/>
        </w:rPr>
        <w:t>to research in a slightly different way that isn't just Harvard referencing</w:t>
      </w:r>
      <w:r w:rsidR="001829E2" w:rsidRPr="003524D8">
        <w:rPr>
          <w:rFonts w:cs="Calibri"/>
        </w:rPr>
        <w:t>”</w:t>
      </w:r>
      <w:r w:rsidR="00AC42EC" w:rsidRPr="003524D8">
        <w:rPr>
          <w:rFonts w:cs="Calibri"/>
        </w:rPr>
        <w:t xml:space="preserve">. These problems are discussed by Skilling, et al. </w:t>
      </w:r>
      <w:sdt>
        <w:sdtPr>
          <w:rPr>
            <w:rFonts w:cs="Calibri"/>
          </w:rPr>
          <w:id w:val="-2044207422"/>
          <w:citation/>
        </w:sdtPr>
        <w:sdtContent>
          <w:r w:rsidR="00AC42EC" w:rsidRPr="003524D8">
            <w:rPr>
              <w:rFonts w:cs="Calibri"/>
            </w:rPr>
            <w:fldChar w:fldCharType="begin"/>
          </w:r>
          <w:r w:rsidR="00AC42EC" w:rsidRPr="003524D8">
            <w:rPr>
              <w:rFonts w:cs="Calibri"/>
            </w:rPr>
            <w:instrText xml:space="preserve">CITATION The20 \n  \l 2057 </w:instrText>
          </w:r>
          <w:r w:rsidR="00AC42EC" w:rsidRPr="003524D8">
            <w:rPr>
              <w:rFonts w:cs="Calibri"/>
            </w:rPr>
            <w:fldChar w:fldCharType="separate"/>
          </w:r>
          <w:r w:rsidR="00AC42EC" w:rsidRPr="003524D8">
            <w:rPr>
              <w:rFonts w:cs="Calibri"/>
              <w:noProof/>
            </w:rPr>
            <w:t>(2020)</w:t>
          </w:r>
          <w:r w:rsidR="00AC42EC" w:rsidRPr="003524D8">
            <w:rPr>
              <w:rFonts w:cs="Calibri"/>
            </w:rPr>
            <w:fldChar w:fldCharType="end"/>
          </w:r>
        </w:sdtContent>
      </w:sdt>
      <w:r w:rsidR="00AC42EC" w:rsidRPr="003524D8">
        <w:rPr>
          <w:rFonts w:cs="Calibri"/>
        </w:rPr>
        <w:t xml:space="preserve"> where it is noted that</w:t>
      </w:r>
      <w:r>
        <w:rPr>
          <w:rFonts w:cs="Calibri"/>
        </w:rPr>
        <w:t>,</w:t>
      </w:r>
      <w:r w:rsidR="00DC5E0C" w:rsidRPr="003524D8">
        <w:rPr>
          <w:rFonts w:cs="Calibri"/>
        </w:rPr>
        <w:t xml:space="preserve"> where students do not meet academic expectations, they often suffer further disengagement and the issues exacerbate further.</w:t>
      </w:r>
    </w:p>
    <w:p w14:paraId="6FE4B020" w14:textId="77777777" w:rsidR="00AC42EC" w:rsidRPr="003524D8" w:rsidRDefault="00AC42EC" w:rsidP="00D835E5">
      <w:pPr>
        <w:rPr>
          <w:rFonts w:cs="Calibri"/>
        </w:rPr>
      </w:pPr>
    </w:p>
    <w:p w14:paraId="440B6342" w14:textId="238A59E8" w:rsidR="00A55036" w:rsidRPr="003524D8" w:rsidRDefault="00396026" w:rsidP="00D835E5">
      <w:pPr>
        <w:rPr>
          <w:rFonts w:cs="Calibri"/>
        </w:rPr>
      </w:pPr>
      <w:proofErr w:type="spellStart"/>
      <w:r w:rsidRPr="003524D8">
        <w:rPr>
          <w:rFonts w:cs="Calibri"/>
        </w:rPr>
        <w:t>Tuckett</w:t>
      </w:r>
      <w:proofErr w:type="spellEnd"/>
      <w:r w:rsidRPr="003524D8">
        <w:rPr>
          <w:rFonts w:cs="Calibri"/>
        </w:rPr>
        <w:t xml:space="preserve"> et al. </w:t>
      </w:r>
      <w:sdt>
        <w:sdtPr>
          <w:rPr>
            <w:rFonts w:cs="Calibri"/>
          </w:rPr>
          <w:id w:val="-1680109643"/>
          <w:citation/>
        </w:sdtPr>
        <w:sdtContent>
          <w:r w:rsidRPr="003524D8">
            <w:rPr>
              <w:rFonts w:cs="Calibri"/>
            </w:rPr>
            <w:fldChar w:fldCharType="begin"/>
          </w:r>
          <w:r w:rsidRPr="003524D8">
            <w:rPr>
              <w:rFonts w:cs="Calibri"/>
            </w:rPr>
            <w:instrText xml:space="preserve">CITATION Tuc \n  \l 2057 </w:instrText>
          </w:r>
          <w:r w:rsidRPr="003524D8">
            <w:rPr>
              <w:rFonts w:cs="Calibri"/>
            </w:rPr>
            <w:fldChar w:fldCharType="separate"/>
          </w:r>
          <w:r w:rsidRPr="003524D8">
            <w:rPr>
              <w:rFonts w:cs="Calibri"/>
              <w:noProof/>
            </w:rPr>
            <w:t>(2021)</w:t>
          </w:r>
          <w:r w:rsidRPr="003524D8">
            <w:rPr>
              <w:rFonts w:cs="Calibri"/>
            </w:rPr>
            <w:fldChar w:fldCharType="end"/>
          </w:r>
        </w:sdtContent>
      </w:sdt>
      <w:r w:rsidRPr="003524D8">
        <w:rPr>
          <w:rFonts w:cs="Calibri"/>
        </w:rPr>
        <w:t xml:space="preserve">, </w:t>
      </w:r>
      <w:r w:rsidR="00B95202" w:rsidRPr="003524D8">
        <w:rPr>
          <w:rFonts w:cs="Calibri"/>
        </w:rPr>
        <w:t>consider</w:t>
      </w:r>
      <w:r w:rsidR="008D3ABB" w:rsidRPr="003524D8">
        <w:rPr>
          <w:rFonts w:cs="Calibri"/>
        </w:rPr>
        <w:t xml:space="preserve"> </w:t>
      </w:r>
      <w:r w:rsidR="007E6634">
        <w:rPr>
          <w:rFonts w:cs="Calibri"/>
        </w:rPr>
        <w:t xml:space="preserve">the need for </w:t>
      </w:r>
      <w:r w:rsidR="008D3ABB" w:rsidRPr="003524D8">
        <w:rPr>
          <w:rFonts w:cs="Calibri"/>
        </w:rPr>
        <w:t>institutional support</w:t>
      </w:r>
      <w:r w:rsidR="001829E2" w:rsidRPr="003524D8">
        <w:rPr>
          <w:rFonts w:cs="Calibri"/>
        </w:rPr>
        <w:t xml:space="preserve"> for students with </w:t>
      </w:r>
      <w:r w:rsidR="00465E94" w:rsidRPr="003524D8">
        <w:rPr>
          <w:rFonts w:cs="Calibri"/>
        </w:rPr>
        <w:t>ALN</w:t>
      </w:r>
      <w:r w:rsidR="008D3ABB" w:rsidRPr="003524D8">
        <w:rPr>
          <w:rFonts w:cs="Calibri"/>
        </w:rPr>
        <w:t xml:space="preserve">, </w:t>
      </w:r>
      <w:r w:rsidR="00B95202" w:rsidRPr="003524D8">
        <w:rPr>
          <w:rFonts w:cs="Calibri"/>
        </w:rPr>
        <w:t xml:space="preserve">with </w:t>
      </w:r>
      <w:r w:rsidR="008D3ABB" w:rsidRPr="003524D8">
        <w:rPr>
          <w:rFonts w:cs="Calibri"/>
        </w:rPr>
        <w:t xml:space="preserve">Tutor 2 </w:t>
      </w:r>
      <w:r w:rsidR="00B95202" w:rsidRPr="003524D8">
        <w:rPr>
          <w:rFonts w:cs="Calibri"/>
        </w:rPr>
        <w:t xml:space="preserve">also </w:t>
      </w:r>
      <w:r w:rsidR="008D3ABB" w:rsidRPr="003524D8">
        <w:rPr>
          <w:rFonts w:cs="Calibri"/>
        </w:rPr>
        <w:t>highlight</w:t>
      </w:r>
      <w:r w:rsidR="00B95202" w:rsidRPr="003524D8">
        <w:rPr>
          <w:rFonts w:cs="Calibri"/>
        </w:rPr>
        <w:t>ing</w:t>
      </w:r>
      <w:r w:rsidR="001829E2" w:rsidRPr="003524D8">
        <w:rPr>
          <w:rFonts w:cs="Calibri"/>
        </w:rPr>
        <w:t xml:space="preserve"> </w:t>
      </w:r>
      <w:r w:rsidR="008D3ABB" w:rsidRPr="003524D8">
        <w:rPr>
          <w:rFonts w:cs="Calibri"/>
        </w:rPr>
        <w:t>difficulties in accessing the correct support</w:t>
      </w:r>
      <w:r w:rsidR="00B95202" w:rsidRPr="003524D8">
        <w:rPr>
          <w:rFonts w:cs="Calibri"/>
        </w:rPr>
        <w:t>, reporting</w:t>
      </w:r>
      <w:r w:rsidR="007E6634">
        <w:rPr>
          <w:rFonts w:cs="Calibri"/>
        </w:rPr>
        <w:t>:</w:t>
      </w:r>
      <w:r w:rsidR="00275C35" w:rsidRPr="003524D8">
        <w:rPr>
          <w:rFonts w:cs="Calibri"/>
        </w:rPr>
        <w:t xml:space="preserve"> </w:t>
      </w:r>
      <w:r w:rsidR="0010719D" w:rsidRPr="003524D8">
        <w:rPr>
          <w:rFonts w:cs="Calibri"/>
        </w:rPr>
        <w:t>“</w:t>
      </w:r>
      <w:r w:rsidR="008D3ABB" w:rsidRPr="003524D8">
        <w:rPr>
          <w:rFonts w:cs="Calibri"/>
        </w:rPr>
        <w:t>I think</w:t>
      </w:r>
      <w:r w:rsidR="007E6634">
        <w:rPr>
          <w:rFonts w:cs="Calibri"/>
        </w:rPr>
        <w:t>,</w:t>
      </w:r>
      <w:r w:rsidR="008D3ABB" w:rsidRPr="003524D8">
        <w:rPr>
          <w:rFonts w:cs="Calibri"/>
        </w:rPr>
        <w:t xml:space="preserve"> on the surface, there's loads of support. I think if you were to do a little brochure about the support College offers</w:t>
      </w:r>
      <w:r w:rsidR="0010719D" w:rsidRPr="003524D8">
        <w:rPr>
          <w:rFonts w:cs="Calibri"/>
        </w:rPr>
        <w:t>,</w:t>
      </w:r>
      <w:r w:rsidR="008D3ABB" w:rsidRPr="003524D8">
        <w:rPr>
          <w:rFonts w:cs="Calibri"/>
        </w:rPr>
        <w:t xml:space="preserve"> it would be </w:t>
      </w:r>
      <w:r w:rsidR="0010719D" w:rsidRPr="003524D8">
        <w:rPr>
          <w:rFonts w:cs="Calibri"/>
        </w:rPr>
        <w:t>f</w:t>
      </w:r>
      <w:r w:rsidR="008D3ABB" w:rsidRPr="003524D8">
        <w:rPr>
          <w:rFonts w:cs="Calibri"/>
        </w:rPr>
        <w:t>ab!</w:t>
      </w:r>
      <w:r w:rsidR="0010719D" w:rsidRPr="003524D8">
        <w:rPr>
          <w:rFonts w:cs="Calibri"/>
        </w:rPr>
        <w:t>”. She exemplif</w:t>
      </w:r>
      <w:r w:rsidR="00B95202" w:rsidRPr="003524D8">
        <w:rPr>
          <w:rFonts w:cs="Calibri"/>
        </w:rPr>
        <w:t>ied</w:t>
      </w:r>
      <w:r w:rsidR="0010719D" w:rsidRPr="003524D8">
        <w:rPr>
          <w:rFonts w:cs="Calibri"/>
        </w:rPr>
        <w:t xml:space="preserve"> issues experienced by a </w:t>
      </w:r>
      <w:r w:rsidR="00275C35" w:rsidRPr="003524D8">
        <w:rPr>
          <w:rFonts w:cs="Calibri"/>
        </w:rPr>
        <w:t>student with dyslexia</w:t>
      </w:r>
      <w:r w:rsidR="00B95202" w:rsidRPr="003524D8">
        <w:rPr>
          <w:rFonts w:cs="Calibri"/>
        </w:rPr>
        <w:t>, who</w:t>
      </w:r>
      <w:r w:rsidR="007E6634">
        <w:rPr>
          <w:rFonts w:cs="Calibri"/>
        </w:rPr>
        <w:t>,</w:t>
      </w:r>
      <w:r w:rsidR="00B95202" w:rsidRPr="003524D8">
        <w:rPr>
          <w:rFonts w:cs="Calibri"/>
        </w:rPr>
        <w:t xml:space="preserve"> whilst</w:t>
      </w:r>
      <w:r w:rsidR="00275C35" w:rsidRPr="003524D8">
        <w:rPr>
          <w:rFonts w:cs="Calibri"/>
        </w:rPr>
        <w:t xml:space="preserve"> at school</w:t>
      </w:r>
      <w:r w:rsidR="00B95202" w:rsidRPr="003524D8">
        <w:rPr>
          <w:rFonts w:cs="Calibri"/>
        </w:rPr>
        <w:t xml:space="preserve"> </w:t>
      </w:r>
      <w:r w:rsidR="00275C35" w:rsidRPr="003524D8">
        <w:rPr>
          <w:rFonts w:cs="Calibri"/>
        </w:rPr>
        <w:t>received additional support but</w:t>
      </w:r>
      <w:r w:rsidR="007E6634">
        <w:rPr>
          <w:rFonts w:cs="Calibri"/>
        </w:rPr>
        <w:t>,</w:t>
      </w:r>
      <w:r w:rsidR="00275C35" w:rsidRPr="003524D8">
        <w:rPr>
          <w:rFonts w:cs="Calibri"/>
        </w:rPr>
        <w:t xml:space="preserve"> due to budget constraints and staff illness, support was unavailable in the college. </w:t>
      </w:r>
      <w:r w:rsidR="00B95202" w:rsidRPr="003524D8">
        <w:rPr>
          <w:rFonts w:cs="Calibri"/>
        </w:rPr>
        <w:t>Tutor 2</w:t>
      </w:r>
      <w:r w:rsidR="00275C35" w:rsidRPr="003524D8">
        <w:rPr>
          <w:rFonts w:cs="Calibri"/>
        </w:rPr>
        <w:t xml:space="preserve"> suggested that, while there may be “</w:t>
      </w:r>
      <w:r w:rsidR="008D3ABB" w:rsidRPr="003524D8">
        <w:rPr>
          <w:rFonts w:cs="Calibri"/>
        </w:rPr>
        <w:t>a nice glossy brochure about the support that college offers</w:t>
      </w:r>
      <w:r w:rsidR="00465E94" w:rsidRPr="003524D8">
        <w:rPr>
          <w:rFonts w:cs="Calibri"/>
        </w:rPr>
        <w:t>…</w:t>
      </w:r>
      <w:r w:rsidR="008D3ABB" w:rsidRPr="003524D8">
        <w:rPr>
          <w:rFonts w:cs="Calibri"/>
        </w:rPr>
        <w:t>in the throes of teaching,</w:t>
      </w:r>
      <w:r w:rsidR="00275C35" w:rsidRPr="003524D8">
        <w:rPr>
          <w:rFonts w:cs="Calibri"/>
        </w:rPr>
        <w:t xml:space="preserve"> </w:t>
      </w:r>
      <w:r w:rsidR="008D3ABB" w:rsidRPr="003524D8">
        <w:rPr>
          <w:rFonts w:cs="Calibri"/>
        </w:rPr>
        <w:t>there's no support at all</w:t>
      </w:r>
      <w:r w:rsidR="00275C35" w:rsidRPr="003524D8">
        <w:rPr>
          <w:rFonts w:cs="Calibri"/>
        </w:rPr>
        <w:t>”</w:t>
      </w:r>
      <w:r w:rsidR="001602EB">
        <w:rPr>
          <w:rFonts w:cs="Calibri"/>
        </w:rPr>
        <w:t>,</w:t>
      </w:r>
      <w:r w:rsidR="00465E94" w:rsidRPr="003524D8">
        <w:rPr>
          <w:rFonts w:cs="Calibri"/>
        </w:rPr>
        <w:t xml:space="preserve"> with Higton et al. </w:t>
      </w:r>
      <w:sdt>
        <w:sdtPr>
          <w:rPr>
            <w:rFonts w:cs="Calibri"/>
          </w:rPr>
          <w:id w:val="-265236256"/>
          <w:citation/>
        </w:sdtPr>
        <w:sdtContent>
          <w:r w:rsidR="00465E94" w:rsidRPr="003524D8">
            <w:rPr>
              <w:rFonts w:cs="Calibri"/>
            </w:rPr>
            <w:fldChar w:fldCharType="begin"/>
          </w:r>
          <w:r w:rsidR="00465E94" w:rsidRPr="003524D8">
            <w:rPr>
              <w:rFonts w:cs="Calibri"/>
            </w:rPr>
            <w:instrText xml:space="preserve">CITATION Hig \n  \l 2057 </w:instrText>
          </w:r>
          <w:r w:rsidR="00465E94" w:rsidRPr="003524D8">
            <w:rPr>
              <w:rFonts w:cs="Calibri"/>
            </w:rPr>
            <w:fldChar w:fldCharType="separate"/>
          </w:r>
          <w:r w:rsidR="00465E94" w:rsidRPr="003524D8">
            <w:rPr>
              <w:rFonts w:cs="Calibri"/>
              <w:noProof/>
            </w:rPr>
            <w:t>(2017)</w:t>
          </w:r>
          <w:r w:rsidR="00465E94" w:rsidRPr="003524D8">
            <w:rPr>
              <w:rFonts w:cs="Calibri"/>
            </w:rPr>
            <w:fldChar w:fldCharType="end"/>
          </w:r>
        </w:sdtContent>
      </w:sdt>
      <w:r w:rsidR="00465E94" w:rsidRPr="003524D8">
        <w:rPr>
          <w:rFonts w:cs="Calibri"/>
        </w:rPr>
        <w:t xml:space="preserve"> reporting that this is a common issue. </w:t>
      </w:r>
      <w:r w:rsidR="00A55036" w:rsidRPr="003524D8">
        <w:rPr>
          <w:rFonts w:cs="Calibri"/>
        </w:rPr>
        <w:t xml:space="preserve">Tutor 1 further supported this claim, stating that “if </w:t>
      </w:r>
      <w:r w:rsidR="008D3ABB" w:rsidRPr="003524D8">
        <w:rPr>
          <w:rFonts w:cs="Calibri"/>
        </w:rPr>
        <w:t>there's a big concern, we have fantastic well-being officers in this college</w:t>
      </w:r>
      <w:r w:rsidR="00A55036" w:rsidRPr="003524D8">
        <w:rPr>
          <w:rFonts w:cs="Calibri"/>
        </w:rPr>
        <w:t>…</w:t>
      </w:r>
      <w:r w:rsidR="008D3ABB" w:rsidRPr="003524D8">
        <w:rPr>
          <w:rFonts w:cs="Calibri"/>
        </w:rPr>
        <w:t>but accessing them is really difficult</w:t>
      </w:r>
      <w:r w:rsidR="00A55036" w:rsidRPr="003524D8">
        <w:rPr>
          <w:rFonts w:cs="Calibri"/>
        </w:rPr>
        <w:t>”</w:t>
      </w:r>
      <w:r w:rsidR="008D3ABB" w:rsidRPr="003524D8">
        <w:rPr>
          <w:rFonts w:cs="Calibri"/>
        </w:rPr>
        <w:t>.</w:t>
      </w:r>
    </w:p>
    <w:p w14:paraId="36579BC5" w14:textId="77777777" w:rsidR="00277D02" w:rsidRPr="003524D8" w:rsidRDefault="00277D02" w:rsidP="00D835E5">
      <w:pPr>
        <w:rPr>
          <w:rFonts w:cs="Calibri"/>
        </w:rPr>
      </w:pPr>
    </w:p>
    <w:p w14:paraId="31484812" w14:textId="0DA7D109" w:rsidR="001A5787" w:rsidRPr="003524D8" w:rsidRDefault="00B95202" w:rsidP="00D835E5">
      <w:pPr>
        <w:rPr>
          <w:rFonts w:cs="Calibri"/>
        </w:rPr>
      </w:pPr>
      <w:r w:rsidRPr="003524D8">
        <w:rPr>
          <w:rFonts w:cs="Calibri"/>
        </w:rPr>
        <w:lastRenderedPageBreak/>
        <w:t xml:space="preserve">Supporting the work of Farquharson et al. </w:t>
      </w:r>
      <w:sdt>
        <w:sdtPr>
          <w:rPr>
            <w:rFonts w:cs="Calibri"/>
          </w:rPr>
          <w:id w:val="1167290692"/>
          <w:citation/>
        </w:sdtPr>
        <w:sdtContent>
          <w:r w:rsidRPr="003524D8">
            <w:rPr>
              <w:rFonts w:cs="Calibri"/>
            </w:rPr>
            <w:fldChar w:fldCharType="begin"/>
          </w:r>
          <w:r w:rsidRPr="003524D8">
            <w:rPr>
              <w:rFonts w:cs="Calibri"/>
            </w:rPr>
            <w:instrText xml:space="preserve">CITATION Far24 \n  \l 2057 </w:instrText>
          </w:r>
          <w:r w:rsidRPr="003524D8">
            <w:rPr>
              <w:rFonts w:cs="Calibri"/>
            </w:rPr>
            <w:fldChar w:fldCharType="separate"/>
          </w:r>
          <w:r w:rsidRPr="003524D8">
            <w:rPr>
              <w:rFonts w:cs="Calibri"/>
              <w:noProof/>
            </w:rPr>
            <w:t>(2024)</w:t>
          </w:r>
          <w:r w:rsidRPr="003524D8">
            <w:rPr>
              <w:rFonts w:cs="Calibri"/>
            </w:rPr>
            <w:fldChar w:fldCharType="end"/>
          </w:r>
        </w:sdtContent>
      </w:sdt>
      <w:r w:rsidRPr="003524D8">
        <w:rPr>
          <w:rFonts w:cs="Calibri"/>
        </w:rPr>
        <w:t>, i</w:t>
      </w:r>
      <w:r w:rsidR="007958E9" w:rsidRPr="003524D8">
        <w:rPr>
          <w:rFonts w:cs="Calibri"/>
        </w:rPr>
        <w:t xml:space="preserve">t was noted that the FEI needed to offer support in terms of the lack of resources available to some Level 2 students, specifically relating to ICT equipment. Tutor 1 acknowledged that: </w:t>
      </w:r>
      <w:r w:rsidR="00721E1C" w:rsidRPr="003524D8">
        <w:rPr>
          <w:rFonts w:cs="Calibri"/>
        </w:rPr>
        <w:t>“with the social economic background of the place, not everyone has great technology that they can bring in with them</w:t>
      </w:r>
      <w:r w:rsidR="001829E2" w:rsidRPr="003524D8">
        <w:rPr>
          <w:rFonts w:cs="Calibri"/>
        </w:rPr>
        <w:t xml:space="preserve">”, </w:t>
      </w:r>
      <w:r w:rsidR="001A5787" w:rsidRPr="003524D8">
        <w:rPr>
          <w:rFonts w:cs="Calibri"/>
        </w:rPr>
        <w:t>while Tutor 2 noted that students “don't have Wi-Fi, they don't have a PC”</w:t>
      </w:r>
      <w:r w:rsidR="0095136B" w:rsidRPr="003524D8">
        <w:rPr>
          <w:rFonts w:cs="Calibri"/>
        </w:rPr>
        <w:t xml:space="preserve">, making withdrawing from FE more likely </w:t>
      </w:r>
      <w:sdt>
        <w:sdtPr>
          <w:rPr>
            <w:rFonts w:cs="Calibri"/>
          </w:rPr>
          <w:id w:val="1467706792"/>
          <w:citation/>
        </w:sdtPr>
        <w:sdtContent>
          <w:r w:rsidR="0095136B" w:rsidRPr="003524D8">
            <w:rPr>
              <w:rFonts w:cs="Calibri"/>
            </w:rPr>
            <w:fldChar w:fldCharType="begin"/>
          </w:r>
          <w:r w:rsidR="0095136B" w:rsidRPr="003524D8">
            <w:rPr>
              <w:rFonts w:cs="Calibri"/>
            </w:rPr>
            <w:instrText xml:space="preserve">CITATION Mis21 \l 2057 </w:instrText>
          </w:r>
          <w:r w:rsidR="0095136B" w:rsidRPr="003524D8">
            <w:rPr>
              <w:rFonts w:cs="Calibri"/>
            </w:rPr>
            <w:fldChar w:fldCharType="separate"/>
          </w:r>
          <w:r w:rsidR="0095136B" w:rsidRPr="003524D8">
            <w:rPr>
              <w:rFonts w:cs="Calibri"/>
              <w:noProof/>
            </w:rPr>
            <w:t>(Mistry &amp; Elenbaas, 2021)</w:t>
          </w:r>
          <w:r w:rsidR="0095136B" w:rsidRPr="003524D8">
            <w:rPr>
              <w:rFonts w:cs="Calibri"/>
            </w:rPr>
            <w:fldChar w:fldCharType="end"/>
          </w:r>
        </w:sdtContent>
      </w:sdt>
      <w:r w:rsidR="001A5787" w:rsidRPr="003524D8">
        <w:rPr>
          <w:rFonts w:cs="Calibri"/>
        </w:rPr>
        <w:t xml:space="preserve">. </w:t>
      </w:r>
      <w:r w:rsidR="0010719D" w:rsidRPr="003524D8">
        <w:rPr>
          <w:rFonts w:cs="Calibri"/>
        </w:rPr>
        <w:t>Conversely, t</w:t>
      </w:r>
      <w:r w:rsidR="003634F7" w:rsidRPr="003524D8">
        <w:rPr>
          <w:rFonts w:cs="Calibri"/>
        </w:rPr>
        <w:t xml:space="preserve">he student participant welcomed the </w:t>
      </w:r>
      <w:r w:rsidR="00A55036" w:rsidRPr="003524D8">
        <w:rPr>
          <w:rFonts w:cs="Calibri"/>
        </w:rPr>
        <w:t>financial</w:t>
      </w:r>
      <w:r w:rsidR="003634F7" w:rsidRPr="003524D8">
        <w:rPr>
          <w:rFonts w:cs="Calibri"/>
        </w:rPr>
        <w:t xml:space="preserve"> support given by the college, </w:t>
      </w:r>
      <w:r w:rsidR="00A55036" w:rsidRPr="003524D8">
        <w:rPr>
          <w:rFonts w:cs="Calibri"/>
        </w:rPr>
        <w:t>stating</w:t>
      </w:r>
      <w:r w:rsidR="003634F7" w:rsidRPr="003524D8">
        <w:rPr>
          <w:rFonts w:cs="Calibri"/>
        </w:rPr>
        <w:t xml:space="preserve"> that “College bought me a guitar, which was a massive step because I wouldn't have been able to do it myself” and acknowledging additional support given through the provision of food vouchers</w:t>
      </w:r>
      <w:r w:rsidR="0095136B" w:rsidRPr="003524D8">
        <w:rPr>
          <w:rFonts w:cs="Calibri"/>
        </w:rPr>
        <w:t xml:space="preserve"> </w:t>
      </w:r>
      <w:sdt>
        <w:sdtPr>
          <w:rPr>
            <w:rFonts w:cs="Calibri"/>
          </w:rPr>
          <w:id w:val="-1262756609"/>
          <w:citation/>
        </w:sdtPr>
        <w:sdtContent>
          <w:r w:rsidR="0095136B" w:rsidRPr="003524D8">
            <w:rPr>
              <w:rFonts w:cs="Calibri"/>
            </w:rPr>
            <w:fldChar w:fldCharType="begin"/>
          </w:r>
          <w:r w:rsidR="0095136B" w:rsidRPr="003524D8">
            <w:rPr>
              <w:rFonts w:cs="Calibri"/>
            </w:rPr>
            <w:instrText xml:space="preserve">CITATION Off24 \l 2057 </w:instrText>
          </w:r>
          <w:r w:rsidR="0095136B" w:rsidRPr="003524D8">
            <w:rPr>
              <w:rFonts w:cs="Calibri"/>
            </w:rPr>
            <w:fldChar w:fldCharType="separate"/>
          </w:r>
          <w:r w:rsidR="0095136B" w:rsidRPr="003524D8">
            <w:rPr>
              <w:rFonts w:cs="Calibri"/>
              <w:noProof/>
            </w:rPr>
            <w:t>(ONS, 2024)</w:t>
          </w:r>
          <w:r w:rsidR="0095136B" w:rsidRPr="003524D8">
            <w:rPr>
              <w:rFonts w:cs="Calibri"/>
            </w:rPr>
            <w:fldChar w:fldCharType="end"/>
          </w:r>
        </w:sdtContent>
      </w:sdt>
      <w:r w:rsidR="003634F7" w:rsidRPr="003524D8">
        <w:rPr>
          <w:rFonts w:cs="Calibri"/>
        </w:rPr>
        <w:t xml:space="preserve">. </w:t>
      </w:r>
      <w:r w:rsidR="008D3ABB" w:rsidRPr="003524D8">
        <w:rPr>
          <w:rFonts w:cs="Calibri"/>
        </w:rPr>
        <w:t>He also praised Student Support Services</w:t>
      </w:r>
      <w:r w:rsidR="0010719D" w:rsidRPr="003524D8">
        <w:rPr>
          <w:rFonts w:cs="Calibri"/>
        </w:rPr>
        <w:t>, stating that “</w:t>
      </w:r>
      <w:r w:rsidR="003634F7" w:rsidRPr="003524D8">
        <w:rPr>
          <w:rFonts w:cs="Calibri"/>
        </w:rPr>
        <w:t>They've done a lot to keep me in college, You just got to be willing to ask when you need help</w:t>
      </w:r>
      <w:r w:rsidR="0010719D" w:rsidRPr="003524D8">
        <w:rPr>
          <w:rFonts w:cs="Calibri"/>
        </w:rPr>
        <w:t>…</w:t>
      </w:r>
      <w:r w:rsidR="003634F7" w:rsidRPr="003524D8">
        <w:rPr>
          <w:rFonts w:cs="Calibri"/>
        </w:rPr>
        <w:t>I mean</w:t>
      </w:r>
      <w:r w:rsidR="0010719D" w:rsidRPr="003524D8">
        <w:rPr>
          <w:rFonts w:cs="Calibri"/>
        </w:rPr>
        <w:t>,</w:t>
      </w:r>
      <w:r w:rsidR="003634F7" w:rsidRPr="003524D8">
        <w:rPr>
          <w:rFonts w:cs="Calibri"/>
        </w:rPr>
        <w:t xml:space="preserve"> all the support systems around me means I'm turning up now and I’m engaging on the course. Getting it done, no matter what</w:t>
      </w:r>
      <w:r w:rsidR="0010719D" w:rsidRPr="003524D8">
        <w:rPr>
          <w:rFonts w:cs="Calibri"/>
        </w:rPr>
        <w:t>”</w:t>
      </w:r>
      <w:r w:rsidR="003634F7" w:rsidRPr="003524D8">
        <w:rPr>
          <w:rFonts w:cs="Calibri"/>
        </w:rPr>
        <w:t xml:space="preserve">. </w:t>
      </w:r>
      <w:r w:rsidR="00A55036" w:rsidRPr="003524D8">
        <w:rPr>
          <w:rFonts w:cs="Calibri"/>
        </w:rPr>
        <w:t>Clearly, this student had a good experience with Student Support</w:t>
      </w:r>
      <w:r w:rsidR="00277D02" w:rsidRPr="003524D8">
        <w:rPr>
          <w:rFonts w:cs="Calibri"/>
        </w:rPr>
        <w:t>;</w:t>
      </w:r>
      <w:r w:rsidR="00A55036" w:rsidRPr="003524D8">
        <w:rPr>
          <w:rFonts w:cs="Calibri"/>
        </w:rPr>
        <w:t xml:space="preserve"> however</w:t>
      </w:r>
      <w:r w:rsidR="00277D02" w:rsidRPr="003524D8">
        <w:rPr>
          <w:rFonts w:cs="Calibri"/>
        </w:rPr>
        <w:t>,</w:t>
      </w:r>
      <w:r w:rsidR="00A55036" w:rsidRPr="003524D8">
        <w:rPr>
          <w:rFonts w:cs="Calibri"/>
        </w:rPr>
        <w:t xml:space="preserve"> the frustrations of the tutors are clear.</w:t>
      </w:r>
    </w:p>
    <w:p w14:paraId="2115B0D9" w14:textId="7FD11014" w:rsidR="00C464FF" w:rsidRPr="003524D8" w:rsidRDefault="00C464FF" w:rsidP="00D835E5">
      <w:pPr>
        <w:spacing w:after="160"/>
        <w:rPr>
          <w:rFonts w:cs="Calibri"/>
        </w:rPr>
      </w:pPr>
    </w:p>
    <w:p w14:paraId="6BF64323" w14:textId="7D9BA3D5" w:rsidR="00097551" w:rsidRPr="003524D8" w:rsidRDefault="003524D8" w:rsidP="008E0178">
      <w:pPr>
        <w:pStyle w:val="Heading2"/>
      </w:pPr>
      <w:bookmarkStart w:id="20" w:name="_Toc185674569"/>
      <w:r>
        <w:t xml:space="preserve">4.2 </w:t>
      </w:r>
      <w:r w:rsidR="00097551" w:rsidRPr="003524D8">
        <w:t>DIFFERENTIATION</w:t>
      </w:r>
      <w:bookmarkEnd w:id="20"/>
    </w:p>
    <w:p w14:paraId="617A905F" w14:textId="287A5601" w:rsidR="00097551" w:rsidRPr="003524D8" w:rsidRDefault="0095136B" w:rsidP="0095136B">
      <w:pPr>
        <w:rPr>
          <w:rFonts w:cs="Calibri"/>
        </w:rPr>
      </w:pPr>
      <w:r w:rsidRPr="003524D8">
        <w:rPr>
          <w:rFonts w:cs="Calibri"/>
          <w:noProof/>
        </w:rPr>
        <w:t>WG</w:t>
      </w:r>
      <w:r w:rsidRPr="003524D8">
        <w:rPr>
          <w:rFonts w:cs="Calibri"/>
        </w:rPr>
        <w:t xml:space="preserve"> </w:t>
      </w:r>
      <w:sdt>
        <w:sdtPr>
          <w:rPr>
            <w:rFonts w:cs="Calibri"/>
          </w:rPr>
          <w:id w:val="-313252778"/>
          <w:citation/>
        </w:sdtPr>
        <w:sdtContent>
          <w:r w:rsidRPr="003524D8">
            <w:rPr>
              <w:rFonts w:cs="Calibri"/>
            </w:rPr>
            <w:fldChar w:fldCharType="begin"/>
          </w:r>
          <w:r w:rsidRPr="003524D8">
            <w:rPr>
              <w:rFonts w:cs="Calibri"/>
            </w:rPr>
            <w:instrText xml:space="preserve">CITATION Placeholder1 \n  \l 2057 </w:instrText>
          </w:r>
          <w:r w:rsidRPr="003524D8">
            <w:rPr>
              <w:rFonts w:cs="Calibri"/>
            </w:rPr>
            <w:fldChar w:fldCharType="separate"/>
          </w:r>
          <w:r w:rsidRPr="003524D8">
            <w:rPr>
              <w:rFonts w:cs="Calibri"/>
              <w:noProof/>
            </w:rPr>
            <w:t>(2023)</w:t>
          </w:r>
          <w:r w:rsidRPr="003524D8">
            <w:rPr>
              <w:rFonts w:cs="Calibri"/>
            </w:rPr>
            <w:fldChar w:fldCharType="end"/>
          </w:r>
        </w:sdtContent>
      </w:sdt>
      <w:r w:rsidRPr="003524D8">
        <w:rPr>
          <w:rFonts w:cs="Calibri"/>
        </w:rPr>
        <w:t xml:space="preserve"> identified that vocational students at Level 2 typically suffer from a lack of engagement, with </w:t>
      </w:r>
      <w:r w:rsidR="00097551" w:rsidRPr="003524D8">
        <w:rPr>
          <w:rFonts w:cs="Calibri"/>
        </w:rPr>
        <w:t>Tutor 1 discuss</w:t>
      </w:r>
      <w:r w:rsidRPr="003524D8">
        <w:rPr>
          <w:rFonts w:cs="Calibri"/>
        </w:rPr>
        <w:t>ing</w:t>
      </w:r>
      <w:r w:rsidR="00097551" w:rsidRPr="003524D8">
        <w:rPr>
          <w:rFonts w:cs="Calibri"/>
        </w:rPr>
        <w:t xml:space="preserve"> being “as flexible and adaptable as possible” when setting work for Level 2 and </w:t>
      </w:r>
      <w:r w:rsidR="00D47928" w:rsidRPr="003524D8">
        <w:rPr>
          <w:rFonts w:cs="Calibri"/>
        </w:rPr>
        <w:t xml:space="preserve">Tutor 2 </w:t>
      </w:r>
      <w:r w:rsidR="00097551" w:rsidRPr="003524D8">
        <w:rPr>
          <w:rFonts w:cs="Calibri"/>
        </w:rPr>
        <w:t xml:space="preserve">needing to </w:t>
      </w:r>
      <w:r w:rsidR="00D47928" w:rsidRPr="003524D8">
        <w:rPr>
          <w:rFonts w:cs="Calibri"/>
        </w:rPr>
        <w:t>“</w:t>
      </w:r>
      <w:r w:rsidR="00097551" w:rsidRPr="003524D8">
        <w:rPr>
          <w:rFonts w:cs="Calibri"/>
        </w:rPr>
        <w:t>differentiate all the time</w:t>
      </w:r>
      <w:r w:rsidR="00D47928" w:rsidRPr="003524D8">
        <w:rPr>
          <w:rFonts w:cs="Calibri"/>
        </w:rPr>
        <w:t>”</w:t>
      </w:r>
      <w:r w:rsidR="00097551" w:rsidRPr="003524D8">
        <w:rPr>
          <w:rFonts w:cs="Calibri"/>
        </w:rPr>
        <w:t xml:space="preserve">. Tutor 1 </w:t>
      </w:r>
      <w:r w:rsidR="00D47928" w:rsidRPr="003524D8">
        <w:rPr>
          <w:rFonts w:cs="Calibri"/>
        </w:rPr>
        <w:t>modifies</w:t>
      </w:r>
      <w:r w:rsidR="00097551" w:rsidRPr="003524D8">
        <w:rPr>
          <w:rFonts w:cs="Calibri"/>
        </w:rPr>
        <w:t xml:space="preserve"> written elements of the course, </w:t>
      </w:r>
      <w:r w:rsidR="00D47928" w:rsidRPr="003524D8">
        <w:rPr>
          <w:rFonts w:cs="Calibri"/>
        </w:rPr>
        <w:t>stating</w:t>
      </w:r>
      <w:r w:rsidR="001602EB">
        <w:rPr>
          <w:rFonts w:cs="Calibri"/>
        </w:rPr>
        <w:t xml:space="preserve"> that</w:t>
      </w:r>
      <w:r w:rsidR="00097551" w:rsidRPr="003524D8">
        <w:rPr>
          <w:rFonts w:cs="Calibri"/>
        </w:rPr>
        <w:t xml:space="preserve"> “differentiation is part of everything I do”</w:t>
      </w:r>
      <w:r w:rsidR="00D47928" w:rsidRPr="003524D8">
        <w:rPr>
          <w:rFonts w:cs="Calibri"/>
        </w:rPr>
        <w:t xml:space="preserve"> and </w:t>
      </w:r>
      <w:r w:rsidR="004A450E" w:rsidRPr="003524D8">
        <w:rPr>
          <w:rFonts w:cs="Calibri"/>
        </w:rPr>
        <w:t>actively avoids giving</w:t>
      </w:r>
      <w:r w:rsidR="00D47928" w:rsidRPr="003524D8">
        <w:rPr>
          <w:rFonts w:cs="Calibri"/>
        </w:rPr>
        <w:t xml:space="preserve"> too much information </w:t>
      </w:r>
      <w:r w:rsidR="004A450E" w:rsidRPr="003524D8">
        <w:rPr>
          <w:rFonts w:cs="Calibri"/>
        </w:rPr>
        <w:t>which would</w:t>
      </w:r>
      <w:r w:rsidR="00D47928" w:rsidRPr="003524D8">
        <w:rPr>
          <w:rFonts w:cs="Calibri"/>
        </w:rPr>
        <w:t xml:space="preserve"> “overwhelm them”.</w:t>
      </w:r>
      <w:r w:rsidR="00097551" w:rsidRPr="003524D8">
        <w:rPr>
          <w:rFonts w:cs="Calibri"/>
        </w:rPr>
        <w:t xml:space="preserve"> He minimises,</w:t>
      </w:r>
      <w:r w:rsidR="00097551" w:rsidRPr="003524D8">
        <w:rPr>
          <w:rFonts w:cs="Calibri"/>
          <w:b/>
          <w:bCs/>
        </w:rPr>
        <w:t xml:space="preserve"> </w:t>
      </w:r>
      <w:r w:rsidR="00097551" w:rsidRPr="003524D8">
        <w:rPr>
          <w:rFonts w:cs="Calibri"/>
        </w:rPr>
        <w:t>simplifies and scaffold</w:t>
      </w:r>
      <w:r w:rsidR="00BC0521" w:rsidRPr="003524D8">
        <w:rPr>
          <w:rFonts w:cs="Calibri"/>
        </w:rPr>
        <w:t xml:space="preserve">s </w:t>
      </w:r>
      <w:sdt>
        <w:sdtPr>
          <w:rPr>
            <w:rFonts w:cs="Calibri"/>
          </w:rPr>
          <w:id w:val="589514360"/>
          <w:citation/>
        </w:sdtPr>
        <w:sdtContent>
          <w:r w:rsidR="00BC0521" w:rsidRPr="003524D8">
            <w:rPr>
              <w:rFonts w:cs="Calibri"/>
            </w:rPr>
            <w:fldChar w:fldCharType="begin"/>
          </w:r>
          <w:r w:rsidR="00BC0521" w:rsidRPr="003524D8">
            <w:rPr>
              <w:rFonts w:cs="Calibri"/>
            </w:rPr>
            <w:instrText xml:space="preserve"> CITATION Sma19 \l 2057 </w:instrText>
          </w:r>
          <w:r w:rsidR="00BC0521" w:rsidRPr="003524D8">
            <w:rPr>
              <w:rFonts w:cs="Calibri"/>
            </w:rPr>
            <w:fldChar w:fldCharType="separate"/>
          </w:r>
          <w:r w:rsidR="00BC0521" w:rsidRPr="003524D8">
            <w:rPr>
              <w:rFonts w:cs="Calibri"/>
              <w:noProof/>
            </w:rPr>
            <w:t>(Smale-Jacobse, et al., 2019)</w:t>
          </w:r>
          <w:r w:rsidR="00BC0521" w:rsidRPr="003524D8">
            <w:rPr>
              <w:rFonts w:cs="Calibri"/>
            </w:rPr>
            <w:fldChar w:fldCharType="end"/>
          </w:r>
        </w:sdtContent>
      </w:sdt>
      <w:r w:rsidR="00BC0521" w:rsidRPr="003524D8">
        <w:rPr>
          <w:rFonts w:cs="Calibri"/>
        </w:rPr>
        <w:t xml:space="preserve">, </w:t>
      </w:r>
      <w:r w:rsidR="00097551" w:rsidRPr="003524D8">
        <w:rPr>
          <w:rFonts w:cs="Calibri"/>
        </w:rPr>
        <w:t xml:space="preserve">enabling small incremental steps to be taken by the students. He describes the process as “very individual and very bespoke to each person” in the group. Tutor 2 presents three or four different options to enable students to achieve the same thing and uses different terminology, in different ways for different people. She </w:t>
      </w:r>
      <w:proofErr w:type="gramStart"/>
      <w:r w:rsidR="00097551" w:rsidRPr="003524D8">
        <w:rPr>
          <w:rFonts w:cs="Calibri"/>
        </w:rPr>
        <w:t>has to</w:t>
      </w:r>
      <w:proofErr w:type="gramEnd"/>
      <w:r w:rsidR="00097551" w:rsidRPr="003524D8">
        <w:rPr>
          <w:rFonts w:cs="Calibri"/>
        </w:rPr>
        <w:t xml:space="preserve"> “unpick things beyond what I feel is necessary” and has to be prescriptive with her direction because “they just haven't learnt to think for themselves”. Tutor 1 explains that practical demonstrations work for </w:t>
      </w:r>
      <w:r w:rsidR="001602EB">
        <w:rPr>
          <w:rFonts w:cs="Calibri"/>
        </w:rPr>
        <w:t>his</w:t>
      </w:r>
      <w:r w:rsidR="00097551" w:rsidRPr="003524D8">
        <w:rPr>
          <w:rFonts w:cs="Calibri"/>
        </w:rPr>
        <w:t xml:space="preserve"> </w:t>
      </w:r>
      <w:proofErr w:type="gramStart"/>
      <w:r w:rsidR="00097551" w:rsidRPr="003524D8">
        <w:rPr>
          <w:rFonts w:cs="Calibri"/>
        </w:rPr>
        <w:t>group</w:t>
      </w:r>
      <w:proofErr w:type="gramEnd"/>
      <w:r w:rsidR="00097551" w:rsidRPr="003524D8">
        <w:rPr>
          <w:rFonts w:cs="Calibri"/>
        </w:rPr>
        <w:t xml:space="preserve"> and he encourages group discussion</w:t>
      </w:r>
      <w:r w:rsidR="00D47928" w:rsidRPr="003524D8">
        <w:rPr>
          <w:rFonts w:cs="Calibri"/>
        </w:rPr>
        <w:t xml:space="preserve"> which encourages independent learning </w:t>
      </w:r>
      <w:sdt>
        <w:sdtPr>
          <w:rPr>
            <w:rFonts w:cs="Calibri"/>
          </w:rPr>
          <w:id w:val="-245580473"/>
          <w:citation/>
        </w:sdtPr>
        <w:sdtContent>
          <w:r w:rsidR="00D47928" w:rsidRPr="003524D8">
            <w:rPr>
              <w:rFonts w:cs="Calibri"/>
            </w:rPr>
            <w:fldChar w:fldCharType="begin"/>
          </w:r>
          <w:r w:rsidR="00D47928" w:rsidRPr="003524D8">
            <w:rPr>
              <w:rFonts w:cs="Calibri"/>
            </w:rPr>
            <w:instrText xml:space="preserve"> CITATION Cun241 \l 2057 </w:instrText>
          </w:r>
          <w:r w:rsidR="00D47928" w:rsidRPr="003524D8">
            <w:rPr>
              <w:rFonts w:cs="Calibri"/>
            </w:rPr>
            <w:fldChar w:fldCharType="separate"/>
          </w:r>
          <w:r w:rsidR="00D47928" w:rsidRPr="003524D8">
            <w:rPr>
              <w:rFonts w:cs="Calibri"/>
              <w:noProof/>
            </w:rPr>
            <w:t>(Cunningham, et al., 2024)</w:t>
          </w:r>
          <w:r w:rsidR="00D47928" w:rsidRPr="003524D8">
            <w:rPr>
              <w:rFonts w:cs="Calibri"/>
            </w:rPr>
            <w:fldChar w:fldCharType="end"/>
          </w:r>
        </w:sdtContent>
      </w:sdt>
      <w:r w:rsidR="00097551" w:rsidRPr="003524D8">
        <w:rPr>
          <w:rFonts w:cs="Calibri"/>
        </w:rPr>
        <w:t xml:space="preserve">. </w:t>
      </w:r>
      <w:r w:rsidR="00D47928" w:rsidRPr="003524D8">
        <w:rPr>
          <w:rFonts w:cs="Calibri"/>
        </w:rPr>
        <w:t xml:space="preserve">As Pollard et al. </w:t>
      </w:r>
      <w:sdt>
        <w:sdtPr>
          <w:rPr>
            <w:rFonts w:cs="Calibri"/>
          </w:rPr>
          <w:id w:val="-1670705969"/>
          <w:citation/>
        </w:sdtPr>
        <w:sdtContent>
          <w:r w:rsidR="00D47928" w:rsidRPr="003524D8">
            <w:rPr>
              <w:rFonts w:cs="Calibri"/>
            </w:rPr>
            <w:fldChar w:fldCharType="begin"/>
          </w:r>
          <w:r w:rsidR="00D47928" w:rsidRPr="003524D8">
            <w:rPr>
              <w:rFonts w:cs="Calibri"/>
            </w:rPr>
            <w:instrText xml:space="preserve">CITATION Pol21 \n  \l 2057 </w:instrText>
          </w:r>
          <w:r w:rsidR="00D47928" w:rsidRPr="003524D8">
            <w:rPr>
              <w:rFonts w:cs="Calibri"/>
            </w:rPr>
            <w:fldChar w:fldCharType="separate"/>
          </w:r>
          <w:r w:rsidR="00D47928" w:rsidRPr="003524D8">
            <w:rPr>
              <w:rFonts w:cs="Calibri"/>
              <w:noProof/>
            </w:rPr>
            <w:t>(2021)</w:t>
          </w:r>
          <w:r w:rsidR="00D47928" w:rsidRPr="003524D8">
            <w:rPr>
              <w:rFonts w:cs="Calibri"/>
            </w:rPr>
            <w:fldChar w:fldCharType="end"/>
          </w:r>
        </w:sdtContent>
      </w:sdt>
      <w:r w:rsidR="00D47928" w:rsidRPr="003524D8">
        <w:rPr>
          <w:rFonts w:cs="Calibri"/>
        </w:rPr>
        <w:t xml:space="preserve"> report, </w:t>
      </w:r>
      <w:r w:rsidR="00097551" w:rsidRPr="003524D8">
        <w:rPr>
          <w:rFonts w:cs="Calibri"/>
        </w:rPr>
        <w:t xml:space="preserve">Tutor 2 feels </w:t>
      </w:r>
      <w:r w:rsidR="00097551" w:rsidRPr="003524D8">
        <w:rPr>
          <w:rFonts w:cs="Calibri"/>
        </w:rPr>
        <w:lastRenderedPageBreak/>
        <w:t xml:space="preserve">that, with the number of students with dyslexia, dyspraxia, ADHD and ASD on her Level 2 course, it is like “walking on eggshells everyday”; “almost every student has anxiety or depression” so “I tailor my work to my students”. She alters the work and pace of lessons to suit “what their needs are individually”. </w:t>
      </w:r>
    </w:p>
    <w:p w14:paraId="71D55653" w14:textId="77777777" w:rsidR="00097551" w:rsidRPr="003524D8" w:rsidRDefault="00097551" w:rsidP="00D835E5">
      <w:pPr>
        <w:spacing w:after="160"/>
        <w:rPr>
          <w:rFonts w:cs="Calibri"/>
        </w:rPr>
      </w:pPr>
    </w:p>
    <w:p w14:paraId="5055E2A9" w14:textId="5AEB9CB0" w:rsidR="001A5787" w:rsidRPr="003524D8" w:rsidRDefault="003524D8" w:rsidP="008E0178">
      <w:pPr>
        <w:pStyle w:val="Heading2"/>
      </w:pPr>
      <w:bookmarkStart w:id="21" w:name="_Toc185674570"/>
      <w:r>
        <w:t xml:space="preserve">4.3 </w:t>
      </w:r>
      <w:r w:rsidR="001A5787" w:rsidRPr="003524D8">
        <w:t>STUDENT</w:t>
      </w:r>
      <w:r w:rsidR="00277D02" w:rsidRPr="003524D8">
        <w:t>-</w:t>
      </w:r>
      <w:r w:rsidR="001A5787" w:rsidRPr="003524D8">
        <w:t>CENTRED</w:t>
      </w:r>
      <w:r w:rsidR="00561F45" w:rsidRPr="003524D8">
        <w:t xml:space="preserve"> </w:t>
      </w:r>
      <w:r w:rsidR="00277D02" w:rsidRPr="003524D8">
        <w:t>LEARNING</w:t>
      </w:r>
      <w:bookmarkEnd w:id="21"/>
    </w:p>
    <w:p w14:paraId="6105985C" w14:textId="64D18813" w:rsidR="00886307" w:rsidRPr="003524D8" w:rsidRDefault="001A5787" w:rsidP="00D835E5">
      <w:pPr>
        <w:rPr>
          <w:rFonts w:cs="Calibri"/>
        </w:rPr>
      </w:pPr>
      <w:r w:rsidRPr="003524D8">
        <w:rPr>
          <w:rFonts w:cs="Calibri"/>
        </w:rPr>
        <w:t>Both tutors and the student discussed that student-</w:t>
      </w:r>
      <w:r w:rsidR="00C0792F" w:rsidRPr="003524D8">
        <w:rPr>
          <w:rFonts w:cs="Calibri"/>
        </w:rPr>
        <w:t>centred</w:t>
      </w:r>
      <w:r w:rsidRPr="003524D8">
        <w:rPr>
          <w:rFonts w:cs="Calibri"/>
        </w:rPr>
        <w:t xml:space="preserve"> learning was implemented according to student needs and interests</w:t>
      </w:r>
      <w:r w:rsidR="004A450E" w:rsidRPr="003524D8">
        <w:rPr>
          <w:rFonts w:cs="Calibri"/>
        </w:rPr>
        <w:t xml:space="preserve"> </w:t>
      </w:r>
      <w:sdt>
        <w:sdtPr>
          <w:rPr>
            <w:rFonts w:cs="Calibri"/>
          </w:rPr>
          <w:id w:val="824935742"/>
          <w:citation/>
        </w:sdtPr>
        <w:sdtContent>
          <w:r w:rsidR="004A450E" w:rsidRPr="003524D8">
            <w:rPr>
              <w:rFonts w:cs="Calibri"/>
            </w:rPr>
            <w:fldChar w:fldCharType="begin"/>
          </w:r>
          <w:r w:rsidR="004A450E" w:rsidRPr="003524D8">
            <w:rPr>
              <w:rFonts w:cs="Calibri"/>
            </w:rPr>
            <w:instrText xml:space="preserve">CITATION Yin24 \l 2057 </w:instrText>
          </w:r>
          <w:r w:rsidR="004A450E" w:rsidRPr="003524D8">
            <w:rPr>
              <w:rFonts w:cs="Calibri"/>
            </w:rPr>
            <w:fldChar w:fldCharType="separate"/>
          </w:r>
          <w:r w:rsidR="004A450E" w:rsidRPr="003524D8">
            <w:rPr>
              <w:rFonts w:cs="Calibri"/>
              <w:noProof/>
            </w:rPr>
            <w:t>(Li, et al., 2024)</w:t>
          </w:r>
          <w:r w:rsidR="004A450E" w:rsidRPr="003524D8">
            <w:rPr>
              <w:rFonts w:cs="Calibri"/>
            </w:rPr>
            <w:fldChar w:fldCharType="end"/>
          </w:r>
        </w:sdtContent>
      </w:sdt>
      <w:r w:rsidRPr="003524D8">
        <w:rPr>
          <w:rFonts w:cs="Calibri"/>
        </w:rPr>
        <w:t>. Student 1 reflected that he had chosen to present assignments in written form</w:t>
      </w:r>
      <w:r w:rsidR="001960F5" w:rsidRPr="003524D8">
        <w:rPr>
          <w:rFonts w:cs="Calibri"/>
        </w:rPr>
        <w:t>, though acknowledging that he had</w:t>
      </w:r>
      <w:r w:rsidR="001602EB">
        <w:rPr>
          <w:rFonts w:cs="Calibri"/>
        </w:rPr>
        <w:t xml:space="preserve"> also</w:t>
      </w:r>
      <w:r w:rsidR="001960F5" w:rsidRPr="003524D8">
        <w:rPr>
          <w:rFonts w:cs="Calibri"/>
        </w:rPr>
        <w:t xml:space="preserve"> created blogs and vlogs to demonstrate his learning: “</w:t>
      </w:r>
      <w:r w:rsidRPr="003524D8">
        <w:rPr>
          <w:rFonts w:cs="Calibri"/>
        </w:rPr>
        <w:t>So that suits my needs perfectly</w:t>
      </w:r>
      <w:r w:rsidR="001960F5" w:rsidRPr="003524D8">
        <w:rPr>
          <w:rFonts w:cs="Calibri"/>
        </w:rPr>
        <w:t>..</w:t>
      </w:r>
      <w:r w:rsidRPr="003524D8">
        <w:rPr>
          <w:rFonts w:cs="Calibri"/>
        </w:rPr>
        <w:t>.I have a chance to do all types and would thank you for letting me choose</w:t>
      </w:r>
      <w:r w:rsidR="001960F5" w:rsidRPr="003524D8">
        <w:rPr>
          <w:rFonts w:cs="Calibri"/>
        </w:rPr>
        <w:t>”</w:t>
      </w:r>
      <w:r w:rsidRPr="003524D8">
        <w:rPr>
          <w:rFonts w:cs="Calibri"/>
        </w:rPr>
        <w:t>.</w:t>
      </w:r>
      <w:r w:rsidR="001960F5" w:rsidRPr="003524D8">
        <w:rPr>
          <w:rFonts w:cs="Calibri"/>
        </w:rPr>
        <w:t xml:space="preserve"> He stated that some classmates who </w:t>
      </w:r>
      <w:r w:rsidRPr="003524D8">
        <w:rPr>
          <w:rFonts w:cs="Calibri"/>
        </w:rPr>
        <w:t xml:space="preserve">find it </w:t>
      </w:r>
      <w:r w:rsidR="001602EB">
        <w:rPr>
          <w:rFonts w:cs="Calibri"/>
        </w:rPr>
        <w:t>challenging</w:t>
      </w:r>
      <w:r w:rsidRPr="003524D8">
        <w:rPr>
          <w:rFonts w:cs="Calibri"/>
        </w:rPr>
        <w:t xml:space="preserve"> to type in class or at home</w:t>
      </w:r>
      <w:r w:rsidR="001960F5" w:rsidRPr="003524D8">
        <w:rPr>
          <w:rFonts w:cs="Calibri"/>
        </w:rPr>
        <w:t xml:space="preserve"> had </w:t>
      </w:r>
      <w:r w:rsidRPr="003524D8">
        <w:rPr>
          <w:rFonts w:cs="Calibri"/>
        </w:rPr>
        <w:t>use</w:t>
      </w:r>
      <w:r w:rsidR="001960F5" w:rsidRPr="003524D8">
        <w:rPr>
          <w:rFonts w:cs="Calibri"/>
        </w:rPr>
        <w:t>d ‘</w:t>
      </w:r>
      <w:r w:rsidRPr="003524D8">
        <w:rPr>
          <w:rFonts w:cs="Calibri"/>
        </w:rPr>
        <w:t>speech</w:t>
      </w:r>
      <w:r w:rsidR="001960F5" w:rsidRPr="003524D8">
        <w:rPr>
          <w:rFonts w:cs="Calibri"/>
        </w:rPr>
        <w:t>-</w:t>
      </w:r>
      <w:r w:rsidRPr="003524D8">
        <w:rPr>
          <w:rFonts w:cs="Calibri"/>
        </w:rPr>
        <w:t>to</w:t>
      </w:r>
      <w:r w:rsidR="001960F5" w:rsidRPr="003524D8">
        <w:rPr>
          <w:rFonts w:cs="Calibri"/>
        </w:rPr>
        <w:t>-</w:t>
      </w:r>
      <w:r w:rsidRPr="003524D8">
        <w:rPr>
          <w:rFonts w:cs="Calibri"/>
        </w:rPr>
        <w:t>text</w:t>
      </w:r>
      <w:r w:rsidR="001960F5" w:rsidRPr="003524D8">
        <w:rPr>
          <w:rFonts w:cs="Calibri"/>
        </w:rPr>
        <w:t>’</w:t>
      </w:r>
      <w:r w:rsidRPr="003524D8">
        <w:rPr>
          <w:rFonts w:cs="Calibri"/>
        </w:rPr>
        <w:t xml:space="preserve"> application, </w:t>
      </w:r>
      <w:r w:rsidR="001960F5" w:rsidRPr="003524D8">
        <w:rPr>
          <w:rFonts w:cs="Calibri"/>
        </w:rPr>
        <w:t xml:space="preserve">which had helped </w:t>
      </w:r>
      <w:r w:rsidRPr="003524D8">
        <w:rPr>
          <w:rFonts w:cs="Calibri"/>
        </w:rPr>
        <w:t>them</w:t>
      </w:r>
      <w:r w:rsidR="001960F5" w:rsidRPr="003524D8">
        <w:rPr>
          <w:rFonts w:cs="Calibri"/>
        </w:rPr>
        <w:t xml:space="preserve"> progress</w:t>
      </w:r>
      <w:r w:rsidR="001602EB">
        <w:rPr>
          <w:rFonts w:cs="Calibri"/>
        </w:rPr>
        <w:t>,</w:t>
      </w:r>
      <w:r w:rsidR="004A450E" w:rsidRPr="003524D8">
        <w:rPr>
          <w:rFonts w:cs="Calibri"/>
        </w:rPr>
        <w:t xml:space="preserve"> as suggested by </w:t>
      </w:r>
      <w:proofErr w:type="spellStart"/>
      <w:r w:rsidR="004A450E" w:rsidRPr="003524D8">
        <w:rPr>
          <w:rFonts w:cs="Calibri"/>
        </w:rPr>
        <w:t>Tuckett</w:t>
      </w:r>
      <w:proofErr w:type="spellEnd"/>
      <w:r w:rsidR="004A450E" w:rsidRPr="003524D8">
        <w:rPr>
          <w:rFonts w:cs="Calibri"/>
        </w:rPr>
        <w:t xml:space="preserve"> et al. </w:t>
      </w:r>
      <w:sdt>
        <w:sdtPr>
          <w:rPr>
            <w:rFonts w:cs="Calibri"/>
          </w:rPr>
          <w:id w:val="-576437618"/>
          <w:citation/>
        </w:sdtPr>
        <w:sdtContent>
          <w:r w:rsidR="004A450E" w:rsidRPr="003524D8">
            <w:rPr>
              <w:rFonts w:cs="Calibri"/>
            </w:rPr>
            <w:fldChar w:fldCharType="begin"/>
          </w:r>
          <w:r w:rsidR="004A450E" w:rsidRPr="003524D8">
            <w:rPr>
              <w:rFonts w:cs="Calibri"/>
            </w:rPr>
            <w:instrText xml:space="preserve">CITATION Tuc \n  \l 2057 </w:instrText>
          </w:r>
          <w:r w:rsidR="004A450E" w:rsidRPr="003524D8">
            <w:rPr>
              <w:rFonts w:cs="Calibri"/>
            </w:rPr>
            <w:fldChar w:fldCharType="separate"/>
          </w:r>
          <w:r w:rsidR="004A450E" w:rsidRPr="003524D8">
            <w:rPr>
              <w:rFonts w:cs="Calibri"/>
              <w:noProof/>
            </w:rPr>
            <w:t>(2021)</w:t>
          </w:r>
          <w:r w:rsidR="004A450E" w:rsidRPr="003524D8">
            <w:rPr>
              <w:rFonts w:cs="Calibri"/>
            </w:rPr>
            <w:fldChar w:fldCharType="end"/>
          </w:r>
        </w:sdtContent>
      </w:sdt>
      <w:r w:rsidR="001960F5" w:rsidRPr="003524D8">
        <w:rPr>
          <w:rFonts w:cs="Calibri"/>
        </w:rPr>
        <w:t>. Tutor 1 noted that his diverse learners generally struggle with written logs</w:t>
      </w:r>
      <w:r w:rsidR="00952825" w:rsidRPr="003524D8">
        <w:rPr>
          <w:rFonts w:cs="Calibri"/>
        </w:rPr>
        <w:t xml:space="preserve"> and</w:t>
      </w:r>
      <w:r w:rsidR="001960F5" w:rsidRPr="003524D8">
        <w:rPr>
          <w:rFonts w:cs="Calibri"/>
        </w:rPr>
        <w:t xml:space="preserve"> encourages </w:t>
      </w:r>
      <w:r w:rsidR="00952825" w:rsidRPr="003524D8">
        <w:rPr>
          <w:rFonts w:cs="Calibri"/>
        </w:rPr>
        <w:t>them</w:t>
      </w:r>
      <w:r w:rsidR="001960F5" w:rsidRPr="003524D8">
        <w:rPr>
          <w:rFonts w:cs="Calibri"/>
        </w:rPr>
        <w:t xml:space="preserve"> to produce video interviews</w:t>
      </w:r>
      <w:r w:rsidR="00952825" w:rsidRPr="003524D8">
        <w:rPr>
          <w:rFonts w:cs="Calibri"/>
        </w:rPr>
        <w:t>,</w:t>
      </w:r>
      <w:r w:rsidR="001960F5" w:rsidRPr="003524D8">
        <w:rPr>
          <w:rFonts w:cs="Calibri"/>
        </w:rPr>
        <w:t xml:space="preserve"> which is an effective method </w:t>
      </w:r>
      <w:r w:rsidR="00277D02" w:rsidRPr="003524D8">
        <w:rPr>
          <w:rFonts w:cs="Calibri"/>
        </w:rPr>
        <w:t xml:space="preserve">to </w:t>
      </w:r>
      <w:r w:rsidR="001960F5" w:rsidRPr="003524D8">
        <w:rPr>
          <w:rFonts w:cs="Calibri"/>
        </w:rPr>
        <w:t xml:space="preserve">elicit their passion for music. Tutor 2 reflects that Level 2 courses </w:t>
      </w:r>
      <w:r w:rsidR="00277D02" w:rsidRPr="003524D8">
        <w:rPr>
          <w:rFonts w:cs="Calibri"/>
        </w:rPr>
        <w:t>are</w:t>
      </w:r>
      <w:r w:rsidR="001960F5" w:rsidRPr="003524D8">
        <w:rPr>
          <w:rFonts w:cs="Calibri"/>
        </w:rPr>
        <w:t xml:space="preserve"> all about </w:t>
      </w:r>
      <w:r w:rsidR="00B92866" w:rsidRPr="003524D8">
        <w:rPr>
          <w:rFonts w:cs="Calibri"/>
        </w:rPr>
        <w:t xml:space="preserve">evidencing the </w:t>
      </w:r>
      <w:r w:rsidR="001960F5" w:rsidRPr="003524D8">
        <w:rPr>
          <w:rFonts w:cs="Calibri"/>
        </w:rPr>
        <w:t>individual process</w:t>
      </w:r>
      <w:r w:rsidR="00B92866" w:rsidRPr="003524D8">
        <w:rPr>
          <w:rFonts w:cs="Calibri"/>
        </w:rPr>
        <w:t>es that have taken place and the progress made by each student.</w:t>
      </w:r>
      <w:r w:rsidR="001960F5" w:rsidRPr="003524D8">
        <w:rPr>
          <w:rFonts w:cs="Calibri"/>
        </w:rPr>
        <w:t xml:space="preserve"> </w:t>
      </w:r>
      <w:r w:rsidR="00952825" w:rsidRPr="003524D8">
        <w:rPr>
          <w:rFonts w:cs="Calibri"/>
        </w:rPr>
        <w:t>S</w:t>
      </w:r>
      <w:r w:rsidR="00B92866" w:rsidRPr="003524D8">
        <w:rPr>
          <w:rFonts w:cs="Calibri"/>
        </w:rPr>
        <w:t>he discusses the limited usefulness that she perceives in terms of the writing</w:t>
      </w:r>
      <w:r w:rsidR="00277D02" w:rsidRPr="003524D8">
        <w:rPr>
          <w:rFonts w:cs="Calibri"/>
        </w:rPr>
        <w:t xml:space="preserve"> of</w:t>
      </w:r>
      <w:r w:rsidR="00B92866" w:rsidRPr="003524D8">
        <w:rPr>
          <w:rFonts w:cs="Calibri"/>
        </w:rPr>
        <w:t xml:space="preserve"> lesson plans and schemes of work</w:t>
      </w:r>
      <w:r w:rsidR="001602EB">
        <w:rPr>
          <w:rFonts w:cs="Calibri"/>
        </w:rPr>
        <w:t>,</w:t>
      </w:r>
      <w:r w:rsidR="004A450E" w:rsidRPr="003524D8">
        <w:rPr>
          <w:rFonts w:cs="Calibri"/>
        </w:rPr>
        <w:t xml:space="preserve"> as discussed by </w:t>
      </w:r>
      <w:r w:rsidR="004A450E" w:rsidRPr="003524D8">
        <w:rPr>
          <w:rFonts w:cs="Calibri"/>
          <w:noProof/>
        </w:rPr>
        <w:t>Priestley &amp; Biesta</w:t>
      </w:r>
      <w:r w:rsidR="004A450E" w:rsidRPr="003524D8">
        <w:rPr>
          <w:rFonts w:cs="Calibri"/>
        </w:rPr>
        <w:t xml:space="preserve"> </w:t>
      </w:r>
      <w:sdt>
        <w:sdtPr>
          <w:rPr>
            <w:rFonts w:cs="Calibri"/>
          </w:rPr>
          <w:id w:val="-1882779083"/>
          <w:citation/>
        </w:sdtPr>
        <w:sdtContent>
          <w:r w:rsidR="004A450E" w:rsidRPr="003524D8">
            <w:rPr>
              <w:rFonts w:cs="Calibri"/>
            </w:rPr>
            <w:fldChar w:fldCharType="begin"/>
          </w:r>
          <w:r w:rsidR="004A450E" w:rsidRPr="003524D8">
            <w:rPr>
              <w:rFonts w:cs="Calibri"/>
            </w:rPr>
            <w:instrText xml:space="preserve">CITATION Pri13 \n  \l 2057 </w:instrText>
          </w:r>
          <w:r w:rsidR="004A450E" w:rsidRPr="003524D8">
            <w:rPr>
              <w:rFonts w:cs="Calibri"/>
            </w:rPr>
            <w:fldChar w:fldCharType="separate"/>
          </w:r>
          <w:r w:rsidR="004A450E" w:rsidRPr="003524D8">
            <w:rPr>
              <w:rFonts w:cs="Calibri"/>
              <w:noProof/>
            </w:rPr>
            <w:t>(2013)</w:t>
          </w:r>
          <w:r w:rsidR="004A450E" w:rsidRPr="003524D8">
            <w:rPr>
              <w:rFonts w:cs="Calibri"/>
            </w:rPr>
            <w:fldChar w:fldCharType="end"/>
          </w:r>
        </w:sdtContent>
      </w:sdt>
      <w:r w:rsidR="00B92866" w:rsidRPr="003524D8">
        <w:rPr>
          <w:rFonts w:cs="Calibri"/>
        </w:rPr>
        <w:t>. “</w:t>
      </w:r>
      <w:r w:rsidR="001960F5" w:rsidRPr="003524D8">
        <w:rPr>
          <w:rFonts w:cs="Calibri"/>
        </w:rPr>
        <w:t>We are supposed to be student-led</w:t>
      </w:r>
      <w:r w:rsidR="00B92866" w:rsidRPr="003524D8">
        <w:rPr>
          <w:rFonts w:cs="Calibri"/>
        </w:rPr>
        <w:t xml:space="preserve">” she </w:t>
      </w:r>
      <w:r w:rsidR="00952825" w:rsidRPr="003524D8">
        <w:rPr>
          <w:rFonts w:cs="Calibri"/>
        </w:rPr>
        <w:t>exclaimed</w:t>
      </w:r>
      <w:r w:rsidR="00B92866" w:rsidRPr="003524D8">
        <w:rPr>
          <w:rFonts w:cs="Calibri"/>
        </w:rPr>
        <w:t>, “s</w:t>
      </w:r>
      <w:r w:rsidR="001960F5" w:rsidRPr="003524D8">
        <w:rPr>
          <w:rFonts w:cs="Calibri"/>
        </w:rPr>
        <w:t>o what is the point of doing a scheme of work?</w:t>
      </w:r>
      <w:r w:rsidR="00B92866" w:rsidRPr="003524D8">
        <w:rPr>
          <w:rFonts w:cs="Calibri"/>
        </w:rPr>
        <w:t>”.</w:t>
      </w:r>
      <w:r w:rsidR="001960F5" w:rsidRPr="003524D8">
        <w:rPr>
          <w:rFonts w:cs="Calibri"/>
        </w:rPr>
        <w:t xml:space="preserve"> </w:t>
      </w:r>
      <w:r w:rsidR="00B92866" w:rsidRPr="003524D8">
        <w:rPr>
          <w:rFonts w:cs="Calibri"/>
        </w:rPr>
        <w:t xml:space="preserve">Her pedagogy includes the provision of </w:t>
      </w:r>
      <w:r w:rsidR="001960F5" w:rsidRPr="003524D8">
        <w:rPr>
          <w:rFonts w:cs="Calibri"/>
        </w:rPr>
        <w:t xml:space="preserve">a framework, </w:t>
      </w:r>
      <w:r w:rsidR="00B92866" w:rsidRPr="003524D8">
        <w:rPr>
          <w:rFonts w:cs="Calibri"/>
        </w:rPr>
        <w:t xml:space="preserve">but the content frequently alters according to the needs of the students in a “tailor-made” fashion. </w:t>
      </w:r>
      <w:r w:rsidR="00811FB4" w:rsidRPr="003524D8">
        <w:rPr>
          <w:rFonts w:cs="Calibri"/>
        </w:rPr>
        <w:t>She reflected that her External Examiner reports that she is “</w:t>
      </w:r>
      <w:r w:rsidR="001960F5" w:rsidRPr="003524D8">
        <w:rPr>
          <w:rFonts w:cs="Calibri"/>
        </w:rPr>
        <w:t>running a brilliant course</w:t>
      </w:r>
      <w:r w:rsidR="00811FB4" w:rsidRPr="003524D8">
        <w:rPr>
          <w:rFonts w:cs="Calibri"/>
        </w:rPr>
        <w:t>”</w:t>
      </w:r>
      <w:r w:rsidR="00886307" w:rsidRPr="003524D8">
        <w:rPr>
          <w:rFonts w:cs="Calibri"/>
        </w:rPr>
        <w:t>.</w:t>
      </w:r>
      <w:r w:rsidR="00682888" w:rsidRPr="003524D8">
        <w:rPr>
          <w:rFonts w:cs="Calibri"/>
        </w:rPr>
        <w:t xml:space="preserve"> Enabling such student learning autonomy seems to directly conflict with the FEI’s expectation of staff producing and following lesson plans and schemes of work as part of their terms of service.</w:t>
      </w:r>
      <w:r w:rsidR="00886307" w:rsidRPr="003524D8">
        <w:rPr>
          <w:rFonts w:cs="Calibri"/>
        </w:rPr>
        <w:t xml:space="preserve"> </w:t>
      </w:r>
      <w:proofErr w:type="gramStart"/>
      <w:r w:rsidR="00886307" w:rsidRPr="003524D8">
        <w:rPr>
          <w:rFonts w:cs="Calibri"/>
        </w:rPr>
        <w:t>In an attempt to</w:t>
      </w:r>
      <w:proofErr w:type="gramEnd"/>
      <w:r w:rsidR="00886307" w:rsidRPr="003524D8">
        <w:rPr>
          <w:rFonts w:cs="Calibri"/>
        </w:rPr>
        <w:t xml:space="preserve"> encourage </w:t>
      </w:r>
      <w:r w:rsidR="001A066A" w:rsidRPr="003524D8">
        <w:rPr>
          <w:rFonts w:cs="Calibri"/>
        </w:rPr>
        <w:t xml:space="preserve">students </w:t>
      </w:r>
      <w:r w:rsidR="00886307" w:rsidRPr="003524D8">
        <w:rPr>
          <w:rFonts w:cs="Calibri"/>
        </w:rPr>
        <w:t xml:space="preserve">to </w:t>
      </w:r>
      <w:r w:rsidR="001A066A" w:rsidRPr="003524D8">
        <w:rPr>
          <w:rFonts w:cs="Calibri"/>
        </w:rPr>
        <w:t>direct their own learning, a</w:t>
      </w:r>
      <w:r w:rsidR="00886307" w:rsidRPr="003524D8">
        <w:rPr>
          <w:rFonts w:cs="Calibri"/>
        </w:rPr>
        <w:t xml:space="preserve"> student-led study group</w:t>
      </w:r>
      <w:r w:rsidR="001A066A" w:rsidRPr="003524D8">
        <w:rPr>
          <w:rFonts w:cs="Calibri"/>
        </w:rPr>
        <w:t xml:space="preserve"> </w:t>
      </w:r>
      <w:r w:rsidR="00682888" w:rsidRPr="003524D8">
        <w:rPr>
          <w:rFonts w:cs="Calibri"/>
        </w:rPr>
        <w:t>had been</w:t>
      </w:r>
      <w:r w:rsidR="001A066A" w:rsidRPr="003524D8">
        <w:rPr>
          <w:rFonts w:cs="Calibri"/>
        </w:rPr>
        <w:t xml:space="preserve"> formed</w:t>
      </w:r>
      <w:r w:rsidR="00682888" w:rsidRPr="003524D8">
        <w:rPr>
          <w:rFonts w:cs="Calibri"/>
        </w:rPr>
        <w:t xml:space="preserve"> by Tutor 2</w:t>
      </w:r>
      <w:r w:rsidR="00886307" w:rsidRPr="003524D8">
        <w:rPr>
          <w:rFonts w:cs="Calibri"/>
        </w:rPr>
        <w:t xml:space="preserve">, </w:t>
      </w:r>
      <w:r w:rsidR="001A066A" w:rsidRPr="003524D8">
        <w:rPr>
          <w:rFonts w:cs="Calibri"/>
        </w:rPr>
        <w:t xml:space="preserve">where </w:t>
      </w:r>
      <w:r w:rsidR="00886307" w:rsidRPr="003524D8">
        <w:rPr>
          <w:rFonts w:cs="Calibri"/>
        </w:rPr>
        <w:t xml:space="preserve">students selected the topics </w:t>
      </w:r>
      <w:r w:rsidR="001A066A" w:rsidRPr="003524D8">
        <w:rPr>
          <w:rFonts w:cs="Calibri"/>
        </w:rPr>
        <w:t xml:space="preserve">and issues </w:t>
      </w:r>
      <w:r w:rsidR="00886307" w:rsidRPr="003524D8">
        <w:rPr>
          <w:rFonts w:cs="Calibri"/>
        </w:rPr>
        <w:t>to be researched</w:t>
      </w:r>
      <w:r w:rsidR="001A066A" w:rsidRPr="003524D8">
        <w:rPr>
          <w:rFonts w:cs="Calibri"/>
        </w:rPr>
        <w:t xml:space="preserve">, </w:t>
      </w:r>
      <w:r w:rsidR="00886307" w:rsidRPr="003524D8">
        <w:rPr>
          <w:rFonts w:cs="Calibri"/>
        </w:rPr>
        <w:t xml:space="preserve">go to the library and complete </w:t>
      </w:r>
      <w:r w:rsidR="001A066A" w:rsidRPr="003524D8">
        <w:rPr>
          <w:rFonts w:cs="Calibri"/>
        </w:rPr>
        <w:t>the work</w:t>
      </w:r>
      <w:r w:rsidR="00886307" w:rsidRPr="003524D8">
        <w:rPr>
          <w:rFonts w:cs="Calibri"/>
        </w:rPr>
        <w:t>. Th</w:t>
      </w:r>
      <w:r w:rsidR="001A066A" w:rsidRPr="003524D8">
        <w:rPr>
          <w:rFonts w:cs="Calibri"/>
        </w:rPr>
        <w:t xml:space="preserve">is initiative enabled students to take ownership of their </w:t>
      </w:r>
      <w:r w:rsidR="001A066A" w:rsidRPr="003524D8">
        <w:rPr>
          <w:rFonts w:cs="Calibri"/>
        </w:rPr>
        <w:lastRenderedPageBreak/>
        <w:t xml:space="preserve">learning and </w:t>
      </w:r>
      <w:r w:rsidR="00561F45" w:rsidRPr="003524D8">
        <w:rPr>
          <w:rFonts w:cs="Calibri"/>
        </w:rPr>
        <w:t xml:space="preserve">had </w:t>
      </w:r>
      <w:r w:rsidR="00886307" w:rsidRPr="003524D8">
        <w:rPr>
          <w:rFonts w:cs="Calibri"/>
        </w:rPr>
        <w:t>solved</w:t>
      </w:r>
      <w:r w:rsidR="001A066A" w:rsidRPr="003524D8">
        <w:rPr>
          <w:rFonts w:cs="Calibri"/>
        </w:rPr>
        <w:t xml:space="preserve"> the </w:t>
      </w:r>
      <w:r w:rsidR="00886307" w:rsidRPr="003524D8">
        <w:rPr>
          <w:rFonts w:cs="Calibri"/>
        </w:rPr>
        <w:t>issue</w:t>
      </w:r>
      <w:r w:rsidR="001A066A" w:rsidRPr="003524D8">
        <w:rPr>
          <w:rFonts w:cs="Calibri"/>
        </w:rPr>
        <w:t xml:space="preserve"> of incomplete homework </w:t>
      </w:r>
      <w:r w:rsidR="00886307" w:rsidRPr="003524D8">
        <w:rPr>
          <w:rFonts w:cs="Calibri"/>
        </w:rPr>
        <w:t xml:space="preserve">because of the Wi-Fi and PC issues previously </w:t>
      </w:r>
      <w:r w:rsidR="001A066A" w:rsidRPr="003524D8">
        <w:rPr>
          <w:rFonts w:cs="Calibri"/>
        </w:rPr>
        <w:t>discussed</w:t>
      </w:r>
      <w:r w:rsidR="00C0792F" w:rsidRPr="003524D8">
        <w:rPr>
          <w:rFonts w:cs="Calibri"/>
        </w:rPr>
        <w:t xml:space="preserve"> </w:t>
      </w:r>
      <w:sdt>
        <w:sdtPr>
          <w:rPr>
            <w:rFonts w:cs="Calibri"/>
          </w:rPr>
          <w:id w:val="951216291"/>
          <w:citation/>
        </w:sdtPr>
        <w:sdtContent>
          <w:r w:rsidR="009F2C2B" w:rsidRPr="003524D8">
            <w:rPr>
              <w:rFonts w:cs="Calibri"/>
            </w:rPr>
            <w:fldChar w:fldCharType="begin"/>
          </w:r>
          <w:r w:rsidR="009F2C2B" w:rsidRPr="003524D8">
            <w:rPr>
              <w:rFonts w:cs="Calibri"/>
            </w:rPr>
            <w:instrText xml:space="preserve"> CITATION Hud241 \l 2057 </w:instrText>
          </w:r>
          <w:r w:rsidR="009F2C2B" w:rsidRPr="003524D8">
            <w:rPr>
              <w:rFonts w:cs="Calibri"/>
            </w:rPr>
            <w:fldChar w:fldCharType="separate"/>
          </w:r>
          <w:r w:rsidR="009F2C2B" w:rsidRPr="003524D8">
            <w:rPr>
              <w:rFonts w:cs="Calibri"/>
              <w:noProof/>
            </w:rPr>
            <w:t>(Huddleston &amp; Unwin, 2024)</w:t>
          </w:r>
          <w:r w:rsidR="009F2C2B" w:rsidRPr="003524D8">
            <w:rPr>
              <w:rFonts w:cs="Calibri"/>
            </w:rPr>
            <w:fldChar w:fldCharType="end"/>
          </w:r>
        </w:sdtContent>
      </w:sdt>
      <w:r w:rsidR="001602EB">
        <w:rPr>
          <w:rFonts w:cs="Calibri"/>
        </w:rPr>
        <w:t>.</w:t>
      </w:r>
    </w:p>
    <w:p w14:paraId="1FDCAAE3" w14:textId="77777777" w:rsidR="00952825" w:rsidRPr="003524D8" w:rsidRDefault="00952825" w:rsidP="00952825">
      <w:pPr>
        <w:spacing w:after="160"/>
        <w:rPr>
          <w:rFonts w:cs="Calibri"/>
        </w:rPr>
      </w:pPr>
    </w:p>
    <w:p w14:paraId="5263900E" w14:textId="5EFE5DE8" w:rsidR="008D3ABB" w:rsidRPr="003524D8" w:rsidRDefault="003524D8" w:rsidP="008E0178">
      <w:pPr>
        <w:pStyle w:val="Heading2"/>
      </w:pPr>
      <w:bookmarkStart w:id="22" w:name="_Toc185674571"/>
      <w:r>
        <w:t xml:space="preserve">4.4 </w:t>
      </w:r>
      <w:r w:rsidR="001829E2" w:rsidRPr="003524D8">
        <w:t>STUDENT ENGAGEMENT</w:t>
      </w:r>
      <w:bookmarkEnd w:id="22"/>
    </w:p>
    <w:p w14:paraId="50703E9D" w14:textId="555E21EF" w:rsidR="00DC2AD4" w:rsidRPr="003524D8" w:rsidRDefault="00952825" w:rsidP="00D835E5">
      <w:pPr>
        <w:rPr>
          <w:rFonts w:cs="Calibri"/>
        </w:rPr>
      </w:pPr>
      <w:r w:rsidRPr="003524D8">
        <w:rPr>
          <w:rFonts w:cs="Calibri"/>
        </w:rPr>
        <w:t xml:space="preserve">Despite many of the students coming from disadvantaged backgrounds where withdrawal is more likely to occur </w:t>
      </w:r>
      <w:sdt>
        <w:sdtPr>
          <w:rPr>
            <w:rFonts w:cs="Calibri"/>
          </w:rPr>
          <w:id w:val="-1870517520"/>
          <w:citation/>
        </w:sdtPr>
        <w:sdtContent>
          <w:r w:rsidRPr="003524D8">
            <w:rPr>
              <w:rFonts w:cs="Calibri"/>
            </w:rPr>
            <w:fldChar w:fldCharType="begin"/>
          </w:r>
          <w:r w:rsidRPr="003524D8">
            <w:rPr>
              <w:rFonts w:cs="Calibri"/>
            </w:rPr>
            <w:instrText xml:space="preserve">CITATION Mis21 \l 2057 </w:instrText>
          </w:r>
          <w:r w:rsidRPr="003524D8">
            <w:rPr>
              <w:rFonts w:cs="Calibri"/>
            </w:rPr>
            <w:fldChar w:fldCharType="separate"/>
          </w:r>
          <w:r w:rsidRPr="003524D8">
            <w:rPr>
              <w:rFonts w:cs="Calibri"/>
              <w:noProof/>
            </w:rPr>
            <w:t>(Mistry &amp; Elenbaas, 2021)</w:t>
          </w:r>
          <w:r w:rsidRPr="003524D8">
            <w:rPr>
              <w:rFonts w:cs="Calibri"/>
            </w:rPr>
            <w:fldChar w:fldCharType="end"/>
          </w:r>
        </w:sdtContent>
      </w:sdt>
      <w:r w:rsidRPr="003524D8">
        <w:rPr>
          <w:rFonts w:cs="Calibri"/>
        </w:rPr>
        <w:t xml:space="preserve">, </w:t>
      </w:r>
      <w:r w:rsidR="001829E2" w:rsidRPr="003524D8">
        <w:rPr>
          <w:rFonts w:cs="Calibri"/>
        </w:rPr>
        <w:t>Tutor 1 finds his Level 2 classes</w:t>
      </w:r>
      <w:r w:rsidR="00561F45" w:rsidRPr="003524D8">
        <w:rPr>
          <w:rFonts w:cs="Calibri"/>
        </w:rPr>
        <w:t>’</w:t>
      </w:r>
      <w:r w:rsidR="001829E2" w:rsidRPr="003524D8">
        <w:rPr>
          <w:rFonts w:cs="Calibri"/>
        </w:rPr>
        <w:t xml:space="preserve"> punctuality and attendance</w:t>
      </w:r>
      <w:r w:rsidR="00561F45" w:rsidRPr="003524D8">
        <w:rPr>
          <w:rFonts w:cs="Calibri"/>
        </w:rPr>
        <w:t xml:space="preserve"> to be</w:t>
      </w:r>
      <w:r w:rsidRPr="003524D8">
        <w:rPr>
          <w:rFonts w:cs="Calibri"/>
        </w:rPr>
        <w:t xml:space="preserve"> </w:t>
      </w:r>
      <w:r w:rsidR="001829E2" w:rsidRPr="003524D8">
        <w:rPr>
          <w:rFonts w:cs="Calibri"/>
        </w:rPr>
        <w:t xml:space="preserve">“pretty good” </w:t>
      </w:r>
      <w:r w:rsidRPr="003524D8">
        <w:rPr>
          <w:rFonts w:cs="Calibri"/>
        </w:rPr>
        <w:t>with</w:t>
      </w:r>
      <w:r w:rsidR="001829E2" w:rsidRPr="003524D8">
        <w:rPr>
          <w:rFonts w:cs="Calibri"/>
        </w:rPr>
        <w:t xml:space="preserve"> a “healthy approach towards learning”. They seem “motivated to pass, take it very seriously and they're always looking for feedback from me”. </w:t>
      </w:r>
      <w:r w:rsidR="00561F45" w:rsidRPr="003524D8">
        <w:rPr>
          <w:rFonts w:cs="Calibri"/>
        </w:rPr>
        <w:t xml:space="preserve">However, </w:t>
      </w:r>
      <w:r w:rsidR="00DC2AD4" w:rsidRPr="003524D8">
        <w:rPr>
          <w:rFonts w:cs="Calibri"/>
        </w:rPr>
        <w:t>Tutor 2 reflects that a frequent excuse for not taking part in a practical session is that “Oh, my kit and stuff is at my Dad's house, and I left it there as I live at my Mam's house, or I went to my Dad's house and my stuff is at my Mam's house...”. Tutor 1 sometimes has a similar issue when</w:t>
      </w:r>
      <w:r w:rsidR="00561F45" w:rsidRPr="003524D8">
        <w:rPr>
          <w:rFonts w:cs="Calibri"/>
        </w:rPr>
        <w:t>,</w:t>
      </w:r>
      <w:r w:rsidR="00DC2AD4" w:rsidRPr="003524D8">
        <w:rPr>
          <w:rFonts w:cs="Calibri"/>
        </w:rPr>
        <w:t xml:space="preserve"> at the age of student taught, they are sometimes “prone to forgetting things”. Given the local geography, some </w:t>
      </w:r>
      <w:r w:rsidR="00561F45" w:rsidRPr="003524D8">
        <w:rPr>
          <w:rFonts w:cs="Calibri"/>
        </w:rPr>
        <w:t>students</w:t>
      </w:r>
      <w:r w:rsidR="00DC2AD4" w:rsidRPr="003524D8">
        <w:rPr>
          <w:rFonts w:cs="Calibri"/>
        </w:rPr>
        <w:t xml:space="preserve"> attend</w:t>
      </w:r>
      <w:r w:rsidR="00561F45" w:rsidRPr="003524D8">
        <w:rPr>
          <w:rFonts w:cs="Calibri"/>
        </w:rPr>
        <w:t>ing</w:t>
      </w:r>
      <w:r w:rsidR="00DC2AD4" w:rsidRPr="003524D8">
        <w:rPr>
          <w:rFonts w:cs="Calibri"/>
        </w:rPr>
        <w:t xml:space="preserve"> college from</w:t>
      </w:r>
      <w:r w:rsidR="00561F45" w:rsidRPr="003524D8">
        <w:rPr>
          <w:rFonts w:cs="Calibri"/>
        </w:rPr>
        <w:t xml:space="preserve"> long</w:t>
      </w:r>
      <w:r w:rsidR="00DC2AD4" w:rsidRPr="003524D8">
        <w:rPr>
          <w:rFonts w:cs="Calibri"/>
        </w:rPr>
        <w:t xml:space="preserve"> </w:t>
      </w:r>
      <w:r w:rsidR="00561F45" w:rsidRPr="003524D8">
        <w:rPr>
          <w:rFonts w:cs="Calibri"/>
        </w:rPr>
        <w:t xml:space="preserve">distances </w:t>
      </w:r>
      <w:r w:rsidR="00DC2AD4" w:rsidRPr="003524D8">
        <w:rPr>
          <w:rFonts w:cs="Calibri"/>
        </w:rPr>
        <w:t>away</w:t>
      </w:r>
      <w:r w:rsidR="00561F45" w:rsidRPr="003524D8">
        <w:rPr>
          <w:rFonts w:cs="Calibri"/>
        </w:rPr>
        <w:t xml:space="preserve"> where</w:t>
      </w:r>
      <w:r w:rsidR="00DC2AD4" w:rsidRPr="003524D8">
        <w:rPr>
          <w:rFonts w:cs="Calibri"/>
        </w:rPr>
        <w:t xml:space="preserve"> travel can be an issue. “If they forget their guitar, which happens, then that's, unfortunately, some of the objectives won't be fulfilled within that lesson”.</w:t>
      </w:r>
      <w:r w:rsidRPr="003524D8">
        <w:rPr>
          <w:rFonts w:cs="Calibri"/>
        </w:rPr>
        <w:t xml:space="preserve"> Without engagement, student-centred </w:t>
      </w:r>
      <w:r w:rsidR="009C1A81" w:rsidRPr="003524D8">
        <w:rPr>
          <w:rFonts w:cs="Calibri"/>
        </w:rPr>
        <w:t>learning may not</w:t>
      </w:r>
      <w:r w:rsidRPr="003524D8">
        <w:rPr>
          <w:rFonts w:cs="Calibri"/>
        </w:rPr>
        <w:t xml:space="preserve"> take place</w:t>
      </w:r>
      <w:r w:rsidR="009C1A81" w:rsidRPr="003524D8">
        <w:rPr>
          <w:rFonts w:cs="Calibri"/>
        </w:rPr>
        <w:t xml:space="preserve"> </w:t>
      </w:r>
      <w:sdt>
        <w:sdtPr>
          <w:rPr>
            <w:rFonts w:cs="Calibri"/>
          </w:rPr>
          <w:id w:val="-309017000"/>
          <w:citation/>
        </w:sdtPr>
        <w:sdtContent>
          <w:r w:rsidR="009C1A81" w:rsidRPr="003524D8">
            <w:rPr>
              <w:rFonts w:cs="Calibri"/>
            </w:rPr>
            <w:fldChar w:fldCharType="begin"/>
          </w:r>
          <w:r w:rsidR="009C1A81" w:rsidRPr="003524D8">
            <w:rPr>
              <w:rFonts w:cs="Calibri"/>
            </w:rPr>
            <w:instrText xml:space="preserve"> CITATION Tay11 \l 2057 </w:instrText>
          </w:r>
          <w:r w:rsidR="009C1A81" w:rsidRPr="003524D8">
            <w:rPr>
              <w:rFonts w:cs="Calibri"/>
            </w:rPr>
            <w:fldChar w:fldCharType="separate"/>
          </w:r>
          <w:r w:rsidR="009C1A81" w:rsidRPr="003524D8">
            <w:rPr>
              <w:rFonts w:cs="Calibri"/>
              <w:noProof/>
            </w:rPr>
            <w:t>(Taylor &amp; Parsons, 2011)</w:t>
          </w:r>
          <w:r w:rsidR="009C1A81" w:rsidRPr="003524D8">
            <w:rPr>
              <w:rFonts w:cs="Calibri"/>
            </w:rPr>
            <w:fldChar w:fldCharType="end"/>
          </w:r>
        </w:sdtContent>
      </w:sdt>
      <w:r w:rsidR="001602EB">
        <w:rPr>
          <w:rFonts w:cs="Calibri"/>
        </w:rPr>
        <w:t>.</w:t>
      </w:r>
      <w:r w:rsidRPr="003524D8">
        <w:rPr>
          <w:rFonts w:cs="Calibri"/>
        </w:rPr>
        <w:t xml:space="preserve"> </w:t>
      </w:r>
    </w:p>
    <w:p w14:paraId="4FFAB9AA" w14:textId="77777777" w:rsidR="00DC2AD4" w:rsidRPr="003524D8" w:rsidRDefault="00DC2AD4" w:rsidP="00D835E5">
      <w:pPr>
        <w:rPr>
          <w:rFonts w:cs="Calibri"/>
        </w:rPr>
      </w:pPr>
    </w:p>
    <w:p w14:paraId="0E22CC9A" w14:textId="49FA8358" w:rsidR="00123692" w:rsidRPr="003524D8" w:rsidRDefault="009C1A81" w:rsidP="00D835E5">
      <w:pPr>
        <w:rPr>
          <w:rFonts w:cs="Calibri"/>
        </w:rPr>
      </w:pPr>
      <w:r w:rsidRPr="003524D8">
        <w:rPr>
          <w:rFonts w:cs="Calibri"/>
          <w:noProof/>
        </w:rPr>
        <w:t>WG</w:t>
      </w:r>
      <w:r w:rsidRPr="003524D8">
        <w:rPr>
          <w:rFonts w:cs="Calibri"/>
        </w:rPr>
        <w:t xml:space="preserve"> </w:t>
      </w:r>
      <w:sdt>
        <w:sdtPr>
          <w:rPr>
            <w:rFonts w:cs="Calibri"/>
          </w:rPr>
          <w:id w:val="-361664699"/>
          <w:citation/>
        </w:sdtPr>
        <w:sdtContent>
          <w:r w:rsidRPr="003524D8">
            <w:rPr>
              <w:rFonts w:cs="Calibri"/>
            </w:rPr>
            <w:fldChar w:fldCharType="begin"/>
          </w:r>
          <w:r w:rsidRPr="003524D8">
            <w:rPr>
              <w:rFonts w:cs="Calibri"/>
            </w:rPr>
            <w:instrText xml:space="preserve">CITATION Placeholder1 \n  \l 2057 </w:instrText>
          </w:r>
          <w:r w:rsidRPr="003524D8">
            <w:rPr>
              <w:rFonts w:cs="Calibri"/>
            </w:rPr>
            <w:fldChar w:fldCharType="separate"/>
          </w:r>
          <w:r w:rsidRPr="003524D8">
            <w:rPr>
              <w:rFonts w:cs="Calibri"/>
              <w:noProof/>
            </w:rPr>
            <w:t>(2023)</w:t>
          </w:r>
          <w:r w:rsidRPr="003524D8">
            <w:rPr>
              <w:rFonts w:cs="Calibri"/>
            </w:rPr>
            <w:fldChar w:fldCharType="end"/>
          </w:r>
        </w:sdtContent>
      </w:sdt>
      <w:r w:rsidRPr="003524D8">
        <w:rPr>
          <w:rFonts w:cs="Calibri"/>
        </w:rPr>
        <w:t xml:space="preserve">, acknowledged that a characteristic of many vocational students at Level 2 is that they are less engaged, with </w:t>
      </w:r>
      <w:r w:rsidR="00DC2AD4" w:rsidRPr="003524D8">
        <w:rPr>
          <w:rFonts w:cs="Calibri"/>
        </w:rPr>
        <w:t xml:space="preserve">Tutor 2 </w:t>
      </w:r>
      <w:r w:rsidRPr="003524D8">
        <w:rPr>
          <w:rFonts w:cs="Calibri"/>
        </w:rPr>
        <w:t xml:space="preserve">expressing </w:t>
      </w:r>
      <w:r w:rsidR="00DC2AD4" w:rsidRPr="003524D8">
        <w:rPr>
          <w:rFonts w:cs="Calibri"/>
        </w:rPr>
        <w:t>“</w:t>
      </w:r>
      <w:r w:rsidRPr="003524D8">
        <w:rPr>
          <w:rFonts w:cs="Calibri"/>
        </w:rPr>
        <w:t>t</w:t>
      </w:r>
      <w:r w:rsidR="00DC2AD4" w:rsidRPr="003524D8">
        <w:rPr>
          <w:rFonts w:cs="Calibri"/>
        </w:rPr>
        <w:t>hey don't feel the need to prepare anything</w:t>
      </w:r>
      <w:r w:rsidR="006F259D" w:rsidRPr="003524D8">
        <w:rPr>
          <w:rFonts w:cs="Calibri"/>
        </w:rPr>
        <w:t>”. She explains that</w:t>
      </w:r>
      <w:r w:rsidR="001602EB">
        <w:rPr>
          <w:rFonts w:cs="Calibri"/>
        </w:rPr>
        <w:t>,</w:t>
      </w:r>
      <w:r w:rsidR="006F259D" w:rsidRPr="003524D8">
        <w:rPr>
          <w:rFonts w:cs="Calibri"/>
        </w:rPr>
        <w:t xml:space="preserve"> if something is given for them to</w:t>
      </w:r>
      <w:r w:rsidR="00DC2AD4" w:rsidRPr="003524D8">
        <w:rPr>
          <w:rFonts w:cs="Calibri"/>
        </w:rPr>
        <w:t xml:space="preserve"> learn, they learn it</w:t>
      </w:r>
      <w:r w:rsidR="001602EB">
        <w:rPr>
          <w:rFonts w:cs="Calibri"/>
        </w:rPr>
        <w:t xml:space="preserve"> but</w:t>
      </w:r>
      <w:r w:rsidR="00DC2AD4" w:rsidRPr="003524D8">
        <w:rPr>
          <w:rFonts w:cs="Calibri"/>
        </w:rPr>
        <w:t xml:space="preserve"> that</w:t>
      </w:r>
      <w:r w:rsidRPr="003524D8">
        <w:rPr>
          <w:rFonts w:cs="Calibri"/>
        </w:rPr>
        <w:t xml:space="preserve"> i</w:t>
      </w:r>
      <w:r w:rsidR="00DC2AD4" w:rsidRPr="003524D8">
        <w:rPr>
          <w:rFonts w:cs="Calibri"/>
        </w:rPr>
        <w:t xml:space="preserve">s where it stops. </w:t>
      </w:r>
      <w:r w:rsidR="006F259D" w:rsidRPr="003524D8">
        <w:rPr>
          <w:rFonts w:cs="Calibri"/>
        </w:rPr>
        <w:t>"</w:t>
      </w:r>
      <w:r w:rsidR="00DC2AD4" w:rsidRPr="003524D8">
        <w:rPr>
          <w:rFonts w:cs="Calibri"/>
        </w:rPr>
        <w:t>They learn the script</w:t>
      </w:r>
      <w:r w:rsidR="006F259D" w:rsidRPr="003524D8">
        <w:rPr>
          <w:rFonts w:cs="Calibri"/>
        </w:rPr>
        <w:t>…t</w:t>
      </w:r>
      <w:r w:rsidR="00DC2AD4" w:rsidRPr="003524D8">
        <w:rPr>
          <w:rFonts w:cs="Calibri"/>
        </w:rPr>
        <w:t>hey learn the poem</w:t>
      </w:r>
      <w:r w:rsidR="006F259D" w:rsidRPr="003524D8">
        <w:rPr>
          <w:rFonts w:cs="Calibri"/>
        </w:rPr>
        <w:t>…t</w:t>
      </w:r>
      <w:r w:rsidR="00DC2AD4" w:rsidRPr="003524D8">
        <w:rPr>
          <w:rFonts w:cs="Calibri"/>
        </w:rPr>
        <w:t>hey think they know it</w:t>
      </w:r>
      <w:r w:rsidR="006F259D" w:rsidRPr="003524D8">
        <w:rPr>
          <w:rFonts w:cs="Calibri"/>
        </w:rPr>
        <w:t>..</w:t>
      </w:r>
      <w:r w:rsidR="00DC2AD4" w:rsidRPr="003524D8">
        <w:rPr>
          <w:rFonts w:cs="Calibri"/>
        </w:rPr>
        <w:t>.</w:t>
      </w:r>
      <w:r w:rsidR="006F259D" w:rsidRPr="003524D8">
        <w:rPr>
          <w:rFonts w:cs="Calibri"/>
        </w:rPr>
        <w:t>t</w:t>
      </w:r>
      <w:r w:rsidR="00DC2AD4" w:rsidRPr="003524D8">
        <w:rPr>
          <w:rFonts w:cs="Calibri"/>
        </w:rPr>
        <w:t>hey have no concept of development or polish or refinement or process</w:t>
      </w:r>
      <w:r w:rsidR="006F259D" w:rsidRPr="003524D8">
        <w:rPr>
          <w:rFonts w:cs="Calibri"/>
        </w:rPr>
        <w:t>”</w:t>
      </w:r>
      <w:r w:rsidR="00DC2AD4" w:rsidRPr="003524D8">
        <w:rPr>
          <w:rFonts w:cs="Calibri"/>
        </w:rPr>
        <w:t>.</w:t>
      </w:r>
      <w:r w:rsidR="006F259D" w:rsidRPr="003524D8">
        <w:rPr>
          <w:rFonts w:cs="Calibri"/>
        </w:rPr>
        <w:t xml:space="preserve"> ‘Generation TikTok’ is highlighted </w:t>
      </w:r>
      <w:r w:rsidR="009C0314" w:rsidRPr="003524D8">
        <w:rPr>
          <w:rFonts w:cs="Calibri"/>
        </w:rPr>
        <w:t xml:space="preserve">as </w:t>
      </w:r>
      <w:r w:rsidR="006F259D" w:rsidRPr="003524D8">
        <w:rPr>
          <w:rFonts w:cs="Calibri"/>
        </w:rPr>
        <w:t xml:space="preserve">a blight to education as the students believe </w:t>
      </w:r>
      <w:r w:rsidR="00561F45" w:rsidRPr="003524D8">
        <w:rPr>
          <w:rFonts w:cs="Calibri"/>
        </w:rPr>
        <w:t xml:space="preserve">that </w:t>
      </w:r>
      <w:r w:rsidR="006F259D" w:rsidRPr="003524D8">
        <w:rPr>
          <w:rFonts w:cs="Calibri"/>
        </w:rPr>
        <w:t>learning a performance online is enough and “</w:t>
      </w:r>
      <w:r w:rsidR="00DC2AD4" w:rsidRPr="003524D8">
        <w:rPr>
          <w:rFonts w:cs="Calibri"/>
        </w:rPr>
        <w:t>they only ever see finished products</w:t>
      </w:r>
      <w:r w:rsidR="006F259D" w:rsidRPr="003524D8">
        <w:rPr>
          <w:rFonts w:cs="Calibri"/>
        </w:rPr>
        <w:t>”</w:t>
      </w:r>
      <w:r w:rsidR="00DC2AD4" w:rsidRPr="003524D8">
        <w:rPr>
          <w:rFonts w:cs="Calibri"/>
        </w:rPr>
        <w:t xml:space="preserve">. </w:t>
      </w:r>
      <w:r w:rsidR="006F259D" w:rsidRPr="003524D8">
        <w:rPr>
          <w:rFonts w:cs="Calibri"/>
        </w:rPr>
        <w:t xml:space="preserve">This mentality </w:t>
      </w:r>
      <w:r w:rsidR="00561F45" w:rsidRPr="003524D8">
        <w:rPr>
          <w:rFonts w:cs="Calibri"/>
        </w:rPr>
        <w:t xml:space="preserve">results in them having </w:t>
      </w:r>
      <w:r w:rsidR="006F259D" w:rsidRPr="003524D8">
        <w:rPr>
          <w:rFonts w:cs="Calibri"/>
        </w:rPr>
        <w:t xml:space="preserve">a limited </w:t>
      </w:r>
      <w:r w:rsidR="00DC2AD4" w:rsidRPr="003524D8">
        <w:rPr>
          <w:rFonts w:cs="Calibri"/>
        </w:rPr>
        <w:t xml:space="preserve">concept of what the </w:t>
      </w:r>
      <w:r w:rsidR="006F259D" w:rsidRPr="003524D8">
        <w:rPr>
          <w:rFonts w:cs="Calibri"/>
        </w:rPr>
        <w:t xml:space="preserve">learning </w:t>
      </w:r>
      <w:r w:rsidR="00DC2AD4" w:rsidRPr="003524D8">
        <w:rPr>
          <w:rFonts w:cs="Calibri"/>
        </w:rPr>
        <w:t>process is</w:t>
      </w:r>
      <w:r w:rsidR="009C0314" w:rsidRPr="003524D8">
        <w:rPr>
          <w:rFonts w:cs="Calibri"/>
        </w:rPr>
        <w:t xml:space="preserve">, which aligns with the work of </w:t>
      </w:r>
      <w:r w:rsidR="009C0314" w:rsidRPr="003524D8">
        <w:rPr>
          <w:rFonts w:cs="Calibri"/>
          <w:noProof/>
        </w:rPr>
        <w:t>Illeris</w:t>
      </w:r>
      <w:r w:rsidR="009C0314" w:rsidRPr="003524D8">
        <w:rPr>
          <w:rFonts w:cs="Calibri"/>
        </w:rPr>
        <w:t xml:space="preserve"> </w:t>
      </w:r>
      <w:sdt>
        <w:sdtPr>
          <w:rPr>
            <w:rFonts w:cs="Calibri"/>
          </w:rPr>
          <w:id w:val="-810015645"/>
          <w:citation/>
        </w:sdtPr>
        <w:sdtContent>
          <w:r w:rsidR="009C0314" w:rsidRPr="003524D8">
            <w:rPr>
              <w:rFonts w:cs="Calibri"/>
            </w:rPr>
            <w:fldChar w:fldCharType="begin"/>
          </w:r>
          <w:r w:rsidR="009C0314" w:rsidRPr="003524D8">
            <w:rPr>
              <w:rFonts w:cs="Calibri"/>
            </w:rPr>
            <w:instrText xml:space="preserve">CITATION Ill18 \n  \l 2057 </w:instrText>
          </w:r>
          <w:r w:rsidR="009C0314" w:rsidRPr="003524D8">
            <w:rPr>
              <w:rFonts w:cs="Calibri"/>
            </w:rPr>
            <w:fldChar w:fldCharType="separate"/>
          </w:r>
          <w:r w:rsidR="009C0314" w:rsidRPr="003524D8">
            <w:rPr>
              <w:rFonts w:cs="Calibri"/>
              <w:noProof/>
            </w:rPr>
            <w:t>(2018)</w:t>
          </w:r>
          <w:r w:rsidR="009C0314" w:rsidRPr="003524D8">
            <w:rPr>
              <w:rFonts w:cs="Calibri"/>
            </w:rPr>
            <w:fldChar w:fldCharType="end"/>
          </w:r>
        </w:sdtContent>
      </w:sdt>
      <w:r w:rsidR="00DC2AD4" w:rsidRPr="003524D8">
        <w:rPr>
          <w:rFonts w:cs="Calibri"/>
        </w:rPr>
        <w:t xml:space="preserve">. </w:t>
      </w:r>
      <w:r w:rsidR="006F259D" w:rsidRPr="003524D8">
        <w:rPr>
          <w:rFonts w:cs="Calibri"/>
        </w:rPr>
        <w:t xml:space="preserve">Tutor 2 reflects </w:t>
      </w:r>
      <w:r w:rsidR="00561F45" w:rsidRPr="003524D8">
        <w:rPr>
          <w:rFonts w:cs="Calibri"/>
        </w:rPr>
        <w:t xml:space="preserve">on </w:t>
      </w:r>
      <w:r w:rsidR="006F259D" w:rsidRPr="003524D8">
        <w:rPr>
          <w:rFonts w:cs="Calibri"/>
        </w:rPr>
        <w:t xml:space="preserve">the </w:t>
      </w:r>
      <w:r w:rsidR="00DC2AD4" w:rsidRPr="003524D8">
        <w:rPr>
          <w:rFonts w:cs="Calibri"/>
        </w:rPr>
        <w:t>X Factor</w:t>
      </w:r>
      <w:r w:rsidR="006F259D" w:rsidRPr="003524D8">
        <w:rPr>
          <w:rFonts w:cs="Calibri"/>
        </w:rPr>
        <w:t xml:space="preserve"> television programme</w:t>
      </w:r>
      <w:r w:rsidR="009C0314" w:rsidRPr="003524D8">
        <w:rPr>
          <w:rFonts w:cs="Calibri"/>
        </w:rPr>
        <w:t>,</w:t>
      </w:r>
      <w:r w:rsidR="006F259D" w:rsidRPr="003524D8">
        <w:rPr>
          <w:rFonts w:cs="Calibri"/>
        </w:rPr>
        <w:t xml:space="preserve"> where everyone</w:t>
      </w:r>
      <w:r w:rsidR="001602EB">
        <w:rPr>
          <w:rFonts w:cs="Calibri"/>
        </w:rPr>
        <w:t xml:space="preserve"> i</w:t>
      </w:r>
      <w:r w:rsidR="006F259D" w:rsidRPr="003524D8">
        <w:rPr>
          <w:rFonts w:cs="Calibri"/>
        </w:rPr>
        <w:t>s a winner</w:t>
      </w:r>
      <w:r w:rsidR="00561F45" w:rsidRPr="003524D8">
        <w:rPr>
          <w:rFonts w:cs="Calibri"/>
        </w:rPr>
        <w:t xml:space="preserve"> but where final performances</w:t>
      </w:r>
      <w:r w:rsidR="00123692" w:rsidRPr="003524D8">
        <w:rPr>
          <w:rFonts w:cs="Calibri"/>
        </w:rPr>
        <w:t xml:space="preserve"> do</w:t>
      </w:r>
      <w:r w:rsidR="00DC2AD4" w:rsidRPr="003524D8">
        <w:rPr>
          <w:rFonts w:cs="Calibri"/>
        </w:rPr>
        <w:t xml:space="preserve"> not</w:t>
      </w:r>
      <w:r w:rsidR="00123692" w:rsidRPr="003524D8">
        <w:rPr>
          <w:rFonts w:cs="Calibri"/>
        </w:rPr>
        <w:t xml:space="preserve"> reflect </w:t>
      </w:r>
      <w:r w:rsidR="00DC2AD4" w:rsidRPr="003524D8">
        <w:rPr>
          <w:rFonts w:cs="Calibri"/>
        </w:rPr>
        <w:t>what the process</w:t>
      </w:r>
      <w:r w:rsidR="00123692" w:rsidRPr="003524D8">
        <w:rPr>
          <w:rFonts w:cs="Calibri"/>
        </w:rPr>
        <w:t xml:space="preserve"> </w:t>
      </w:r>
      <w:r w:rsidR="001602EB">
        <w:rPr>
          <w:rFonts w:cs="Calibri"/>
        </w:rPr>
        <w:t>behind the</w:t>
      </w:r>
      <w:r w:rsidR="00123692" w:rsidRPr="003524D8">
        <w:rPr>
          <w:rFonts w:cs="Calibri"/>
        </w:rPr>
        <w:t xml:space="preserve"> perform</w:t>
      </w:r>
      <w:r w:rsidR="001602EB">
        <w:rPr>
          <w:rFonts w:cs="Calibri"/>
        </w:rPr>
        <w:t>ance</w:t>
      </w:r>
      <w:r w:rsidR="00DC2AD4" w:rsidRPr="003524D8">
        <w:rPr>
          <w:rFonts w:cs="Calibri"/>
        </w:rPr>
        <w:t xml:space="preserve"> </w:t>
      </w:r>
      <w:r w:rsidR="001602EB">
        <w:rPr>
          <w:rFonts w:cs="Calibri"/>
        </w:rPr>
        <w:t>has been</w:t>
      </w:r>
      <w:r w:rsidR="00DC2AD4" w:rsidRPr="003524D8">
        <w:rPr>
          <w:rFonts w:cs="Calibri"/>
        </w:rPr>
        <w:t xml:space="preserve">. </w:t>
      </w:r>
      <w:r w:rsidR="00123692" w:rsidRPr="003524D8">
        <w:rPr>
          <w:rFonts w:cs="Calibri"/>
        </w:rPr>
        <w:t xml:space="preserve">However, Student 1 reflects that the process is “the most enjoyable part of the course and you get to see progress every </w:t>
      </w:r>
      <w:r w:rsidR="00123692" w:rsidRPr="003524D8">
        <w:rPr>
          <w:rFonts w:cs="Calibri"/>
        </w:rPr>
        <w:lastRenderedPageBreak/>
        <w:t>week”, and that you “get to see your friends in the class progress”. Being a vocational course, it is the “doing” that he enjoys, rather than ”just reading about it and writing an essay about it”</w:t>
      </w:r>
      <w:r w:rsidR="009C0314" w:rsidRPr="003524D8">
        <w:rPr>
          <w:rFonts w:cs="Calibri"/>
        </w:rPr>
        <w:t xml:space="preserve"> reflecting </w:t>
      </w:r>
      <w:r w:rsidR="001602EB">
        <w:rPr>
          <w:rFonts w:cs="Calibri"/>
        </w:rPr>
        <w:t xml:space="preserve">the work of </w:t>
      </w:r>
      <w:r w:rsidR="009C0314" w:rsidRPr="003524D8">
        <w:rPr>
          <w:rFonts w:eastAsiaTheme="majorEastAsia" w:cs="Calibri"/>
          <w:noProof/>
        </w:rPr>
        <w:t>Fink</w:t>
      </w:r>
      <w:r w:rsidR="009C0314" w:rsidRPr="003524D8">
        <w:rPr>
          <w:rFonts w:cs="Calibri"/>
        </w:rPr>
        <w:t xml:space="preserve"> </w:t>
      </w:r>
      <w:sdt>
        <w:sdtPr>
          <w:rPr>
            <w:rFonts w:eastAsiaTheme="majorEastAsia" w:cs="Calibri"/>
          </w:rPr>
          <w:id w:val="209389824"/>
          <w:citation/>
        </w:sdtPr>
        <w:sdtContent>
          <w:r w:rsidR="009C0314" w:rsidRPr="003524D8">
            <w:rPr>
              <w:rFonts w:eastAsiaTheme="majorEastAsia" w:cs="Calibri"/>
            </w:rPr>
            <w:fldChar w:fldCharType="begin"/>
          </w:r>
          <w:r w:rsidR="009C0314" w:rsidRPr="003524D8">
            <w:rPr>
              <w:rFonts w:eastAsiaTheme="majorEastAsia" w:cs="Calibri"/>
            </w:rPr>
            <w:instrText xml:space="preserve">CITATION Fin24 \n  \l 2057 </w:instrText>
          </w:r>
          <w:r w:rsidR="009C0314" w:rsidRPr="003524D8">
            <w:rPr>
              <w:rFonts w:eastAsiaTheme="majorEastAsia" w:cs="Calibri"/>
            </w:rPr>
            <w:fldChar w:fldCharType="separate"/>
          </w:r>
          <w:r w:rsidR="009C0314" w:rsidRPr="003524D8">
            <w:rPr>
              <w:rFonts w:eastAsiaTheme="majorEastAsia" w:cs="Calibri"/>
              <w:noProof/>
            </w:rPr>
            <w:t>(2024)</w:t>
          </w:r>
          <w:r w:rsidR="009C0314" w:rsidRPr="003524D8">
            <w:rPr>
              <w:rFonts w:eastAsiaTheme="majorEastAsia" w:cs="Calibri"/>
            </w:rPr>
            <w:fldChar w:fldCharType="end"/>
          </w:r>
        </w:sdtContent>
      </w:sdt>
      <w:r w:rsidR="00123692" w:rsidRPr="003524D8">
        <w:rPr>
          <w:rFonts w:cs="Calibri"/>
        </w:rPr>
        <w:t>.</w:t>
      </w:r>
    </w:p>
    <w:p w14:paraId="2A5BC2B4" w14:textId="77777777" w:rsidR="009C0314" w:rsidRDefault="009C0314" w:rsidP="00D835E5">
      <w:pPr>
        <w:rPr>
          <w:rFonts w:cs="Calibri"/>
          <w:highlight w:val="green"/>
        </w:rPr>
      </w:pPr>
    </w:p>
    <w:p w14:paraId="3A9E30C7" w14:textId="1747EDC4" w:rsidR="0027018D" w:rsidRPr="003524D8" w:rsidRDefault="006A6CE4" w:rsidP="00D835E5">
      <w:pPr>
        <w:rPr>
          <w:rFonts w:cs="Calibri"/>
        </w:rPr>
      </w:pPr>
      <w:r w:rsidRPr="003524D8">
        <w:t xml:space="preserve">Bashir et al. </w:t>
      </w:r>
      <w:sdt>
        <w:sdtPr>
          <w:id w:val="-1014458828"/>
          <w:citation/>
        </w:sdtPr>
        <w:sdtContent>
          <w:r w:rsidRPr="003524D8">
            <w:fldChar w:fldCharType="begin"/>
          </w:r>
          <w:r w:rsidRPr="003524D8">
            <w:instrText xml:space="preserve">CITATION Bas23 \n  \l 2057 </w:instrText>
          </w:r>
          <w:r w:rsidRPr="003524D8">
            <w:fldChar w:fldCharType="separate"/>
          </w:r>
          <w:r w:rsidRPr="003524D8">
            <w:rPr>
              <w:noProof/>
            </w:rPr>
            <w:t>(2023)</w:t>
          </w:r>
          <w:r w:rsidRPr="003524D8">
            <w:fldChar w:fldCharType="end"/>
          </w:r>
        </w:sdtContent>
      </w:sdt>
      <w:r w:rsidRPr="003524D8">
        <w:t xml:space="preserve"> highlight that consistent attendance is crucial, as frequent absences can demotivate peers and disrupt success in practical learning settings.</w:t>
      </w:r>
      <w:r w:rsidRPr="003524D8">
        <w:rPr>
          <w:rFonts w:cs="Calibri"/>
        </w:rPr>
        <w:t xml:space="preserve"> </w:t>
      </w:r>
      <w:r w:rsidR="0027018D" w:rsidRPr="003524D8">
        <w:rPr>
          <w:rFonts w:cs="Calibri"/>
        </w:rPr>
        <w:t xml:space="preserve">Tutor 2 acknowledges </w:t>
      </w:r>
      <w:r w:rsidR="00561F45" w:rsidRPr="003524D8">
        <w:rPr>
          <w:rFonts w:cs="Calibri"/>
        </w:rPr>
        <w:t xml:space="preserve">that </w:t>
      </w:r>
      <w:r w:rsidR="0027018D" w:rsidRPr="003524D8">
        <w:rPr>
          <w:rFonts w:cs="Calibri"/>
        </w:rPr>
        <w:t>the challenge</w:t>
      </w:r>
      <w:r w:rsidR="007565DD" w:rsidRPr="003524D8">
        <w:rPr>
          <w:rFonts w:cs="Calibri"/>
        </w:rPr>
        <w:t xml:space="preserve"> of</w:t>
      </w:r>
      <w:r w:rsidR="0027018D" w:rsidRPr="003524D8">
        <w:rPr>
          <w:rFonts w:cs="Calibri"/>
        </w:rPr>
        <w:t xml:space="preserve"> group</w:t>
      </w:r>
      <w:r w:rsidR="007565DD" w:rsidRPr="003524D8">
        <w:rPr>
          <w:rFonts w:cs="Calibri"/>
        </w:rPr>
        <w:t>work</w:t>
      </w:r>
      <w:r w:rsidR="0027018D" w:rsidRPr="003524D8">
        <w:rPr>
          <w:rFonts w:cs="Calibri"/>
        </w:rPr>
        <w:t xml:space="preserve"> is </w:t>
      </w:r>
      <w:r w:rsidR="007565DD" w:rsidRPr="003524D8">
        <w:rPr>
          <w:rFonts w:cs="Calibri"/>
        </w:rPr>
        <w:t>“</w:t>
      </w:r>
      <w:r w:rsidR="0027018D" w:rsidRPr="003524D8">
        <w:rPr>
          <w:rFonts w:cs="Calibri"/>
        </w:rPr>
        <w:t>really difficult</w:t>
      </w:r>
      <w:r w:rsidR="007565DD" w:rsidRPr="003524D8">
        <w:rPr>
          <w:rFonts w:cs="Calibri"/>
        </w:rPr>
        <w:t>”</w:t>
      </w:r>
      <w:r w:rsidR="0027018D" w:rsidRPr="003524D8">
        <w:rPr>
          <w:rFonts w:cs="Calibri"/>
        </w:rPr>
        <w:t xml:space="preserve"> to do when </w:t>
      </w:r>
      <w:r w:rsidR="007565DD" w:rsidRPr="003524D8">
        <w:rPr>
          <w:rFonts w:cs="Calibri"/>
        </w:rPr>
        <w:t>students</w:t>
      </w:r>
      <w:r w:rsidR="0027018D" w:rsidRPr="003524D8">
        <w:rPr>
          <w:rFonts w:cs="Calibri"/>
        </w:rPr>
        <w:t xml:space="preserve"> are missing</w:t>
      </w:r>
      <w:r w:rsidR="007565DD" w:rsidRPr="003524D8">
        <w:rPr>
          <w:rFonts w:cs="Calibri"/>
        </w:rPr>
        <w:t xml:space="preserve">. Her strategy is to discuss it </w:t>
      </w:r>
      <w:r w:rsidR="0027018D" w:rsidRPr="003524D8">
        <w:rPr>
          <w:rFonts w:cs="Calibri"/>
        </w:rPr>
        <w:t>early in the course and</w:t>
      </w:r>
      <w:r w:rsidR="007565DD" w:rsidRPr="003524D8">
        <w:rPr>
          <w:rFonts w:cs="Calibri"/>
        </w:rPr>
        <w:t xml:space="preserve"> explain the need </w:t>
      </w:r>
      <w:r w:rsidR="0027018D" w:rsidRPr="003524D8">
        <w:rPr>
          <w:rFonts w:cs="Calibri"/>
        </w:rPr>
        <w:t>to be responsible because of the nature of the delivery</w:t>
      </w:r>
      <w:r w:rsidR="007565DD" w:rsidRPr="003524D8">
        <w:rPr>
          <w:rFonts w:cs="Calibri"/>
        </w:rPr>
        <w:t xml:space="preserve"> of the course and the consequences the remaining group face</w:t>
      </w:r>
      <w:r w:rsidR="0027018D" w:rsidRPr="003524D8">
        <w:rPr>
          <w:rFonts w:cs="Calibri"/>
        </w:rPr>
        <w:t xml:space="preserve"> when </w:t>
      </w:r>
      <w:r w:rsidR="00561F45" w:rsidRPr="003524D8">
        <w:rPr>
          <w:rFonts w:cs="Calibri"/>
        </w:rPr>
        <w:t>individuals are absent</w:t>
      </w:r>
      <w:r w:rsidR="0027018D" w:rsidRPr="003524D8">
        <w:rPr>
          <w:rFonts w:cs="Calibri"/>
        </w:rPr>
        <w:t xml:space="preserve">. </w:t>
      </w:r>
      <w:r w:rsidR="007565DD" w:rsidRPr="003524D8">
        <w:rPr>
          <w:rFonts w:cs="Calibri"/>
        </w:rPr>
        <w:t>T</w:t>
      </w:r>
      <w:r w:rsidR="0027018D" w:rsidRPr="003524D8">
        <w:rPr>
          <w:rFonts w:cs="Calibri"/>
        </w:rPr>
        <w:t xml:space="preserve">hey </w:t>
      </w:r>
      <w:proofErr w:type="gramStart"/>
      <w:r w:rsidR="0027018D" w:rsidRPr="003524D8">
        <w:rPr>
          <w:rFonts w:cs="Calibri"/>
        </w:rPr>
        <w:t>have to</w:t>
      </w:r>
      <w:proofErr w:type="gramEnd"/>
      <w:r w:rsidR="0027018D" w:rsidRPr="003524D8">
        <w:rPr>
          <w:rFonts w:cs="Calibri"/>
        </w:rPr>
        <w:t xml:space="preserve"> answer</w:t>
      </w:r>
      <w:r w:rsidR="007565DD" w:rsidRPr="003524D8">
        <w:rPr>
          <w:rFonts w:cs="Calibri"/>
        </w:rPr>
        <w:t xml:space="preserve"> the</w:t>
      </w:r>
      <w:r w:rsidR="0027018D" w:rsidRPr="003524D8">
        <w:rPr>
          <w:rFonts w:cs="Calibri"/>
        </w:rPr>
        <w:t xml:space="preserve"> following day or the following week</w:t>
      </w:r>
      <w:r w:rsidR="007565DD" w:rsidRPr="003524D8">
        <w:rPr>
          <w:rFonts w:cs="Calibri"/>
        </w:rPr>
        <w:t xml:space="preserve"> </w:t>
      </w:r>
      <w:r w:rsidR="00561F45" w:rsidRPr="003524D8">
        <w:rPr>
          <w:rFonts w:cs="Calibri"/>
        </w:rPr>
        <w:t xml:space="preserve">as to </w:t>
      </w:r>
      <w:r w:rsidR="007565DD" w:rsidRPr="003524D8">
        <w:rPr>
          <w:rFonts w:cs="Calibri"/>
        </w:rPr>
        <w:t>why</w:t>
      </w:r>
      <w:r w:rsidR="0027018D" w:rsidRPr="003524D8">
        <w:rPr>
          <w:rFonts w:cs="Calibri"/>
        </w:rPr>
        <w:t xml:space="preserve"> that</w:t>
      </w:r>
      <w:r w:rsidR="007565DD" w:rsidRPr="003524D8">
        <w:rPr>
          <w:rFonts w:cs="Calibri"/>
        </w:rPr>
        <w:t xml:space="preserve"> particular</w:t>
      </w:r>
      <w:r w:rsidR="0027018D" w:rsidRPr="003524D8">
        <w:rPr>
          <w:rFonts w:cs="Calibri"/>
        </w:rPr>
        <w:t xml:space="preserve"> group </w:t>
      </w:r>
      <w:r w:rsidR="001D35AB">
        <w:rPr>
          <w:rFonts w:cs="Calibri"/>
        </w:rPr>
        <w:t>we</w:t>
      </w:r>
      <w:r w:rsidR="00561F45" w:rsidRPr="003524D8">
        <w:rPr>
          <w:rFonts w:cs="Calibri"/>
        </w:rPr>
        <w:t>re unable to</w:t>
      </w:r>
      <w:r w:rsidR="0027018D" w:rsidRPr="003524D8">
        <w:rPr>
          <w:rFonts w:cs="Calibri"/>
        </w:rPr>
        <w:t xml:space="preserve"> work because that person</w:t>
      </w:r>
      <w:r w:rsidR="00561F45" w:rsidRPr="003524D8">
        <w:rPr>
          <w:rFonts w:cs="Calibri"/>
        </w:rPr>
        <w:t xml:space="preserve"> </w:t>
      </w:r>
      <w:r w:rsidR="001D35AB">
        <w:rPr>
          <w:rFonts w:cs="Calibri"/>
        </w:rPr>
        <w:t>wa</w:t>
      </w:r>
      <w:r w:rsidR="0027018D" w:rsidRPr="003524D8">
        <w:rPr>
          <w:rFonts w:cs="Calibri"/>
        </w:rPr>
        <w:t xml:space="preserve">s missing. </w:t>
      </w:r>
      <w:r w:rsidR="007565DD" w:rsidRPr="003524D8">
        <w:rPr>
          <w:rFonts w:cs="Calibri"/>
        </w:rPr>
        <w:t xml:space="preserve">Reference </w:t>
      </w:r>
      <w:r w:rsidR="001D35AB">
        <w:rPr>
          <w:rFonts w:cs="Calibri"/>
        </w:rPr>
        <w:t>wa</w:t>
      </w:r>
      <w:r w:rsidR="007565DD" w:rsidRPr="003524D8">
        <w:rPr>
          <w:rFonts w:cs="Calibri"/>
        </w:rPr>
        <w:t xml:space="preserve">s </w:t>
      </w:r>
      <w:r w:rsidR="00561F45" w:rsidRPr="003524D8">
        <w:rPr>
          <w:rFonts w:cs="Calibri"/>
        </w:rPr>
        <w:t xml:space="preserve">also </w:t>
      </w:r>
      <w:r w:rsidR="007565DD" w:rsidRPr="003524D8">
        <w:rPr>
          <w:rFonts w:cs="Calibri"/>
        </w:rPr>
        <w:t xml:space="preserve">made by Tutor 2 to </w:t>
      </w:r>
      <w:r w:rsidR="00E61F14" w:rsidRPr="003524D8">
        <w:rPr>
          <w:rFonts w:cs="Calibri"/>
        </w:rPr>
        <w:t xml:space="preserve">the relationship between the </w:t>
      </w:r>
      <w:r w:rsidR="0027018D" w:rsidRPr="003524D8">
        <w:rPr>
          <w:rFonts w:cs="Calibri"/>
        </w:rPr>
        <w:t xml:space="preserve">Performing Arts </w:t>
      </w:r>
      <w:r w:rsidR="00E61F14" w:rsidRPr="003524D8">
        <w:rPr>
          <w:rFonts w:cs="Calibri"/>
        </w:rPr>
        <w:t>and</w:t>
      </w:r>
      <w:r w:rsidR="0027018D" w:rsidRPr="003524D8">
        <w:rPr>
          <w:rFonts w:cs="Calibri"/>
        </w:rPr>
        <w:t xml:space="preserve"> sport </w:t>
      </w:r>
      <w:r w:rsidR="007565DD" w:rsidRPr="003524D8">
        <w:rPr>
          <w:rFonts w:cs="Calibri"/>
        </w:rPr>
        <w:t>where</w:t>
      </w:r>
      <w:r w:rsidR="00E61F14" w:rsidRPr="003524D8">
        <w:rPr>
          <w:rFonts w:cs="Calibri"/>
        </w:rPr>
        <w:t>,</w:t>
      </w:r>
      <w:r w:rsidR="0027018D" w:rsidRPr="003524D8">
        <w:rPr>
          <w:rFonts w:cs="Calibri"/>
        </w:rPr>
        <w:t xml:space="preserve"> if one person</w:t>
      </w:r>
      <w:r w:rsidR="007565DD" w:rsidRPr="003524D8">
        <w:rPr>
          <w:rFonts w:cs="Calibri"/>
        </w:rPr>
        <w:t xml:space="preserve"> o</w:t>
      </w:r>
      <w:r w:rsidR="0027018D" w:rsidRPr="003524D8">
        <w:rPr>
          <w:rFonts w:cs="Calibri"/>
        </w:rPr>
        <w:t xml:space="preserve">f a team is </w:t>
      </w:r>
      <w:r w:rsidR="00E61F14" w:rsidRPr="003524D8">
        <w:rPr>
          <w:rFonts w:cs="Calibri"/>
        </w:rPr>
        <w:t>not present</w:t>
      </w:r>
      <w:r w:rsidR="0027018D" w:rsidRPr="003524D8">
        <w:rPr>
          <w:rFonts w:cs="Calibri"/>
        </w:rPr>
        <w:t xml:space="preserve">, the team </w:t>
      </w:r>
      <w:r w:rsidR="00E61F14" w:rsidRPr="003524D8">
        <w:rPr>
          <w:rFonts w:cs="Calibri"/>
        </w:rPr>
        <w:t>is unable to</w:t>
      </w:r>
      <w:r w:rsidR="0027018D" w:rsidRPr="003524D8">
        <w:rPr>
          <w:rFonts w:cs="Calibri"/>
        </w:rPr>
        <w:t xml:space="preserve"> play</w:t>
      </w:r>
      <w:r w:rsidR="007565DD" w:rsidRPr="003524D8">
        <w:rPr>
          <w:rFonts w:cs="Calibri"/>
        </w:rPr>
        <w:t xml:space="preserve"> as effectively</w:t>
      </w:r>
      <w:r w:rsidR="0027018D" w:rsidRPr="003524D8">
        <w:rPr>
          <w:rFonts w:cs="Calibri"/>
        </w:rPr>
        <w:t xml:space="preserve">. </w:t>
      </w:r>
      <w:r w:rsidR="003C1C00" w:rsidRPr="003524D8">
        <w:rPr>
          <w:rFonts w:cs="Calibri"/>
        </w:rPr>
        <w:t>When attendance falters for Tutor 1, he speaks to the class or addresses individuals privately to investigate the reasons</w:t>
      </w:r>
      <w:r w:rsidR="001D35AB">
        <w:rPr>
          <w:rFonts w:cs="Calibri"/>
        </w:rPr>
        <w:t>,</w:t>
      </w:r>
      <w:r w:rsidR="003C1C00" w:rsidRPr="003524D8">
        <w:rPr>
          <w:rFonts w:cs="Calibri"/>
        </w:rPr>
        <w:t xml:space="preserve"> as discussed by Skilling et al. </w:t>
      </w:r>
      <w:sdt>
        <w:sdtPr>
          <w:rPr>
            <w:rFonts w:cs="Calibri"/>
          </w:rPr>
          <w:id w:val="1502699307"/>
          <w:citation/>
        </w:sdtPr>
        <w:sdtContent>
          <w:r w:rsidR="003C1C00" w:rsidRPr="003524D8">
            <w:rPr>
              <w:rFonts w:cs="Calibri"/>
            </w:rPr>
            <w:fldChar w:fldCharType="begin"/>
          </w:r>
          <w:r w:rsidR="003C1C00" w:rsidRPr="003524D8">
            <w:rPr>
              <w:rFonts w:cs="Calibri"/>
            </w:rPr>
            <w:instrText xml:space="preserve">CITATION The20 \n  \l 2057 </w:instrText>
          </w:r>
          <w:r w:rsidR="003C1C00" w:rsidRPr="003524D8">
            <w:rPr>
              <w:rFonts w:cs="Calibri"/>
            </w:rPr>
            <w:fldChar w:fldCharType="separate"/>
          </w:r>
          <w:r w:rsidR="003C1C00" w:rsidRPr="003524D8">
            <w:rPr>
              <w:rFonts w:cs="Calibri"/>
            </w:rPr>
            <w:t>(2020)</w:t>
          </w:r>
          <w:r w:rsidR="003C1C00" w:rsidRPr="003524D8">
            <w:rPr>
              <w:rFonts w:cs="Calibri"/>
            </w:rPr>
            <w:fldChar w:fldCharType="end"/>
          </w:r>
        </w:sdtContent>
      </w:sdt>
      <w:r w:rsidR="003C1C00" w:rsidRPr="003524D8">
        <w:rPr>
          <w:rFonts w:cs="Calibri"/>
        </w:rPr>
        <w:t>.</w:t>
      </w:r>
    </w:p>
    <w:p w14:paraId="202E412B" w14:textId="61C20A4C" w:rsidR="0027018D" w:rsidRPr="003524D8" w:rsidRDefault="0027018D" w:rsidP="00D835E5">
      <w:pPr>
        <w:rPr>
          <w:rFonts w:cs="Calibri"/>
        </w:rPr>
      </w:pPr>
    </w:p>
    <w:p w14:paraId="32D0D2FD" w14:textId="4A6A9956" w:rsidR="0027018D" w:rsidRPr="003524D8" w:rsidRDefault="003524D8" w:rsidP="008E0178">
      <w:pPr>
        <w:pStyle w:val="Heading2"/>
      </w:pPr>
      <w:bookmarkStart w:id="23" w:name="_Toc185674572"/>
      <w:r>
        <w:t xml:space="preserve">4.5 </w:t>
      </w:r>
      <w:r w:rsidR="007565DD" w:rsidRPr="003524D8">
        <w:t>RESOURCES</w:t>
      </w:r>
      <w:bookmarkEnd w:id="23"/>
    </w:p>
    <w:p w14:paraId="73E28A7B" w14:textId="6185409A" w:rsidR="00AA5931" w:rsidRPr="003524D8" w:rsidRDefault="00BF71FE" w:rsidP="00D835E5">
      <w:pPr>
        <w:rPr>
          <w:rFonts w:cs="Calibri"/>
        </w:rPr>
      </w:pPr>
      <w:r w:rsidRPr="003524D8">
        <w:rPr>
          <w:rFonts w:cs="Calibri"/>
          <w:noProof/>
        </w:rPr>
        <w:t>Selwyn</w:t>
      </w:r>
      <w:r w:rsidRPr="003524D8">
        <w:rPr>
          <w:rFonts w:cs="Calibri"/>
        </w:rPr>
        <w:t xml:space="preserve"> </w:t>
      </w:r>
      <w:sdt>
        <w:sdtPr>
          <w:rPr>
            <w:rFonts w:cs="Calibri"/>
          </w:rPr>
          <w:id w:val="-693759661"/>
          <w:citation/>
        </w:sdtPr>
        <w:sdtContent>
          <w:r w:rsidRPr="003524D8">
            <w:rPr>
              <w:rFonts w:cs="Calibri"/>
            </w:rPr>
            <w:fldChar w:fldCharType="begin"/>
          </w:r>
          <w:r w:rsidRPr="003524D8">
            <w:rPr>
              <w:rFonts w:cs="Calibri"/>
            </w:rPr>
            <w:instrText xml:space="preserve">CITATION Sel16 \n  \l 2057 </w:instrText>
          </w:r>
          <w:r w:rsidRPr="003524D8">
            <w:rPr>
              <w:rFonts w:cs="Calibri"/>
            </w:rPr>
            <w:fldChar w:fldCharType="separate"/>
          </w:r>
          <w:r w:rsidRPr="003524D8">
            <w:rPr>
              <w:rFonts w:cs="Calibri"/>
              <w:noProof/>
            </w:rPr>
            <w:t>(2016)</w:t>
          </w:r>
          <w:r w:rsidRPr="003524D8">
            <w:rPr>
              <w:rFonts w:cs="Calibri"/>
            </w:rPr>
            <w:fldChar w:fldCharType="end"/>
          </w:r>
        </w:sdtContent>
      </w:sdt>
      <w:r w:rsidRPr="003524D8">
        <w:rPr>
          <w:rFonts w:cs="Calibri"/>
        </w:rPr>
        <w:t xml:space="preserve"> states that </w:t>
      </w:r>
      <w:r w:rsidRPr="003524D8">
        <w:t xml:space="preserve">educational settings increasingly rely on digital equipment for engaging students and delivering content, and when the technology does not operate correctly, the learning experience of students is “significantly hindered”. </w:t>
      </w:r>
      <w:r w:rsidR="007565DD" w:rsidRPr="003524D8">
        <w:rPr>
          <w:rFonts w:cs="Calibri"/>
        </w:rPr>
        <w:t xml:space="preserve">Tutor 1 reflects </w:t>
      </w:r>
      <w:r w:rsidRPr="003524D8">
        <w:rPr>
          <w:rFonts w:cs="Calibri"/>
        </w:rPr>
        <w:t>when teaching</w:t>
      </w:r>
      <w:r w:rsidR="007565DD" w:rsidRPr="003524D8">
        <w:rPr>
          <w:rFonts w:cs="Calibri"/>
        </w:rPr>
        <w:t xml:space="preserve"> digital skills</w:t>
      </w:r>
      <w:r w:rsidR="001D35AB">
        <w:rPr>
          <w:rFonts w:cs="Calibri"/>
        </w:rPr>
        <w:t>,</w:t>
      </w:r>
      <w:r w:rsidR="007565DD" w:rsidRPr="003524D8">
        <w:rPr>
          <w:rFonts w:cs="Calibri"/>
        </w:rPr>
        <w:t xml:space="preserve"> i.e. composing through Sibelius or using Logic for music production</w:t>
      </w:r>
      <w:r w:rsidRPr="003524D8">
        <w:rPr>
          <w:rFonts w:cs="Calibri"/>
        </w:rPr>
        <w:t xml:space="preserve">, equipment </w:t>
      </w:r>
      <w:r w:rsidR="00AA5931" w:rsidRPr="003524D8">
        <w:rPr>
          <w:rFonts w:cs="Calibri"/>
        </w:rPr>
        <w:t>“</w:t>
      </w:r>
      <w:r w:rsidR="007565DD" w:rsidRPr="003524D8">
        <w:rPr>
          <w:rFonts w:cs="Calibri"/>
        </w:rPr>
        <w:t>doesn’t work</w:t>
      </w:r>
      <w:r w:rsidR="00AA5931" w:rsidRPr="003524D8">
        <w:rPr>
          <w:rFonts w:cs="Calibri"/>
        </w:rPr>
        <w:t>”</w:t>
      </w:r>
      <w:r w:rsidR="007565DD" w:rsidRPr="003524D8">
        <w:rPr>
          <w:rFonts w:cs="Calibri"/>
        </w:rPr>
        <w:t>.</w:t>
      </w:r>
      <w:r w:rsidR="00AA5931" w:rsidRPr="003524D8">
        <w:rPr>
          <w:rFonts w:cs="Calibri"/>
        </w:rPr>
        <w:t xml:space="preserve"> He would like to “enhance the learning experience for them, but funding is </w:t>
      </w:r>
      <w:r w:rsidR="00AA5931" w:rsidRPr="003524D8">
        <w:rPr>
          <w:rFonts w:cs="Calibri"/>
          <w:i/>
          <w:iCs/>
        </w:rPr>
        <w:t>always</w:t>
      </w:r>
      <w:r w:rsidR="00AA5931" w:rsidRPr="003524D8">
        <w:rPr>
          <w:rFonts w:cs="Calibri"/>
        </w:rPr>
        <w:t xml:space="preserve"> an issue”. Tutor 2 reveals </w:t>
      </w:r>
      <w:r w:rsidR="00E61F14" w:rsidRPr="003524D8">
        <w:rPr>
          <w:rFonts w:cs="Calibri"/>
        </w:rPr>
        <w:t xml:space="preserve">that </w:t>
      </w:r>
      <w:r w:rsidR="00AA5931" w:rsidRPr="003524D8">
        <w:rPr>
          <w:rFonts w:cs="Calibri"/>
        </w:rPr>
        <w:t>there is not a dedicated computer room for Performing Arts students. Much of her delivery takes place in the theatre which means</w:t>
      </w:r>
      <w:r w:rsidR="00E61F14" w:rsidRPr="003524D8">
        <w:rPr>
          <w:rFonts w:cs="Calibri"/>
        </w:rPr>
        <w:t xml:space="preserve"> that</w:t>
      </w:r>
      <w:r w:rsidR="00AA5931" w:rsidRPr="003524D8">
        <w:rPr>
          <w:rFonts w:cs="Calibri"/>
        </w:rPr>
        <w:t xml:space="preserve"> delivering to a standard she wants to meet in theory sessions or tutorials is unrealistic.</w:t>
      </w:r>
      <w:r w:rsidR="00C464FF" w:rsidRPr="003524D8">
        <w:rPr>
          <w:rFonts w:cs="Calibri"/>
        </w:rPr>
        <w:t xml:space="preserve"> </w:t>
      </w:r>
      <w:r w:rsidR="00AA5931" w:rsidRPr="003524D8">
        <w:rPr>
          <w:rFonts w:cs="Calibri"/>
        </w:rPr>
        <w:t>From Student 1’s perspective</w:t>
      </w:r>
      <w:r w:rsidR="007D03B7" w:rsidRPr="003524D8">
        <w:rPr>
          <w:rFonts w:cs="Calibri"/>
        </w:rPr>
        <w:t xml:space="preserve">, </w:t>
      </w:r>
      <w:r w:rsidR="00E61F14" w:rsidRPr="003524D8">
        <w:rPr>
          <w:rFonts w:cs="Calibri"/>
        </w:rPr>
        <w:t xml:space="preserve">he </w:t>
      </w:r>
      <w:r w:rsidR="007D03B7" w:rsidRPr="003524D8">
        <w:rPr>
          <w:rFonts w:cs="Calibri"/>
        </w:rPr>
        <w:t>acknowledge</w:t>
      </w:r>
      <w:r w:rsidR="001D35AB">
        <w:rPr>
          <w:rFonts w:cs="Calibri"/>
        </w:rPr>
        <w:t>s</w:t>
      </w:r>
      <w:r w:rsidR="007D03B7" w:rsidRPr="003524D8">
        <w:rPr>
          <w:rFonts w:cs="Calibri"/>
        </w:rPr>
        <w:t xml:space="preserve"> </w:t>
      </w:r>
      <w:r w:rsidR="00E61F14" w:rsidRPr="003524D8">
        <w:rPr>
          <w:rFonts w:cs="Calibri"/>
        </w:rPr>
        <w:t xml:space="preserve">that </w:t>
      </w:r>
      <w:r w:rsidR="007D03B7" w:rsidRPr="003524D8">
        <w:rPr>
          <w:rFonts w:cs="Calibri"/>
        </w:rPr>
        <w:t xml:space="preserve">the </w:t>
      </w:r>
      <w:r w:rsidR="00E61F14" w:rsidRPr="003524D8">
        <w:rPr>
          <w:rFonts w:cs="Calibri"/>
        </w:rPr>
        <w:t xml:space="preserve">smaller </w:t>
      </w:r>
      <w:r w:rsidR="007D03B7" w:rsidRPr="003524D8">
        <w:rPr>
          <w:rFonts w:cs="Calibri"/>
        </w:rPr>
        <w:t>class</w:t>
      </w:r>
      <w:r w:rsidR="00AA5931" w:rsidRPr="003524D8">
        <w:rPr>
          <w:rFonts w:cs="Calibri"/>
        </w:rPr>
        <w:t xml:space="preserve"> size </w:t>
      </w:r>
      <w:r w:rsidR="00E61F14" w:rsidRPr="003524D8">
        <w:rPr>
          <w:rFonts w:cs="Calibri"/>
        </w:rPr>
        <w:t>means that</w:t>
      </w:r>
      <w:r w:rsidR="007D03B7" w:rsidRPr="003524D8">
        <w:rPr>
          <w:rFonts w:cs="Calibri"/>
        </w:rPr>
        <w:t xml:space="preserve"> accessing </w:t>
      </w:r>
      <w:r w:rsidR="00AA5931" w:rsidRPr="003524D8">
        <w:rPr>
          <w:rFonts w:cs="Calibri"/>
        </w:rPr>
        <w:t>computers for th</w:t>
      </w:r>
      <w:r w:rsidR="007D03B7" w:rsidRPr="003524D8">
        <w:rPr>
          <w:rFonts w:cs="Calibri"/>
        </w:rPr>
        <w:t>e</w:t>
      </w:r>
      <w:r w:rsidR="00AA5931" w:rsidRPr="003524D8">
        <w:rPr>
          <w:rFonts w:cs="Calibri"/>
        </w:rPr>
        <w:t xml:space="preserve"> </w:t>
      </w:r>
      <w:r w:rsidR="007D03B7" w:rsidRPr="003524D8">
        <w:rPr>
          <w:rFonts w:cs="Calibri"/>
        </w:rPr>
        <w:t xml:space="preserve">music </w:t>
      </w:r>
      <w:r w:rsidR="00AA5931" w:rsidRPr="003524D8">
        <w:rPr>
          <w:rFonts w:cs="Calibri"/>
        </w:rPr>
        <w:t xml:space="preserve">course is a </w:t>
      </w:r>
      <w:r w:rsidR="007D03B7" w:rsidRPr="003524D8">
        <w:rPr>
          <w:rFonts w:cs="Calibri"/>
        </w:rPr>
        <w:t>“</w:t>
      </w:r>
      <w:r w:rsidR="00AA5931" w:rsidRPr="003524D8">
        <w:rPr>
          <w:rFonts w:cs="Calibri"/>
        </w:rPr>
        <w:t>massive help</w:t>
      </w:r>
      <w:r w:rsidR="007D03B7" w:rsidRPr="003524D8">
        <w:rPr>
          <w:rFonts w:cs="Calibri"/>
        </w:rPr>
        <w:t>”</w:t>
      </w:r>
      <w:r w:rsidR="00AA5931" w:rsidRPr="003524D8">
        <w:rPr>
          <w:rFonts w:cs="Calibri"/>
        </w:rPr>
        <w:t xml:space="preserve">. </w:t>
      </w:r>
      <w:r w:rsidR="007D03B7" w:rsidRPr="003524D8">
        <w:rPr>
          <w:rFonts w:cs="Calibri"/>
        </w:rPr>
        <w:t xml:space="preserve">He enjoys </w:t>
      </w:r>
      <w:r w:rsidR="00AA5931" w:rsidRPr="003524D8">
        <w:rPr>
          <w:rFonts w:cs="Calibri"/>
        </w:rPr>
        <w:t>using TEAMS to share work</w:t>
      </w:r>
      <w:r w:rsidR="007D03B7" w:rsidRPr="003524D8">
        <w:rPr>
          <w:rFonts w:cs="Calibri"/>
        </w:rPr>
        <w:t xml:space="preserve"> with the class</w:t>
      </w:r>
      <w:r w:rsidR="00AA5931" w:rsidRPr="003524D8">
        <w:rPr>
          <w:rFonts w:cs="Calibri"/>
        </w:rPr>
        <w:t>,</w:t>
      </w:r>
      <w:r w:rsidR="007D03B7" w:rsidRPr="003524D8">
        <w:rPr>
          <w:rFonts w:cs="Calibri"/>
        </w:rPr>
        <w:t xml:space="preserve"> including</w:t>
      </w:r>
      <w:r w:rsidR="00E61F14" w:rsidRPr="003524D8">
        <w:rPr>
          <w:rFonts w:cs="Calibri"/>
        </w:rPr>
        <w:t xml:space="preserve"> laying down</w:t>
      </w:r>
      <w:r w:rsidR="00AA5931" w:rsidRPr="003524D8">
        <w:rPr>
          <w:rFonts w:cs="Calibri"/>
        </w:rPr>
        <w:t xml:space="preserve"> tracks</w:t>
      </w:r>
      <w:r w:rsidR="00E61F14" w:rsidRPr="003524D8">
        <w:rPr>
          <w:rFonts w:cs="Calibri"/>
        </w:rPr>
        <w:t xml:space="preserve">, </w:t>
      </w:r>
      <w:r w:rsidR="007D03B7" w:rsidRPr="003524D8">
        <w:rPr>
          <w:rFonts w:cs="Calibri"/>
        </w:rPr>
        <w:t>produc</w:t>
      </w:r>
      <w:r w:rsidR="00E61F14" w:rsidRPr="003524D8">
        <w:rPr>
          <w:rFonts w:cs="Calibri"/>
        </w:rPr>
        <w:t>ing</w:t>
      </w:r>
      <w:r w:rsidR="00AA5931" w:rsidRPr="003524D8">
        <w:rPr>
          <w:rFonts w:cs="Calibri"/>
        </w:rPr>
        <w:t xml:space="preserve"> videos </w:t>
      </w:r>
      <w:r w:rsidR="007D03B7" w:rsidRPr="003524D8">
        <w:rPr>
          <w:rFonts w:cs="Calibri"/>
        </w:rPr>
        <w:t>on</w:t>
      </w:r>
      <w:r w:rsidR="00AA5931" w:rsidRPr="003524D8">
        <w:rPr>
          <w:rFonts w:cs="Calibri"/>
        </w:rPr>
        <w:t xml:space="preserve"> YouTube </w:t>
      </w:r>
      <w:r w:rsidR="007D03B7" w:rsidRPr="003524D8">
        <w:rPr>
          <w:rFonts w:cs="Calibri"/>
        </w:rPr>
        <w:t xml:space="preserve">or </w:t>
      </w:r>
      <w:r w:rsidR="00AA5931" w:rsidRPr="003524D8">
        <w:rPr>
          <w:rFonts w:cs="Calibri"/>
        </w:rPr>
        <w:t xml:space="preserve">composition. </w:t>
      </w:r>
      <w:r w:rsidR="007D03B7" w:rsidRPr="003524D8">
        <w:rPr>
          <w:rFonts w:cs="Calibri"/>
        </w:rPr>
        <w:t xml:space="preserve">He feels, unlike </w:t>
      </w:r>
      <w:r w:rsidR="007D03B7" w:rsidRPr="003524D8">
        <w:rPr>
          <w:rFonts w:cs="Calibri"/>
        </w:rPr>
        <w:lastRenderedPageBreak/>
        <w:t xml:space="preserve">Tutor 1, that </w:t>
      </w:r>
      <w:r w:rsidR="00AA5931" w:rsidRPr="003524D8">
        <w:rPr>
          <w:rFonts w:cs="Calibri"/>
        </w:rPr>
        <w:t xml:space="preserve">the quality of equipment </w:t>
      </w:r>
      <w:r w:rsidR="00E61F14" w:rsidRPr="003524D8">
        <w:rPr>
          <w:rFonts w:cs="Calibri"/>
        </w:rPr>
        <w:t>the college has</w:t>
      </w:r>
      <w:r w:rsidR="00AA5931" w:rsidRPr="003524D8">
        <w:rPr>
          <w:rFonts w:cs="Calibri"/>
        </w:rPr>
        <w:t xml:space="preserve"> is up to date</w:t>
      </w:r>
      <w:r w:rsidR="007D03B7" w:rsidRPr="003524D8">
        <w:rPr>
          <w:rFonts w:cs="Calibri"/>
        </w:rPr>
        <w:t xml:space="preserve"> and that t</w:t>
      </w:r>
      <w:r w:rsidR="00AA5931" w:rsidRPr="003524D8">
        <w:rPr>
          <w:rFonts w:cs="Calibri"/>
        </w:rPr>
        <w:t>he computers run relatively quick</w:t>
      </w:r>
      <w:r w:rsidR="007D03B7" w:rsidRPr="003524D8">
        <w:rPr>
          <w:rFonts w:cs="Calibri"/>
        </w:rPr>
        <w:t>ly</w:t>
      </w:r>
      <w:r w:rsidR="00AA5931" w:rsidRPr="003524D8">
        <w:rPr>
          <w:rFonts w:cs="Calibri"/>
        </w:rPr>
        <w:t xml:space="preserve">. The recording studio </w:t>
      </w:r>
      <w:r w:rsidR="007D03B7" w:rsidRPr="003524D8">
        <w:rPr>
          <w:rFonts w:cs="Calibri"/>
        </w:rPr>
        <w:t>being</w:t>
      </w:r>
      <w:r w:rsidR="00AA5931" w:rsidRPr="003524D8">
        <w:rPr>
          <w:rFonts w:cs="Calibri"/>
        </w:rPr>
        <w:t xml:space="preserve"> well equipped</w:t>
      </w:r>
      <w:r w:rsidR="007D03B7" w:rsidRPr="003524D8">
        <w:rPr>
          <w:rFonts w:cs="Calibri"/>
        </w:rPr>
        <w:t xml:space="preserve"> is discussed, having “</w:t>
      </w:r>
      <w:r w:rsidR="00AA5931" w:rsidRPr="003524D8">
        <w:rPr>
          <w:rFonts w:cs="Calibri"/>
        </w:rPr>
        <w:t>drums, guitars, pianos and everything</w:t>
      </w:r>
      <w:r w:rsidR="007D03B7" w:rsidRPr="003524D8">
        <w:rPr>
          <w:rFonts w:cs="Calibri"/>
        </w:rPr>
        <w:t>”</w:t>
      </w:r>
      <w:r w:rsidR="00AA5931" w:rsidRPr="003524D8">
        <w:rPr>
          <w:rFonts w:cs="Calibri"/>
        </w:rPr>
        <w:t>.</w:t>
      </w:r>
      <w:r w:rsidR="007D03B7" w:rsidRPr="003524D8">
        <w:rPr>
          <w:rFonts w:cs="Calibri"/>
        </w:rPr>
        <w:t xml:space="preserve"> Tutor 1 believes</w:t>
      </w:r>
      <w:r w:rsidR="00E61F14" w:rsidRPr="003524D8">
        <w:rPr>
          <w:rFonts w:cs="Calibri"/>
        </w:rPr>
        <w:t>,</w:t>
      </w:r>
      <w:r w:rsidR="007D03B7" w:rsidRPr="003524D8">
        <w:rPr>
          <w:rFonts w:cs="Calibri"/>
        </w:rPr>
        <w:t xml:space="preserve"> however</w:t>
      </w:r>
      <w:r w:rsidR="00E61F14" w:rsidRPr="003524D8">
        <w:rPr>
          <w:rFonts w:cs="Calibri"/>
        </w:rPr>
        <w:t>,</w:t>
      </w:r>
      <w:r w:rsidR="007D03B7" w:rsidRPr="003524D8">
        <w:rPr>
          <w:rFonts w:cs="Calibri"/>
        </w:rPr>
        <w:t xml:space="preserve"> that there is “a lack of space here which is a big problem” and that</w:t>
      </w:r>
      <w:r w:rsidR="00E61F14" w:rsidRPr="003524D8">
        <w:rPr>
          <w:rFonts w:cs="Calibri"/>
        </w:rPr>
        <w:t>,</w:t>
      </w:r>
      <w:r w:rsidR="007D03B7" w:rsidRPr="003524D8">
        <w:rPr>
          <w:rFonts w:cs="Calibri"/>
        </w:rPr>
        <w:t xml:space="preserve"> while there may be enough amplifiers, there is a definite need for “more guitars and possibly more drums and backline as well in certain areas” to facilitate things better.</w:t>
      </w:r>
      <w:r w:rsidR="00C464FF" w:rsidRPr="003524D8">
        <w:rPr>
          <w:rFonts w:cs="Calibri"/>
        </w:rPr>
        <w:t xml:space="preserve"> He also reflects </w:t>
      </w:r>
      <w:r w:rsidR="00E61F14" w:rsidRPr="003524D8">
        <w:rPr>
          <w:rFonts w:cs="Calibri"/>
        </w:rPr>
        <w:t>on</w:t>
      </w:r>
      <w:r w:rsidR="00C464FF" w:rsidRPr="003524D8">
        <w:rPr>
          <w:rFonts w:cs="Calibri"/>
        </w:rPr>
        <w:t xml:space="preserve"> where the course needs a “big, big revamp”</w:t>
      </w:r>
      <w:r w:rsidR="00E61F14" w:rsidRPr="003524D8">
        <w:rPr>
          <w:rFonts w:cs="Calibri"/>
        </w:rPr>
        <w:t xml:space="preserve"> as</w:t>
      </w:r>
      <w:r w:rsidR="00C464FF" w:rsidRPr="003524D8">
        <w:rPr>
          <w:rFonts w:cs="Calibri"/>
        </w:rPr>
        <w:t>, aesthetically, the fabric of the building is “really crumbling”.</w:t>
      </w:r>
      <w:r w:rsidR="00A94520" w:rsidRPr="003524D8">
        <w:rPr>
          <w:rFonts w:cs="Calibri"/>
        </w:rPr>
        <w:t xml:space="preserve"> </w:t>
      </w:r>
      <w:r w:rsidR="00A94520" w:rsidRPr="003524D8">
        <w:rPr>
          <w:rFonts w:cs="Calibri"/>
          <w:noProof/>
        </w:rPr>
        <w:t>Durán-Narucki</w:t>
      </w:r>
      <w:r w:rsidR="00C464FF" w:rsidRPr="003524D8">
        <w:rPr>
          <w:rFonts w:cs="Calibri"/>
        </w:rPr>
        <w:t xml:space="preserve"> </w:t>
      </w:r>
      <w:sdt>
        <w:sdtPr>
          <w:rPr>
            <w:rFonts w:cs="Calibri"/>
          </w:rPr>
          <w:id w:val="99770906"/>
          <w:citation/>
        </w:sdtPr>
        <w:sdtContent>
          <w:r w:rsidR="00A94520" w:rsidRPr="003524D8">
            <w:rPr>
              <w:rFonts w:cs="Calibri"/>
            </w:rPr>
            <w:fldChar w:fldCharType="begin"/>
          </w:r>
          <w:r w:rsidR="00A94520" w:rsidRPr="003524D8">
            <w:rPr>
              <w:rFonts w:cs="Calibri"/>
            </w:rPr>
            <w:instrText xml:space="preserve">CITATION Dur18 \n  \l 2057 </w:instrText>
          </w:r>
          <w:r w:rsidR="00A94520" w:rsidRPr="003524D8">
            <w:rPr>
              <w:rFonts w:cs="Calibri"/>
            </w:rPr>
            <w:fldChar w:fldCharType="separate"/>
          </w:r>
          <w:r w:rsidR="00A94520" w:rsidRPr="003524D8">
            <w:rPr>
              <w:rFonts w:cs="Calibri"/>
              <w:noProof/>
            </w:rPr>
            <w:t>(2018)</w:t>
          </w:r>
          <w:r w:rsidR="00A94520" w:rsidRPr="003524D8">
            <w:rPr>
              <w:rFonts w:cs="Calibri"/>
            </w:rPr>
            <w:fldChar w:fldCharType="end"/>
          </w:r>
        </w:sdtContent>
      </w:sdt>
      <w:r w:rsidR="00A94520" w:rsidRPr="003524D8">
        <w:rPr>
          <w:rFonts w:cs="Calibri"/>
        </w:rPr>
        <w:t xml:space="preserve"> acknowledges</w:t>
      </w:r>
      <w:r w:rsidR="001D35AB">
        <w:rPr>
          <w:rFonts w:cs="Calibri"/>
        </w:rPr>
        <w:t xml:space="preserve"> that</w:t>
      </w:r>
      <w:r w:rsidR="00A94520" w:rsidRPr="003524D8">
        <w:rPr>
          <w:rFonts w:cs="Calibri"/>
        </w:rPr>
        <w:t xml:space="preserve"> learning does not take place as effectively </w:t>
      </w:r>
      <w:r w:rsidR="001D35AB">
        <w:rPr>
          <w:rFonts w:cs="Calibri"/>
        </w:rPr>
        <w:t>in an environment of</w:t>
      </w:r>
      <w:r w:rsidR="00A94520" w:rsidRPr="003524D8">
        <w:rPr>
          <w:rFonts w:cs="Calibri"/>
        </w:rPr>
        <w:t xml:space="preserve"> </w:t>
      </w:r>
      <w:r w:rsidR="00A94520" w:rsidRPr="003524D8">
        <w:t>discomfort, distractions and safety concerns</w:t>
      </w:r>
      <w:r w:rsidR="001D35AB">
        <w:t xml:space="preserve">. </w:t>
      </w:r>
      <w:r w:rsidR="00A94520" w:rsidRPr="003524D8">
        <w:t>Tutor 1 compares</w:t>
      </w:r>
      <w:r w:rsidR="00C464FF" w:rsidRPr="003524D8">
        <w:rPr>
          <w:rFonts w:cs="Calibri"/>
        </w:rPr>
        <w:t xml:space="preserve"> his teaching environment built in the 1980’s and other Blocks</w:t>
      </w:r>
      <w:r w:rsidR="001D35AB">
        <w:rPr>
          <w:rFonts w:cs="Calibri"/>
        </w:rPr>
        <w:t xml:space="preserve"> in the FEI</w:t>
      </w:r>
      <w:r w:rsidR="00C464FF" w:rsidRPr="003524D8">
        <w:rPr>
          <w:rFonts w:cs="Calibri"/>
        </w:rPr>
        <w:t xml:space="preserve"> which were built more recently and have</w:t>
      </w:r>
      <w:r w:rsidR="001D35AB">
        <w:rPr>
          <w:rFonts w:cs="Calibri"/>
        </w:rPr>
        <w:t xml:space="preserve"> since</w:t>
      </w:r>
      <w:r w:rsidR="00C464FF" w:rsidRPr="003524D8">
        <w:rPr>
          <w:rFonts w:cs="Calibri"/>
        </w:rPr>
        <w:t xml:space="preserve"> </w:t>
      </w:r>
      <w:r w:rsidR="00E61F14" w:rsidRPr="003524D8">
        <w:rPr>
          <w:rFonts w:cs="Calibri"/>
        </w:rPr>
        <w:t>received</w:t>
      </w:r>
      <w:r w:rsidR="00C464FF" w:rsidRPr="003524D8">
        <w:rPr>
          <w:rFonts w:cs="Calibri"/>
        </w:rPr>
        <w:t xml:space="preserve"> makeovers. </w:t>
      </w:r>
      <w:r w:rsidR="00A94520" w:rsidRPr="003524D8">
        <w:rPr>
          <w:rFonts w:cs="Calibri"/>
        </w:rPr>
        <w:t>T</w:t>
      </w:r>
      <w:r w:rsidR="00C464FF" w:rsidRPr="003524D8">
        <w:rPr>
          <w:rFonts w:cs="Calibri"/>
        </w:rPr>
        <w:t>he newer blocks have a “completely different atmosphere” and that “the students notice too”. Frustrat</w:t>
      </w:r>
      <w:r w:rsidR="001D35AB">
        <w:rPr>
          <w:rFonts w:cs="Calibri"/>
        </w:rPr>
        <w:t>ed,</w:t>
      </w:r>
      <w:r w:rsidR="00C464FF" w:rsidRPr="003524D8">
        <w:rPr>
          <w:rFonts w:cs="Calibri"/>
        </w:rPr>
        <w:t xml:space="preserve"> he concludes that “it doesn't show what we do here. It really doesn't reflect how seriously we all take it”.</w:t>
      </w:r>
    </w:p>
    <w:p w14:paraId="2930012A" w14:textId="20BB4C83" w:rsidR="00E20C6C" w:rsidRPr="003524D8" w:rsidRDefault="00E20C6C" w:rsidP="00D835E5">
      <w:pPr>
        <w:spacing w:after="160"/>
        <w:rPr>
          <w:rFonts w:cs="Calibri"/>
        </w:rPr>
      </w:pPr>
    </w:p>
    <w:p w14:paraId="5A980539" w14:textId="2F59D7EE" w:rsidR="009C0446" w:rsidRPr="003524D8" w:rsidRDefault="003524D8" w:rsidP="008E0178">
      <w:pPr>
        <w:pStyle w:val="Heading2"/>
      </w:pPr>
      <w:bookmarkStart w:id="24" w:name="_Toc185674573"/>
      <w:r>
        <w:t xml:space="preserve">4.6 </w:t>
      </w:r>
      <w:r w:rsidR="00C464FF" w:rsidRPr="003524D8">
        <w:t xml:space="preserve">COURSE MANAGEMENT </w:t>
      </w:r>
      <w:r w:rsidR="009C0446" w:rsidRPr="003524D8">
        <w:t>&amp; TIMETABLE</w:t>
      </w:r>
      <w:bookmarkEnd w:id="24"/>
    </w:p>
    <w:p w14:paraId="6A9FC8BD" w14:textId="372B51C4" w:rsidR="00F25092" w:rsidRPr="003524D8" w:rsidRDefault="00755432" w:rsidP="00EF69C3">
      <w:pPr>
        <w:rPr>
          <w:rFonts w:cs="Calibri"/>
        </w:rPr>
      </w:pPr>
      <w:r w:rsidRPr="003524D8">
        <w:rPr>
          <w:rFonts w:cs="Calibri"/>
        </w:rPr>
        <w:t xml:space="preserve">The discussions with the tutors reveal a significant concern regarding the creation of a supportive, student-centred environment for Level 2 vocational students. </w:t>
      </w:r>
      <w:r w:rsidR="009F2C2B" w:rsidRPr="003524D8">
        <w:rPr>
          <w:rFonts w:cs="Calibri"/>
        </w:rPr>
        <w:t xml:space="preserve">Agreeing with </w:t>
      </w:r>
      <w:r w:rsidR="009F2C2B" w:rsidRPr="003524D8">
        <w:rPr>
          <w:rFonts w:cs="Calibri"/>
          <w:noProof/>
        </w:rPr>
        <w:t>Huddleston &amp; Unwin</w:t>
      </w:r>
      <w:r w:rsidR="009F2C2B" w:rsidRPr="003524D8">
        <w:rPr>
          <w:rFonts w:cs="Calibri"/>
        </w:rPr>
        <w:t xml:space="preserve"> </w:t>
      </w:r>
      <w:sdt>
        <w:sdtPr>
          <w:rPr>
            <w:rFonts w:cs="Calibri"/>
          </w:rPr>
          <w:id w:val="-1665772260"/>
          <w:citation/>
        </w:sdtPr>
        <w:sdtContent>
          <w:r w:rsidR="009F2C2B" w:rsidRPr="003524D8">
            <w:rPr>
              <w:rFonts w:cs="Calibri"/>
            </w:rPr>
            <w:fldChar w:fldCharType="begin"/>
          </w:r>
          <w:r w:rsidR="009F2C2B" w:rsidRPr="003524D8">
            <w:rPr>
              <w:rFonts w:cs="Calibri"/>
            </w:rPr>
            <w:instrText xml:space="preserve">CITATION Hud241 \n  \l 2057 </w:instrText>
          </w:r>
          <w:r w:rsidR="009F2C2B" w:rsidRPr="003524D8">
            <w:rPr>
              <w:rFonts w:cs="Calibri"/>
            </w:rPr>
            <w:fldChar w:fldCharType="separate"/>
          </w:r>
          <w:r w:rsidR="009F2C2B" w:rsidRPr="003524D8">
            <w:rPr>
              <w:rFonts w:cs="Calibri"/>
              <w:noProof/>
            </w:rPr>
            <w:t>(2024)</w:t>
          </w:r>
          <w:r w:rsidR="009F2C2B" w:rsidRPr="003524D8">
            <w:rPr>
              <w:rFonts w:cs="Calibri"/>
            </w:rPr>
            <w:fldChar w:fldCharType="end"/>
          </w:r>
        </w:sdtContent>
      </w:sdt>
      <w:r w:rsidR="009F2C2B" w:rsidRPr="003524D8">
        <w:rPr>
          <w:rFonts w:cs="Calibri"/>
        </w:rPr>
        <w:t xml:space="preserve">, </w:t>
      </w:r>
      <w:r w:rsidR="009C0446" w:rsidRPr="003524D8">
        <w:rPr>
          <w:rFonts w:cs="Calibri"/>
        </w:rPr>
        <w:t>Tutor 2 reveals the importance for Level 2 students to have a ‘homeroom’ as</w:t>
      </w:r>
      <w:r w:rsidR="00E61F14" w:rsidRPr="003524D8">
        <w:rPr>
          <w:rFonts w:cs="Calibri"/>
        </w:rPr>
        <w:t>,</w:t>
      </w:r>
      <w:r w:rsidR="009C0446" w:rsidRPr="003524D8">
        <w:rPr>
          <w:rFonts w:cs="Calibri"/>
        </w:rPr>
        <w:t xml:space="preserve"> in her experience and particularly </w:t>
      </w:r>
      <w:r w:rsidR="001D35AB">
        <w:rPr>
          <w:rFonts w:cs="Calibri"/>
        </w:rPr>
        <w:t xml:space="preserve">at </w:t>
      </w:r>
      <w:r w:rsidR="009C0446" w:rsidRPr="003524D8">
        <w:rPr>
          <w:rFonts w:cs="Calibri"/>
        </w:rPr>
        <w:t>Level Two, there are many students who do</w:t>
      </w:r>
      <w:r w:rsidR="00E61F14" w:rsidRPr="003524D8">
        <w:rPr>
          <w:rFonts w:cs="Calibri"/>
        </w:rPr>
        <w:t xml:space="preserve"> </w:t>
      </w:r>
      <w:r w:rsidR="009C0446" w:rsidRPr="003524D8">
        <w:rPr>
          <w:rFonts w:cs="Calibri"/>
        </w:rPr>
        <w:t>n</w:t>
      </w:r>
      <w:r w:rsidR="00E61F14" w:rsidRPr="003524D8">
        <w:rPr>
          <w:rFonts w:cs="Calibri"/>
        </w:rPr>
        <w:t>o</w:t>
      </w:r>
      <w:r w:rsidR="009C0446" w:rsidRPr="003524D8">
        <w:rPr>
          <w:rFonts w:cs="Calibri"/>
        </w:rPr>
        <w:t xml:space="preserve">t always feel safe in their own home, </w:t>
      </w:r>
      <w:r w:rsidR="00E61F14" w:rsidRPr="003524D8">
        <w:rPr>
          <w:rFonts w:cs="Calibri"/>
        </w:rPr>
        <w:t xml:space="preserve">so need </w:t>
      </w:r>
      <w:r w:rsidR="009C0446" w:rsidRPr="003524D8">
        <w:rPr>
          <w:rFonts w:cs="Calibri"/>
        </w:rPr>
        <w:t xml:space="preserve">to have a </w:t>
      </w:r>
      <w:r w:rsidR="00E61F14" w:rsidRPr="003524D8">
        <w:rPr>
          <w:rFonts w:cs="Calibri"/>
        </w:rPr>
        <w:t xml:space="preserve">secure </w:t>
      </w:r>
      <w:r w:rsidR="009C0446" w:rsidRPr="003524D8">
        <w:rPr>
          <w:rFonts w:cs="Calibri"/>
        </w:rPr>
        <w:t>space that they</w:t>
      </w:r>
      <w:r w:rsidR="00E61F14" w:rsidRPr="003524D8">
        <w:rPr>
          <w:rFonts w:cs="Calibri"/>
        </w:rPr>
        <w:t xml:space="preserve"> can</w:t>
      </w:r>
      <w:r w:rsidR="009C0446" w:rsidRPr="003524D8">
        <w:rPr>
          <w:rFonts w:cs="Calibri"/>
        </w:rPr>
        <w:t xml:space="preserve"> return to every day. </w:t>
      </w:r>
      <w:proofErr w:type="gramStart"/>
      <w:r w:rsidR="009C0446" w:rsidRPr="003524D8">
        <w:rPr>
          <w:rFonts w:cs="Calibri"/>
        </w:rPr>
        <w:t>In reality, delivery</w:t>
      </w:r>
      <w:proofErr w:type="gramEnd"/>
      <w:r w:rsidR="009C0446" w:rsidRPr="003524D8">
        <w:rPr>
          <w:rFonts w:cs="Calibri"/>
        </w:rPr>
        <w:t xml:space="preserve"> can take place in seven or eight different rooms in a week. It was felt that</w:t>
      </w:r>
      <w:r w:rsidR="00E61F14" w:rsidRPr="003524D8">
        <w:rPr>
          <w:rFonts w:cs="Calibri"/>
        </w:rPr>
        <w:t>,</w:t>
      </w:r>
      <w:r w:rsidR="009C0446" w:rsidRPr="003524D8">
        <w:rPr>
          <w:rFonts w:cs="Calibri"/>
        </w:rPr>
        <w:t xml:space="preserve"> for Level 2 students, particularly if they are transitioning from school where they</w:t>
      </w:r>
      <w:r w:rsidR="00E61F14" w:rsidRPr="003524D8">
        <w:rPr>
          <w:rFonts w:cs="Calibri"/>
        </w:rPr>
        <w:t xml:space="preserve"> ha</w:t>
      </w:r>
      <w:r w:rsidR="009C0446" w:rsidRPr="003524D8">
        <w:rPr>
          <w:rFonts w:cs="Calibri"/>
        </w:rPr>
        <w:t xml:space="preserve">ve had </w:t>
      </w:r>
      <w:r w:rsidR="00E61F14" w:rsidRPr="003524D8">
        <w:rPr>
          <w:rFonts w:cs="Calibri"/>
        </w:rPr>
        <w:t>a</w:t>
      </w:r>
      <w:r w:rsidR="009C0446" w:rsidRPr="003524D8">
        <w:rPr>
          <w:rFonts w:cs="Calibri"/>
        </w:rPr>
        <w:t xml:space="preserve"> tutor room </w:t>
      </w:r>
      <w:r w:rsidR="00E61F14" w:rsidRPr="003524D8">
        <w:rPr>
          <w:rFonts w:cs="Calibri"/>
        </w:rPr>
        <w:t>for</w:t>
      </w:r>
      <w:r w:rsidR="009C0446" w:rsidRPr="003524D8">
        <w:rPr>
          <w:rFonts w:cs="Calibri"/>
        </w:rPr>
        <w:t xml:space="preserve"> registr</w:t>
      </w:r>
      <w:r w:rsidR="00E61F14" w:rsidRPr="003524D8">
        <w:rPr>
          <w:rFonts w:cs="Calibri"/>
        </w:rPr>
        <w:t>ation, a similar arrangement</w:t>
      </w:r>
      <w:r w:rsidR="009C0446" w:rsidRPr="003524D8">
        <w:rPr>
          <w:rFonts w:cs="Calibri"/>
        </w:rPr>
        <w:t xml:space="preserve"> </w:t>
      </w:r>
      <w:r w:rsidR="00E61F14" w:rsidRPr="003524D8">
        <w:rPr>
          <w:rFonts w:cs="Calibri"/>
        </w:rPr>
        <w:t xml:space="preserve">at college </w:t>
      </w:r>
      <w:r w:rsidR="009C0446" w:rsidRPr="003524D8">
        <w:rPr>
          <w:rFonts w:cs="Calibri"/>
        </w:rPr>
        <w:t>would be beneficial. She explains that “the transition between school and college could be smoother if they were to have a room that was theirs, that they could go to, they knew I was going to be there every single lesson and that it was their safe space, their college home”.</w:t>
      </w:r>
      <w:r w:rsidR="00E278A5" w:rsidRPr="003524D8">
        <w:rPr>
          <w:rFonts w:cs="Calibri"/>
        </w:rPr>
        <w:t xml:space="preserve"> </w:t>
      </w:r>
    </w:p>
    <w:p w14:paraId="37E4F24E" w14:textId="77777777" w:rsidR="00EF69C3" w:rsidRPr="003524D8" w:rsidRDefault="00EF69C3" w:rsidP="00EF69C3">
      <w:pPr>
        <w:rPr>
          <w:rFonts w:cs="Calibri"/>
        </w:rPr>
      </w:pPr>
    </w:p>
    <w:p w14:paraId="616F142A" w14:textId="38987F8F" w:rsidR="00A44D12" w:rsidRPr="003524D8" w:rsidRDefault="00F25092" w:rsidP="00D835E5">
      <w:pPr>
        <w:spacing w:after="160"/>
        <w:rPr>
          <w:rFonts w:cs="Calibri"/>
        </w:rPr>
      </w:pPr>
      <w:r w:rsidRPr="003524D8">
        <w:rPr>
          <w:rFonts w:cs="Calibri"/>
        </w:rPr>
        <w:lastRenderedPageBreak/>
        <w:t>Timetabling issues</w:t>
      </w:r>
      <w:r w:rsidR="005B47E4" w:rsidRPr="003524D8">
        <w:rPr>
          <w:rFonts w:cs="Calibri"/>
        </w:rPr>
        <w:t xml:space="preserve">, as discussed by </w:t>
      </w:r>
      <w:r w:rsidR="005B47E4" w:rsidRPr="003524D8">
        <w:rPr>
          <w:rFonts w:cs="Calibri"/>
          <w:noProof/>
        </w:rPr>
        <w:t>Bashir et al.,</w:t>
      </w:r>
      <w:r w:rsidRPr="003524D8">
        <w:rPr>
          <w:rFonts w:cs="Calibri"/>
        </w:rPr>
        <w:t xml:space="preserve"> </w:t>
      </w:r>
      <w:sdt>
        <w:sdtPr>
          <w:rPr>
            <w:rFonts w:cs="Calibri"/>
          </w:rPr>
          <w:id w:val="-909835679"/>
          <w:citation/>
        </w:sdtPr>
        <w:sdtContent>
          <w:r w:rsidR="009F2C2B" w:rsidRPr="003524D8">
            <w:rPr>
              <w:rFonts w:cs="Calibri"/>
            </w:rPr>
            <w:fldChar w:fldCharType="begin"/>
          </w:r>
          <w:r w:rsidR="005B47E4" w:rsidRPr="003524D8">
            <w:rPr>
              <w:rFonts w:cs="Calibri"/>
            </w:rPr>
            <w:instrText xml:space="preserve">CITATION Bas20 \n  \l 2057 </w:instrText>
          </w:r>
          <w:r w:rsidR="009F2C2B" w:rsidRPr="003524D8">
            <w:rPr>
              <w:rFonts w:cs="Calibri"/>
            </w:rPr>
            <w:fldChar w:fldCharType="separate"/>
          </w:r>
          <w:r w:rsidR="005B47E4" w:rsidRPr="003524D8">
            <w:rPr>
              <w:rFonts w:cs="Calibri"/>
              <w:noProof/>
            </w:rPr>
            <w:t>(2020)</w:t>
          </w:r>
          <w:r w:rsidR="009F2C2B" w:rsidRPr="003524D8">
            <w:rPr>
              <w:rFonts w:cs="Calibri"/>
            </w:rPr>
            <w:fldChar w:fldCharType="end"/>
          </w:r>
        </w:sdtContent>
      </w:sdt>
      <w:r w:rsidR="009F2C2B" w:rsidRPr="003524D8">
        <w:rPr>
          <w:rFonts w:cs="Calibri"/>
        </w:rPr>
        <w:t xml:space="preserve"> </w:t>
      </w:r>
      <w:r w:rsidRPr="003524D8">
        <w:rPr>
          <w:rFonts w:cs="Calibri"/>
        </w:rPr>
        <w:t>were also raised as significant barriers to effective teaching and learning</w:t>
      </w:r>
      <w:r w:rsidR="005B47E4" w:rsidRPr="003524D8">
        <w:rPr>
          <w:rFonts w:cs="Calibri"/>
        </w:rPr>
        <w:t>, with</w:t>
      </w:r>
      <w:r w:rsidRPr="003524D8">
        <w:rPr>
          <w:rFonts w:cs="Calibri"/>
        </w:rPr>
        <w:t xml:space="preserve"> Tutor 1 not</w:t>
      </w:r>
      <w:r w:rsidR="005B47E4" w:rsidRPr="003524D8">
        <w:rPr>
          <w:rFonts w:cs="Calibri"/>
        </w:rPr>
        <w:t>ing</w:t>
      </w:r>
      <w:r w:rsidRPr="003524D8">
        <w:rPr>
          <w:rFonts w:cs="Calibri"/>
        </w:rPr>
        <w:t xml:space="preserve"> the challenges posed by a congested timetable</w:t>
      </w:r>
      <w:r w:rsidR="005B47E4" w:rsidRPr="003524D8">
        <w:rPr>
          <w:rFonts w:cs="Calibri"/>
        </w:rPr>
        <w:t xml:space="preserve">. </w:t>
      </w:r>
      <w:r w:rsidRPr="003524D8">
        <w:rPr>
          <w:rFonts w:cs="Calibri"/>
        </w:rPr>
        <w:t>“</w:t>
      </w:r>
      <w:r w:rsidR="005B47E4" w:rsidRPr="003524D8">
        <w:rPr>
          <w:rFonts w:cs="Calibri"/>
        </w:rPr>
        <w:t>I</w:t>
      </w:r>
      <w:r w:rsidR="00E278A5" w:rsidRPr="003524D8">
        <w:rPr>
          <w:rFonts w:cs="Calibri"/>
        </w:rPr>
        <w:t>t can be quite stressful at the start of te</w:t>
      </w:r>
      <w:r w:rsidR="000A1347" w:rsidRPr="003524D8">
        <w:rPr>
          <w:rFonts w:cs="Calibri"/>
        </w:rPr>
        <w:t xml:space="preserve">rm </w:t>
      </w:r>
      <w:r w:rsidR="00E278A5" w:rsidRPr="003524D8">
        <w:rPr>
          <w:rFonts w:cs="Calibri"/>
        </w:rPr>
        <w:t>and that</w:t>
      </w:r>
      <w:r w:rsidR="000A1347" w:rsidRPr="003524D8">
        <w:rPr>
          <w:rFonts w:cs="Calibri"/>
        </w:rPr>
        <w:t xml:space="preserve"> it</w:t>
      </w:r>
      <w:r w:rsidR="00E278A5" w:rsidRPr="003524D8">
        <w:rPr>
          <w:rFonts w:cs="Calibri"/>
        </w:rPr>
        <w:t xml:space="preserve"> effect</w:t>
      </w:r>
      <w:r w:rsidR="000A1347" w:rsidRPr="003524D8">
        <w:rPr>
          <w:rFonts w:cs="Calibri"/>
        </w:rPr>
        <w:t>s</w:t>
      </w:r>
      <w:r w:rsidR="00E278A5" w:rsidRPr="003524D8">
        <w:rPr>
          <w:rFonts w:cs="Calibri"/>
        </w:rPr>
        <w:t xml:space="preserve"> on what we can do in each lesson</w:t>
      </w:r>
      <w:r w:rsidR="000A1347" w:rsidRPr="003524D8">
        <w:rPr>
          <w:rFonts w:cs="Calibri"/>
        </w:rPr>
        <w:t>”</w:t>
      </w:r>
      <w:r w:rsidR="009245AD" w:rsidRPr="003524D8">
        <w:rPr>
          <w:rFonts w:cs="Calibri"/>
        </w:rPr>
        <w:t xml:space="preserve"> and that</w:t>
      </w:r>
      <w:r w:rsidR="00E278A5" w:rsidRPr="003524D8">
        <w:rPr>
          <w:rFonts w:cs="Calibri"/>
        </w:rPr>
        <w:t xml:space="preserve"> </w:t>
      </w:r>
      <w:r w:rsidR="009245AD" w:rsidRPr="003524D8">
        <w:rPr>
          <w:rFonts w:cs="Calibri"/>
        </w:rPr>
        <w:t>“t</w:t>
      </w:r>
      <w:r w:rsidR="00E278A5" w:rsidRPr="003524D8">
        <w:rPr>
          <w:rFonts w:cs="Calibri"/>
        </w:rPr>
        <w:t>here's a big lack of leadership in that area”.</w:t>
      </w:r>
      <w:r w:rsidR="00A44D12" w:rsidRPr="003524D8">
        <w:rPr>
          <w:rFonts w:cs="Calibri"/>
        </w:rPr>
        <w:t xml:space="preserve"> Tutor 2 </w:t>
      </w:r>
      <w:r w:rsidRPr="003524D8">
        <w:rPr>
          <w:rFonts w:cs="Calibri"/>
        </w:rPr>
        <w:t>acknowledged that an attempt to implement a mid-week break proved problematic where students struggled to maintain focus</w:t>
      </w:r>
      <w:r w:rsidR="005B47E4" w:rsidRPr="003524D8">
        <w:rPr>
          <w:rFonts w:cs="Calibri"/>
        </w:rPr>
        <w:t xml:space="preserve">. </w:t>
      </w:r>
      <w:r w:rsidRPr="003524D8">
        <w:rPr>
          <w:rFonts w:cs="Calibri"/>
        </w:rPr>
        <w:t>E</w:t>
      </w:r>
      <w:r w:rsidR="00A44D12" w:rsidRPr="003524D8">
        <w:rPr>
          <w:rFonts w:cs="Calibri"/>
        </w:rPr>
        <w:t xml:space="preserve">ven though </w:t>
      </w:r>
      <w:r w:rsidR="005174ED" w:rsidRPr="003524D8">
        <w:rPr>
          <w:rFonts w:cs="Calibri"/>
        </w:rPr>
        <w:t>students</w:t>
      </w:r>
      <w:r w:rsidR="00A44D12" w:rsidRPr="003524D8">
        <w:rPr>
          <w:rFonts w:cs="Calibri"/>
        </w:rPr>
        <w:t xml:space="preserve"> only had to </w:t>
      </w:r>
      <w:r w:rsidR="005174ED" w:rsidRPr="003524D8">
        <w:rPr>
          <w:rFonts w:cs="Calibri"/>
        </w:rPr>
        <w:t>attend</w:t>
      </w:r>
      <w:r w:rsidR="00A44D12" w:rsidRPr="003524D8">
        <w:rPr>
          <w:rFonts w:cs="Calibri"/>
        </w:rPr>
        <w:t xml:space="preserve"> college</w:t>
      </w:r>
      <w:r w:rsidR="005174ED" w:rsidRPr="003524D8">
        <w:rPr>
          <w:rFonts w:cs="Calibri"/>
        </w:rPr>
        <w:t xml:space="preserve"> for two consecutive days</w:t>
      </w:r>
      <w:r w:rsidR="00A44D12" w:rsidRPr="003524D8">
        <w:rPr>
          <w:rFonts w:cs="Calibri"/>
        </w:rPr>
        <w:t xml:space="preserve"> at a time, “their minds left themselves on the Wednesday” and then significant attendance issues</w:t>
      </w:r>
      <w:r w:rsidR="005174ED" w:rsidRPr="003524D8">
        <w:rPr>
          <w:rFonts w:cs="Calibri"/>
        </w:rPr>
        <w:t xml:space="preserve"> occurred</w:t>
      </w:r>
      <w:r w:rsidR="00A44D12" w:rsidRPr="003524D8">
        <w:rPr>
          <w:rFonts w:cs="Calibri"/>
        </w:rPr>
        <w:t xml:space="preserve"> on the Thursday and Friday. </w:t>
      </w:r>
      <w:r w:rsidRPr="003524D8">
        <w:rPr>
          <w:rFonts w:cs="Calibri"/>
        </w:rPr>
        <w:t>Tutor 2 also attempted a later start time to accommodate students’ travel and rest needs, but found it unhelpful, as many students relied on transport that did not align with the proposed schedule</w:t>
      </w:r>
      <w:r w:rsidR="00A44D12" w:rsidRPr="003524D8">
        <w:rPr>
          <w:rFonts w:cs="Calibri"/>
        </w:rPr>
        <w:t xml:space="preserve">. </w:t>
      </w:r>
      <w:r w:rsidR="00752233" w:rsidRPr="003524D8">
        <w:rPr>
          <w:rFonts w:cs="Calibri"/>
        </w:rPr>
        <w:t>However,</w:t>
      </w:r>
      <w:r w:rsidR="005174ED" w:rsidRPr="003524D8">
        <w:rPr>
          <w:rFonts w:cs="Calibri"/>
        </w:rPr>
        <w:t xml:space="preserve"> </w:t>
      </w:r>
      <w:r w:rsidRPr="003524D8">
        <w:rPr>
          <w:rFonts w:cs="Calibri"/>
        </w:rPr>
        <w:t>she</w:t>
      </w:r>
      <w:r w:rsidR="005174ED" w:rsidRPr="003524D8">
        <w:rPr>
          <w:rFonts w:cs="Calibri"/>
        </w:rPr>
        <w:t xml:space="preserve"> noted that</w:t>
      </w:r>
      <w:r w:rsidR="00752233" w:rsidRPr="003524D8">
        <w:rPr>
          <w:rFonts w:cs="Calibri"/>
        </w:rPr>
        <w:t xml:space="preserve"> the student-led mid</w:t>
      </w:r>
      <w:r w:rsidR="005174ED" w:rsidRPr="003524D8">
        <w:rPr>
          <w:rFonts w:cs="Calibri"/>
        </w:rPr>
        <w:t>-</w:t>
      </w:r>
      <w:r w:rsidR="00752233" w:rsidRPr="003524D8">
        <w:rPr>
          <w:rFonts w:cs="Calibri"/>
        </w:rPr>
        <w:t>day study group previously discussed ha</w:t>
      </w:r>
      <w:r w:rsidR="001D35AB">
        <w:rPr>
          <w:rFonts w:cs="Calibri"/>
        </w:rPr>
        <w:t>d</w:t>
      </w:r>
      <w:r w:rsidR="00752233" w:rsidRPr="003524D8">
        <w:rPr>
          <w:rFonts w:cs="Calibri"/>
        </w:rPr>
        <w:t xml:space="preserve"> alleviated issues caused by a long break between lectures. Whereas students m</w:t>
      </w:r>
      <w:r w:rsidR="005174ED" w:rsidRPr="003524D8">
        <w:rPr>
          <w:rFonts w:cs="Calibri"/>
        </w:rPr>
        <w:t>ight previously</w:t>
      </w:r>
      <w:r w:rsidR="00752233" w:rsidRPr="003524D8">
        <w:rPr>
          <w:rFonts w:cs="Calibri"/>
        </w:rPr>
        <w:t xml:space="preserve"> “drift off” or “go to town and then go somewhere else” and “don't come back”, they are remaining on campus and learning</w:t>
      </w:r>
      <w:r w:rsidR="005B47E4" w:rsidRPr="003524D8">
        <w:rPr>
          <w:rFonts w:cs="Calibri"/>
        </w:rPr>
        <w:t xml:space="preserve">, as evidenced by </w:t>
      </w:r>
      <w:r w:rsidR="005B47E4" w:rsidRPr="003524D8">
        <w:rPr>
          <w:rFonts w:eastAsiaTheme="majorEastAsia" w:cs="Calibri"/>
          <w:noProof/>
        </w:rPr>
        <w:t>Fink</w:t>
      </w:r>
      <w:sdt>
        <w:sdtPr>
          <w:rPr>
            <w:rFonts w:eastAsiaTheme="majorEastAsia" w:cs="Calibri"/>
          </w:rPr>
          <w:id w:val="-1335988831"/>
          <w:citation/>
        </w:sdtPr>
        <w:sdtContent>
          <w:r w:rsidR="005B47E4" w:rsidRPr="003524D8">
            <w:rPr>
              <w:rFonts w:eastAsiaTheme="majorEastAsia" w:cs="Calibri"/>
            </w:rPr>
            <w:fldChar w:fldCharType="begin"/>
          </w:r>
          <w:r w:rsidR="005B47E4" w:rsidRPr="003524D8">
            <w:rPr>
              <w:rFonts w:eastAsiaTheme="majorEastAsia" w:cs="Calibri"/>
            </w:rPr>
            <w:instrText xml:space="preserve">CITATION Fin24 \n  \l 2057 </w:instrText>
          </w:r>
          <w:r w:rsidR="005B47E4" w:rsidRPr="003524D8">
            <w:rPr>
              <w:rFonts w:eastAsiaTheme="majorEastAsia" w:cs="Calibri"/>
            </w:rPr>
            <w:fldChar w:fldCharType="separate"/>
          </w:r>
          <w:r w:rsidR="005B47E4" w:rsidRPr="003524D8">
            <w:rPr>
              <w:rFonts w:eastAsiaTheme="majorEastAsia" w:cs="Calibri"/>
              <w:noProof/>
            </w:rPr>
            <w:t xml:space="preserve"> (2024)</w:t>
          </w:r>
          <w:r w:rsidR="005B47E4" w:rsidRPr="003524D8">
            <w:rPr>
              <w:rFonts w:eastAsiaTheme="majorEastAsia" w:cs="Calibri"/>
            </w:rPr>
            <w:fldChar w:fldCharType="end"/>
          </w:r>
        </w:sdtContent>
      </w:sdt>
      <w:r w:rsidR="00752233" w:rsidRPr="003524D8">
        <w:rPr>
          <w:rFonts w:cs="Calibri"/>
        </w:rPr>
        <w:t>.</w:t>
      </w:r>
      <w:r w:rsidR="000A1347" w:rsidRPr="003524D8">
        <w:rPr>
          <w:rFonts w:cs="Calibri"/>
        </w:rPr>
        <w:t xml:space="preserve"> Student 1 commented that</w:t>
      </w:r>
      <w:r w:rsidR="005174ED" w:rsidRPr="003524D8">
        <w:rPr>
          <w:rFonts w:cs="Calibri"/>
        </w:rPr>
        <w:t>,</w:t>
      </w:r>
      <w:r w:rsidR="000A1347" w:rsidRPr="003524D8">
        <w:rPr>
          <w:rFonts w:cs="Calibri"/>
        </w:rPr>
        <w:t xml:space="preserve"> whilst he enjoys the</w:t>
      </w:r>
      <w:r w:rsidR="005174ED" w:rsidRPr="003524D8">
        <w:rPr>
          <w:rFonts w:cs="Calibri"/>
        </w:rPr>
        <w:t xml:space="preserve"> classes that have been included on his</w:t>
      </w:r>
      <w:r w:rsidR="000A1347" w:rsidRPr="003524D8">
        <w:rPr>
          <w:rFonts w:cs="Calibri"/>
        </w:rPr>
        <w:t xml:space="preserve"> timetable,</w:t>
      </w:r>
      <w:r w:rsidR="005174ED" w:rsidRPr="003524D8">
        <w:rPr>
          <w:rFonts w:cs="Calibri"/>
        </w:rPr>
        <w:t xml:space="preserve"> in practice, timetabling</w:t>
      </w:r>
      <w:r w:rsidR="000A1347" w:rsidRPr="003524D8">
        <w:rPr>
          <w:rFonts w:cs="Calibri"/>
        </w:rPr>
        <w:t xml:space="preserve"> “does change frequently and can cause issues if you're not keeping up with it”.</w:t>
      </w:r>
    </w:p>
    <w:p w14:paraId="351C8B95" w14:textId="43B28CC1" w:rsidR="0080787D" w:rsidRPr="003524D8" w:rsidRDefault="001D2FC6" w:rsidP="00D835E5">
      <w:pPr>
        <w:spacing w:after="160"/>
        <w:rPr>
          <w:rFonts w:cs="Calibri"/>
        </w:rPr>
      </w:pPr>
      <w:r w:rsidRPr="003524D8">
        <w:rPr>
          <w:rFonts w:cs="Calibri"/>
        </w:rPr>
        <w:t xml:space="preserve">The length of teaching session was also </w:t>
      </w:r>
      <w:r w:rsidR="005174ED" w:rsidRPr="003524D8">
        <w:rPr>
          <w:rFonts w:cs="Calibri"/>
        </w:rPr>
        <w:t>considered,</w:t>
      </w:r>
      <w:r w:rsidRPr="003524D8">
        <w:rPr>
          <w:rFonts w:cs="Calibri"/>
        </w:rPr>
        <w:t xml:space="preserve"> with Tutor 1 wondering if a three-hour session for a Level 2 practical class is too long, suggesting</w:t>
      </w:r>
      <w:r w:rsidR="005174ED" w:rsidRPr="003524D8">
        <w:rPr>
          <w:rFonts w:cs="Calibri"/>
        </w:rPr>
        <w:t xml:space="preserve"> instead</w:t>
      </w:r>
      <w:r w:rsidRPr="003524D8">
        <w:rPr>
          <w:rFonts w:cs="Calibri"/>
        </w:rPr>
        <w:t xml:space="preserve"> having</w:t>
      </w:r>
      <w:r w:rsidR="005174ED" w:rsidRPr="003524D8">
        <w:rPr>
          <w:rFonts w:cs="Calibri"/>
        </w:rPr>
        <w:t xml:space="preserve"> two one and a half</w:t>
      </w:r>
      <w:r w:rsidRPr="003524D8">
        <w:rPr>
          <w:rFonts w:cs="Calibri"/>
        </w:rPr>
        <w:t xml:space="preserve"> </w:t>
      </w:r>
      <w:bookmarkStart w:id="25" w:name="_Int_1SURZ8pL"/>
      <w:r w:rsidRPr="003524D8">
        <w:rPr>
          <w:rFonts w:cs="Calibri"/>
        </w:rPr>
        <w:t>hour</w:t>
      </w:r>
      <w:bookmarkEnd w:id="25"/>
      <w:r w:rsidRPr="003524D8">
        <w:rPr>
          <w:rFonts w:cs="Calibri"/>
        </w:rPr>
        <w:t xml:space="preserve"> lessons</w:t>
      </w:r>
      <w:r w:rsidR="005174ED" w:rsidRPr="003524D8">
        <w:rPr>
          <w:rFonts w:cs="Calibri"/>
        </w:rPr>
        <w:t>.</w:t>
      </w:r>
      <w:r w:rsidRPr="003524D8">
        <w:rPr>
          <w:rFonts w:cs="Calibri"/>
        </w:rPr>
        <w:t xml:space="preserve"> He fel</w:t>
      </w:r>
      <w:r w:rsidR="001D35AB">
        <w:rPr>
          <w:rFonts w:cs="Calibri"/>
        </w:rPr>
        <w:t>t</w:t>
      </w:r>
      <w:r w:rsidRPr="003524D8">
        <w:rPr>
          <w:rFonts w:cs="Calibri"/>
        </w:rPr>
        <w:t xml:space="preserve"> </w:t>
      </w:r>
      <w:r w:rsidR="005174ED" w:rsidRPr="003524D8">
        <w:rPr>
          <w:rFonts w:cs="Calibri"/>
        </w:rPr>
        <w:t xml:space="preserve">that </w:t>
      </w:r>
      <w:r w:rsidRPr="003524D8">
        <w:rPr>
          <w:rFonts w:cs="Calibri"/>
        </w:rPr>
        <w:t xml:space="preserve">being creative for that long </w:t>
      </w:r>
      <w:r w:rsidR="005174ED" w:rsidRPr="003524D8">
        <w:rPr>
          <w:rFonts w:cs="Calibri"/>
        </w:rPr>
        <w:t xml:space="preserve">can </w:t>
      </w:r>
      <w:r w:rsidRPr="003524D8">
        <w:rPr>
          <w:rFonts w:cs="Calibri"/>
        </w:rPr>
        <w:t>be challenging for these students and</w:t>
      </w:r>
      <w:r w:rsidR="001D35AB">
        <w:rPr>
          <w:rFonts w:cs="Calibri"/>
        </w:rPr>
        <w:t xml:space="preserve"> he</w:t>
      </w:r>
      <w:r w:rsidRPr="003524D8">
        <w:rPr>
          <w:rFonts w:cs="Calibri"/>
        </w:rPr>
        <w:t xml:space="preserve"> would welcome looking at the timetable from a student point of view</w:t>
      </w:r>
      <w:r w:rsidR="005174ED" w:rsidRPr="003524D8">
        <w:rPr>
          <w:rFonts w:cs="Calibri"/>
        </w:rPr>
        <w:t xml:space="preserve"> in terms of </w:t>
      </w:r>
      <w:r w:rsidRPr="003524D8">
        <w:rPr>
          <w:rFonts w:cs="Calibri"/>
        </w:rPr>
        <w:t>how th</w:t>
      </w:r>
      <w:r w:rsidR="005174ED" w:rsidRPr="003524D8">
        <w:rPr>
          <w:rFonts w:cs="Calibri"/>
        </w:rPr>
        <w:t>e</w:t>
      </w:r>
      <w:r w:rsidRPr="003524D8">
        <w:rPr>
          <w:rFonts w:cs="Calibri"/>
        </w:rPr>
        <w:t xml:space="preserve"> sessions could b</w:t>
      </w:r>
      <w:r w:rsidR="005174ED" w:rsidRPr="003524D8">
        <w:rPr>
          <w:rFonts w:cs="Calibri"/>
        </w:rPr>
        <w:t>etter</w:t>
      </w:r>
      <w:r w:rsidRPr="003524D8">
        <w:rPr>
          <w:rFonts w:cs="Calibri"/>
        </w:rPr>
        <w:t xml:space="preserve"> benefit</w:t>
      </w:r>
      <w:r w:rsidR="005174ED" w:rsidRPr="003524D8">
        <w:rPr>
          <w:rFonts w:cs="Calibri"/>
        </w:rPr>
        <w:t xml:space="preserve"> the</w:t>
      </w:r>
      <w:r w:rsidRPr="003524D8">
        <w:rPr>
          <w:rFonts w:cs="Calibri"/>
        </w:rPr>
        <w:t xml:space="preserve"> teaching and learning. </w:t>
      </w:r>
      <w:r w:rsidR="005B47E4" w:rsidRPr="003524D8">
        <w:rPr>
          <w:rFonts w:cs="Calibri"/>
        </w:rPr>
        <w:t xml:space="preserve">This aligns with </w:t>
      </w:r>
      <w:r w:rsidR="001D35AB">
        <w:rPr>
          <w:rFonts w:cs="Calibri"/>
        </w:rPr>
        <w:t xml:space="preserve">the work of </w:t>
      </w:r>
      <w:r w:rsidR="005B47E4" w:rsidRPr="003524D8">
        <w:rPr>
          <w:rFonts w:cs="Calibri"/>
          <w:noProof/>
        </w:rPr>
        <w:t>Huddleston &amp; Unwin</w:t>
      </w:r>
      <w:r w:rsidR="005B47E4" w:rsidRPr="003524D8">
        <w:rPr>
          <w:rFonts w:cs="Calibri"/>
        </w:rPr>
        <w:t xml:space="preserve"> </w:t>
      </w:r>
      <w:sdt>
        <w:sdtPr>
          <w:rPr>
            <w:rFonts w:cs="Calibri"/>
          </w:rPr>
          <w:id w:val="-707328753"/>
          <w:citation/>
        </w:sdtPr>
        <w:sdtContent>
          <w:r w:rsidR="005B47E4" w:rsidRPr="003524D8">
            <w:rPr>
              <w:rFonts w:cs="Calibri"/>
            </w:rPr>
            <w:fldChar w:fldCharType="begin"/>
          </w:r>
          <w:r w:rsidR="005B47E4" w:rsidRPr="003524D8">
            <w:rPr>
              <w:rFonts w:cs="Calibri"/>
            </w:rPr>
            <w:instrText xml:space="preserve">CITATION Hud241 \n  \l 2057 </w:instrText>
          </w:r>
          <w:r w:rsidR="005B47E4" w:rsidRPr="003524D8">
            <w:rPr>
              <w:rFonts w:cs="Calibri"/>
            </w:rPr>
            <w:fldChar w:fldCharType="separate"/>
          </w:r>
          <w:r w:rsidR="005B47E4" w:rsidRPr="003524D8">
            <w:rPr>
              <w:rFonts w:cs="Calibri"/>
              <w:noProof/>
            </w:rPr>
            <w:t>(2024)</w:t>
          </w:r>
          <w:r w:rsidR="005B47E4" w:rsidRPr="003524D8">
            <w:rPr>
              <w:rFonts w:cs="Calibri"/>
            </w:rPr>
            <w:fldChar w:fldCharType="end"/>
          </w:r>
        </w:sdtContent>
      </w:sdt>
      <w:r w:rsidR="005B47E4" w:rsidRPr="003524D8">
        <w:rPr>
          <w:rFonts w:cs="Calibri"/>
        </w:rPr>
        <w:t xml:space="preserve">, with </w:t>
      </w:r>
      <w:r w:rsidR="009245AD" w:rsidRPr="003524D8">
        <w:rPr>
          <w:rFonts w:cs="Calibri"/>
        </w:rPr>
        <w:t>Tutor 2 agre</w:t>
      </w:r>
      <w:r w:rsidR="005B47E4" w:rsidRPr="003524D8">
        <w:rPr>
          <w:rFonts w:cs="Calibri"/>
        </w:rPr>
        <w:t>eing</w:t>
      </w:r>
      <w:r w:rsidR="009245AD" w:rsidRPr="003524D8">
        <w:rPr>
          <w:rFonts w:cs="Calibri"/>
        </w:rPr>
        <w:t xml:space="preserve"> that Level 2 Students should “have lots of breaks but not long breaks”</w:t>
      </w:r>
      <w:r w:rsidR="001D35AB">
        <w:rPr>
          <w:rFonts w:cs="Calibri"/>
        </w:rPr>
        <w:t xml:space="preserve">, </w:t>
      </w:r>
      <w:r w:rsidR="009245AD" w:rsidRPr="003524D8">
        <w:rPr>
          <w:rFonts w:cs="Calibri"/>
        </w:rPr>
        <w:t>also cit</w:t>
      </w:r>
      <w:r w:rsidR="001D35AB">
        <w:rPr>
          <w:rFonts w:cs="Calibri"/>
        </w:rPr>
        <w:t>ing</w:t>
      </w:r>
      <w:r w:rsidR="009245AD" w:rsidRPr="003524D8">
        <w:rPr>
          <w:rFonts w:cs="Calibri"/>
        </w:rPr>
        <w:t xml:space="preserve"> the example of her class having ‘Essential English Skills’ for two hours in the morning and ‘Theory’ for three hours in the afternoon. She sa</w:t>
      </w:r>
      <w:r w:rsidR="001D35AB">
        <w:rPr>
          <w:rFonts w:cs="Calibri"/>
        </w:rPr>
        <w:t>id</w:t>
      </w:r>
      <w:r w:rsidR="009245AD" w:rsidRPr="003524D8">
        <w:rPr>
          <w:rFonts w:cs="Calibri"/>
        </w:rPr>
        <w:t>: “I'm sorry</w:t>
      </w:r>
      <w:r w:rsidR="005174ED" w:rsidRPr="003524D8">
        <w:rPr>
          <w:rFonts w:cs="Calibri"/>
        </w:rPr>
        <w:t xml:space="preserve"> -</w:t>
      </w:r>
      <w:r w:rsidR="009245AD" w:rsidRPr="003524D8">
        <w:rPr>
          <w:rFonts w:cs="Calibri"/>
        </w:rPr>
        <w:t xml:space="preserve"> what good is this for them</w:t>
      </w:r>
      <w:r w:rsidR="005174ED" w:rsidRPr="003524D8">
        <w:rPr>
          <w:rFonts w:cs="Calibri"/>
        </w:rPr>
        <w:t>?</w:t>
      </w:r>
      <w:r w:rsidR="009245AD" w:rsidRPr="003524D8">
        <w:rPr>
          <w:rFonts w:cs="Calibri"/>
        </w:rPr>
        <w:t xml:space="preserve"> They are vocational students being force-fed again!”. Tutor 1</w:t>
      </w:r>
      <w:r w:rsidRPr="003524D8">
        <w:rPr>
          <w:rFonts w:cs="Calibri"/>
        </w:rPr>
        <w:t xml:space="preserve"> also bemoan</w:t>
      </w:r>
      <w:r w:rsidR="001D35AB">
        <w:rPr>
          <w:rFonts w:cs="Calibri"/>
        </w:rPr>
        <w:t>ed</w:t>
      </w:r>
      <w:r w:rsidRPr="003524D8">
        <w:rPr>
          <w:rFonts w:cs="Calibri"/>
        </w:rPr>
        <w:t xml:space="preserve"> the </w:t>
      </w:r>
      <w:r w:rsidR="00631264" w:rsidRPr="003524D8">
        <w:rPr>
          <w:rFonts w:cs="Calibri"/>
        </w:rPr>
        <w:t>rigid nature of delivery, stating that you have “not got</w:t>
      </w:r>
      <w:r w:rsidRPr="003524D8">
        <w:rPr>
          <w:rFonts w:cs="Calibri"/>
        </w:rPr>
        <w:t xml:space="preserve"> the flexibility to go off </w:t>
      </w:r>
      <w:r w:rsidR="005174ED" w:rsidRPr="003524D8">
        <w:rPr>
          <w:rFonts w:cs="Calibri"/>
        </w:rPr>
        <w:t>o</w:t>
      </w:r>
      <w:r w:rsidRPr="003524D8">
        <w:rPr>
          <w:rFonts w:cs="Calibri"/>
        </w:rPr>
        <w:t>n a tangent</w:t>
      </w:r>
      <w:r w:rsidR="00631264" w:rsidRPr="003524D8">
        <w:rPr>
          <w:rFonts w:cs="Calibri"/>
        </w:rPr>
        <w:t>”</w:t>
      </w:r>
      <w:r w:rsidR="001D35AB">
        <w:rPr>
          <w:rFonts w:cs="Calibri"/>
        </w:rPr>
        <w:t>,</w:t>
      </w:r>
      <w:r w:rsidR="003D2F5D" w:rsidRPr="003524D8">
        <w:rPr>
          <w:rFonts w:cs="Calibri"/>
        </w:rPr>
        <w:t xml:space="preserve"> as </w:t>
      </w:r>
      <w:r w:rsidR="003D2F5D" w:rsidRPr="003524D8">
        <w:rPr>
          <w:rFonts w:cs="Calibri"/>
          <w:noProof/>
        </w:rPr>
        <w:t>Bashir</w:t>
      </w:r>
      <w:r w:rsidR="003D2F5D" w:rsidRPr="003524D8">
        <w:rPr>
          <w:rFonts w:cs="Calibri"/>
        </w:rPr>
        <w:t xml:space="preserve"> </w:t>
      </w:r>
      <w:sdt>
        <w:sdtPr>
          <w:rPr>
            <w:rFonts w:cs="Calibri"/>
          </w:rPr>
          <w:id w:val="397405176"/>
          <w:citation/>
        </w:sdtPr>
        <w:sdtContent>
          <w:r w:rsidR="003D2F5D" w:rsidRPr="003524D8">
            <w:rPr>
              <w:rFonts w:cs="Calibri"/>
            </w:rPr>
            <w:fldChar w:fldCharType="begin"/>
          </w:r>
          <w:r w:rsidR="003D2F5D" w:rsidRPr="003524D8">
            <w:rPr>
              <w:rFonts w:cs="Calibri"/>
            </w:rPr>
            <w:instrText xml:space="preserve">CITATION Bas201 \n  \l 2057 </w:instrText>
          </w:r>
          <w:r w:rsidR="003D2F5D" w:rsidRPr="003524D8">
            <w:rPr>
              <w:rFonts w:cs="Calibri"/>
            </w:rPr>
            <w:fldChar w:fldCharType="separate"/>
          </w:r>
          <w:r w:rsidR="003D2F5D" w:rsidRPr="003524D8">
            <w:rPr>
              <w:rFonts w:cs="Calibri"/>
              <w:noProof/>
            </w:rPr>
            <w:t>(2020)</w:t>
          </w:r>
          <w:r w:rsidR="003D2F5D" w:rsidRPr="003524D8">
            <w:rPr>
              <w:rFonts w:cs="Calibri"/>
            </w:rPr>
            <w:fldChar w:fldCharType="end"/>
          </w:r>
        </w:sdtContent>
      </w:sdt>
      <w:r w:rsidR="003D2F5D" w:rsidRPr="003524D8">
        <w:rPr>
          <w:rFonts w:cs="Calibri"/>
        </w:rPr>
        <w:t xml:space="preserve"> suggest</w:t>
      </w:r>
      <w:r w:rsidR="00631264" w:rsidRPr="003524D8">
        <w:rPr>
          <w:rFonts w:cs="Calibri"/>
        </w:rPr>
        <w:t>.</w:t>
      </w:r>
      <w:r w:rsidRPr="003524D8">
        <w:rPr>
          <w:rFonts w:cs="Calibri"/>
        </w:rPr>
        <w:t xml:space="preserve"> </w:t>
      </w:r>
      <w:r w:rsidR="00631264" w:rsidRPr="003524D8">
        <w:rPr>
          <w:rFonts w:cs="Calibri"/>
        </w:rPr>
        <w:t xml:space="preserve">If the practical lessons remain at </w:t>
      </w:r>
      <w:r w:rsidR="005174ED" w:rsidRPr="003524D8">
        <w:rPr>
          <w:rFonts w:cs="Calibri"/>
        </w:rPr>
        <w:t>three</w:t>
      </w:r>
      <w:r w:rsidR="00631264" w:rsidRPr="003524D8">
        <w:rPr>
          <w:rFonts w:cs="Calibri"/>
        </w:rPr>
        <w:t xml:space="preserve"> hours, the possibility of incorporating more breaks would benefit the students</w:t>
      </w:r>
      <w:r w:rsidR="005174ED" w:rsidRPr="003524D8">
        <w:rPr>
          <w:rFonts w:cs="Calibri"/>
        </w:rPr>
        <w:t>,</w:t>
      </w:r>
      <w:r w:rsidR="009245AD" w:rsidRPr="003524D8">
        <w:rPr>
          <w:rFonts w:cs="Calibri"/>
        </w:rPr>
        <w:t xml:space="preserve"> </w:t>
      </w:r>
      <w:r w:rsidR="001D35AB">
        <w:rPr>
          <w:rFonts w:cs="Calibri"/>
        </w:rPr>
        <w:t>Tutor 1</w:t>
      </w:r>
      <w:r w:rsidR="009245AD" w:rsidRPr="003524D8">
        <w:rPr>
          <w:rFonts w:cs="Calibri"/>
        </w:rPr>
        <w:t xml:space="preserve"> </w:t>
      </w:r>
      <w:r w:rsidR="001D35AB">
        <w:rPr>
          <w:rFonts w:cs="Calibri"/>
        </w:rPr>
        <w:t>believed</w:t>
      </w:r>
      <w:r w:rsidR="00631264" w:rsidRPr="003524D8">
        <w:rPr>
          <w:rFonts w:cs="Calibri"/>
        </w:rPr>
        <w:t>. “</w:t>
      </w:r>
      <w:r w:rsidRPr="003524D8">
        <w:rPr>
          <w:rFonts w:cs="Calibri"/>
        </w:rPr>
        <w:t>In the breaks, generally, they talk about the course and solving issues</w:t>
      </w:r>
      <w:r w:rsidR="00631264" w:rsidRPr="003524D8">
        <w:rPr>
          <w:rFonts w:cs="Calibri"/>
        </w:rPr>
        <w:t>” he claim</w:t>
      </w:r>
      <w:r w:rsidR="001D35AB">
        <w:rPr>
          <w:rFonts w:cs="Calibri"/>
        </w:rPr>
        <w:t>ed</w:t>
      </w:r>
      <w:r w:rsidR="00631264" w:rsidRPr="003524D8">
        <w:rPr>
          <w:rFonts w:cs="Calibri"/>
        </w:rPr>
        <w:t>, and “t</w:t>
      </w:r>
      <w:r w:rsidRPr="003524D8">
        <w:rPr>
          <w:rFonts w:cs="Calibri"/>
        </w:rPr>
        <w:t xml:space="preserve">hey don't </w:t>
      </w:r>
      <w:proofErr w:type="gramStart"/>
      <w:r w:rsidRPr="003524D8">
        <w:rPr>
          <w:rFonts w:cs="Calibri"/>
        </w:rPr>
        <w:t xml:space="preserve">actually </w:t>
      </w:r>
      <w:r w:rsidRPr="003524D8">
        <w:rPr>
          <w:rFonts w:cs="Calibri"/>
        </w:rPr>
        <w:lastRenderedPageBreak/>
        <w:t>break</w:t>
      </w:r>
      <w:proofErr w:type="gramEnd"/>
      <w:r w:rsidRPr="003524D8">
        <w:rPr>
          <w:rFonts w:cs="Calibri"/>
        </w:rPr>
        <w:t xml:space="preserve"> from work</w:t>
      </w:r>
      <w:r w:rsidR="00631264" w:rsidRPr="003524D8">
        <w:rPr>
          <w:rFonts w:cs="Calibri"/>
        </w:rPr>
        <w:t xml:space="preserve">…I sometimes observe them in the queue and they're still going on about the course. They haven't </w:t>
      </w:r>
      <w:proofErr w:type="gramStart"/>
      <w:r w:rsidR="00631264" w:rsidRPr="003524D8">
        <w:rPr>
          <w:rFonts w:cs="Calibri"/>
        </w:rPr>
        <w:t>actually switched</w:t>
      </w:r>
      <w:proofErr w:type="gramEnd"/>
      <w:r w:rsidR="00631264" w:rsidRPr="003524D8">
        <w:rPr>
          <w:rFonts w:cs="Calibri"/>
        </w:rPr>
        <w:t xml:space="preserve"> off”. However, it was thought that</w:t>
      </w:r>
      <w:r w:rsidR="005174ED" w:rsidRPr="003524D8">
        <w:rPr>
          <w:rFonts w:cs="Calibri"/>
        </w:rPr>
        <w:t>,</w:t>
      </w:r>
      <w:r w:rsidR="00631264" w:rsidRPr="003524D8">
        <w:rPr>
          <w:rFonts w:cs="Calibri"/>
        </w:rPr>
        <w:t xml:space="preserve"> </w:t>
      </w:r>
      <w:r w:rsidRPr="003524D8">
        <w:rPr>
          <w:rFonts w:cs="Calibri"/>
        </w:rPr>
        <w:t>if managers s</w:t>
      </w:r>
      <w:r w:rsidR="005174ED" w:rsidRPr="003524D8">
        <w:rPr>
          <w:rFonts w:cs="Calibri"/>
        </w:rPr>
        <w:t>aw</w:t>
      </w:r>
      <w:r w:rsidRPr="003524D8">
        <w:rPr>
          <w:rFonts w:cs="Calibri"/>
        </w:rPr>
        <w:t xml:space="preserve"> them in the refectory, </w:t>
      </w:r>
      <w:r w:rsidR="005174ED" w:rsidRPr="003524D8">
        <w:rPr>
          <w:rFonts w:cs="Calibri"/>
        </w:rPr>
        <w:t>“</w:t>
      </w:r>
      <w:r w:rsidRPr="003524D8">
        <w:rPr>
          <w:rFonts w:cs="Calibri"/>
        </w:rPr>
        <w:t xml:space="preserve">they </w:t>
      </w:r>
      <w:r w:rsidR="00631264" w:rsidRPr="003524D8">
        <w:rPr>
          <w:rFonts w:cs="Calibri"/>
        </w:rPr>
        <w:t xml:space="preserve">would </w:t>
      </w:r>
      <w:r w:rsidRPr="003524D8">
        <w:rPr>
          <w:rFonts w:cs="Calibri"/>
        </w:rPr>
        <w:t>think it</w:t>
      </w:r>
      <w:r w:rsidR="00631264" w:rsidRPr="003524D8">
        <w:rPr>
          <w:rFonts w:cs="Calibri"/>
        </w:rPr>
        <w:t xml:space="preserve"> was very</w:t>
      </w:r>
      <w:r w:rsidRPr="003524D8">
        <w:rPr>
          <w:rFonts w:cs="Calibri"/>
        </w:rPr>
        <w:t xml:space="preserve"> bad</w:t>
      </w:r>
      <w:r w:rsidR="005174ED" w:rsidRPr="003524D8">
        <w:rPr>
          <w:rFonts w:cs="Calibri"/>
        </w:rPr>
        <w:t>”</w:t>
      </w:r>
      <w:r w:rsidRPr="003524D8">
        <w:rPr>
          <w:rFonts w:cs="Calibri"/>
        </w:rPr>
        <w:t xml:space="preserve">. </w:t>
      </w:r>
      <w:r w:rsidR="00631264" w:rsidRPr="003524D8">
        <w:rPr>
          <w:rFonts w:cs="Calibri"/>
        </w:rPr>
        <w:t>Tutor 1 believe</w:t>
      </w:r>
      <w:r w:rsidR="001D35AB">
        <w:rPr>
          <w:rFonts w:cs="Calibri"/>
        </w:rPr>
        <w:t>d</w:t>
      </w:r>
      <w:r w:rsidR="007E63F8" w:rsidRPr="003524D8">
        <w:rPr>
          <w:rFonts w:cs="Calibri"/>
        </w:rPr>
        <w:t xml:space="preserve"> that</w:t>
      </w:r>
      <w:r w:rsidRPr="003524D8">
        <w:rPr>
          <w:rFonts w:cs="Calibri"/>
        </w:rPr>
        <w:t xml:space="preserve"> a change of environment when you</w:t>
      </w:r>
      <w:r w:rsidR="007E63F8" w:rsidRPr="003524D8">
        <w:rPr>
          <w:rFonts w:cs="Calibri"/>
        </w:rPr>
        <w:t xml:space="preserve"> a</w:t>
      </w:r>
      <w:r w:rsidRPr="003524D8">
        <w:rPr>
          <w:rFonts w:cs="Calibri"/>
        </w:rPr>
        <w:t>re learning so much at once is vital</w:t>
      </w:r>
      <w:r w:rsidR="007E63F8" w:rsidRPr="003524D8">
        <w:rPr>
          <w:rFonts w:cs="Calibri"/>
        </w:rPr>
        <w:t>, b</w:t>
      </w:r>
      <w:r w:rsidR="00631264" w:rsidRPr="003524D8">
        <w:rPr>
          <w:rFonts w:cs="Calibri"/>
        </w:rPr>
        <w:t xml:space="preserve">ut </w:t>
      </w:r>
      <w:r w:rsidR="001D35AB">
        <w:rPr>
          <w:rFonts w:cs="Calibri"/>
        </w:rPr>
        <w:t>wa</w:t>
      </w:r>
      <w:r w:rsidR="00631264" w:rsidRPr="003524D8">
        <w:rPr>
          <w:rFonts w:cs="Calibri"/>
        </w:rPr>
        <w:t>s un</w:t>
      </w:r>
      <w:r w:rsidRPr="003524D8">
        <w:rPr>
          <w:rFonts w:cs="Calibri"/>
        </w:rPr>
        <w:t xml:space="preserve">sure </w:t>
      </w:r>
      <w:r w:rsidR="001D35AB">
        <w:rPr>
          <w:rFonts w:cs="Calibri"/>
        </w:rPr>
        <w:t xml:space="preserve">as to </w:t>
      </w:r>
      <w:r w:rsidRPr="003524D8">
        <w:rPr>
          <w:rFonts w:cs="Calibri"/>
        </w:rPr>
        <w:t xml:space="preserve">how </w:t>
      </w:r>
      <w:r w:rsidR="007E63F8" w:rsidRPr="003524D8">
        <w:rPr>
          <w:rFonts w:cs="Calibri"/>
        </w:rPr>
        <w:t>this could be</w:t>
      </w:r>
      <w:r w:rsidRPr="003524D8">
        <w:rPr>
          <w:rFonts w:cs="Calibri"/>
        </w:rPr>
        <w:t xml:space="preserve"> put in</w:t>
      </w:r>
      <w:r w:rsidR="00631264" w:rsidRPr="003524D8">
        <w:rPr>
          <w:rFonts w:cs="Calibri"/>
        </w:rPr>
        <w:t>to</w:t>
      </w:r>
      <w:r w:rsidRPr="003524D8">
        <w:rPr>
          <w:rFonts w:cs="Calibri"/>
        </w:rPr>
        <w:t xml:space="preserve"> a lesson plan</w:t>
      </w:r>
      <w:r w:rsidR="00631264" w:rsidRPr="003524D8">
        <w:rPr>
          <w:rFonts w:cs="Calibri"/>
        </w:rPr>
        <w:t>,</w:t>
      </w:r>
      <w:r w:rsidRPr="003524D8">
        <w:rPr>
          <w:rFonts w:cs="Calibri"/>
        </w:rPr>
        <w:t xml:space="preserve"> </w:t>
      </w:r>
      <w:r w:rsidR="007E63F8" w:rsidRPr="003524D8">
        <w:rPr>
          <w:rFonts w:cs="Calibri"/>
        </w:rPr>
        <w:t xml:space="preserve">or </w:t>
      </w:r>
      <w:r w:rsidRPr="003524D8">
        <w:rPr>
          <w:rFonts w:cs="Calibri"/>
        </w:rPr>
        <w:t xml:space="preserve">how </w:t>
      </w:r>
      <w:r w:rsidR="00631264" w:rsidRPr="003524D8">
        <w:rPr>
          <w:rFonts w:cs="Calibri"/>
        </w:rPr>
        <w:t>his</w:t>
      </w:r>
      <w:r w:rsidRPr="003524D8">
        <w:rPr>
          <w:rFonts w:cs="Calibri"/>
        </w:rPr>
        <w:t xml:space="preserve"> managers would view it</w:t>
      </w:r>
      <w:r w:rsidR="007E63F8" w:rsidRPr="003524D8">
        <w:rPr>
          <w:rFonts w:cs="Calibri"/>
        </w:rPr>
        <w:t>.</w:t>
      </w:r>
      <w:r w:rsidR="0080787D" w:rsidRPr="00C40FA7">
        <w:rPr>
          <w:rFonts w:cs="Calibri"/>
          <w:highlight w:val="yellow"/>
        </w:rPr>
        <w:br w:type="page"/>
      </w:r>
    </w:p>
    <w:p w14:paraId="52D70A8C" w14:textId="0F322070" w:rsidR="00047E96" w:rsidRPr="003524D8" w:rsidRDefault="00677E76" w:rsidP="003524D8">
      <w:pPr>
        <w:pStyle w:val="Heading1"/>
        <w:numPr>
          <w:ilvl w:val="0"/>
          <w:numId w:val="52"/>
        </w:numPr>
      </w:pPr>
      <w:bookmarkStart w:id="26" w:name="_Toc185674574"/>
      <w:r w:rsidRPr="003524D8">
        <w:lastRenderedPageBreak/>
        <w:t>L</w:t>
      </w:r>
      <w:r w:rsidR="0092415A" w:rsidRPr="003524D8">
        <w:t>IMITATIONS</w:t>
      </w:r>
      <w:bookmarkEnd w:id="26"/>
    </w:p>
    <w:p w14:paraId="42305F86" w14:textId="0CB95E5E" w:rsidR="00047E96" w:rsidRPr="003524D8" w:rsidRDefault="00047E96" w:rsidP="00D835E5">
      <w:pPr>
        <w:spacing w:after="160"/>
        <w:rPr>
          <w:rFonts w:cs="Calibri"/>
        </w:rPr>
      </w:pPr>
      <w:r w:rsidRPr="003524D8">
        <w:rPr>
          <w:rFonts w:cs="Calibri"/>
        </w:rPr>
        <w:t>It is acknowledged that</w:t>
      </w:r>
      <w:r w:rsidR="003B7E47" w:rsidRPr="003524D8">
        <w:rPr>
          <w:rFonts w:cs="Calibri"/>
        </w:rPr>
        <w:t>,</w:t>
      </w:r>
      <w:r w:rsidRPr="003524D8">
        <w:rPr>
          <w:rFonts w:cs="Calibri"/>
        </w:rPr>
        <w:t xml:space="preserve"> within this study, not all the data directly addressed the research question</w:t>
      </w:r>
      <w:r w:rsidR="003B7E47" w:rsidRPr="003524D8">
        <w:rPr>
          <w:rFonts w:cs="Calibri"/>
        </w:rPr>
        <w:t>,</w:t>
      </w:r>
      <w:r w:rsidRPr="003524D8">
        <w:rPr>
          <w:rFonts w:cs="Calibri"/>
        </w:rPr>
        <w:t xml:space="preserve"> which raises two key considerations. It is possible that the research questions or interview prompts were not sufficiently clear, specific or aligned with the intended focus, leading to responses that diverged from the central objectives. As Creswell and </w:t>
      </w:r>
      <w:proofErr w:type="spellStart"/>
      <w:r w:rsidRPr="003524D8">
        <w:rPr>
          <w:rFonts w:cs="Calibri"/>
        </w:rPr>
        <w:t>Poth</w:t>
      </w:r>
      <w:proofErr w:type="spellEnd"/>
      <w:r w:rsidRPr="003524D8">
        <w:rPr>
          <w:rFonts w:cs="Calibri"/>
        </w:rPr>
        <w:t xml:space="preserve"> </w:t>
      </w:r>
      <w:sdt>
        <w:sdtPr>
          <w:rPr>
            <w:rFonts w:cs="Calibri"/>
          </w:rPr>
          <w:id w:val="1638926087"/>
          <w:citation/>
        </w:sdtPr>
        <w:sdtContent>
          <w:r w:rsidRPr="003524D8">
            <w:rPr>
              <w:rFonts w:cs="Calibri"/>
            </w:rPr>
            <w:fldChar w:fldCharType="begin"/>
          </w:r>
          <w:r w:rsidRPr="003524D8">
            <w:rPr>
              <w:rFonts w:cs="Calibri"/>
            </w:rPr>
            <w:instrText xml:space="preserve">CITATION Cre16 \n  \l 2057 </w:instrText>
          </w:r>
          <w:r w:rsidRPr="003524D8">
            <w:rPr>
              <w:rFonts w:cs="Calibri"/>
            </w:rPr>
            <w:fldChar w:fldCharType="separate"/>
          </w:r>
          <w:r w:rsidRPr="003524D8">
            <w:rPr>
              <w:rFonts w:cs="Calibri"/>
              <w:noProof/>
            </w:rPr>
            <w:t>(2016)</w:t>
          </w:r>
          <w:r w:rsidRPr="003524D8">
            <w:rPr>
              <w:rFonts w:cs="Calibri"/>
            </w:rPr>
            <w:fldChar w:fldCharType="end"/>
          </w:r>
        </w:sdtContent>
      </w:sdt>
      <w:r w:rsidRPr="003524D8">
        <w:rPr>
          <w:rFonts w:cs="Calibri"/>
        </w:rPr>
        <w:t xml:space="preserve"> highlight, poorly constructed questions can result in vague or unrelated data, which may limit the depth and focus of findings. Furthermore, participants may have misunderstood or interpreted the questions in ways unintended by the researcher. Bryman </w:t>
      </w:r>
      <w:sdt>
        <w:sdtPr>
          <w:rPr>
            <w:rFonts w:cs="Calibri"/>
          </w:rPr>
          <w:id w:val="-1454476624"/>
          <w:citation/>
        </w:sdtPr>
        <w:sdtContent>
          <w:r w:rsidRPr="003524D8">
            <w:rPr>
              <w:rFonts w:cs="Calibri"/>
            </w:rPr>
            <w:fldChar w:fldCharType="begin"/>
          </w:r>
          <w:r w:rsidRPr="003524D8">
            <w:rPr>
              <w:rFonts w:cs="Calibri"/>
            </w:rPr>
            <w:instrText xml:space="preserve">CITATION Bry16 \n  \l 2057 </w:instrText>
          </w:r>
          <w:r w:rsidRPr="003524D8">
            <w:rPr>
              <w:rFonts w:cs="Calibri"/>
            </w:rPr>
            <w:fldChar w:fldCharType="separate"/>
          </w:r>
          <w:r w:rsidRPr="003524D8">
            <w:rPr>
              <w:rFonts w:cs="Calibri"/>
              <w:noProof/>
            </w:rPr>
            <w:t>(2016)</w:t>
          </w:r>
          <w:r w:rsidRPr="003524D8">
            <w:rPr>
              <w:rFonts w:cs="Calibri"/>
            </w:rPr>
            <w:fldChar w:fldCharType="end"/>
          </w:r>
        </w:sdtContent>
      </w:sdt>
      <w:r w:rsidRPr="003524D8">
        <w:rPr>
          <w:rFonts w:cs="Calibri"/>
        </w:rPr>
        <w:t xml:space="preserve"> argues that interpretation differences can arise due to ambiguous phrasing, varied levels of comprehension or differing contexts in qualitative studies. This can result in responses that, while relevant to participants, do not align with the researcher’s objectives.</w:t>
      </w:r>
    </w:p>
    <w:p w14:paraId="36D2FE16" w14:textId="576A6F6D" w:rsidR="00A5390E" w:rsidRPr="003524D8" w:rsidRDefault="00382CA3" w:rsidP="00D835E5">
      <w:pPr>
        <w:spacing w:after="160"/>
        <w:rPr>
          <w:rFonts w:cs="Calibri"/>
        </w:rPr>
      </w:pPr>
      <w:r w:rsidRPr="003524D8">
        <w:rPr>
          <w:rFonts w:cs="Calibri"/>
        </w:rPr>
        <w:t xml:space="preserve">This researcher found conducting the first interview challenging with Tutor 1 as it was his first experience in conducting this type of data collection with a colleague </w:t>
      </w:r>
      <w:sdt>
        <w:sdtPr>
          <w:rPr>
            <w:rFonts w:cs="Calibri"/>
          </w:rPr>
          <w:id w:val="-27265438"/>
          <w:citation/>
        </w:sdtPr>
        <w:sdtContent>
          <w:r w:rsidRPr="003524D8">
            <w:rPr>
              <w:rFonts w:cs="Calibri"/>
            </w:rPr>
            <w:fldChar w:fldCharType="begin"/>
          </w:r>
          <w:r w:rsidRPr="003524D8">
            <w:rPr>
              <w:rFonts w:cs="Calibri"/>
            </w:rPr>
            <w:instrText xml:space="preserve"> CITATION Kva15 \l 2057 </w:instrText>
          </w:r>
          <w:r w:rsidRPr="003524D8">
            <w:rPr>
              <w:rFonts w:cs="Calibri"/>
            </w:rPr>
            <w:fldChar w:fldCharType="separate"/>
          </w:r>
          <w:r w:rsidRPr="003524D8">
            <w:rPr>
              <w:rFonts w:cs="Calibri"/>
              <w:noProof/>
            </w:rPr>
            <w:t>(Kvale &amp; Brinkmann, 2015)</w:t>
          </w:r>
          <w:r w:rsidRPr="003524D8">
            <w:rPr>
              <w:rFonts w:cs="Calibri"/>
            </w:rPr>
            <w:fldChar w:fldCharType="end"/>
          </w:r>
        </w:sdtContent>
      </w:sdt>
      <w:r w:rsidRPr="003524D8">
        <w:rPr>
          <w:rFonts w:cs="Calibri"/>
        </w:rPr>
        <w:t>. Perhaps the suitability of selecting an inexperienced lecturer, the researcher</w:t>
      </w:r>
      <w:r w:rsidR="003B7E47" w:rsidRPr="003524D8">
        <w:rPr>
          <w:rFonts w:cs="Calibri"/>
        </w:rPr>
        <w:t>’</w:t>
      </w:r>
      <w:r w:rsidRPr="003524D8">
        <w:rPr>
          <w:rFonts w:cs="Calibri"/>
        </w:rPr>
        <w:t xml:space="preserve">s lack of confidence, unclear questioning or difficulty probing for deeper responses may have limited the quality of the data (Creswell &amp; </w:t>
      </w:r>
      <w:proofErr w:type="spellStart"/>
      <w:r w:rsidRPr="003524D8">
        <w:rPr>
          <w:rFonts w:cs="Calibri"/>
        </w:rPr>
        <w:t>Poth</w:t>
      </w:r>
      <w:proofErr w:type="spellEnd"/>
      <w:r w:rsidRPr="003524D8">
        <w:rPr>
          <w:rFonts w:cs="Calibri"/>
        </w:rPr>
        <w:t>, 2018). This reflects the learning curve often encountered in qualitative research, where interview skills develop over time with practice and reflection (</w:t>
      </w:r>
      <w:proofErr w:type="spellStart"/>
      <w:r w:rsidRPr="003524D8">
        <w:rPr>
          <w:rFonts w:cs="Calibri"/>
        </w:rPr>
        <w:t>Kvale</w:t>
      </w:r>
      <w:proofErr w:type="spellEnd"/>
      <w:r w:rsidRPr="003524D8">
        <w:rPr>
          <w:rFonts w:cs="Calibri"/>
        </w:rPr>
        <w:t xml:space="preserve"> &amp; Brinkmann, 2015)</w:t>
      </w:r>
      <w:r w:rsidR="002658F6" w:rsidRPr="003524D8">
        <w:rPr>
          <w:rFonts w:cs="Calibri"/>
        </w:rPr>
        <w:t xml:space="preserve"> </w:t>
      </w:r>
      <w:r w:rsidR="003B7E47" w:rsidRPr="003524D8">
        <w:rPr>
          <w:rFonts w:cs="Calibri"/>
        </w:rPr>
        <w:t>as</w:t>
      </w:r>
      <w:r w:rsidR="002658F6" w:rsidRPr="003524D8">
        <w:rPr>
          <w:rFonts w:cs="Calibri"/>
        </w:rPr>
        <w:t xml:space="preserve"> evidenced in interview 2. However, despite the improvement in terms of delivery, the student participant lacked the depth of knowledge or insight needed to fully address the research questions</w:t>
      </w:r>
      <w:r w:rsidR="003B7E47" w:rsidRPr="003524D8">
        <w:rPr>
          <w:rFonts w:cs="Calibri"/>
        </w:rPr>
        <w:t>,</w:t>
      </w:r>
      <w:r w:rsidR="00FA7E10" w:rsidRPr="003524D8">
        <w:rPr>
          <w:rFonts w:cs="Calibri"/>
        </w:rPr>
        <w:t xml:space="preserve"> which</w:t>
      </w:r>
      <w:r w:rsidR="002658F6" w:rsidRPr="003524D8">
        <w:rPr>
          <w:rFonts w:cs="Calibri"/>
        </w:rPr>
        <w:t xml:space="preserve"> raises concerns about participant selection</w:t>
      </w:r>
      <w:r w:rsidR="00FA7E10" w:rsidRPr="003524D8">
        <w:rPr>
          <w:rFonts w:cs="Calibri"/>
        </w:rPr>
        <w:t xml:space="preserve"> </w:t>
      </w:r>
      <w:sdt>
        <w:sdtPr>
          <w:rPr>
            <w:rFonts w:cs="Calibri"/>
          </w:rPr>
          <w:id w:val="-1638325763"/>
          <w:citation/>
        </w:sdtPr>
        <w:sdtContent>
          <w:r w:rsidR="00FA7E10" w:rsidRPr="003524D8">
            <w:rPr>
              <w:rFonts w:cs="Calibri"/>
            </w:rPr>
            <w:fldChar w:fldCharType="begin"/>
          </w:r>
          <w:r w:rsidR="00FA7E10" w:rsidRPr="003524D8">
            <w:rPr>
              <w:rFonts w:cs="Calibri"/>
            </w:rPr>
            <w:instrText xml:space="preserve"> CITATION Coh17 \l 2057 </w:instrText>
          </w:r>
          <w:r w:rsidR="00FA7E10" w:rsidRPr="003524D8">
            <w:rPr>
              <w:rFonts w:cs="Calibri"/>
            </w:rPr>
            <w:fldChar w:fldCharType="separate"/>
          </w:r>
          <w:r w:rsidR="00FA7E10" w:rsidRPr="003524D8">
            <w:rPr>
              <w:rFonts w:cs="Calibri"/>
              <w:noProof/>
            </w:rPr>
            <w:t>(Cohen, et al., 2017)</w:t>
          </w:r>
          <w:r w:rsidR="00FA7E10" w:rsidRPr="003524D8">
            <w:rPr>
              <w:rFonts w:cs="Calibri"/>
            </w:rPr>
            <w:fldChar w:fldCharType="end"/>
          </w:r>
        </w:sdtContent>
      </w:sdt>
      <w:r w:rsidR="002658F6" w:rsidRPr="003524D8">
        <w:rPr>
          <w:rFonts w:cs="Calibri"/>
        </w:rPr>
        <w:t>. As</w:t>
      </w:r>
      <w:r w:rsidR="00FA7E10" w:rsidRPr="003524D8">
        <w:rPr>
          <w:rFonts w:cs="Calibri"/>
        </w:rPr>
        <w:t xml:space="preserve"> </w:t>
      </w:r>
      <w:r w:rsidR="00FA7E10" w:rsidRPr="003524D8">
        <w:rPr>
          <w:rFonts w:cs="Calibri"/>
          <w:noProof/>
        </w:rPr>
        <w:t>Bell et al.</w:t>
      </w:r>
      <w:r w:rsidR="002658F6" w:rsidRPr="003524D8">
        <w:rPr>
          <w:rFonts w:cs="Calibri"/>
        </w:rPr>
        <w:t xml:space="preserve"> </w:t>
      </w:r>
      <w:sdt>
        <w:sdtPr>
          <w:rPr>
            <w:rFonts w:cs="Calibri"/>
          </w:rPr>
          <w:id w:val="-2144493118"/>
          <w:citation/>
        </w:sdtPr>
        <w:sdtContent>
          <w:r w:rsidR="00FA7E10" w:rsidRPr="003524D8">
            <w:rPr>
              <w:rFonts w:cs="Calibri"/>
            </w:rPr>
            <w:fldChar w:fldCharType="begin"/>
          </w:r>
          <w:r w:rsidR="00FA7E10" w:rsidRPr="003524D8">
            <w:rPr>
              <w:rFonts w:cs="Calibri"/>
            </w:rPr>
            <w:instrText xml:space="preserve">CITATION Bel18 \n  \l 2057 </w:instrText>
          </w:r>
          <w:r w:rsidR="00FA7E10" w:rsidRPr="003524D8">
            <w:rPr>
              <w:rFonts w:cs="Calibri"/>
            </w:rPr>
            <w:fldChar w:fldCharType="separate"/>
          </w:r>
          <w:r w:rsidR="00FA7E10" w:rsidRPr="003524D8">
            <w:rPr>
              <w:rFonts w:cs="Calibri"/>
              <w:noProof/>
            </w:rPr>
            <w:t>(2024)</w:t>
          </w:r>
          <w:r w:rsidR="00FA7E10" w:rsidRPr="003524D8">
            <w:rPr>
              <w:rFonts w:cs="Calibri"/>
            </w:rPr>
            <w:fldChar w:fldCharType="end"/>
          </w:r>
        </w:sdtContent>
      </w:sdt>
      <w:r w:rsidR="00FA7E10" w:rsidRPr="003524D8">
        <w:rPr>
          <w:rFonts w:cs="Calibri"/>
        </w:rPr>
        <w:t xml:space="preserve"> note, c</w:t>
      </w:r>
      <w:r w:rsidR="002658F6" w:rsidRPr="003524D8">
        <w:rPr>
          <w:rFonts w:cs="Calibri"/>
        </w:rPr>
        <w:t>hoosing appropriate participants is crucial for ensuring data relevance</w:t>
      </w:r>
      <w:r w:rsidR="00FA7E10" w:rsidRPr="003524D8">
        <w:rPr>
          <w:rFonts w:cs="Calibri"/>
        </w:rPr>
        <w:t xml:space="preserve"> and</w:t>
      </w:r>
      <w:r w:rsidR="003B7E47" w:rsidRPr="003524D8">
        <w:rPr>
          <w:rFonts w:cs="Calibri"/>
        </w:rPr>
        <w:t>,</w:t>
      </w:r>
      <w:r w:rsidR="00FA7E10" w:rsidRPr="003524D8">
        <w:rPr>
          <w:rFonts w:cs="Calibri"/>
        </w:rPr>
        <w:t xml:space="preserve"> i</w:t>
      </w:r>
      <w:r w:rsidR="002658F6" w:rsidRPr="003524D8">
        <w:rPr>
          <w:rFonts w:cs="Calibri"/>
        </w:rPr>
        <w:t>n hindsight, including a third member of staff or a manager might have provided more meaningful data due to their broader experience and strategic perspective.</w:t>
      </w:r>
      <w:r w:rsidR="00FA7E10" w:rsidRPr="003524D8">
        <w:rPr>
          <w:rFonts w:cs="Calibri"/>
        </w:rPr>
        <w:t xml:space="preserve"> Interview 3 with Tutor 2 provided the greatest amount of evidence and</w:t>
      </w:r>
      <w:r w:rsidR="003B7E47" w:rsidRPr="003524D8">
        <w:rPr>
          <w:rFonts w:cs="Calibri"/>
        </w:rPr>
        <w:t>,</w:t>
      </w:r>
      <w:r w:rsidR="00FA7E10" w:rsidRPr="003524D8">
        <w:rPr>
          <w:rFonts w:cs="Calibri"/>
        </w:rPr>
        <w:t xml:space="preserve"> whilst the long responses can offered rich, detailed insights into the interviewee's thoughts, feelings and experiences, perhaps her responses made it difficult to extract the relevant data and analyse</w:t>
      </w:r>
      <w:r w:rsidR="003B7E47" w:rsidRPr="003524D8">
        <w:rPr>
          <w:rFonts w:cs="Calibri"/>
        </w:rPr>
        <w:t xml:space="preserve"> it</w:t>
      </w:r>
      <w:r w:rsidR="00FA7E10" w:rsidRPr="003524D8">
        <w:rPr>
          <w:rFonts w:cs="Calibri"/>
        </w:rPr>
        <w:t xml:space="preserve"> due to its volume </w:t>
      </w:r>
      <w:sdt>
        <w:sdtPr>
          <w:rPr>
            <w:rFonts w:cs="Calibri"/>
          </w:rPr>
          <w:id w:val="-1211569553"/>
          <w:citation/>
        </w:sdtPr>
        <w:sdtContent>
          <w:r w:rsidR="00FA7E10" w:rsidRPr="003524D8">
            <w:rPr>
              <w:rFonts w:cs="Calibri"/>
            </w:rPr>
            <w:fldChar w:fldCharType="begin"/>
          </w:r>
          <w:r w:rsidR="00FA7E10" w:rsidRPr="003524D8">
            <w:rPr>
              <w:rFonts w:cs="Calibri"/>
            </w:rPr>
            <w:instrText xml:space="preserve"> CITATION Pow18 \l 2057 </w:instrText>
          </w:r>
          <w:r w:rsidR="00FA7E10" w:rsidRPr="003524D8">
            <w:rPr>
              <w:rFonts w:cs="Calibri"/>
            </w:rPr>
            <w:fldChar w:fldCharType="separate"/>
          </w:r>
          <w:r w:rsidR="00FA7E10" w:rsidRPr="003524D8">
            <w:rPr>
              <w:rFonts w:cs="Calibri"/>
              <w:noProof/>
            </w:rPr>
            <w:t>(Powney &amp; Watts, 2018)</w:t>
          </w:r>
          <w:r w:rsidR="00FA7E10" w:rsidRPr="003524D8">
            <w:rPr>
              <w:rFonts w:cs="Calibri"/>
            </w:rPr>
            <w:fldChar w:fldCharType="end"/>
          </w:r>
        </w:sdtContent>
      </w:sdt>
      <w:r w:rsidR="00FA7E10" w:rsidRPr="003524D8">
        <w:rPr>
          <w:rFonts w:cs="Calibri"/>
        </w:rPr>
        <w:t>.</w:t>
      </w:r>
      <w:r w:rsidR="007F627F" w:rsidRPr="003524D8">
        <w:rPr>
          <w:rFonts w:cs="Calibri"/>
        </w:rPr>
        <w:t xml:space="preserve"> </w:t>
      </w:r>
      <w:r w:rsidR="00926BC9">
        <w:rPr>
          <w:rFonts w:cs="Calibri"/>
        </w:rPr>
        <w:t>I</w:t>
      </w:r>
      <w:r w:rsidR="007F627F" w:rsidRPr="003524D8">
        <w:rPr>
          <w:rFonts w:cs="Calibri"/>
        </w:rPr>
        <w:t xml:space="preserve">n further research, this researcher </w:t>
      </w:r>
      <w:r w:rsidR="003B7E47" w:rsidRPr="003524D8">
        <w:rPr>
          <w:rFonts w:cs="Calibri"/>
        </w:rPr>
        <w:t>could</w:t>
      </w:r>
      <w:r w:rsidR="007F627F" w:rsidRPr="003524D8">
        <w:rPr>
          <w:rFonts w:cs="Calibri"/>
        </w:rPr>
        <w:t xml:space="preserve"> use focused, open-ended follow-up questions or prompts to steer the conversation </w:t>
      </w:r>
      <w:sdt>
        <w:sdtPr>
          <w:rPr>
            <w:rFonts w:cs="Calibri"/>
          </w:rPr>
          <w:id w:val="1792089389"/>
          <w:citation/>
        </w:sdtPr>
        <w:sdtContent>
          <w:r w:rsidR="007F627F" w:rsidRPr="003524D8">
            <w:rPr>
              <w:rFonts w:cs="Calibri"/>
            </w:rPr>
            <w:fldChar w:fldCharType="begin"/>
          </w:r>
          <w:r w:rsidR="007F627F" w:rsidRPr="003524D8">
            <w:rPr>
              <w:rFonts w:cs="Calibri"/>
            </w:rPr>
            <w:instrText xml:space="preserve"> CITATION Pat17 \l 2057 </w:instrText>
          </w:r>
          <w:r w:rsidR="007F627F" w:rsidRPr="003524D8">
            <w:rPr>
              <w:rFonts w:cs="Calibri"/>
            </w:rPr>
            <w:fldChar w:fldCharType="separate"/>
          </w:r>
          <w:r w:rsidR="007F627F" w:rsidRPr="003524D8">
            <w:rPr>
              <w:rFonts w:cs="Calibri"/>
              <w:noProof/>
            </w:rPr>
            <w:t xml:space="preserve">(Patton, et al., </w:t>
          </w:r>
          <w:r w:rsidR="007F627F" w:rsidRPr="003524D8">
            <w:rPr>
              <w:rFonts w:cs="Calibri"/>
              <w:noProof/>
            </w:rPr>
            <w:lastRenderedPageBreak/>
            <w:t>2017)</w:t>
          </w:r>
          <w:r w:rsidR="007F627F" w:rsidRPr="003524D8">
            <w:rPr>
              <w:rFonts w:cs="Calibri"/>
            </w:rPr>
            <w:fldChar w:fldCharType="end"/>
          </w:r>
        </w:sdtContent>
      </w:sdt>
      <w:r w:rsidR="007F627F" w:rsidRPr="003524D8">
        <w:rPr>
          <w:rFonts w:cs="Calibri"/>
        </w:rPr>
        <w:t xml:space="preserve">, or summarise what the interviewee has said by asking for clarification on key points </w:t>
      </w:r>
      <w:sdt>
        <w:sdtPr>
          <w:rPr>
            <w:rFonts w:cs="Calibri"/>
          </w:rPr>
          <w:id w:val="383375058"/>
          <w:citation/>
        </w:sdtPr>
        <w:sdtContent>
          <w:r w:rsidR="007F627F" w:rsidRPr="003524D8">
            <w:rPr>
              <w:rFonts w:cs="Calibri"/>
            </w:rPr>
            <w:fldChar w:fldCharType="begin"/>
          </w:r>
          <w:r w:rsidR="007F627F" w:rsidRPr="003524D8">
            <w:rPr>
              <w:rFonts w:cs="Calibri"/>
            </w:rPr>
            <w:instrText xml:space="preserve"> CITATION Pow18 \l 2057 </w:instrText>
          </w:r>
          <w:r w:rsidR="007F627F" w:rsidRPr="003524D8">
            <w:rPr>
              <w:rFonts w:cs="Calibri"/>
            </w:rPr>
            <w:fldChar w:fldCharType="separate"/>
          </w:r>
          <w:r w:rsidR="007F627F" w:rsidRPr="003524D8">
            <w:rPr>
              <w:rFonts w:cs="Calibri"/>
              <w:noProof/>
            </w:rPr>
            <w:t>(Powney &amp; Watts, 2018)</w:t>
          </w:r>
          <w:r w:rsidR="007F627F" w:rsidRPr="003524D8">
            <w:rPr>
              <w:rFonts w:cs="Calibri"/>
            </w:rPr>
            <w:fldChar w:fldCharType="end"/>
          </w:r>
        </w:sdtContent>
      </w:sdt>
      <w:r w:rsidR="007F627F" w:rsidRPr="003524D8">
        <w:rPr>
          <w:rFonts w:cs="Calibri"/>
        </w:rPr>
        <w:t>.</w:t>
      </w:r>
    </w:p>
    <w:p w14:paraId="6C6D578E" w14:textId="77777777" w:rsidR="00A5390E" w:rsidRDefault="00A5390E" w:rsidP="00D835E5">
      <w:pPr>
        <w:spacing w:after="160"/>
        <w:rPr>
          <w:rFonts w:cs="Calibri"/>
        </w:rPr>
      </w:pPr>
      <w:r>
        <w:rPr>
          <w:rFonts w:cs="Calibri"/>
        </w:rPr>
        <w:t>I</w:t>
      </w:r>
      <w:r w:rsidR="007F627F" w:rsidRPr="003524D8">
        <w:rPr>
          <w:rFonts w:cs="Calibri"/>
        </w:rPr>
        <w:t>t is acknowledged that the limitations of having only three participants, particularly with differing experiences and perspectives, might have made it challenging to answer the research question comprehensively</w:t>
      </w:r>
      <w:sdt>
        <w:sdtPr>
          <w:rPr>
            <w:rFonts w:cs="Calibri"/>
          </w:rPr>
          <w:id w:val="638470087"/>
          <w:citation/>
        </w:sdtPr>
        <w:sdtContent>
          <w:r w:rsidR="007F627F" w:rsidRPr="003524D8">
            <w:rPr>
              <w:rFonts w:cs="Calibri"/>
            </w:rPr>
            <w:fldChar w:fldCharType="begin"/>
          </w:r>
          <w:r w:rsidR="007F627F" w:rsidRPr="003524D8">
            <w:rPr>
              <w:rFonts w:cs="Calibri"/>
            </w:rPr>
            <w:instrText xml:space="preserve"> CITATION Pat17 \l 2057 </w:instrText>
          </w:r>
          <w:r w:rsidR="007F627F" w:rsidRPr="003524D8">
            <w:rPr>
              <w:rFonts w:cs="Calibri"/>
            </w:rPr>
            <w:fldChar w:fldCharType="separate"/>
          </w:r>
          <w:r w:rsidR="007F627F" w:rsidRPr="003524D8">
            <w:rPr>
              <w:rFonts w:cs="Calibri"/>
              <w:noProof/>
            </w:rPr>
            <w:t xml:space="preserve"> (Patton, et al., 2017)</w:t>
          </w:r>
          <w:r w:rsidR="007F627F" w:rsidRPr="003524D8">
            <w:rPr>
              <w:rFonts w:cs="Calibri"/>
            </w:rPr>
            <w:fldChar w:fldCharType="end"/>
          </w:r>
        </w:sdtContent>
      </w:sdt>
      <w:r w:rsidR="007F627F" w:rsidRPr="003524D8">
        <w:rPr>
          <w:rFonts w:cs="Calibri"/>
        </w:rPr>
        <w:t>. The differing experiences and opinions of the divergent participants may reflect the complexity of the research issue, but caused difficulties to derive clear, unified conclusions</w:t>
      </w:r>
      <w:r w:rsidR="006428B4" w:rsidRPr="003524D8">
        <w:rPr>
          <w:rFonts w:cs="Calibri"/>
        </w:rPr>
        <w:t xml:space="preserve"> </w:t>
      </w:r>
      <w:sdt>
        <w:sdtPr>
          <w:rPr>
            <w:rFonts w:cs="Calibri"/>
          </w:rPr>
          <w:id w:val="1979649102"/>
          <w:citation/>
        </w:sdtPr>
        <w:sdtContent>
          <w:r w:rsidR="006428B4" w:rsidRPr="003524D8">
            <w:rPr>
              <w:rFonts w:cs="Calibri"/>
            </w:rPr>
            <w:fldChar w:fldCharType="begin"/>
          </w:r>
          <w:r w:rsidR="006428B4" w:rsidRPr="003524D8">
            <w:rPr>
              <w:rFonts w:cs="Calibri"/>
            </w:rPr>
            <w:instrText xml:space="preserve"> CITATION Mor15 \l 2057 </w:instrText>
          </w:r>
          <w:r w:rsidR="006428B4" w:rsidRPr="003524D8">
            <w:rPr>
              <w:rFonts w:cs="Calibri"/>
            </w:rPr>
            <w:fldChar w:fldCharType="separate"/>
          </w:r>
          <w:r w:rsidR="006428B4" w:rsidRPr="003524D8">
            <w:rPr>
              <w:rFonts w:cs="Calibri"/>
              <w:noProof/>
            </w:rPr>
            <w:t>(Morse, 2015)</w:t>
          </w:r>
          <w:r w:rsidR="006428B4" w:rsidRPr="003524D8">
            <w:rPr>
              <w:rFonts w:cs="Calibri"/>
            </w:rPr>
            <w:fldChar w:fldCharType="end"/>
          </w:r>
        </w:sdtContent>
      </w:sdt>
      <w:r w:rsidR="007F627F" w:rsidRPr="003524D8">
        <w:rPr>
          <w:rFonts w:cs="Calibri"/>
        </w:rPr>
        <w:t>.</w:t>
      </w:r>
    </w:p>
    <w:p w14:paraId="587ABD53" w14:textId="45E9309B" w:rsidR="006428B4" w:rsidRPr="003524D8" w:rsidRDefault="00A5390E" w:rsidP="00D835E5">
      <w:pPr>
        <w:spacing w:after="160"/>
        <w:rPr>
          <w:rFonts w:cs="Calibri"/>
        </w:rPr>
      </w:pPr>
      <w:r>
        <w:rPr>
          <w:rFonts w:cs="Calibri"/>
        </w:rPr>
        <w:t>Finally, this researcher found it extremely difficult to limit the analysis to the themes identified due to the limited wordcount.</w:t>
      </w:r>
      <w:r w:rsidR="006428B4">
        <w:rPr>
          <w:rFonts w:cs="Calibri"/>
          <w:highlight w:val="green"/>
        </w:rPr>
        <w:br w:type="page"/>
      </w:r>
    </w:p>
    <w:p w14:paraId="7D00900D" w14:textId="4BECE7DE" w:rsidR="009E083F" w:rsidRPr="003524D8" w:rsidRDefault="00FB62DA" w:rsidP="003524D8">
      <w:pPr>
        <w:pStyle w:val="Heading1"/>
        <w:numPr>
          <w:ilvl w:val="0"/>
          <w:numId w:val="52"/>
        </w:numPr>
      </w:pPr>
      <w:bookmarkStart w:id="27" w:name="_Toc185674575"/>
      <w:r w:rsidRPr="003524D8">
        <w:lastRenderedPageBreak/>
        <w:t xml:space="preserve">CONCLUSION &amp; </w:t>
      </w:r>
      <w:r w:rsidR="00097551" w:rsidRPr="003524D8">
        <w:t>RECOMMENDATIONS</w:t>
      </w:r>
      <w:bookmarkEnd w:id="27"/>
    </w:p>
    <w:p w14:paraId="38E21294" w14:textId="094E5C05" w:rsidR="002D4F6C" w:rsidRPr="003524D8" w:rsidRDefault="002D4F6C" w:rsidP="00D835E5">
      <w:pPr>
        <w:spacing w:after="160"/>
        <w:rPr>
          <w:rFonts w:cs="Calibri"/>
        </w:rPr>
      </w:pPr>
      <w:r w:rsidRPr="003524D8">
        <w:rPr>
          <w:rFonts w:cs="Calibri"/>
        </w:rPr>
        <w:t xml:space="preserve">This research study has found that a student-centred environment for Level 2 vocational students could be created by fostering active participation, autonomy, and engagement. This involves tailoring learning experiences to students’ interests and needs and offering opportunities for student choice in the learning process. Incorporating diverse teaching strategies (e.g., video logs, peer-led activities), and ensuring access to necessary support services are also key. Additionally, fostering strong relationships between students and educators, creating a supportive atmosphere, and encouraging regular feedback from students can significantly enhance the learning experience. However, the findings suggest that, without supportive and </w:t>
      </w:r>
      <w:r w:rsidRPr="003B247A">
        <w:rPr>
          <w:rFonts w:cs="Calibri"/>
        </w:rPr>
        <w:t>engaged managers</w:t>
      </w:r>
      <w:r w:rsidR="00C47D7B" w:rsidRPr="003B247A">
        <w:rPr>
          <w:rFonts w:cs="Calibri"/>
        </w:rPr>
        <w:t xml:space="preserve"> </w:t>
      </w:r>
      <w:r w:rsidR="003B247A">
        <w:rPr>
          <w:rFonts w:cs="Calibri"/>
        </w:rPr>
        <w:t>(</w:t>
      </w:r>
      <w:r w:rsidR="003B247A">
        <w:rPr>
          <w:rFonts w:cs="Calibri"/>
        </w:rPr>
        <w:fldChar w:fldCharType="begin"/>
      </w:r>
      <w:r w:rsidR="003B247A">
        <w:rPr>
          <w:rFonts w:cs="Calibri"/>
        </w:rPr>
        <w:instrText xml:space="preserve"> REF _Ref185338696 \h </w:instrText>
      </w:r>
      <w:r w:rsidR="003B247A">
        <w:rPr>
          <w:rFonts w:cs="Calibri"/>
        </w:rPr>
      </w:r>
      <w:r w:rsidR="003B247A">
        <w:rPr>
          <w:rFonts w:cs="Calibri"/>
        </w:rPr>
        <w:fldChar w:fldCharType="separate"/>
      </w:r>
      <w:r w:rsidR="003B247A" w:rsidRPr="003524D8">
        <w:t>A</w:t>
      </w:r>
      <w:r w:rsidR="003B247A">
        <w:t>ppendix</w:t>
      </w:r>
      <w:r w:rsidR="003B247A" w:rsidRPr="003524D8">
        <w:t xml:space="preserve"> 3</w:t>
      </w:r>
      <w:r w:rsidR="003B247A">
        <w:rPr>
          <w:rFonts w:cs="Calibri"/>
        </w:rPr>
        <w:fldChar w:fldCharType="end"/>
      </w:r>
      <w:r w:rsidR="003B247A">
        <w:rPr>
          <w:rFonts w:cs="Calibri"/>
        </w:rPr>
        <w:t xml:space="preserve">) </w:t>
      </w:r>
      <w:r w:rsidRPr="003B247A">
        <w:rPr>
          <w:rFonts w:cs="Calibri"/>
        </w:rPr>
        <w:t>attempts</w:t>
      </w:r>
      <w:r w:rsidRPr="003524D8">
        <w:rPr>
          <w:rFonts w:cs="Calibri"/>
        </w:rPr>
        <w:t xml:space="preserve"> by tutors to improve </w:t>
      </w:r>
      <w:r w:rsidR="00755432" w:rsidRPr="003524D8">
        <w:rPr>
          <w:rFonts w:cs="Calibri"/>
        </w:rPr>
        <w:t>provision</w:t>
      </w:r>
      <w:r w:rsidRPr="003524D8">
        <w:rPr>
          <w:rFonts w:cs="Calibri"/>
        </w:rPr>
        <w:t>, creating a student-centred learning environment</w:t>
      </w:r>
      <w:r w:rsidR="00755432" w:rsidRPr="003524D8">
        <w:rPr>
          <w:rFonts w:cs="Calibri"/>
        </w:rPr>
        <w:t>,</w:t>
      </w:r>
      <w:r w:rsidRPr="003524D8">
        <w:rPr>
          <w:rFonts w:cs="Calibri"/>
        </w:rPr>
        <w:t xml:space="preserve"> will be limited.</w:t>
      </w:r>
    </w:p>
    <w:p w14:paraId="181110C2" w14:textId="295C30C1" w:rsidR="003B7E47" w:rsidRPr="003524D8" w:rsidRDefault="009C0CD5" w:rsidP="00D835E5">
      <w:pPr>
        <w:spacing w:after="160"/>
        <w:rPr>
          <w:rFonts w:cs="Calibri"/>
        </w:rPr>
      </w:pPr>
      <w:r w:rsidRPr="003524D8">
        <w:rPr>
          <w:rFonts w:cs="Calibri"/>
        </w:rPr>
        <w:t xml:space="preserve">The recommendations below apply to this researcher’s own </w:t>
      </w:r>
      <w:r w:rsidR="00433A95" w:rsidRPr="003524D8">
        <w:rPr>
          <w:rFonts w:cs="Calibri"/>
        </w:rPr>
        <w:t>FEI</w:t>
      </w:r>
      <w:r w:rsidRPr="003524D8">
        <w:rPr>
          <w:rFonts w:cs="Calibri"/>
        </w:rPr>
        <w:t xml:space="preserve"> and further research needs to be undertaken to better understand </w:t>
      </w:r>
      <w:r w:rsidR="003B7E47" w:rsidRPr="003524D8">
        <w:rPr>
          <w:rFonts w:cs="Calibri"/>
        </w:rPr>
        <w:t>whether</w:t>
      </w:r>
      <w:r w:rsidRPr="003524D8">
        <w:rPr>
          <w:rFonts w:cs="Calibri"/>
        </w:rPr>
        <w:t xml:space="preserve"> the issues discussed in this </w:t>
      </w:r>
      <w:r w:rsidR="008F60E9">
        <w:rPr>
          <w:rFonts w:cs="Calibri"/>
        </w:rPr>
        <w:t>study</w:t>
      </w:r>
      <w:r w:rsidRPr="003524D8">
        <w:rPr>
          <w:rFonts w:cs="Calibri"/>
        </w:rPr>
        <w:t xml:space="preserve"> are replicated throughout the FEI sector in Wales.</w:t>
      </w:r>
      <w:r w:rsidR="002E78DC" w:rsidRPr="003524D8">
        <w:rPr>
          <w:rFonts w:cs="Calibri"/>
        </w:rPr>
        <w:t xml:space="preserve"> </w:t>
      </w:r>
      <w:r w:rsidRPr="003524D8">
        <w:rPr>
          <w:rFonts w:cs="Calibri"/>
        </w:rPr>
        <w:t xml:space="preserve">The evidence gathered here suggests </w:t>
      </w:r>
      <w:r w:rsidR="003B7E47" w:rsidRPr="003524D8">
        <w:rPr>
          <w:rFonts w:cs="Calibri"/>
        </w:rPr>
        <w:t xml:space="preserve">that </w:t>
      </w:r>
      <w:r w:rsidRPr="003524D8">
        <w:rPr>
          <w:rFonts w:cs="Calibri"/>
        </w:rPr>
        <w:t>the college</w:t>
      </w:r>
      <w:r w:rsidR="00433A95" w:rsidRPr="003524D8">
        <w:rPr>
          <w:rFonts w:cs="Calibri"/>
        </w:rPr>
        <w:t xml:space="preserve"> should ensure that robust support systems are in place for Level 2 </w:t>
      </w:r>
      <w:r w:rsidR="003B7E47" w:rsidRPr="003524D8">
        <w:rPr>
          <w:rFonts w:cs="Calibri"/>
        </w:rPr>
        <w:t>s</w:t>
      </w:r>
      <w:r w:rsidR="00433A95" w:rsidRPr="003524D8">
        <w:rPr>
          <w:rFonts w:cs="Calibri"/>
        </w:rPr>
        <w:t>tudents</w:t>
      </w:r>
      <w:r w:rsidR="003B7E47" w:rsidRPr="003524D8">
        <w:rPr>
          <w:rFonts w:cs="Calibri"/>
        </w:rPr>
        <w:t>, particularly those</w:t>
      </w:r>
      <w:r w:rsidR="00433A95" w:rsidRPr="003524D8">
        <w:rPr>
          <w:rFonts w:cs="Calibri"/>
        </w:rPr>
        <w:t xml:space="preserve"> with </w:t>
      </w:r>
      <w:r w:rsidR="003B7E47" w:rsidRPr="003524D8">
        <w:rPr>
          <w:rFonts w:cs="Calibri"/>
        </w:rPr>
        <w:t>ALN</w:t>
      </w:r>
      <w:r w:rsidR="00433A95" w:rsidRPr="003524D8">
        <w:rPr>
          <w:rFonts w:cs="Calibri"/>
        </w:rPr>
        <w:t xml:space="preserve">. </w:t>
      </w:r>
      <w:r w:rsidRPr="003524D8">
        <w:rPr>
          <w:rFonts w:cs="Calibri"/>
        </w:rPr>
        <w:t>While college</w:t>
      </w:r>
      <w:r w:rsidR="00433A95" w:rsidRPr="003524D8">
        <w:rPr>
          <w:rFonts w:cs="Calibri"/>
        </w:rPr>
        <w:t xml:space="preserve"> promotional materials highlight available support</w:t>
      </w:r>
      <w:r w:rsidRPr="003524D8">
        <w:rPr>
          <w:rFonts w:cs="Calibri"/>
        </w:rPr>
        <w:t xml:space="preserve"> to students</w:t>
      </w:r>
      <w:r w:rsidR="00433A95" w:rsidRPr="003524D8">
        <w:rPr>
          <w:rFonts w:cs="Calibri"/>
        </w:rPr>
        <w:t xml:space="preserve">, </w:t>
      </w:r>
      <w:r w:rsidRPr="003524D8">
        <w:rPr>
          <w:rFonts w:cs="Calibri"/>
        </w:rPr>
        <w:t>the</w:t>
      </w:r>
      <w:r w:rsidR="00433A95" w:rsidRPr="003524D8">
        <w:rPr>
          <w:rFonts w:cs="Calibri"/>
        </w:rPr>
        <w:t xml:space="preserve"> actual delivery can be inconsistent due to budget constraints and staffing issues. </w:t>
      </w:r>
      <w:r w:rsidR="003B7E47" w:rsidRPr="003524D8">
        <w:rPr>
          <w:rFonts w:cs="Calibri"/>
        </w:rPr>
        <w:t>T</w:t>
      </w:r>
      <w:r w:rsidR="00484CC6" w:rsidRPr="003524D8">
        <w:rPr>
          <w:rFonts w:cs="Calibri"/>
        </w:rPr>
        <w:t>o this end, t</w:t>
      </w:r>
      <w:r w:rsidR="003B7E47" w:rsidRPr="003524D8">
        <w:rPr>
          <w:rFonts w:cs="Calibri"/>
        </w:rPr>
        <w:t>his study r</w:t>
      </w:r>
      <w:r w:rsidR="00433A95" w:rsidRPr="003524D8">
        <w:rPr>
          <w:rFonts w:cs="Calibri"/>
        </w:rPr>
        <w:t>ecommend</w:t>
      </w:r>
      <w:r w:rsidR="003B7E47" w:rsidRPr="003524D8">
        <w:rPr>
          <w:rFonts w:cs="Calibri"/>
        </w:rPr>
        <w:t>s that</w:t>
      </w:r>
      <w:r w:rsidR="00433A95" w:rsidRPr="003524D8">
        <w:rPr>
          <w:rFonts w:cs="Calibri"/>
        </w:rPr>
        <w:t xml:space="preserve"> </w:t>
      </w:r>
      <w:r w:rsidR="003B7E47" w:rsidRPr="003524D8">
        <w:rPr>
          <w:rFonts w:cs="Calibri"/>
        </w:rPr>
        <w:t>the FEI should</w:t>
      </w:r>
      <w:r w:rsidR="00433A95" w:rsidRPr="003524D8">
        <w:rPr>
          <w:rFonts w:cs="Calibri"/>
        </w:rPr>
        <w:t xml:space="preserve">: </w:t>
      </w:r>
    </w:p>
    <w:p w14:paraId="144B7682" w14:textId="77777777" w:rsidR="003B7E47" w:rsidRPr="003524D8" w:rsidRDefault="003B7E47" w:rsidP="003B7E47">
      <w:pPr>
        <w:pStyle w:val="ListParagraph"/>
        <w:numPr>
          <w:ilvl w:val="0"/>
          <w:numId w:val="46"/>
        </w:numPr>
        <w:spacing w:after="160"/>
        <w:rPr>
          <w:rFonts w:cs="Calibri"/>
        </w:rPr>
      </w:pPr>
      <w:r w:rsidRPr="003524D8">
        <w:rPr>
          <w:rFonts w:cs="Calibri"/>
        </w:rPr>
        <w:t xml:space="preserve">Carry out </w:t>
      </w:r>
      <w:r w:rsidR="00433A95" w:rsidRPr="003524D8">
        <w:rPr>
          <w:rFonts w:cs="Calibri"/>
        </w:rPr>
        <w:t>regular audit</w:t>
      </w:r>
      <w:r w:rsidR="00F45CA9" w:rsidRPr="003524D8">
        <w:rPr>
          <w:rFonts w:cs="Calibri"/>
        </w:rPr>
        <w:t>ing</w:t>
      </w:r>
      <w:r w:rsidR="00433A95" w:rsidRPr="003524D8">
        <w:rPr>
          <w:rFonts w:cs="Calibri"/>
        </w:rPr>
        <w:t xml:space="preserve"> of ALN support provision to identify and address gaps</w:t>
      </w:r>
      <w:r w:rsidR="00F45CA9" w:rsidRPr="003524D8">
        <w:rPr>
          <w:rFonts w:cs="Calibri"/>
        </w:rPr>
        <w:t>;</w:t>
      </w:r>
    </w:p>
    <w:p w14:paraId="53612CD6" w14:textId="77777777" w:rsidR="003B7E47" w:rsidRPr="003524D8" w:rsidRDefault="003B7E47" w:rsidP="003B7E47">
      <w:pPr>
        <w:pStyle w:val="ListParagraph"/>
        <w:numPr>
          <w:ilvl w:val="0"/>
          <w:numId w:val="46"/>
        </w:numPr>
        <w:spacing w:after="160"/>
        <w:rPr>
          <w:rFonts w:cs="Calibri"/>
        </w:rPr>
      </w:pPr>
      <w:r w:rsidRPr="003524D8">
        <w:rPr>
          <w:rFonts w:cs="Calibri"/>
        </w:rPr>
        <w:t>E</w:t>
      </w:r>
      <w:r w:rsidR="00433A95" w:rsidRPr="003524D8">
        <w:rPr>
          <w:rFonts w:cs="Calibri"/>
        </w:rPr>
        <w:t>mploying</w:t>
      </w:r>
      <w:r w:rsidR="00F45CA9" w:rsidRPr="003524D8">
        <w:rPr>
          <w:rFonts w:cs="Calibri"/>
        </w:rPr>
        <w:t xml:space="preserve"> suitably trained</w:t>
      </w:r>
      <w:r w:rsidR="00433A95" w:rsidRPr="003524D8">
        <w:rPr>
          <w:rFonts w:cs="Calibri"/>
        </w:rPr>
        <w:t xml:space="preserve"> dedicated support staff to assist students in areas like written assignments and </w:t>
      </w:r>
      <w:r w:rsidRPr="003524D8">
        <w:rPr>
          <w:rFonts w:cs="Calibri"/>
        </w:rPr>
        <w:t xml:space="preserve">relevant </w:t>
      </w:r>
      <w:r w:rsidR="00433A95" w:rsidRPr="003524D8">
        <w:rPr>
          <w:rFonts w:cs="Calibri"/>
        </w:rPr>
        <w:t>research skills</w:t>
      </w:r>
      <w:r w:rsidR="00F45CA9" w:rsidRPr="003524D8">
        <w:rPr>
          <w:rFonts w:cs="Calibri"/>
        </w:rPr>
        <w:t xml:space="preserve">; </w:t>
      </w:r>
    </w:p>
    <w:p w14:paraId="25246A01" w14:textId="77777777" w:rsidR="003B7E47" w:rsidRPr="003524D8" w:rsidRDefault="003B7E47" w:rsidP="003B7E47">
      <w:pPr>
        <w:pStyle w:val="ListParagraph"/>
        <w:numPr>
          <w:ilvl w:val="0"/>
          <w:numId w:val="46"/>
        </w:numPr>
        <w:spacing w:after="160"/>
        <w:rPr>
          <w:rFonts w:cs="Calibri"/>
        </w:rPr>
      </w:pPr>
      <w:r w:rsidRPr="003524D8">
        <w:rPr>
          <w:rFonts w:cs="Calibri"/>
        </w:rPr>
        <w:t>I</w:t>
      </w:r>
      <w:r w:rsidR="00433A95" w:rsidRPr="003524D8">
        <w:rPr>
          <w:rFonts w:cs="Calibri"/>
        </w:rPr>
        <w:t>mplementing an accessible, reliable process for tutors to refer students needing extra academic or well-being support.</w:t>
      </w:r>
      <w:r w:rsidR="00BC7447" w:rsidRPr="003524D8">
        <w:rPr>
          <w:rFonts w:cs="Calibri"/>
        </w:rPr>
        <w:t xml:space="preserve"> </w:t>
      </w:r>
    </w:p>
    <w:p w14:paraId="6F745300" w14:textId="77777777" w:rsidR="003B7E47" w:rsidRPr="003524D8" w:rsidRDefault="00433A95" w:rsidP="003B7E47">
      <w:pPr>
        <w:spacing w:after="160"/>
        <w:ind w:left="360"/>
        <w:rPr>
          <w:rFonts w:cs="Calibri"/>
        </w:rPr>
      </w:pPr>
      <w:r w:rsidRPr="003524D8">
        <w:rPr>
          <w:rFonts w:cs="Calibri"/>
        </w:rPr>
        <w:t xml:space="preserve">To address socio-economic disparities among students and ensure access to essential ICT tools, the </w:t>
      </w:r>
      <w:r w:rsidR="00F45CA9" w:rsidRPr="003524D8">
        <w:rPr>
          <w:rFonts w:cs="Calibri"/>
        </w:rPr>
        <w:t xml:space="preserve">FEI </w:t>
      </w:r>
      <w:r w:rsidRPr="003524D8">
        <w:rPr>
          <w:rFonts w:cs="Calibri"/>
        </w:rPr>
        <w:t>should:</w:t>
      </w:r>
      <w:r w:rsidR="00F45CA9" w:rsidRPr="003524D8">
        <w:rPr>
          <w:rFonts w:cs="Calibri"/>
        </w:rPr>
        <w:t xml:space="preserve"> </w:t>
      </w:r>
    </w:p>
    <w:p w14:paraId="01A7F052" w14:textId="77777777" w:rsidR="00E353A4" w:rsidRPr="003524D8" w:rsidRDefault="003B7E47" w:rsidP="003B7E47">
      <w:pPr>
        <w:pStyle w:val="ListParagraph"/>
        <w:numPr>
          <w:ilvl w:val="0"/>
          <w:numId w:val="47"/>
        </w:numPr>
        <w:spacing w:after="160"/>
        <w:rPr>
          <w:rFonts w:cs="Calibri"/>
        </w:rPr>
      </w:pPr>
      <w:r w:rsidRPr="003524D8">
        <w:rPr>
          <w:rFonts w:cs="Calibri"/>
        </w:rPr>
        <w:t>D</w:t>
      </w:r>
      <w:r w:rsidR="00F45CA9" w:rsidRPr="003524D8">
        <w:rPr>
          <w:rFonts w:cs="Calibri"/>
        </w:rPr>
        <w:t xml:space="preserve">evelop </w:t>
      </w:r>
      <w:r w:rsidR="00433A95" w:rsidRPr="003524D8">
        <w:rPr>
          <w:rFonts w:cs="Calibri"/>
        </w:rPr>
        <w:t>loan schemes for laptops, Wi-Fi hotspots, other technolog</w:t>
      </w:r>
      <w:r w:rsidR="00F45CA9" w:rsidRPr="003524D8">
        <w:rPr>
          <w:rFonts w:cs="Calibri"/>
        </w:rPr>
        <w:t xml:space="preserve">ies and training for those </w:t>
      </w:r>
      <w:r w:rsidR="00433A95" w:rsidRPr="003524D8">
        <w:rPr>
          <w:rFonts w:cs="Calibri"/>
        </w:rPr>
        <w:t xml:space="preserve">students </w:t>
      </w:r>
      <w:r w:rsidR="00F45CA9" w:rsidRPr="003524D8">
        <w:rPr>
          <w:rFonts w:cs="Calibri"/>
        </w:rPr>
        <w:t xml:space="preserve">who </w:t>
      </w:r>
      <w:r w:rsidR="00433A95" w:rsidRPr="003524D8">
        <w:rPr>
          <w:rFonts w:cs="Calibri"/>
        </w:rPr>
        <w:t>lack access</w:t>
      </w:r>
      <w:r w:rsidR="00F45CA9" w:rsidRPr="003524D8">
        <w:rPr>
          <w:rFonts w:cs="Calibri"/>
        </w:rPr>
        <w:t xml:space="preserve">; </w:t>
      </w:r>
    </w:p>
    <w:p w14:paraId="2BB899A8" w14:textId="77777777" w:rsidR="00E353A4" w:rsidRPr="003524D8" w:rsidRDefault="00E353A4" w:rsidP="003B7E47">
      <w:pPr>
        <w:pStyle w:val="ListParagraph"/>
        <w:numPr>
          <w:ilvl w:val="0"/>
          <w:numId w:val="47"/>
        </w:numPr>
        <w:spacing w:after="160"/>
        <w:rPr>
          <w:rFonts w:cs="Calibri"/>
        </w:rPr>
      </w:pPr>
      <w:r w:rsidRPr="003524D8">
        <w:rPr>
          <w:rFonts w:cs="Calibri"/>
        </w:rPr>
        <w:lastRenderedPageBreak/>
        <w:t>P</w:t>
      </w:r>
      <w:r w:rsidR="00433A95" w:rsidRPr="003524D8">
        <w:rPr>
          <w:rFonts w:cs="Calibri"/>
        </w:rPr>
        <w:t>rovide dedicated computer spaces or rooms for Creative Arts students to facilitate both theoretical and practical learning</w:t>
      </w:r>
      <w:r w:rsidR="00F45CA9" w:rsidRPr="003524D8">
        <w:rPr>
          <w:rFonts w:cs="Calibri"/>
        </w:rPr>
        <w:t xml:space="preserve">; </w:t>
      </w:r>
    </w:p>
    <w:p w14:paraId="1A34041B" w14:textId="0E4B8E15" w:rsidR="00E353A4" w:rsidRPr="003524D8" w:rsidRDefault="00E353A4" w:rsidP="003B7E47">
      <w:pPr>
        <w:pStyle w:val="ListParagraph"/>
        <w:numPr>
          <w:ilvl w:val="0"/>
          <w:numId w:val="47"/>
        </w:numPr>
        <w:spacing w:after="160"/>
        <w:rPr>
          <w:rFonts w:cs="Calibri"/>
        </w:rPr>
      </w:pPr>
      <w:r w:rsidRPr="003524D8">
        <w:rPr>
          <w:rFonts w:cs="Calibri"/>
        </w:rPr>
        <w:t>R</w:t>
      </w:r>
      <w:r w:rsidR="00433A95" w:rsidRPr="003524D8">
        <w:rPr>
          <w:rFonts w:cs="Calibri"/>
        </w:rPr>
        <w:t xml:space="preserve">egularly update and maintain </w:t>
      </w:r>
      <w:r w:rsidR="00F45CA9" w:rsidRPr="003524D8">
        <w:rPr>
          <w:rFonts w:cs="Calibri"/>
        </w:rPr>
        <w:t xml:space="preserve">digital </w:t>
      </w:r>
      <w:r w:rsidR="00433A95" w:rsidRPr="003524D8">
        <w:rPr>
          <w:rFonts w:cs="Calibri"/>
        </w:rPr>
        <w:t xml:space="preserve">equipment </w:t>
      </w:r>
      <w:r w:rsidRPr="003524D8">
        <w:rPr>
          <w:rFonts w:cs="Calibri"/>
        </w:rPr>
        <w:t>such as DAW software</w:t>
      </w:r>
      <w:r w:rsidR="00433A95" w:rsidRPr="003524D8">
        <w:rPr>
          <w:rFonts w:cs="Calibri"/>
        </w:rPr>
        <w:t xml:space="preserve"> and recording studio technology.</w:t>
      </w:r>
      <w:r w:rsidR="00BC7447" w:rsidRPr="003524D8">
        <w:rPr>
          <w:rFonts w:cs="Calibri"/>
        </w:rPr>
        <w:t xml:space="preserve"> </w:t>
      </w:r>
    </w:p>
    <w:p w14:paraId="0EC9600E" w14:textId="77777777" w:rsidR="00E353A4" w:rsidRPr="003524D8" w:rsidRDefault="009C0CD5" w:rsidP="00E353A4">
      <w:pPr>
        <w:spacing w:after="160"/>
        <w:rPr>
          <w:rFonts w:cs="Calibri"/>
        </w:rPr>
      </w:pPr>
      <w:r w:rsidRPr="003524D8">
        <w:rPr>
          <w:rFonts w:cs="Calibri"/>
        </w:rPr>
        <w:t xml:space="preserve">The </w:t>
      </w:r>
      <w:r w:rsidR="00E353A4" w:rsidRPr="003524D8">
        <w:rPr>
          <w:rFonts w:cs="Calibri"/>
        </w:rPr>
        <w:t>FEI</w:t>
      </w:r>
      <w:r w:rsidRPr="003524D8">
        <w:rPr>
          <w:rFonts w:cs="Calibri"/>
        </w:rPr>
        <w:t xml:space="preserve"> </w:t>
      </w:r>
      <w:r w:rsidR="00F45CA9" w:rsidRPr="003524D8">
        <w:rPr>
          <w:rFonts w:cs="Calibri"/>
        </w:rPr>
        <w:t>should</w:t>
      </w:r>
      <w:r w:rsidR="00F45CA9" w:rsidRPr="003524D8">
        <w:rPr>
          <w:rFonts w:cs="Calibri"/>
          <w:b/>
          <w:bCs/>
        </w:rPr>
        <w:t xml:space="preserve"> </w:t>
      </w:r>
      <w:r w:rsidR="00E353A4" w:rsidRPr="003524D8">
        <w:rPr>
          <w:rFonts w:cs="Calibri"/>
        </w:rPr>
        <w:t>also</w:t>
      </w:r>
      <w:r w:rsidR="00E353A4" w:rsidRPr="003524D8">
        <w:rPr>
          <w:rFonts w:cs="Calibri"/>
          <w:b/>
          <w:bCs/>
        </w:rPr>
        <w:t xml:space="preserve"> </w:t>
      </w:r>
      <w:r w:rsidR="00F45CA9" w:rsidRPr="003524D8">
        <w:rPr>
          <w:rFonts w:cs="Calibri"/>
        </w:rPr>
        <w:t>d</w:t>
      </w:r>
      <w:r w:rsidR="00433A95" w:rsidRPr="003524D8">
        <w:rPr>
          <w:rFonts w:cs="Calibri"/>
        </w:rPr>
        <w:t xml:space="preserve">evelop </w:t>
      </w:r>
      <w:r w:rsidR="00F45CA9" w:rsidRPr="003524D8">
        <w:rPr>
          <w:rFonts w:cs="Calibri"/>
        </w:rPr>
        <w:t>c</w:t>
      </w:r>
      <w:r w:rsidR="00433A95" w:rsidRPr="003524D8">
        <w:rPr>
          <w:rFonts w:cs="Calibri"/>
        </w:rPr>
        <w:t xml:space="preserve">onsistent and </w:t>
      </w:r>
      <w:r w:rsidR="00F45CA9" w:rsidRPr="003524D8">
        <w:rPr>
          <w:rFonts w:cs="Calibri"/>
        </w:rPr>
        <w:t>s</w:t>
      </w:r>
      <w:r w:rsidR="00433A95" w:rsidRPr="003524D8">
        <w:rPr>
          <w:rFonts w:cs="Calibri"/>
        </w:rPr>
        <w:t>tudent-</w:t>
      </w:r>
      <w:r w:rsidR="00F45CA9" w:rsidRPr="003524D8">
        <w:rPr>
          <w:rFonts w:cs="Calibri"/>
        </w:rPr>
        <w:t>c</w:t>
      </w:r>
      <w:r w:rsidR="00433A95" w:rsidRPr="003524D8">
        <w:rPr>
          <w:rFonts w:cs="Calibri"/>
        </w:rPr>
        <w:t xml:space="preserve">entric </w:t>
      </w:r>
      <w:r w:rsidR="00F45CA9" w:rsidRPr="003524D8">
        <w:rPr>
          <w:rFonts w:cs="Calibri"/>
        </w:rPr>
        <w:t>t</w:t>
      </w:r>
      <w:r w:rsidR="00433A95" w:rsidRPr="003524D8">
        <w:rPr>
          <w:rFonts w:cs="Calibri"/>
        </w:rPr>
        <w:t>imetabling</w:t>
      </w:r>
      <w:r w:rsidR="00F45CA9" w:rsidRPr="003524D8">
        <w:rPr>
          <w:rFonts w:cs="Calibri"/>
        </w:rPr>
        <w:t>,</w:t>
      </w:r>
      <w:r w:rsidR="00433A95" w:rsidRPr="003524D8">
        <w:rPr>
          <w:rFonts w:cs="Calibri"/>
        </w:rPr>
        <w:t xml:space="preserve"> essential to improv</w:t>
      </w:r>
      <w:r w:rsidR="00E353A4" w:rsidRPr="003524D8">
        <w:rPr>
          <w:rFonts w:cs="Calibri"/>
        </w:rPr>
        <w:t>ing</w:t>
      </w:r>
      <w:r w:rsidR="00433A95" w:rsidRPr="003524D8">
        <w:rPr>
          <w:rFonts w:cs="Calibri"/>
        </w:rPr>
        <w:t xml:space="preserve"> student engagement and learning outcomes</w:t>
      </w:r>
      <w:r w:rsidR="00F45CA9" w:rsidRPr="003524D8">
        <w:rPr>
          <w:rFonts w:cs="Calibri"/>
        </w:rPr>
        <w:t xml:space="preserve">. </w:t>
      </w:r>
      <w:r w:rsidRPr="003524D8">
        <w:rPr>
          <w:rFonts w:cs="Calibri"/>
        </w:rPr>
        <w:t>Consideration should be given to:</w:t>
      </w:r>
      <w:r w:rsidR="00DE0C12" w:rsidRPr="003524D8">
        <w:rPr>
          <w:rFonts w:cs="Calibri"/>
        </w:rPr>
        <w:t xml:space="preserve"> </w:t>
      </w:r>
    </w:p>
    <w:p w14:paraId="0C56FD1A" w14:textId="77777777" w:rsidR="00E353A4" w:rsidRPr="003524D8" w:rsidRDefault="00E353A4" w:rsidP="00E353A4">
      <w:pPr>
        <w:pStyle w:val="ListParagraph"/>
        <w:numPr>
          <w:ilvl w:val="0"/>
          <w:numId w:val="48"/>
        </w:numPr>
        <w:spacing w:after="160"/>
        <w:rPr>
          <w:rFonts w:cs="Calibri"/>
        </w:rPr>
      </w:pPr>
      <w:r w:rsidRPr="003524D8">
        <w:rPr>
          <w:rFonts w:cs="Calibri"/>
        </w:rPr>
        <w:t>O</w:t>
      </w:r>
      <w:r w:rsidR="00433A95" w:rsidRPr="003524D8">
        <w:rPr>
          <w:rFonts w:cs="Calibri"/>
        </w:rPr>
        <w:t>ffer</w:t>
      </w:r>
      <w:r w:rsidR="00DE0C12" w:rsidRPr="003524D8">
        <w:rPr>
          <w:rFonts w:cs="Calibri"/>
        </w:rPr>
        <w:t>ing</w:t>
      </w:r>
      <w:r w:rsidR="00433A95" w:rsidRPr="003524D8">
        <w:rPr>
          <w:rFonts w:cs="Calibri"/>
        </w:rPr>
        <w:t xml:space="preserve"> shorter, more focused practical sessions</w:t>
      </w:r>
      <w:r w:rsidR="00DE0C12" w:rsidRPr="003524D8">
        <w:rPr>
          <w:rFonts w:cs="Calibri"/>
        </w:rPr>
        <w:t xml:space="preserve"> </w:t>
      </w:r>
      <w:r w:rsidR="00433A95" w:rsidRPr="003524D8">
        <w:rPr>
          <w:rFonts w:cs="Calibri"/>
        </w:rPr>
        <w:t>to sustain student attention and creativity</w:t>
      </w:r>
      <w:r w:rsidR="00DE0C12" w:rsidRPr="003524D8">
        <w:rPr>
          <w:rFonts w:cs="Calibri"/>
        </w:rPr>
        <w:t xml:space="preserve">; </w:t>
      </w:r>
    </w:p>
    <w:p w14:paraId="47F02A1A" w14:textId="77777777" w:rsidR="00E353A4" w:rsidRPr="003524D8" w:rsidRDefault="00E353A4" w:rsidP="00E353A4">
      <w:pPr>
        <w:pStyle w:val="ListParagraph"/>
        <w:numPr>
          <w:ilvl w:val="0"/>
          <w:numId w:val="48"/>
        </w:numPr>
        <w:spacing w:after="160"/>
        <w:rPr>
          <w:rFonts w:cs="Calibri"/>
        </w:rPr>
      </w:pPr>
      <w:r w:rsidRPr="003524D8">
        <w:rPr>
          <w:rFonts w:cs="Calibri"/>
        </w:rPr>
        <w:t>M</w:t>
      </w:r>
      <w:r w:rsidR="00433A95" w:rsidRPr="003524D8">
        <w:rPr>
          <w:rFonts w:cs="Calibri"/>
        </w:rPr>
        <w:t>aintain</w:t>
      </w:r>
      <w:r w:rsidR="009C0CD5" w:rsidRPr="003524D8">
        <w:rPr>
          <w:rFonts w:cs="Calibri"/>
        </w:rPr>
        <w:t>ing</w:t>
      </w:r>
      <w:r w:rsidR="00433A95" w:rsidRPr="003524D8">
        <w:rPr>
          <w:rFonts w:cs="Calibri"/>
        </w:rPr>
        <w:t xml:space="preserve"> a stable weekly timetable to minimi</w:t>
      </w:r>
      <w:r w:rsidR="00DE0C12" w:rsidRPr="003524D8">
        <w:rPr>
          <w:rFonts w:cs="Calibri"/>
        </w:rPr>
        <w:t>s</w:t>
      </w:r>
      <w:r w:rsidR="00433A95" w:rsidRPr="003524D8">
        <w:rPr>
          <w:rFonts w:cs="Calibri"/>
        </w:rPr>
        <w:t>e confusion and improve attendance</w:t>
      </w:r>
      <w:r w:rsidR="00DE0C12" w:rsidRPr="003524D8">
        <w:rPr>
          <w:rFonts w:cs="Calibri"/>
        </w:rPr>
        <w:t>;</w:t>
      </w:r>
    </w:p>
    <w:p w14:paraId="2A0E8597" w14:textId="77777777" w:rsidR="00E353A4" w:rsidRPr="003524D8" w:rsidRDefault="00E353A4" w:rsidP="00E353A4">
      <w:pPr>
        <w:pStyle w:val="ListParagraph"/>
        <w:numPr>
          <w:ilvl w:val="0"/>
          <w:numId w:val="48"/>
        </w:numPr>
        <w:spacing w:after="160"/>
        <w:rPr>
          <w:rFonts w:cs="Calibri"/>
        </w:rPr>
      </w:pPr>
      <w:r w:rsidRPr="003524D8">
        <w:rPr>
          <w:rFonts w:cs="Calibri"/>
        </w:rPr>
        <w:t>P</w:t>
      </w:r>
      <w:r w:rsidR="00433A95" w:rsidRPr="003524D8">
        <w:rPr>
          <w:rFonts w:cs="Calibri"/>
        </w:rPr>
        <w:t>rovid</w:t>
      </w:r>
      <w:r w:rsidR="009C0CD5" w:rsidRPr="003524D8">
        <w:rPr>
          <w:rFonts w:cs="Calibri"/>
        </w:rPr>
        <w:t>ing</w:t>
      </w:r>
      <w:r w:rsidR="00433A95" w:rsidRPr="003524D8">
        <w:rPr>
          <w:rFonts w:cs="Calibri"/>
        </w:rPr>
        <w:t xml:space="preserve"> structured breaks that encourage informal learning, peer collaboration, and discussion outside the classroom.</w:t>
      </w:r>
      <w:r w:rsidR="00BC7447" w:rsidRPr="003524D8">
        <w:rPr>
          <w:rFonts w:cs="Calibri"/>
          <w:b/>
          <w:bCs/>
        </w:rPr>
        <w:t xml:space="preserve"> </w:t>
      </w:r>
    </w:p>
    <w:p w14:paraId="3D9E29BA" w14:textId="77777777" w:rsidR="00E353A4" w:rsidRPr="003524D8" w:rsidRDefault="00BC7447" w:rsidP="00E353A4">
      <w:pPr>
        <w:spacing w:after="160"/>
        <w:ind w:left="360"/>
        <w:rPr>
          <w:rFonts w:cs="Calibri"/>
        </w:rPr>
      </w:pPr>
      <w:r w:rsidRPr="003524D8">
        <w:rPr>
          <w:rFonts w:cs="Calibri"/>
        </w:rPr>
        <w:t xml:space="preserve">The </w:t>
      </w:r>
      <w:r w:rsidR="00E353A4" w:rsidRPr="003524D8">
        <w:rPr>
          <w:rFonts w:cs="Calibri"/>
        </w:rPr>
        <w:t>FEI</w:t>
      </w:r>
      <w:r w:rsidRPr="003524D8">
        <w:rPr>
          <w:rFonts w:cs="Calibri"/>
        </w:rPr>
        <w:t xml:space="preserve"> should</w:t>
      </w:r>
      <w:r w:rsidR="00433A95" w:rsidRPr="003524D8">
        <w:rPr>
          <w:rFonts w:cs="Calibri"/>
        </w:rPr>
        <w:t xml:space="preserve"> </w:t>
      </w:r>
      <w:r w:rsidR="00DE0C12" w:rsidRPr="003524D8">
        <w:rPr>
          <w:rFonts w:cs="Calibri"/>
        </w:rPr>
        <w:t>s</w:t>
      </w:r>
      <w:r w:rsidR="00433A95" w:rsidRPr="003524D8">
        <w:rPr>
          <w:rFonts w:cs="Calibri"/>
        </w:rPr>
        <w:t xml:space="preserve">trengthen </w:t>
      </w:r>
      <w:r w:rsidR="00DE0C12" w:rsidRPr="003524D8">
        <w:rPr>
          <w:rFonts w:cs="Calibri"/>
        </w:rPr>
        <w:t>s</w:t>
      </w:r>
      <w:r w:rsidR="00433A95" w:rsidRPr="003524D8">
        <w:rPr>
          <w:rFonts w:cs="Calibri"/>
        </w:rPr>
        <w:t>tudent-</w:t>
      </w:r>
      <w:r w:rsidR="00DE0C12" w:rsidRPr="003524D8">
        <w:rPr>
          <w:rFonts w:cs="Calibri"/>
        </w:rPr>
        <w:t>c</w:t>
      </w:r>
      <w:r w:rsidR="00433A95" w:rsidRPr="003524D8">
        <w:rPr>
          <w:rFonts w:cs="Calibri"/>
        </w:rPr>
        <w:t xml:space="preserve">entred </w:t>
      </w:r>
      <w:r w:rsidR="00DE0C12" w:rsidRPr="003524D8">
        <w:rPr>
          <w:rFonts w:cs="Calibri"/>
        </w:rPr>
        <w:t>l</w:t>
      </w:r>
      <w:r w:rsidR="00433A95" w:rsidRPr="003524D8">
        <w:rPr>
          <w:rFonts w:cs="Calibri"/>
        </w:rPr>
        <w:t xml:space="preserve">earning </w:t>
      </w:r>
      <w:r w:rsidR="00DE0C12" w:rsidRPr="003524D8">
        <w:rPr>
          <w:rFonts w:cs="Calibri"/>
        </w:rPr>
        <w:t>a</w:t>
      </w:r>
      <w:r w:rsidR="00433A95" w:rsidRPr="003524D8">
        <w:rPr>
          <w:rFonts w:cs="Calibri"/>
        </w:rPr>
        <w:t>pproaches</w:t>
      </w:r>
      <w:r w:rsidRPr="003524D8">
        <w:rPr>
          <w:rFonts w:cs="Calibri"/>
        </w:rPr>
        <w:t xml:space="preserve"> that</w:t>
      </w:r>
      <w:r w:rsidR="00DE0C12" w:rsidRPr="003524D8">
        <w:rPr>
          <w:rFonts w:cs="Calibri"/>
        </w:rPr>
        <w:t xml:space="preserve"> </w:t>
      </w:r>
      <w:r w:rsidR="00433A95" w:rsidRPr="003524D8">
        <w:rPr>
          <w:rFonts w:cs="Calibri"/>
        </w:rPr>
        <w:t>support differentiation and autonomy in learning</w:t>
      </w:r>
      <w:r w:rsidRPr="003524D8">
        <w:rPr>
          <w:rFonts w:cs="Calibri"/>
        </w:rPr>
        <w:t xml:space="preserve"> by</w:t>
      </w:r>
      <w:r w:rsidR="009C0CD5" w:rsidRPr="003524D8">
        <w:rPr>
          <w:rFonts w:cs="Calibri"/>
        </w:rPr>
        <w:t xml:space="preserve"> p</w:t>
      </w:r>
      <w:r w:rsidR="00433A95" w:rsidRPr="003524D8">
        <w:rPr>
          <w:rFonts w:cs="Calibri"/>
        </w:rPr>
        <w:t>rovid</w:t>
      </w:r>
      <w:r w:rsidRPr="003524D8">
        <w:rPr>
          <w:rFonts w:cs="Calibri"/>
        </w:rPr>
        <w:t>ing:</w:t>
      </w:r>
      <w:r w:rsidR="00433A95" w:rsidRPr="003524D8">
        <w:rPr>
          <w:rFonts w:cs="Calibri"/>
        </w:rPr>
        <w:t xml:space="preserve"> </w:t>
      </w:r>
    </w:p>
    <w:p w14:paraId="2F9F9190" w14:textId="77777777" w:rsidR="00E353A4" w:rsidRPr="003524D8" w:rsidRDefault="00E353A4" w:rsidP="00E353A4">
      <w:pPr>
        <w:pStyle w:val="ListParagraph"/>
        <w:numPr>
          <w:ilvl w:val="0"/>
          <w:numId w:val="49"/>
        </w:numPr>
        <w:spacing w:after="160"/>
        <w:rPr>
          <w:rFonts w:cs="Calibri"/>
        </w:rPr>
      </w:pPr>
      <w:r w:rsidRPr="003524D8">
        <w:rPr>
          <w:rFonts w:cs="Calibri"/>
        </w:rPr>
        <w:t>T</w:t>
      </w:r>
      <w:r w:rsidR="00433A95" w:rsidRPr="003524D8">
        <w:rPr>
          <w:rFonts w:cs="Calibri"/>
        </w:rPr>
        <w:t>raining for tutors on flexible teaching strategies that cater to diverse learning styles, such as video logs, speech-to-text tools, and practical demonstrations</w:t>
      </w:r>
      <w:r w:rsidR="009C0CD5" w:rsidRPr="003524D8">
        <w:rPr>
          <w:rFonts w:cs="Calibri"/>
        </w:rPr>
        <w:t xml:space="preserve">; </w:t>
      </w:r>
    </w:p>
    <w:p w14:paraId="117C4383" w14:textId="77777777" w:rsidR="00E353A4" w:rsidRPr="003524D8" w:rsidRDefault="00E353A4" w:rsidP="00E353A4">
      <w:pPr>
        <w:pStyle w:val="ListParagraph"/>
        <w:numPr>
          <w:ilvl w:val="0"/>
          <w:numId w:val="49"/>
        </w:numPr>
        <w:spacing w:after="160"/>
        <w:rPr>
          <w:rFonts w:cs="Calibri"/>
        </w:rPr>
      </w:pPr>
      <w:r w:rsidRPr="003524D8">
        <w:rPr>
          <w:rFonts w:cs="Calibri"/>
        </w:rPr>
        <w:t>R</w:t>
      </w:r>
      <w:r w:rsidR="00433A95" w:rsidRPr="003524D8">
        <w:rPr>
          <w:rFonts w:cs="Calibri"/>
        </w:rPr>
        <w:t>educ</w:t>
      </w:r>
      <w:r w:rsidR="00BC7447" w:rsidRPr="003524D8">
        <w:rPr>
          <w:rFonts w:cs="Calibri"/>
        </w:rPr>
        <w:t>ing</w:t>
      </w:r>
      <w:r w:rsidR="00433A95" w:rsidRPr="003524D8">
        <w:rPr>
          <w:rFonts w:cs="Calibri"/>
        </w:rPr>
        <w:t xml:space="preserve"> the emphasis on rigid lesson plans and schemes of work, empowering tutors to adapt delivery to students’ evolving needs</w:t>
      </w:r>
      <w:r w:rsidR="009C0CD5" w:rsidRPr="003524D8">
        <w:rPr>
          <w:rFonts w:cs="Calibri"/>
        </w:rPr>
        <w:t xml:space="preserve">; </w:t>
      </w:r>
    </w:p>
    <w:p w14:paraId="07841D09" w14:textId="77777777" w:rsidR="00E353A4" w:rsidRPr="003524D8" w:rsidRDefault="00E353A4" w:rsidP="00E353A4">
      <w:pPr>
        <w:pStyle w:val="ListParagraph"/>
        <w:numPr>
          <w:ilvl w:val="0"/>
          <w:numId w:val="49"/>
        </w:numPr>
        <w:spacing w:after="160"/>
        <w:rPr>
          <w:rFonts w:cs="Calibri"/>
        </w:rPr>
      </w:pPr>
      <w:r w:rsidRPr="003524D8">
        <w:rPr>
          <w:rFonts w:cs="Calibri"/>
        </w:rPr>
        <w:t>P</w:t>
      </w:r>
      <w:r w:rsidR="00433A95" w:rsidRPr="003524D8">
        <w:rPr>
          <w:rFonts w:cs="Calibri"/>
        </w:rPr>
        <w:t>romot</w:t>
      </w:r>
      <w:r w:rsidR="00BC7447" w:rsidRPr="003524D8">
        <w:rPr>
          <w:rFonts w:cs="Calibri"/>
        </w:rPr>
        <w:t>ing</w:t>
      </w:r>
      <w:r w:rsidR="00433A95" w:rsidRPr="003524D8">
        <w:rPr>
          <w:rFonts w:cs="Calibri"/>
        </w:rPr>
        <w:t xml:space="preserve"> initiatives like student-led study groups and peer leadership opportunities to foster ownership of learning and teamwork.</w:t>
      </w:r>
      <w:r w:rsidR="00BC7447" w:rsidRPr="003524D8">
        <w:rPr>
          <w:rFonts w:cs="Calibri"/>
          <w:b/>
          <w:bCs/>
        </w:rPr>
        <w:t xml:space="preserve"> </w:t>
      </w:r>
    </w:p>
    <w:p w14:paraId="6F85BB73" w14:textId="0AFCB727" w:rsidR="00E353A4" w:rsidRPr="003524D8" w:rsidRDefault="00BC7447" w:rsidP="00E353A4">
      <w:pPr>
        <w:spacing w:after="160"/>
        <w:ind w:left="720"/>
        <w:rPr>
          <w:rFonts w:cs="Calibri"/>
        </w:rPr>
      </w:pPr>
      <w:r w:rsidRPr="003524D8">
        <w:rPr>
          <w:rFonts w:cs="Calibri"/>
        </w:rPr>
        <w:t>The evidence suggests that</w:t>
      </w:r>
      <w:r w:rsidR="00E353A4" w:rsidRPr="003524D8">
        <w:rPr>
          <w:rFonts w:cs="Calibri"/>
        </w:rPr>
        <w:t>,</w:t>
      </w:r>
      <w:r w:rsidRPr="003524D8">
        <w:rPr>
          <w:rFonts w:cs="Calibri"/>
        </w:rPr>
        <w:t xml:space="preserve"> within the </w:t>
      </w:r>
      <w:r w:rsidR="00E353A4" w:rsidRPr="003524D8">
        <w:rPr>
          <w:rFonts w:cs="Calibri"/>
        </w:rPr>
        <w:t>FEI,</w:t>
      </w:r>
      <w:r w:rsidRPr="003524D8">
        <w:rPr>
          <w:rFonts w:cs="Calibri"/>
        </w:rPr>
        <w:t xml:space="preserve"> there are issues with the course management and communication that need addressing urgently. To </w:t>
      </w:r>
      <w:r w:rsidR="00E353A4" w:rsidRPr="003524D8">
        <w:rPr>
          <w:rFonts w:cs="Calibri"/>
        </w:rPr>
        <w:t>address</w:t>
      </w:r>
      <w:r w:rsidRPr="003524D8">
        <w:rPr>
          <w:rFonts w:cs="Calibri"/>
        </w:rPr>
        <w:t xml:space="preserve"> </w:t>
      </w:r>
      <w:r w:rsidR="00E353A4" w:rsidRPr="003524D8">
        <w:rPr>
          <w:rFonts w:cs="Calibri"/>
        </w:rPr>
        <w:t>th</w:t>
      </w:r>
      <w:r w:rsidR="008F60E9">
        <w:rPr>
          <w:rFonts w:cs="Calibri"/>
        </w:rPr>
        <w:t>ese issues</w:t>
      </w:r>
      <w:r w:rsidRPr="003524D8">
        <w:rPr>
          <w:rFonts w:cs="Calibri"/>
        </w:rPr>
        <w:t xml:space="preserve">, </w:t>
      </w:r>
      <w:r w:rsidR="00433A95" w:rsidRPr="003524D8">
        <w:rPr>
          <w:rFonts w:cs="Calibri"/>
        </w:rPr>
        <w:t>a</w:t>
      </w:r>
      <w:r w:rsidR="00E353A4" w:rsidRPr="003524D8">
        <w:rPr>
          <w:rFonts w:cs="Calibri"/>
        </w:rPr>
        <w:t>s well as</w:t>
      </w:r>
      <w:r w:rsidR="00433A95" w:rsidRPr="003524D8">
        <w:rPr>
          <w:rFonts w:cs="Calibri"/>
        </w:rPr>
        <w:t xml:space="preserve"> </w:t>
      </w:r>
      <w:r w:rsidR="00E353A4" w:rsidRPr="003524D8">
        <w:rPr>
          <w:rFonts w:cs="Calibri"/>
        </w:rPr>
        <w:t xml:space="preserve">improving </w:t>
      </w:r>
      <w:r w:rsidR="00433A95" w:rsidRPr="003524D8">
        <w:rPr>
          <w:rFonts w:cs="Calibri"/>
        </w:rPr>
        <w:t>staff satisfaction, the following measures are recommended:</w:t>
      </w:r>
      <w:r w:rsidRPr="003524D8">
        <w:rPr>
          <w:rFonts w:cs="Calibri"/>
        </w:rPr>
        <w:t xml:space="preserve"> </w:t>
      </w:r>
    </w:p>
    <w:p w14:paraId="0A4E439D" w14:textId="77777777" w:rsidR="00E353A4" w:rsidRPr="003524D8" w:rsidRDefault="00E353A4" w:rsidP="00E353A4">
      <w:pPr>
        <w:pStyle w:val="ListParagraph"/>
        <w:numPr>
          <w:ilvl w:val="0"/>
          <w:numId w:val="50"/>
        </w:numPr>
        <w:spacing w:after="160"/>
        <w:rPr>
          <w:rFonts w:cs="Calibri"/>
        </w:rPr>
      </w:pPr>
      <w:r w:rsidRPr="003524D8">
        <w:rPr>
          <w:rFonts w:cs="Calibri"/>
        </w:rPr>
        <w:t>A</w:t>
      </w:r>
      <w:r w:rsidR="00433A95" w:rsidRPr="003524D8">
        <w:rPr>
          <w:rFonts w:cs="Calibri"/>
        </w:rPr>
        <w:t>ssign consistent ‘home rooms’ for Level 2 students to provide a safe and stable learning environment, supporting their transition from school to college</w:t>
      </w:r>
      <w:r w:rsidRPr="003524D8">
        <w:rPr>
          <w:rFonts w:cs="Calibri"/>
        </w:rPr>
        <w:t>;</w:t>
      </w:r>
    </w:p>
    <w:p w14:paraId="0E4455E9" w14:textId="2223555C" w:rsidR="00E353A4" w:rsidRPr="003524D8" w:rsidRDefault="00E353A4" w:rsidP="00E353A4">
      <w:pPr>
        <w:pStyle w:val="ListParagraph"/>
        <w:numPr>
          <w:ilvl w:val="0"/>
          <w:numId w:val="50"/>
        </w:numPr>
        <w:spacing w:after="160"/>
        <w:rPr>
          <w:rFonts w:cs="Calibri"/>
        </w:rPr>
      </w:pPr>
      <w:r w:rsidRPr="003524D8">
        <w:rPr>
          <w:rFonts w:cs="Calibri"/>
        </w:rPr>
        <w:t>S</w:t>
      </w:r>
      <w:r w:rsidR="00433A95" w:rsidRPr="003524D8">
        <w:rPr>
          <w:rFonts w:cs="Calibri"/>
        </w:rPr>
        <w:t>treamline communication channels for staff to raise concerns about student issues, ensuring prompt and supportive responses from line managers</w:t>
      </w:r>
      <w:r w:rsidR="008F60E9">
        <w:rPr>
          <w:rFonts w:cs="Calibri"/>
        </w:rPr>
        <w:t>;</w:t>
      </w:r>
    </w:p>
    <w:p w14:paraId="691E0630" w14:textId="77777777" w:rsidR="00E353A4" w:rsidRPr="003524D8" w:rsidRDefault="00E353A4" w:rsidP="00E353A4">
      <w:pPr>
        <w:pStyle w:val="ListParagraph"/>
        <w:numPr>
          <w:ilvl w:val="0"/>
          <w:numId w:val="50"/>
        </w:numPr>
        <w:spacing w:after="160"/>
        <w:rPr>
          <w:rFonts w:cs="Calibri"/>
        </w:rPr>
      </w:pPr>
      <w:r w:rsidRPr="003524D8">
        <w:rPr>
          <w:rFonts w:cs="Calibri"/>
        </w:rPr>
        <w:lastRenderedPageBreak/>
        <w:t>P</w:t>
      </w:r>
      <w:r w:rsidR="00433A95" w:rsidRPr="003524D8">
        <w:rPr>
          <w:rFonts w:cs="Calibri"/>
        </w:rPr>
        <w:t>rovide professional development for managers to improve staff support processes and reduce redirection to ineffective systems.</w:t>
      </w:r>
      <w:r w:rsidR="00BC7447" w:rsidRPr="003524D8">
        <w:rPr>
          <w:rFonts w:cs="Calibri"/>
        </w:rPr>
        <w:t xml:space="preserve"> </w:t>
      </w:r>
    </w:p>
    <w:p w14:paraId="7B72403F" w14:textId="77777777" w:rsidR="00E353A4" w:rsidRPr="003524D8" w:rsidRDefault="00BC7447" w:rsidP="00E353A4">
      <w:pPr>
        <w:spacing w:after="160"/>
        <w:ind w:left="1080"/>
        <w:rPr>
          <w:rFonts w:cs="Calibri"/>
        </w:rPr>
      </w:pPr>
      <w:r w:rsidRPr="003524D8">
        <w:rPr>
          <w:rFonts w:cs="Calibri"/>
        </w:rPr>
        <w:t>Finally, it is recommended that student well-being and pastoral support needs to be expanded, r</w:t>
      </w:r>
      <w:r w:rsidR="00433A95" w:rsidRPr="003524D8">
        <w:rPr>
          <w:rFonts w:cs="Calibri"/>
        </w:rPr>
        <w:t>ecogni</w:t>
      </w:r>
      <w:r w:rsidRPr="003524D8">
        <w:rPr>
          <w:rFonts w:cs="Calibri"/>
        </w:rPr>
        <w:t>s</w:t>
      </w:r>
      <w:r w:rsidR="00433A95" w:rsidRPr="003524D8">
        <w:rPr>
          <w:rFonts w:cs="Calibri"/>
        </w:rPr>
        <w:t>ing the social and emotional challenges faced by Level 2 students</w:t>
      </w:r>
      <w:r w:rsidRPr="003524D8">
        <w:rPr>
          <w:rFonts w:cs="Calibri"/>
        </w:rPr>
        <w:t xml:space="preserve">. Therefore, the </w:t>
      </w:r>
      <w:r w:rsidR="00E353A4" w:rsidRPr="003524D8">
        <w:rPr>
          <w:rFonts w:cs="Calibri"/>
        </w:rPr>
        <w:t>FEI</w:t>
      </w:r>
      <w:r w:rsidR="00433A95" w:rsidRPr="003524D8">
        <w:rPr>
          <w:rFonts w:cs="Calibri"/>
        </w:rPr>
        <w:t xml:space="preserve"> </w:t>
      </w:r>
      <w:r w:rsidRPr="003524D8">
        <w:rPr>
          <w:rFonts w:cs="Calibri"/>
        </w:rPr>
        <w:t>needs to</w:t>
      </w:r>
      <w:r w:rsidR="00433A95" w:rsidRPr="003524D8">
        <w:rPr>
          <w:rFonts w:cs="Calibri"/>
        </w:rPr>
        <w:t>:</w:t>
      </w:r>
      <w:r w:rsidRPr="003524D8">
        <w:rPr>
          <w:rFonts w:cs="Calibri"/>
        </w:rPr>
        <w:t xml:space="preserve"> </w:t>
      </w:r>
    </w:p>
    <w:p w14:paraId="7F75DCFF" w14:textId="77777777" w:rsidR="00E353A4" w:rsidRPr="003524D8" w:rsidRDefault="00E353A4" w:rsidP="00E353A4">
      <w:pPr>
        <w:pStyle w:val="ListParagraph"/>
        <w:numPr>
          <w:ilvl w:val="0"/>
          <w:numId w:val="51"/>
        </w:numPr>
        <w:spacing w:after="160"/>
        <w:rPr>
          <w:rFonts w:cs="Calibri"/>
        </w:rPr>
      </w:pPr>
      <w:r w:rsidRPr="003524D8">
        <w:rPr>
          <w:rFonts w:cs="Calibri"/>
        </w:rPr>
        <w:t>I</w:t>
      </w:r>
      <w:r w:rsidR="00433A95" w:rsidRPr="003524D8">
        <w:rPr>
          <w:rFonts w:cs="Calibri"/>
        </w:rPr>
        <w:t>ncrease the visibility and accessibility of well-being officers and support services by offering flexible appointment times and drop-in sessions</w:t>
      </w:r>
      <w:r w:rsidR="00E20C6C" w:rsidRPr="003524D8">
        <w:rPr>
          <w:rFonts w:cs="Calibri"/>
        </w:rPr>
        <w:t xml:space="preserve">; </w:t>
      </w:r>
    </w:p>
    <w:p w14:paraId="7846728B" w14:textId="77777777" w:rsidR="00E353A4" w:rsidRPr="003524D8" w:rsidRDefault="00E353A4" w:rsidP="00E353A4">
      <w:pPr>
        <w:pStyle w:val="ListParagraph"/>
        <w:numPr>
          <w:ilvl w:val="0"/>
          <w:numId w:val="51"/>
        </w:numPr>
        <w:spacing w:after="160"/>
        <w:rPr>
          <w:rFonts w:cs="Calibri"/>
        </w:rPr>
      </w:pPr>
      <w:r w:rsidRPr="003524D8">
        <w:rPr>
          <w:rFonts w:cs="Calibri"/>
        </w:rPr>
        <w:t>F</w:t>
      </w:r>
      <w:r w:rsidR="00433A95" w:rsidRPr="003524D8">
        <w:rPr>
          <w:rFonts w:cs="Calibri"/>
        </w:rPr>
        <w:t>acilitate workshops on mental health, communication skills, and resilience to help students navigate personal challenges</w:t>
      </w:r>
      <w:r w:rsidR="00E20C6C" w:rsidRPr="003524D8">
        <w:rPr>
          <w:rFonts w:cs="Calibri"/>
        </w:rPr>
        <w:t xml:space="preserve">; </w:t>
      </w:r>
    </w:p>
    <w:p w14:paraId="1B38EF62" w14:textId="0317C123" w:rsidR="00433A95" w:rsidRPr="003524D8" w:rsidRDefault="00E353A4" w:rsidP="00D835E5">
      <w:pPr>
        <w:pStyle w:val="ListParagraph"/>
        <w:numPr>
          <w:ilvl w:val="0"/>
          <w:numId w:val="51"/>
        </w:numPr>
        <w:spacing w:after="160"/>
        <w:rPr>
          <w:rFonts w:cs="Calibri"/>
        </w:rPr>
      </w:pPr>
      <w:r w:rsidRPr="003524D8">
        <w:rPr>
          <w:rFonts w:cs="Calibri"/>
        </w:rPr>
        <w:t>S</w:t>
      </w:r>
      <w:r w:rsidR="00433A95" w:rsidRPr="003524D8">
        <w:rPr>
          <w:rFonts w:cs="Calibri"/>
        </w:rPr>
        <w:t>trengthen collaboration between tutors, pastoral staff, and external agencies to deliver holistic support for students’ academic and personal development.</w:t>
      </w:r>
    </w:p>
    <w:p w14:paraId="309943AD" w14:textId="66521AB5" w:rsidR="0092415A" w:rsidRPr="003524D8" w:rsidRDefault="00433A95" w:rsidP="003524D8">
      <w:pPr>
        <w:spacing w:after="160"/>
        <w:rPr>
          <w:rFonts w:cs="Calibri"/>
        </w:rPr>
      </w:pPr>
      <w:r w:rsidRPr="003524D8">
        <w:rPr>
          <w:rFonts w:cs="Calibri"/>
        </w:rPr>
        <w:t xml:space="preserve">These recommendations address the critical issues of student support, </w:t>
      </w:r>
      <w:r w:rsidR="00E20C6C" w:rsidRPr="003524D8">
        <w:rPr>
          <w:rFonts w:cs="Calibri"/>
        </w:rPr>
        <w:t xml:space="preserve">differentiation, student-centred learning, student engagement, </w:t>
      </w:r>
      <w:r w:rsidRPr="003524D8">
        <w:rPr>
          <w:rFonts w:cs="Calibri"/>
        </w:rPr>
        <w:t xml:space="preserve">resources, </w:t>
      </w:r>
      <w:r w:rsidR="00E20C6C" w:rsidRPr="003524D8">
        <w:rPr>
          <w:rFonts w:cs="Calibri"/>
        </w:rPr>
        <w:t xml:space="preserve">course management and </w:t>
      </w:r>
      <w:r w:rsidRPr="003524D8">
        <w:rPr>
          <w:rFonts w:cs="Calibri"/>
        </w:rPr>
        <w:t xml:space="preserve">timetabling, aiming to </w:t>
      </w:r>
      <w:r w:rsidR="00E20C6C" w:rsidRPr="003524D8">
        <w:rPr>
          <w:rFonts w:cs="Calibri"/>
        </w:rPr>
        <w:t xml:space="preserve">create a </w:t>
      </w:r>
      <w:r w:rsidR="00AB6FF5" w:rsidRPr="003524D8">
        <w:rPr>
          <w:rFonts w:cs="Calibri"/>
        </w:rPr>
        <w:t>student-centred  learning environment for Level 2 Vocational Students in a Further Education Institution in Wales.</w:t>
      </w:r>
      <w:r w:rsidR="0092415A">
        <w:rPr>
          <w:rFonts w:cs="Calibri"/>
          <w:highlight w:val="magenta"/>
        </w:rPr>
        <w:br w:type="page"/>
      </w:r>
    </w:p>
    <w:p w14:paraId="565F7686" w14:textId="22F598CA" w:rsidR="00484CC6" w:rsidRPr="003524D8" w:rsidRDefault="0092415A" w:rsidP="0092415A">
      <w:pPr>
        <w:pStyle w:val="Heading1"/>
      </w:pPr>
      <w:bookmarkStart w:id="28" w:name="_Toc185674576"/>
      <w:r w:rsidRPr="003524D8">
        <w:lastRenderedPageBreak/>
        <w:t>CITATIONS</w:t>
      </w:r>
      <w:bookmarkEnd w:id="28"/>
    </w:p>
    <w:sdt>
      <w:sdtPr>
        <w:id w:val="1262408534"/>
        <w:docPartObj>
          <w:docPartGallery w:val="Bibliographies"/>
          <w:docPartUnique/>
        </w:docPartObj>
      </w:sdtPr>
      <w:sdtEndPr>
        <w:rPr>
          <w:rFonts w:ascii="Calibri" w:eastAsia="Times New Roman" w:hAnsi="Calibri" w:cs="Times New Roman"/>
          <w:b/>
          <w:bCs/>
          <w:color w:val="auto"/>
          <w:sz w:val="24"/>
          <w:szCs w:val="24"/>
        </w:rPr>
      </w:sdtEndPr>
      <w:sdtContent>
        <w:p w14:paraId="6F63868C" w14:textId="23CE57E9" w:rsidR="007A71A7" w:rsidRPr="007A71A7" w:rsidRDefault="007A71A7" w:rsidP="007A71A7">
          <w:pPr>
            <w:pStyle w:val="Heading1"/>
            <w:spacing w:line="240" w:lineRule="auto"/>
            <w:rPr>
              <w:rFonts w:ascii="Arial" w:hAnsi="Arial" w:cs="Arial"/>
              <w:color w:val="000000" w:themeColor="text1"/>
              <w:sz w:val="20"/>
              <w:szCs w:val="20"/>
            </w:rPr>
          </w:pPr>
          <w:r w:rsidRPr="007A71A7">
            <w:rPr>
              <w:rFonts w:ascii="Arial" w:hAnsi="Arial" w:cs="Arial"/>
              <w:color w:val="000000" w:themeColor="text1"/>
              <w:sz w:val="20"/>
              <w:szCs w:val="20"/>
            </w:rPr>
            <w:fldChar w:fldCharType="begin"/>
          </w:r>
          <w:r w:rsidRPr="007A71A7">
            <w:rPr>
              <w:rFonts w:ascii="Arial" w:hAnsi="Arial" w:cs="Arial"/>
              <w:color w:val="000000" w:themeColor="text1"/>
              <w:sz w:val="20"/>
              <w:szCs w:val="20"/>
            </w:rPr>
            <w:instrText xml:space="preserve"> BIBLIOGRAPHY </w:instrText>
          </w:r>
          <w:r w:rsidRPr="007A71A7">
            <w:rPr>
              <w:rFonts w:ascii="Arial" w:hAnsi="Arial" w:cs="Arial"/>
              <w:color w:val="000000" w:themeColor="text1"/>
              <w:sz w:val="20"/>
              <w:szCs w:val="20"/>
            </w:rPr>
            <w:fldChar w:fldCharType="separate"/>
          </w:r>
          <w:r w:rsidRPr="007A71A7">
            <w:rPr>
              <w:rFonts w:ascii="Arial" w:hAnsi="Arial" w:cs="Arial"/>
              <w:noProof/>
              <w:color w:val="000000" w:themeColor="text1"/>
              <w:sz w:val="20"/>
              <w:szCs w:val="20"/>
            </w:rPr>
            <w:t xml:space="preserve">Acquah, D. K., Limmer, H. &amp; Malpass, D., 2017. ‘I don’t know where to find the careers adviser … he has disappeared’: the impact of changes to careers advice on 14–16 year olds in University Technical Colleges and schools. </w:t>
          </w:r>
          <w:r w:rsidRPr="007A71A7">
            <w:rPr>
              <w:rFonts w:ascii="Arial" w:hAnsi="Arial" w:cs="Arial"/>
              <w:i/>
              <w:iCs/>
              <w:noProof/>
              <w:color w:val="000000" w:themeColor="text1"/>
              <w:sz w:val="20"/>
              <w:szCs w:val="20"/>
            </w:rPr>
            <w:t xml:space="preserve">Research Papers in Education , </w:t>
          </w:r>
          <w:r w:rsidRPr="007A71A7">
            <w:rPr>
              <w:rFonts w:ascii="Arial" w:hAnsi="Arial" w:cs="Arial"/>
              <w:noProof/>
              <w:color w:val="000000" w:themeColor="text1"/>
              <w:sz w:val="20"/>
              <w:szCs w:val="20"/>
            </w:rPr>
            <w:t>32(2), pp. 197-216.</w:t>
          </w:r>
        </w:p>
        <w:p w14:paraId="582D929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Andersen, I. G. &amp; Andersen, S. C., 2015. Student-centered instruction and academic achievement: linking mechanisms of educational inequality to schools’ instructional strategy. </w:t>
          </w:r>
          <w:r w:rsidRPr="007A71A7">
            <w:rPr>
              <w:rFonts w:ascii="Arial" w:hAnsi="Arial" w:cs="Arial"/>
              <w:i/>
              <w:iCs/>
              <w:noProof/>
              <w:color w:val="000000" w:themeColor="text1"/>
              <w:sz w:val="20"/>
              <w:szCs w:val="20"/>
            </w:rPr>
            <w:t xml:space="preserve">British Journal of Sociology of Education , </w:t>
          </w:r>
          <w:r w:rsidRPr="007A71A7">
            <w:rPr>
              <w:rFonts w:ascii="Arial" w:hAnsi="Arial" w:cs="Arial"/>
              <w:noProof/>
              <w:color w:val="000000" w:themeColor="text1"/>
              <w:sz w:val="20"/>
              <w:szCs w:val="20"/>
            </w:rPr>
            <w:t>38(4), pp. 533-550.</w:t>
          </w:r>
        </w:p>
        <w:p w14:paraId="675D435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AOC, 2024. </w:t>
          </w:r>
          <w:r w:rsidRPr="007A71A7">
            <w:rPr>
              <w:rFonts w:ascii="Arial" w:hAnsi="Arial" w:cs="Arial"/>
              <w:i/>
              <w:iCs/>
              <w:noProof/>
              <w:color w:val="000000" w:themeColor="text1"/>
              <w:sz w:val="20"/>
              <w:szCs w:val="20"/>
            </w:rPr>
            <w:t xml:space="preserve">General further education colleges.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https://www.aoc.co.uk/about/general-further-education-colleges</w:t>
          </w:r>
          <w:r w:rsidRPr="007A71A7">
            <w:rPr>
              <w:rFonts w:ascii="Arial" w:hAnsi="Arial" w:cs="Arial"/>
              <w:noProof/>
              <w:color w:val="000000" w:themeColor="text1"/>
              <w:sz w:val="20"/>
              <w:szCs w:val="20"/>
            </w:rPr>
            <w:br/>
            <w:t>[Accessed 28 October 2024].</w:t>
          </w:r>
        </w:p>
        <w:p w14:paraId="7FEDE31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Baker, C. N. et al., 2021. The Experience of COVID-19 and Its Impact on Teachers’ Mental Health, Coping, and Teaching. </w:t>
          </w:r>
          <w:r w:rsidRPr="007A71A7">
            <w:rPr>
              <w:rFonts w:ascii="Arial" w:hAnsi="Arial" w:cs="Arial"/>
              <w:i/>
              <w:iCs/>
              <w:noProof/>
              <w:color w:val="000000" w:themeColor="text1"/>
              <w:sz w:val="20"/>
              <w:szCs w:val="20"/>
            </w:rPr>
            <w:t xml:space="preserve">School Psychology Review , </w:t>
          </w:r>
          <w:r w:rsidRPr="007A71A7">
            <w:rPr>
              <w:rFonts w:ascii="Arial" w:hAnsi="Arial" w:cs="Arial"/>
              <w:noProof/>
              <w:color w:val="000000" w:themeColor="text1"/>
              <w:sz w:val="20"/>
              <w:szCs w:val="20"/>
            </w:rPr>
            <w:t>50(4), pp. 491-504.</w:t>
          </w:r>
        </w:p>
        <w:p w14:paraId="642E75F9"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Bashir, M., Khan, M. &amp; Ali, S., 2020. The impact of effective timetable scheduling on student performance and well-being. </w:t>
          </w:r>
          <w:r w:rsidRPr="007A71A7">
            <w:rPr>
              <w:rFonts w:ascii="Arial" w:hAnsi="Arial" w:cs="Arial"/>
              <w:i/>
              <w:iCs/>
              <w:noProof/>
              <w:color w:val="000000" w:themeColor="text1"/>
              <w:sz w:val="20"/>
              <w:szCs w:val="20"/>
            </w:rPr>
            <w:t xml:space="preserve">Journal of Educational Research and Practice, </w:t>
          </w:r>
          <w:r w:rsidRPr="007A71A7">
            <w:rPr>
              <w:rFonts w:ascii="Arial" w:hAnsi="Arial" w:cs="Arial"/>
              <w:noProof/>
              <w:color w:val="000000" w:themeColor="text1"/>
              <w:sz w:val="20"/>
              <w:szCs w:val="20"/>
            </w:rPr>
            <w:t>10(2), pp. 45-56.</w:t>
          </w:r>
        </w:p>
        <w:p w14:paraId="6570B25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Bashir, N. S. E. &amp;. M. D., 2020. Effective teaching strategies in vocational education. </w:t>
          </w:r>
          <w:r w:rsidRPr="007A71A7">
            <w:rPr>
              <w:rFonts w:ascii="Arial" w:hAnsi="Arial" w:cs="Arial"/>
              <w:i/>
              <w:iCs/>
              <w:noProof/>
              <w:color w:val="000000" w:themeColor="text1"/>
              <w:sz w:val="20"/>
              <w:szCs w:val="20"/>
            </w:rPr>
            <w:t xml:space="preserve">Journal of Vocational Education and Training, </w:t>
          </w:r>
          <w:r w:rsidRPr="007A71A7">
            <w:rPr>
              <w:rFonts w:ascii="Arial" w:hAnsi="Arial" w:cs="Arial"/>
              <w:noProof/>
              <w:color w:val="000000" w:themeColor="text1"/>
              <w:sz w:val="20"/>
              <w:szCs w:val="20"/>
            </w:rPr>
            <w:t>72(3), pp. 337-352.</w:t>
          </w:r>
        </w:p>
        <w:p w14:paraId="2F76882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Bashir, T., Khan, M. U. &amp; Ahmad, K., 2023. Teacher Discourse and Student Engagement in ESL Learning Settings. </w:t>
          </w:r>
          <w:r w:rsidRPr="007A71A7">
            <w:rPr>
              <w:rFonts w:ascii="Arial" w:hAnsi="Arial" w:cs="Arial"/>
              <w:i/>
              <w:iCs/>
              <w:noProof/>
              <w:color w:val="000000" w:themeColor="text1"/>
              <w:sz w:val="20"/>
              <w:szCs w:val="20"/>
            </w:rPr>
            <w:t xml:space="preserve">Harf-O-Sukhan, </w:t>
          </w:r>
          <w:r w:rsidRPr="007A71A7">
            <w:rPr>
              <w:rFonts w:ascii="Arial" w:hAnsi="Arial" w:cs="Arial"/>
              <w:noProof/>
              <w:color w:val="000000" w:themeColor="text1"/>
              <w:sz w:val="20"/>
              <w:szCs w:val="20"/>
            </w:rPr>
            <w:t>7(2), pp. 156-167.</w:t>
          </w:r>
        </w:p>
        <w:p w14:paraId="7151094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Bell, J., Waters, S. &amp; Johnson, H., 2024. </w:t>
          </w:r>
          <w:r w:rsidRPr="007A71A7">
            <w:rPr>
              <w:rFonts w:ascii="Arial" w:hAnsi="Arial" w:cs="Arial"/>
              <w:i/>
              <w:iCs/>
              <w:noProof/>
              <w:color w:val="000000" w:themeColor="text1"/>
              <w:sz w:val="20"/>
              <w:szCs w:val="20"/>
            </w:rPr>
            <w:t xml:space="preserve">Doing Your Research Project: A Guide for First-time Researchers. </w:t>
          </w:r>
          <w:r w:rsidRPr="007A71A7">
            <w:rPr>
              <w:rFonts w:ascii="Arial" w:hAnsi="Arial" w:cs="Arial"/>
              <w:noProof/>
              <w:color w:val="000000" w:themeColor="text1"/>
              <w:sz w:val="20"/>
              <w:szCs w:val="20"/>
            </w:rPr>
            <w:t>3rd ed. s.l.:Open University Press.</w:t>
          </w:r>
        </w:p>
        <w:p w14:paraId="4CDD672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BERA, 2024. </w:t>
          </w:r>
          <w:r w:rsidRPr="007A71A7">
            <w:rPr>
              <w:rFonts w:ascii="Arial" w:hAnsi="Arial" w:cs="Arial"/>
              <w:i/>
              <w:iCs/>
              <w:noProof/>
              <w:color w:val="000000" w:themeColor="text1"/>
              <w:sz w:val="20"/>
              <w:szCs w:val="20"/>
            </w:rPr>
            <w:t xml:space="preserve">Ethical Guidelines for Educational Research, fifth edition.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https://www.bera.ac.uk/publication/ethical-guidelines-for-educational-research-fifth-edition-2024-online</w:t>
          </w:r>
          <w:r w:rsidRPr="007A71A7">
            <w:rPr>
              <w:rFonts w:ascii="Arial" w:hAnsi="Arial" w:cs="Arial"/>
              <w:noProof/>
              <w:color w:val="000000" w:themeColor="text1"/>
              <w:sz w:val="20"/>
              <w:szCs w:val="20"/>
            </w:rPr>
            <w:br/>
            <w:t>[Accessed 30 October 2024].</w:t>
          </w:r>
        </w:p>
        <w:p w14:paraId="64CAD09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Bergdahl, N., 2022. Engagement and disengagement in online learning. </w:t>
          </w:r>
          <w:r w:rsidRPr="007A71A7">
            <w:rPr>
              <w:rFonts w:ascii="Arial" w:hAnsi="Arial" w:cs="Arial"/>
              <w:i/>
              <w:iCs/>
              <w:noProof/>
              <w:color w:val="000000" w:themeColor="text1"/>
              <w:sz w:val="20"/>
              <w:szCs w:val="20"/>
            </w:rPr>
            <w:t xml:space="preserve">Computers &amp; Education, </w:t>
          </w:r>
          <w:r w:rsidRPr="007A71A7">
            <w:rPr>
              <w:rFonts w:ascii="Arial" w:hAnsi="Arial" w:cs="Arial"/>
              <w:noProof/>
              <w:color w:val="000000" w:themeColor="text1"/>
              <w:sz w:val="20"/>
              <w:szCs w:val="20"/>
            </w:rPr>
            <w:t>Volume 188.</w:t>
          </w:r>
        </w:p>
        <w:p w14:paraId="53B0AB4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Bos, J., 2020. </w:t>
          </w:r>
          <w:r w:rsidRPr="007A71A7">
            <w:rPr>
              <w:rFonts w:ascii="Arial" w:hAnsi="Arial" w:cs="Arial"/>
              <w:i/>
              <w:iCs/>
              <w:noProof/>
              <w:color w:val="000000" w:themeColor="text1"/>
              <w:sz w:val="20"/>
              <w:szCs w:val="20"/>
            </w:rPr>
            <w:t xml:space="preserve">Confidentiality. In: Research Ethics for Students in the Social Sciences.. </w:t>
          </w:r>
          <w:r w:rsidRPr="007A71A7">
            <w:rPr>
              <w:rFonts w:ascii="Arial" w:hAnsi="Arial" w:cs="Arial"/>
              <w:noProof/>
              <w:color w:val="000000" w:themeColor="text1"/>
              <w:sz w:val="20"/>
              <w:szCs w:val="20"/>
            </w:rPr>
            <w:t>s.l.:Springer.</w:t>
          </w:r>
        </w:p>
        <w:p w14:paraId="3BA8E4F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Braun, V. &amp; Clarke, V., 2006. Using thematic analysis in psychology.. </w:t>
          </w:r>
          <w:r w:rsidRPr="007A71A7">
            <w:rPr>
              <w:rFonts w:ascii="Arial" w:hAnsi="Arial" w:cs="Arial"/>
              <w:i/>
              <w:iCs/>
              <w:noProof/>
              <w:color w:val="000000" w:themeColor="text1"/>
              <w:sz w:val="20"/>
              <w:szCs w:val="20"/>
            </w:rPr>
            <w:t xml:space="preserve">Qualitative Research in Psychology, </w:t>
          </w:r>
          <w:r w:rsidRPr="007A71A7">
            <w:rPr>
              <w:rFonts w:ascii="Arial" w:hAnsi="Arial" w:cs="Arial"/>
              <w:noProof/>
              <w:color w:val="000000" w:themeColor="text1"/>
              <w:sz w:val="20"/>
              <w:szCs w:val="20"/>
            </w:rPr>
            <w:t>3(2), pp. 77-101.</w:t>
          </w:r>
        </w:p>
        <w:p w14:paraId="5964CDD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Braun, V. &amp; Clarke, V., 2021. </w:t>
          </w:r>
          <w:r w:rsidRPr="007A71A7">
            <w:rPr>
              <w:rFonts w:ascii="Arial" w:hAnsi="Arial" w:cs="Arial"/>
              <w:i/>
              <w:iCs/>
              <w:noProof/>
              <w:color w:val="000000" w:themeColor="text1"/>
              <w:sz w:val="20"/>
              <w:szCs w:val="20"/>
            </w:rPr>
            <w:t xml:space="preserve">Thematic Analysis: A Practical Guide. </w:t>
          </w:r>
          <w:r w:rsidRPr="007A71A7">
            <w:rPr>
              <w:rFonts w:ascii="Arial" w:hAnsi="Arial" w:cs="Arial"/>
              <w:noProof/>
              <w:color w:val="000000" w:themeColor="text1"/>
              <w:sz w:val="20"/>
              <w:szCs w:val="20"/>
            </w:rPr>
            <w:t>s.l.:SAGE Publications.</w:t>
          </w:r>
        </w:p>
        <w:p w14:paraId="0B38AEF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Braun, V. &amp; Clarke, V., 2022. Toward good practice in thematic analysis: Avoiding common problems and be(com)ing a knowing researcher. </w:t>
          </w:r>
          <w:r w:rsidRPr="007A71A7">
            <w:rPr>
              <w:rFonts w:ascii="Arial" w:hAnsi="Arial" w:cs="Arial"/>
              <w:i/>
              <w:iCs/>
              <w:noProof/>
              <w:color w:val="000000" w:themeColor="text1"/>
              <w:sz w:val="20"/>
              <w:szCs w:val="20"/>
            </w:rPr>
            <w:t xml:space="preserve">International Journal of Transgender Health, </w:t>
          </w:r>
          <w:r w:rsidRPr="007A71A7">
            <w:rPr>
              <w:rFonts w:ascii="Arial" w:hAnsi="Arial" w:cs="Arial"/>
              <w:noProof/>
              <w:color w:val="000000" w:themeColor="text1"/>
              <w:sz w:val="20"/>
              <w:szCs w:val="20"/>
            </w:rPr>
            <w:t>24(1), pp. 1-6.</w:t>
          </w:r>
        </w:p>
        <w:p w14:paraId="189CB34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Bremner, N., Sakata, N. &amp; Cameron, L., 2022. The outcomes of learner-centred pedagogy: A systematic review. </w:t>
          </w:r>
          <w:r w:rsidRPr="007A71A7">
            <w:rPr>
              <w:rFonts w:ascii="Arial" w:hAnsi="Arial" w:cs="Arial"/>
              <w:i/>
              <w:iCs/>
              <w:noProof/>
              <w:color w:val="000000" w:themeColor="text1"/>
              <w:sz w:val="20"/>
              <w:szCs w:val="20"/>
            </w:rPr>
            <w:t xml:space="preserve">International Journal of Educational Development, </w:t>
          </w:r>
          <w:r w:rsidRPr="007A71A7">
            <w:rPr>
              <w:rFonts w:ascii="Arial" w:hAnsi="Arial" w:cs="Arial"/>
              <w:noProof/>
              <w:color w:val="000000" w:themeColor="text1"/>
              <w:sz w:val="20"/>
              <w:szCs w:val="20"/>
            </w:rPr>
            <w:t>Volume 94, pp. 1-11.</w:t>
          </w:r>
        </w:p>
        <w:p w14:paraId="4E96DFE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Bryman, A., 2016. </w:t>
          </w:r>
          <w:r w:rsidRPr="007A71A7">
            <w:rPr>
              <w:rFonts w:ascii="Arial" w:hAnsi="Arial" w:cs="Arial"/>
              <w:i/>
              <w:iCs/>
              <w:noProof/>
              <w:color w:val="000000" w:themeColor="text1"/>
              <w:sz w:val="20"/>
              <w:szCs w:val="20"/>
            </w:rPr>
            <w:t xml:space="preserve">Social Research Methods. </w:t>
          </w:r>
          <w:r w:rsidRPr="007A71A7">
            <w:rPr>
              <w:rFonts w:ascii="Arial" w:hAnsi="Arial" w:cs="Arial"/>
              <w:noProof/>
              <w:color w:val="000000" w:themeColor="text1"/>
              <w:sz w:val="20"/>
              <w:szCs w:val="20"/>
            </w:rPr>
            <w:t>5th ed. Oxford: Oxford University Press.</w:t>
          </w:r>
        </w:p>
        <w:p w14:paraId="0D182F02"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BTEC, 2024. </w:t>
          </w:r>
          <w:r w:rsidRPr="007A71A7">
            <w:rPr>
              <w:rFonts w:ascii="Arial" w:hAnsi="Arial" w:cs="Arial"/>
              <w:i/>
              <w:iCs/>
              <w:noProof/>
              <w:color w:val="000000" w:themeColor="text1"/>
              <w:sz w:val="20"/>
              <w:szCs w:val="20"/>
            </w:rPr>
            <w:t xml:space="preserve">BTEC Diplomas.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https://www.ucas.com/post-16-qualifications/qualifications-you-can-take/btec-diplomas#:~:text=BTEC%20stands%20for%20the%20Business,with%20subject%20and%20theory%20content.</w:t>
          </w:r>
          <w:r w:rsidRPr="007A71A7">
            <w:rPr>
              <w:rFonts w:ascii="Arial" w:hAnsi="Arial" w:cs="Arial"/>
              <w:noProof/>
              <w:color w:val="000000" w:themeColor="text1"/>
              <w:sz w:val="20"/>
              <w:szCs w:val="20"/>
            </w:rPr>
            <w:br/>
            <w:t>[Accessed 28 October 2024].</w:t>
          </w:r>
        </w:p>
        <w:p w14:paraId="73D018E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Caffrey, T., 2023. </w:t>
          </w:r>
          <w:r w:rsidRPr="007A71A7">
            <w:rPr>
              <w:rFonts w:ascii="Arial" w:hAnsi="Arial" w:cs="Arial"/>
              <w:i/>
              <w:iCs/>
              <w:noProof/>
              <w:color w:val="000000" w:themeColor="text1"/>
              <w:sz w:val="20"/>
              <w:szCs w:val="20"/>
            </w:rPr>
            <w:t xml:space="preserve">Imagination and Pedagogy: Reclaiming the Educational in Further Education.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https://etheses.whiterose.ac.uk/34309/1/TC%20-%20Thesis%20-</w:t>
          </w:r>
          <w:r w:rsidRPr="007A71A7">
            <w:rPr>
              <w:rFonts w:ascii="Arial" w:hAnsi="Arial" w:cs="Arial"/>
              <w:noProof/>
              <w:color w:val="000000" w:themeColor="text1"/>
              <w:sz w:val="20"/>
              <w:szCs w:val="20"/>
              <w:u w:val="single"/>
            </w:rPr>
            <w:lastRenderedPageBreak/>
            <w:t>%20FINAL%20_POST%20VIVA%20AMENDMENTS%20JANUARY%202024.pdf</w:t>
          </w:r>
          <w:r w:rsidRPr="007A71A7">
            <w:rPr>
              <w:rFonts w:ascii="Arial" w:hAnsi="Arial" w:cs="Arial"/>
              <w:noProof/>
              <w:color w:val="000000" w:themeColor="text1"/>
              <w:sz w:val="20"/>
              <w:szCs w:val="20"/>
            </w:rPr>
            <w:br/>
            <w:t>[Accessed 29 October 2024].</w:t>
          </w:r>
        </w:p>
        <w:p w14:paraId="1157F9BD"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Castleberry, A. &amp; Nolen, A., 2018. Thematic analysis of qualitative research data: Is it as easy as it sounds?. </w:t>
          </w:r>
          <w:r w:rsidRPr="007A71A7">
            <w:rPr>
              <w:rFonts w:ascii="Arial" w:hAnsi="Arial" w:cs="Arial"/>
              <w:i/>
              <w:iCs/>
              <w:noProof/>
              <w:color w:val="000000" w:themeColor="text1"/>
              <w:sz w:val="20"/>
              <w:szCs w:val="20"/>
            </w:rPr>
            <w:t xml:space="preserve">Curr Pharm Teach Learn, </w:t>
          </w:r>
          <w:r w:rsidRPr="007A71A7">
            <w:rPr>
              <w:rFonts w:ascii="Arial" w:hAnsi="Arial" w:cs="Arial"/>
              <w:noProof/>
              <w:color w:val="000000" w:themeColor="text1"/>
              <w:sz w:val="20"/>
              <w:szCs w:val="20"/>
            </w:rPr>
            <w:t>10(6), pp. 807-815.</w:t>
          </w:r>
        </w:p>
        <w:p w14:paraId="7714748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Cedefop, 2015. </w:t>
          </w:r>
          <w:r w:rsidRPr="007A71A7">
            <w:rPr>
              <w:rFonts w:ascii="Arial" w:hAnsi="Arial" w:cs="Arial"/>
              <w:i/>
              <w:iCs/>
              <w:noProof/>
              <w:color w:val="000000" w:themeColor="text1"/>
              <w:sz w:val="20"/>
              <w:szCs w:val="20"/>
            </w:rPr>
            <w:t xml:space="preserve">Vocational pedagogies and benefits for learners: practices and challenges in Europe, </w:t>
          </w:r>
          <w:r w:rsidRPr="007A71A7">
            <w:rPr>
              <w:rFonts w:ascii="Arial" w:hAnsi="Arial" w:cs="Arial"/>
              <w:noProof/>
              <w:color w:val="000000" w:themeColor="text1"/>
              <w:sz w:val="20"/>
              <w:szCs w:val="20"/>
            </w:rPr>
            <w:t>Luxembourg: Publications Office of the European Union.</w:t>
          </w:r>
        </w:p>
        <w:p w14:paraId="66C7CAC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Charmaz, K., 2006. </w:t>
          </w:r>
          <w:r w:rsidRPr="007A71A7">
            <w:rPr>
              <w:rFonts w:ascii="Arial" w:hAnsi="Arial" w:cs="Arial"/>
              <w:i/>
              <w:iCs/>
              <w:noProof/>
              <w:color w:val="000000" w:themeColor="text1"/>
              <w:sz w:val="20"/>
              <w:szCs w:val="20"/>
            </w:rPr>
            <w:t xml:space="preserve">Constructing Grounded Theory: A Practical Guide through Qualitative Analysis. </w:t>
          </w:r>
          <w:r w:rsidRPr="007A71A7">
            <w:rPr>
              <w:rFonts w:ascii="Arial" w:hAnsi="Arial" w:cs="Arial"/>
              <w:noProof/>
              <w:color w:val="000000" w:themeColor="text1"/>
              <w:sz w:val="20"/>
              <w:szCs w:val="20"/>
            </w:rPr>
            <w:t>s.l.:Sage.</w:t>
          </w:r>
        </w:p>
        <w:p w14:paraId="19BAAC2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Clarke, V. &amp; Braun, V., 2017. Thematic analysis. </w:t>
          </w:r>
          <w:r w:rsidRPr="007A71A7">
            <w:rPr>
              <w:rFonts w:ascii="Arial" w:hAnsi="Arial" w:cs="Arial"/>
              <w:i/>
              <w:iCs/>
              <w:noProof/>
              <w:color w:val="000000" w:themeColor="text1"/>
              <w:sz w:val="20"/>
              <w:szCs w:val="20"/>
            </w:rPr>
            <w:t xml:space="preserve">The Journal of Positive Psychology, </w:t>
          </w:r>
          <w:r w:rsidRPr="007A71A7">
            <w:rPr>
              <w:rFonts w:ascii="Arial" w:hAnsi="Arial" w:cs="Arial"/>
              <w:noProof/>
              <w:color w:val="000000" w:themeColor="text1"/>
              <w:sz w:val="20"/>
              <w:szCs w:val="20"/>
            </w:rPr>
            <w:t>12(3), pp. 297-298.</w:t>
          </w:r>
        </w:p>
        <w:p w14:paraId="296A292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Cohen, L., Manion, L. &amp; Morrison, K., 2017. </w:t>
          </w:r>
          <w:r w:rsidRPr="007A71A7">
            <w:rPr>
              <w:rFonts w:ascii="Arial" w:hAnsi="Arial" w:cs="Arial"/>
              <w:i/>
              <w:iCs/>
              <w:noProof/>
              <w:color w:val="000000" w:themeColor="text1"/>
              <w:sz w:val="20"/>
              <w:szCs w:val="20"/>
            </w:rPr>
            <w:t xml:space="preserve">Research Methods in Education. </w:t>
          </w:r>
          <w:r w:rsidRPr="007A71A7">
            <w:rPr>
              <w:rFonts w:ascii="Arial" w:hAnsi="Arial" w:cs="Arial"/>
              <w:noProof/>
              <w:color w:val="000000" w:themeColor="text1"/>
              <w:sz w:val="20"/>
              <w:szCs w:val="20"/>
            </w:rPr>
            <w:t>8th ed. s.l.:Routledge.</w:t>
          </w:r>
        </w:p>
        <w:p w14:paraId="68BAB69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Colegau Cymru, 2024. </w:t>
          </w:r>
          <w:r w:rsidRPr="007A71A7">
            <w:rPr>
              <w:rFonts w:ascii="Arial" w:hAnsi="Arial" w:cs="Arial"/>
              <w:i/>
              <w:iCs/>
              <w:noProof/>
              <w:color w:val="000000" w:themeColor="text1"/>
              <w:sz w:val="20"/>
              <w:szCs w:val="20"/>
            </w:rPr>
            <w:t xml:space="preserve">Colegau Cymru.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https://www.colleges.wales/?_locale=en</w:t>
          </w:r>
          <w:r w:rsidRPr="007A71A7">
            <w:rPr>
              <w:rFonts w:ascii="Arial" w:hAnsi="Arial" w:cs="Arial"/>
              <w:noProof/>
              <w:color w:val="000000" w:themeColor="text1"/>
              <w:sz w:val="20"/>
              <w:szCs w:val="20"/>
            </w:rPr>
            <w:br/>
            <w:t>[Accessed 29 October 2024].</w:t>
          </w:r>
        </w:p>
        <w:p w14:paraId="5DFB490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Colegau Cymru, 2024. </w:t>
          </w:r>
          <w:r w:rsidRPr="007A71A7">
            <w:rPr>
              <w:rFonts w:ascii="Arial" w:hAnsi="Arial" w:cs="Arial"/>
              <w:i/>
              <w:iCs/>
              <w:noProof/>
              <w:color w:val="000000" w:themeColor="text1"/>
              <w:sz w:val="20"/>
              <w:szCs w:val="20"/>
            </w:rPr>
            <w:t xml:space="preserve">Member Colleges.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https://www.colleges.wales/en/page/members</w:t>
          </w:r>
          <w:r w:rsidRPr="007A71A7">
            <w:rPr>
              <w:rFonts w:ascii="Arial" w:hAnsi="Arial" w:cs="Arial"/>
              <w:noProof/>
              <w:color w:val="000000" w:themeColor="text1"/>
              <w:sz w:val="20"/>
              <w:szCs w:val="20"/>
            </w:rPr>
            <w:br/>
            <w:t>[Accessed 28 October 2024].</w:t>
          </w:r>
        </w:p>
        <w:p w14:paraId="0C2E1FD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Collings, J., Clarke, W., Fox, H. &amp; Evans, D., 2022. </w:t>
          </w:r>
          <w:r w:rsidRPr="007A71A7">
            <w:rPr>
              <w:rFonts w:ascii="Arial" w:hAnsi="Arial" w:cs="Arial"/>
              <w:i/>
              <w:iCs/>
              <w:noProof/>
              <w:color w:val="000000" w:themeColor="text1"/>
              <w:sz w:val="20"/>
              <w:szCs w:val="20"/>
            </w:rPr>
            <w:t xml:space="preserve">Identifying and addressing skills gaps to aid learner attainment’, </w:t>
          </w:r>
          <w:r w:rsidRPr="007A71A7">
            <w:rPr>
              <w:rFonts w:ascii="Arial" w:hAnsi="Arial" w:cs="Arial"/>
              <w:noProof/>
              <w:color w:val="000000" w:themeColor="text1"/>
              <w:sz w:val="20"/>
              <w:szCs w:val="20"/>
            </w:rPr>
            <w:t>s.l.: Centres For Excellence in Maths.</w:t>
          </w:r>
        </w:p>
        <w:p w14:paraId="608728D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Creswell, J. W. &amp; Poth, C. N., 2016. </w:t>
          </w:r>
          <w:r w:rsidRPr="007A71A7">
            <w:rPr>
              <w:rFonts w:ascii="Arial" w:hAnsi="Arial" w:cs="Arial"/>
              <w:i/>
              <w:iCs/>
              <w:noProof/>
              <w:color w:val="000000" w:themeColor="text1"/>
              <w:sz w:val="20"/>
              <w:szCs w:val="20"/>
            </w:rPr>
            <w:t xml:space="preserve">Qualitative Inquiry and Research Design: Choosing Among Five Approaches. </w:t>
          </w:r>
          <w:r w:rsidRPr="007A71A7">
            <w:rPr>
              <w:rFonts w:ascii="Arial" w:hAnsi="Arial" w:cs="Arial"/>
              <w:noProof/>
              <w:color w:val="000000" w:themeColor="text1"/>
              <w:sz w:val="20"/>
              <w:szCs w:val="20"/>
            </w:rPr>
            <w:t>s.l.:SAGE Publications.</w:t>
          </w:r>
        </w:p>
        <w:p w14:paraId="3C373F89"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Cuddy, N. &amp; Leney, T., 2005. </w:t>
          </w:r>
          <w:r w:rsidRPr="007A71A7">
            <w:rPr>
              <w:rFonts w:ascii="Arial" w:hAnsi="Arial" w:cs="Arial"/>
              <w:i/>
              <w:iCs/>
              <w:noProof/>
              <w:color w:val="000000" w:themeColor="text1"/>
              <w:sz w:val="20"/>
              <w:szCs w:val="20"/>
            </w:rPr>
            <w:t xml:space="preserve">Vocational education and training in the United Kingdom, </w:t>
          </w:r>
          <w:r w:rsidRPr="007A71A7">
            <w:rPr>
              <w:rFonts w:ascii="Arial" w:hAnsi="Arial" w:cs="Arial"/>
              <w:noProof/>
              <w:color w:val="000000" w:themeColor="text1"/>
              <w:sz w:val="20"/>
              <w:szCs w:val="20"/>
            </w:rPr>
            <w:t>Luxembourg: Office for Official Publications of the European Communities.</w:t>
          </w:r>
        </w:p>
        <w:p w14:paraId="2E8D4CC7"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Cunningham, K., Gorman, M. &amp; Maher, J., 2024. Enhancing academic student engagement in vocational agricultural education: why course design matters. </w:t>
          </w:r>
          <w:r w:rsidRPr="007A71A7">
            <w:rPr>
              <w:rFonts w:ascii="Arial" w:hAnsi="Arial" w:cs="Arial"/>
              <w:i/>
              <w:iCs/>
              <w:noProof/>
              <w:color w:val="000000" w:themeColor="text1"/>
              <w:sz w:val="20"/>
              <w:szCs w:val="20"/>
            </w:rPr>
            <w:t xml:space="preserve">Journal of Vocational Education &amp; Training , </w:t>
          </w:r>
          <w:r w:rsidRPr="007A71A7">
            <w:rPr>
              <w:rFonts w:ascii="Arial" w:hAnsi="Arial" w:cs="Arial"/>
              <w:noProof/>
              <w:color w:val="000000" w:themeColor="text1"/>
              <w:sz w:val="20"/>
              <w:szCs w:val="20"/>
            </w:rPr>
            <w:t>76(3), pp. 724-746.</w:t>
          </w:r>
        </w:p>
        <w:p w14:paraId="7DC7383E"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Darling-Hammond, L. &amp; Cook-Harvey, C., 2018. </w:t>
          </w:r>
          <w:r w:rsidRPr="007A71A7">
            <w:rPr>
              <w:rFonts w:ascii="Arial" w:hAnsi="Arial" w:cs="Arial"/>
              <w:i/>
              <w:iCs/>
              <w:noProof/>
              <w:color w:val="000000" w:themeColor="text1"/>
              <w:sz w:val="20"/>
              <w:szCs w:val="20"/>
            </w:rPr>
            <w:t xml:space="preserve">Educating the Whole Child: Improving School Climate to Support Student Success. </w:t>
          </w:r>
          <w:r w:rsidRPr="007A71A7">
            <w:rPr>
              <w:rFonts w:ascii="Arial" w:hAnsi="Arial" w:cs="Arial"/>
              <w:noProof/>
              <w:color w:val="000000" w:themeColor="text1"/>
              <w:sz w:val="20"/>
              <w:szCs w:val="20"/>
            </w:rPr>
            <w:t>s.l.:Learning Policy Institute.</w:t>
          </w:r>
        </w:p>
        <w:p w14:paraId="5EC5AD7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Denzin, N. K. &amp; Lincoln, Y. S., 2017. </w:t>
          </w:r>
          <w:r w:rsidRPr="007A71A7">
            <w:rPr>
              <w:rFonts w:ascii="Arial" w:hAnsi="Arial" w:cs="Arial"/>
              <w:i/>
              <w:iCs/>
              <w:noProof/>
              <w:color w:val="000000" w:themeColor="text1"/>
              <w:sz w:val="20"/>
              <w:szCs w:val="20"/>
            </w:rPr>
            <w:t xml:space="preserve">The SAGE Handbook of Qualitative Research. </w:t>
          </w:r>
          <w:r w:rsidRPr="007A71A7">
            <w:rPr>
              <w:rFonts w:ascii="Arial" w:hAnsi="Arial" w:cs="Arial"/>
              <w:noProof/>
              <w:color w:val="000000" w:themeColor="text1"/>
              <w:sz w:val="20"/>
              <w:szCs w:val="20"/>
            </w:rPr>
            <w:t>s.l.:SAGE Publications.</w:t>
          </w:r>
        </w:p>
        <w:p w14:paraId="609B98E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Dunn, B., 2018. </w:t>
          </w:r>
          <w:r w:rsidRPr="007A71A7">
            <w:rPr>
              <w:rFonts w:ascii="Arial" w:hAnsi="Arial" w:cs="Arial"/>
              <w:i/>
              <w:iCs/>
              <w:noProof/>
              <w:color w:val="000000" w:themeColor="text1"/>
              <w:sz w:val="20"/>
              <w:szCs w:val="20"/>
            </w:rPr>
            <w:t xml:space="preserve">Exploring Student Centered Learning and Its Effect on the Self-Efficacy of Students. </w:t>
          </w:r>
          <w:r w:rsidRPr="007A71A7">
            <w:rPr>
              <w:rFonts w:ascii="Arial" w:hAnsi="Arial" w:cs="Arial"/>
              <w:noProof/>
              <w:color w:val="000000" w:themeColor="text1"/>
              <w:sz w:val="20"/>
              <w:szCs w:val="20"/>
            </w:rPr>
            <w:t>Boston, Massachusetts: College of Professional Studies Northeastern University.</w:t>
          </w:r>
        </w:p>
        <w:p w14:paraId="4C45890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Durán-Narucki, V., 2018. School building condition, school attendance, and academic achievement in New York City public schools. </w:t>
          </w:r>
          <w:r w:rsidRPr="007A71A7">
            <w:rPr>
              <w:rFonts w:ascii="Arial" w:hAnsi="Arial" w:cs="Arial"/>
              <w:i/>
              <w:iCs/>
              <w:noProof/>
              <w:color w:val="000000" w:themeColor="text1"/>
              <w:sz w:val="20"/>
              <w:szCs w:val="20"/>
            </w:rPr>
            <w:t xml:space="preserve">Journal of Environmental Psychology, </w:t>
          </w:r>
          <w:r w:rsidRPr="007A71A7">
            <w:rPr>
              <w:rFonts w:ascii="Arial" w:hAnsi="Arial" w:cs="Arial"/>
              <w:noProof/>
              <w:color w:val="000000" w:themeColor="text1"/>
              <w:sz w:val="20"/>
              <w:szCs w:val="20"/>
            </w:rPr>
            <w:t>28(3), pp. 278-286.</w:t>
          </w:r>
        </w:p>
        <w:p w14:paraId="22A65A0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Estyn, 2022. </w:t>
          </w:r>
          <w:r w:rsidRPr="007A71A7">
            <w:rPr>
              <w:rFonts w:ascii="Arial" w:hAnsi="Arial" w:cs="Arial"/>
              <w:i/>
              <w:iCs/>
              <w:noProof/>
              <w:color w:val="000000" w:themeColor="text1"/>
              <w:sz w:val="20"/>
              <w:szCs w:val="20"/>
            </w:rPr>
            <w:t xml:space="preserve">National strategy needed to improve post-16 education and training in Wales.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https://estyn.gov.wales/news/national-strategy-needed-to-improve-post-16-education-and-training-in-wales-says-estyn/</w:t>
          </w:r>
          <w:r w:rsidRPr="007A71A7">
            <w:rPr>
              <w:rFonts w:ascii="Arial" w:hAnsi="Arial" w:cs="Arial"/>
              <w:noProof/>
              <w:color w:val="000000" w:themeColor="text1"/>
              <w:sz w:val="20"/>
              <w:szCs w:val="20"/>
            </w:rPr>
            <w:br/>
            <w:t>[Accessed 29 October 2024].</w:t>
          </w:r>
        </w:p>
        <w:p w14:paraId="62D7ECB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Farquharson, C., McNally, S. &amp; Tahir, I., 2024. Education inequalities. </w:t>
          </w:r>
          <w:r w:rsidRPr="007A71A7">
            <w:rPr>
              <w:rFonts w:ascii="Arial" w:hAnsi="Arial" w:cs="Arial"/>
              <w:i/>
              <w:iCs/>
              <w:noProof/>
              <w:color w:val="000000" w:themeColor="text1"/>
              <w:sz w:val="20"/>
              <w:szCs w:val="20"/>
            </w:rPr>
            <w:t xml:space="preserve">Oxford Open Economics, </w:t>
          </w:r>
          <w:r w:rsidRPr="007A71A7">
            <w:rPr>
              <w:rFonts w:ascii="Arial" w:hAnsi="Arial" w:cs="Arial"/>
              <w:noProof/>
              <w:color w:val="000000" w:themeColor="text1"/>
              <w:sz w:val="20"/>
              <w:szCs w:val="20"/>
            </w:rPr>
            <w:t>3(1), pp. 760-820.</w:t>
          </w:r>
        </w:p>
        <w:p w14:paraId="10A1419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Fink, L. D., 2024. </w:t>
          </w:r>
          <w:r w:rsidRPr="007A71A7">
            <w:rPr>
              <w:rFonts w:ascii="Arial" w:hAnsi="Arial" w:cs="Arial"/>
              <w:i/>
              <w:iCs/>
              <w:noProof/>
              <w:color w:val="000000" w:themeColor="text1"/>
              <w:sz w:val="20"/>
              <w:szCs w:val="20"/>
            </w:rPr>
            <w:t xml:space="preserve">Creating Significant Learning Experiences: An Integrated Approach to Designing College Courses, Revised and Updated. </w:t>
          </w:r>
          <w:r w:rsidRPr="007A71A7">
            <w:rPr>
              <w:rFonts w:ascii="Arial" w:hAnsi="Arial" w:cs="Arial"/>
              <w:noProof/>
              <w:color w:val="000000" w:themeColor="text1"/>
              <w:sz w:val="20"/>
              <w:szCs w:val="20"/>
            </w:rPr>
            <w:t>2nd ed. San Fransisco: Jossey-Bass.</w:t>
          </w:r>
        </w:p>
        <w:p w14:paraId="155CE85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Finlay, L., 2017. A Dance Between the Researcher and the Researcher: Exploring the Complexities of Qualitative Data Analysis. </w:t>
          </w:r>
          <w:r w:rsidRPr="007A71A7">
            <w:rPr>
              <w:rFonts w:ascii="Arial" w:hAnsi="Arial" w:cs="Arial"/>
              <w:i/>
              <w:iCs/>
              <w:noProof/>
              <w:color w:val="000000" w:themeColor="text1"/>
              <w:sz w:val="20"/>
              <w:szCs w:val="20"/>
            </w:rPr>
            <w:t xml:space="preserve">Qualitative Research in Psychology, </w:t>
          </w:r>
          <w:r w:rsidRPr="007A71A7">
            <w:rPr>
              <w:rFonts w:ascii="Arial" w:hAnsi="Arial" w:cs="Arial"/>
              <w:noProof/>
              <w:color w:val="000000" w:themeColor="text1"/>
              <w:sz w:val="20"/>
              <w:szCs w:val="20"/>
            </w:rPr>
            <w:t>14(1), pp. 1-16.</w:t>
          </w:r>
        </w:p>
        <w:p w14:paraId="284904F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Fisher, D., Frey, N. &amp; Savitz, R. S., 2019. </w:t>
          </w:r>
          <w:r w:rsidRPr="007A71A7">
            <w:rPr>
              <w:rFonts w:ascii="Arial" w:hAnsi="Arial" w:cs="Arial"/>
              <w:i/>
              <w:iCs/>
              <w:noProof/>
              <w:color w:val="000000" w:themeColor="text1"/>
              <w:sz w:val="20"/>
              <w:szCs w:val="20"/>
            </w:rPr>
            <w:t xml:space="preserve">Teaching hope and resilience for students experiencing trauma: Creating safe and nurturing classrooms for learning. </w:t>
          </w:r>
          <w:r w:rsidRPr="007A71A7">
            <w:rPr>
              <w:rFonts w:ascii="Arial" w:hAnsi="Arial" w:cs="Arial"/>
              <w:noProof/>
              <w:color w:val="000000" w:themeColor="text1"/>
              <w:sz w:val="20"/>
              <w:szCs w:val="20"/>
            </w:rPr>
            <w:t>s.l.:Teachers College Press.</w:t>
          </w:r>
        </w:p>
        <w:p w14:paraId="1450C257"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lastRenderedPageBreak/>
            <w:t xml:space="preserve">Galloway, N., 2016. Researching your own students . In: J. McKinley &amp; H. Rose, eds. </w:t>
          </w:r>
          <w:r w:rsidRPr="007A71A7">
            <w:rPr>
              <w:rFonts w:ascii="Arial" w:hAnsi="Arial" w:cs="Arial"/>
              <w:i/>
              <w:iCs/>
              <w:noProof/>
              <w:color w:val="000000" w:themeColor="text1"/>
              <w:sz w:val="20"/>
              <w:szCs w:val="20"/>
            </w:rPr>
            <w:t xml:space="preserve">Doing Research in Applied Linguistics. </w:t>
          </w:r>
          <w:r w:rsidRPr="007A71A7">
            <w:rPr>
              <w:rFonts w:ascii="Arial" w:hAnsi="Arial" w:cs="Arial"/>
              <w:noProof/>
              <w:color w:val="000000" w:themeColor="text1"/>
              <w:sz w:val="20"/>
              <w:szCs w:val="20"/>
            </w:rPr>
            <w:t>s.l.:s.n., p. Chapter 11.</w:t>
          </w:r>
        </w:p>
        <w:p w14:paraId="793C3D1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Gov.UK, 2000. </w:t>
          </w:r>
          <w:r w:rsidRPr="007A71A7">
            <w:rPr>
              <w:rFonts w:ascii="Arial" w:hAnsi="Arial" w:cs="Arial"/>
              <w:i/>
              <w:iCs/>
              <w:noProof/>
              <w:color w:val="000000" w:themeColor="text1"/>
              <w:sz w:val="20"/>
              <w:szCs w:val="20"/>
            </w:rPr>
            <w:t xml:space="preserve">Learning and Skills Act 2000.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https://www.legislation.gov.uk/ukpga/2000/21</w:t>
          </w:r>
          <w:r w:rsidRPr="007A71A7">
            <w:rPr>
              <w:rFonts w:ascii="Arial" w:hAnsi="Arial" w:cs="Arial"/>
              <w:noProof/>
              <w:color w:val="000000" w:themeColor="text1"/>
              <w:sz w:val="20"/>
              <w:szCs w:val="20"/>
            </w:rPr>
            <w:br/>
            <w:t>[Accessed 10th December 2024].</w:t>
          </w:r>
        </w:p>
        <w:p w14:paraId="16FFE7F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GOV.UK, 2024. </w:t>
          </w:r>
          <w:r w:rsidRPr="007A71A7">
            <w:rPr>
              <w:rFonts w:ascii="Arial" w:hAnsi="Arial" w:cs="Arial"/>
              <w:i/>
              <w:iCs/>
              <w:noProof/>
              <w:color w:val="000000" w:themeColor="text1"/>
              <w:sz w:val="20"/>
              <w:szCs w:val="20"/>
            </w:rPr>
            <w:t xml:space="preserve">Further education courses and funding.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https://www.gov.uk/further-education-courses#:~:text=Further%20education%20(%20FE%20)%20includes%20any,Higher%20National%20Diplomas%20(%20HNDs%20).</w:t>
          </w:r>
          <w:r w:rsidRPr="007A71A7">
            <w:rPr>
              <w:rFonts w:ascii="Arial" w:hAnsi="Arial" w:cs="Arial"/>
              <w:noProof/>
              <w:color w:val="000000" w:themeColor="text1"/>
              <w:sz w:val="20"/>
              <w:szCs w:val="20"/>
            </w:rPr>
            <w:br/>
            <w:t>[Accessed 28 October 2024].</w:t>
          </w:r>
        </w:p>
        <w:p w14:paraId="727264C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Higton, J., Archer, R., Richards, S. &amp; Desai, P., 2017. </w:t>
          </w:r>
          <w:r w:rsidRPr="007A71A7">
            <w:rPr>
              <w:rFonts w:ascii="Arial" w:hAnsi="Arial" w:cs="Arial"/>
              <w:i/>
              <w:iCs/>
              <w:noProof/>
              <w:color w:val="000000" w:themeColor="text1"/>
              <w:sz w:val="20"/>
              <w:szCs w:val="20"/>
            </w:rPr>
            <w:t xml:space="preserve">Support for disadvantaged students in FE:, </w:t>
          </w:r>
          <w:r w:rsidRPr="007A71A7">
            <w:rPr>
              <w:rFonts w:ascii="Arial" w:hAnsi="Arial" w:cs="Arial"/>
              <w:noProof/>
              <w:color w:val="000000" w:themeColor="text1"/>
              <w:sz w:val="20"/>
              <w:szCs w:val="20"/>
            </w:rPr>
            <w:t>London: DfE.</w:t>
          </w:r>
        </w:p>
        <w:p w14:paraId="299086F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Hodgson, A. &amp; Spours, K., 2020. Young People and Transitions in Upper Secondary Education in England. In: K. Brunila &amp; L. Lundahl, eds. </w:t>
          </w:r>
          <w:r w:rsidRPr="007A71A7">
            <w:rPr>
              <w:rFonts w:ascii="Arial" w:hAnsi="Arial" w:cs="Arial"/>
              <w:i/>
              <w:iCs/>
              <w:noProof/>
              <w:color w:val="000000" w:themeColor="text1"/>
              <w:sz w:val="20"/>
              <w:szCs w:val="20"/>
            </w:rPr>
            <w:t xml:space="preserve">Youth on the Move: Tendencies and Tensions in Youth Policies and Practices. </w:t>
          </w:r>
          <w:r w:rsidRPr="007A71A7">
            <w:rPr>
              <w:rFonts w:ascii="Arial" w:hAnsi="Arial" w:cs="Arial"/>
              <w:noProof/>
              <w:color w:val="000000" w:themeColor="text1"/>
              <w:sz w:val="20"/>
              <w:szCs w:val="20"/>
            </w:rPr>
            <w:t>Helsinki: Helsinki University Press, p. 127–147.</w:t>
          </w:r>
        </w:p>
        <w:p w14:paraId="2896DB4C"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Holmes, A. G. D., 2020. Researcher Positionality - A Consideration of Its Influence and Place in Qualitative Research - A New Researcher Guide. </w:t>
          </w:r>
          <w:r w:rsidRPr="007A71A7">
            <w:rPr>
              <w:rFonts w:ascii="Arial" w:hAnsi="Arial" w:cs="Arial"/>
              <w:i/>
              <w:iCs/>
              <w:noProof/>
              <w:color w:val="000000" w:themeColor="text1"/>
              <w:sz w:val="20"/>
              <w:szCs w:val="20"/>
            </w:rPr>
            <w:t xml:space="preserve">Shanlax International Journal of Education, </w:t>
          </w:r>
          <w:r w:rsidRPr="007A71A7">
            <w:rPr>
              <w:rFonts w:ascii="Arial" w:hAnsi="Arial" w:cs="Arial"/>
              <w:noProof/>
              <w:color w:val="000000" w:themeColor="text1"/>
              <w:sz w:val="20"/>
              <w:szCs w:val="20"/>
            </w:rPr>
            <w:t>8(4), pp. 1-10.</w:t>
          </w:r>
        </w:p>
        <w:p w14:paraId="3E67A81C"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Holt-White, E. &amp; Cullinane, C., 2023. </w:t>
          </w:r>
          <w:r w:rsidRPr="007A71A7">
            <w:rPr>
              <w:rFonts w:ascii="Arial" w:hAnsi="Arial" w:cs="Arial"/>
              <w:i/>
              <w:iCs/>
              <w:noProof/>
              <w:color w:val="000000" w:themeColor="text1"/>
              <w:sz w:val="20"/>
              <w:szCs w:val="20"/>
            </w:rPr>
            <w:t xml:space="preserve">Social Mobility: The Next Generation, </w:t>
          </w:r>
          <w:r w:rsidRPr="007A71A7">
            <w:rPr>
              <w:rFonts w:ascii="Arial" w:hAnsi="Arial" w:cs="Arial"/>
              <w:noProof/>
              <w:color w:val="000000" w:themeColor="text1"/>
              <w:sz w:val="20"/>
              <w:szCs w:val="20"/>
            </w:rPr>
            <w:t>s.l.: The Sutton Trust.</w:t>
          </w:r>
        </w:p>
        <w:p w14:paraId="29A9082D"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Huddleston, P. &amp; Unwin, L., 2024. </w:t>
          </w:r>
          <w:r w:rsidRPr="007A71A7">
            <w:rPr>
              <w:rFonts w:ascii="Arial" w:hAnsi="Arial" w:cs="Arial"/>
              <w:i/>
              <w:iCs/>
              <w:noProof/>
              <w:color w:val="000000" w:themeColor="text1"/>
              <w:sz w:val="20"/>
              <w:szCs w:val="20"/>
            </w:rPr>
            <w:t xml:space="preserve">Curriculum in FE Colleges over time.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https://www.edge.co.uk/documents/475/Edge_History_of_FE_curriculum_final.pdf</w:t>
          </w:r>
          <w:r w:rsidRPr="007A71A7">
            <w:rPr>
              <w:rFonts w:ascii="Arial" w:hAnsi="Arial" w:cs="Arial"/>
              <w:noProof/>
              <w:color w:val="000000" w:themeColor="text1"/>
              <w:sz w:val="20"/>
              <w:szCs w:val="20"/>
            </w:rPr>
            <w:br/>
            <w:t>[Accessed 15th December 2024].</w:t>
          </w:r>
        </w:p>
        <w:p w14:paraId="54AB5D32"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Illeris, K., 2018. </w:t>
          </w:r>
          <w:r w:rsidRPr="007A71A7">
            <w:rPr>
              <w:rFonts w:ascii="Arial" w:hAnsi="Arial" w:cs="Arial"/>
              <w:i/>
              <w:iCs/>
              <w:noProof/>
              <w:color w:val="000000" w:themeColor="text1"/>
              <w:sz w:val="20"/>
              <w:szCs w:val="20"/>
            </w:rPr>
            <w:t xml:space="preserve">Contemporary Theories of Learning: Learning Theorists... In Their Own Words. </w:t>
          </w:r>
          <w:r w:rsidRPr="007A71A7">
            <w:rPr>
              <w:rFonts w:ascii="Arial" w:hAnsi="Arial" w:cs="Arial"/>
              <w:noProof/>
              <w:color w:val="000000" w:themeColor="text1"/>
              <w:sz w:val="20"/>
              <w:szCs w:val="20"/>
            </w:rPr>
            <w:t>s.l.:Routledge.</w:t>
          </w:r>
        </w:p>
        <w:p w14:paraId="4D231F8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Kerimbayev, N., Umirzakova, Z., Shadiev, R. &amp; Jotsov, V., 2023. A student-centered approach using modern technologies in distance learning: a systematic review of the literature. </w:t>
          </w:r>
          <w:r w:rsidRPr="007A71A7">
            <w:rPr>
              <w:rFonts w:ascii="Arial" w:hAnsi="Arial" w:cs="Arial"/>
              <w:i/>
              <w:iCs/>
              <w:noProof/>
              <w:color w:val="000000" w:themeColor="text1"/>
              <w:sz w:val="20"/>
              <w:szCs w:val="20"/>
            </w:rPr>
            <w:t xml:space="preserve">Smart Learning Environments, </w:t>
          </w:r>
          <w:r w:rsidRPr="007A71A7">
            <w:rPr>
              <w:rFonts w:ascii="Arial" w:hAnsi="Arial" w:cs="Arial"/>
              <w:noProof/>
              <w:color w:val="000000" w:themeColor="text1"/>
              <w:sz w:val="20"/>
              <w:szCs w:val="20"/>
            </w:rPr>
            <w:t>10(61).</w:t>
          </w:r>
        </w:p>
        <w:p w14:paraId="577C779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Kvale, S., 2007. </w:t>
          </w:r>
          <w:r w:rsidRPr="007A71A7">
            <w:rPr>
              <w:rFonts w:ascii="Arial" w:hAnsi="Arial" w:cs="Arial"/>
              <w:i/>
              <w:iCs/>
              <w:noProof/>
              <w:color w:val="000000" w:themeColor="text1"/>
              <w:sz w:val="20"/>
              <w:szCs w:val="20"/>
            </w:rPr>
            <w:t xml:space="preserve">Doing Interviews. </w:t>
          </w:r>
          <w:r w:rsidRPr="007A71A7">
            <w:rPr>
              <w:rFonts w:ascii="Arial" w:hAnsi="Arial" w:cs="Arial"/>
              <w:noProof/>
              <w:color w:val="000000" w:themeColor="text1"/>
              <w:sz w:val="20"/>
              <w:szCs w:val="20"/>
            </w:rPr>
            <w:t>s.l.:SAGE Publications, Ltd.</w:t>
          </w:r>
        </w:p>
        <w:p w14:paraId="5D05EDD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Kvale, S. &amp; Brinkmann, S., 2015. </w:t>
          </w:r>
          <w:r w:rsidRPr="007A71A7">
            <w:rPr>
              <w:rFonts w:ascii="Arial" w:hAnsi="Arial" w:cs="Arial"/>
              <w:i/>
              <w:iCs/>
              <w:noProof/>
              <w:color w:val="000000" w:themeColor="text1"/>
              <w:sz w:val="20"/>
              <w:szCs w:val="20"/>
            </w:rPr>
            <w:t xml:space="preserve">Interviews: Learning the Craft of Qualitative Research Interviewing. </w:t>
          </w:r>
          <w:r w:rsidRPr="007A71A7">
            <w:rPr>
              <w:rFonts w:ascii="Arial" w:hAnsi="Arial" w:cs="Arial"/>
              <w:noProof/>
              <w:color w:val="000000" w:themeColor="text1"/>
              <w:sz w:val="20"/>
              <w:szCs w:val="20"/>
            </w:rPr>
            <w:t>3rd ed. s.l.:SAGE Publications.</w:t>
          </w:r>
        </w:p>
        <w:p w14:paraId="4782649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Learning And Work Institute, 2024. </w:t>
          </w:r>
          <w:r w:rsidRPr="007A71A7">
            <w:rPr>
              <w:rFonts w:ascii="Arial" w:hAnsi="Arial" w:cs="Arial"/>
              <w:i/>
              <w:iCs/>
              <w:noProof/>
              <w:color w:val="000000" w:themeColor="text1"/>
              <w:sz w:val="20"/>
              <w:szCs w:val="20"/>
            </w:rPr>
            <w:t xml:space="preserve">Learning And Work Institute Wales.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https://www.learningandwork.wales/</w:t>
          </w:r>
          <w:r w:rsidRPr="007A71A7">
            <w:rPr>
              <w:rFonts w:ascii="Arial" w:hAnsi="Arial" w:cs="Arial"/>
              <w:noProof/>
              <w:color w:val="000000" w:themeColor="text1"/>
              <w:sz w:val="20"/>
              <w:szCs w:val="20"/>
            </w:rPr>
            <w:br/>
            <w:t>[Accessed 29 October 2024].</w:t>
          </w:r>
        </w:p>
        <w:p w14:paraId="7058D422"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Li, X. et al., 2022. Applying blended synchronous teaching and learning for flexible learning in higher education. </w:t>
          </w:r>
          <w:r w:rsidRPr="007A71A7">
            <w:rPr>
              <w:rFonts w:ascii="Arial" w:hAnsi="Arial" w:cs="Arial"/>
              <w:i/>
              <w:iCs/>
              <w:noProof/>
              <w:color w:val="000000" w:themeColor="text1"/>
              <w:sz w:val="20"/>
              <w:szCs w:val="20"/>
            </w:rPr>
            <w:t xml:space="preserve">Asia Pacific Journal of Education, </w:t>
          </w:r>
          <w:r w:rsidRPr="007A71A7">
            <w:rPr>
              <w:rFonts w:ascii="Arial" w:hAnsi="Arial" w:cs="Arial"/>
              <w:noProof/>
              <w:color w:val="000000" w:themeColor="text1"/>
              <w:sz w:val="20"/>
              <w:szCs w:val="20"/>
            </w:rPr>
            <w:t>42(2), pp. 211-227.</w:t>
          </w:r>
        </w:p>
        <w:p w14:paraId="1ACF04CE"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Li, Y. D., Ding, G. H. &amp; Zhang, C. Y., 2024. Effects of learner-centred education on academic achievement: a meta-analysis. </w:t>
          </w:r>
          <w:r w:rsidRPr="007A71A7">
            <w:rPr>
              <w:rFonts w:ascii="Arial" w:hAnsi="Arial" w:cs="Arial"/>
              <w:i/>
              <w:iCs/>
              <w:noProof/>
              <w:color w:val="000000" w:themeColor="text1"/>
              <w:sz w:val="20"/>
              <w:szCs w:val="20"/>
            </w:rPr>
            <w:t xml:space="preserve">Educational Studies, </w:t>
          </w:r>
          <w:r w:rsidRPr="007A71A7">
            <w:rPr>
              <w:rFonts w:ascii="Arial" w:hAnsi="Arial" w:cs="Arial"/>
              <w:noProof/>
              <w:color w:val="000000" w:themeColor="text1"/>
              <w:sz w:val="20"/>
              <w:szCs w:val="20"/>
            </w:rPr>
            <w:t>50(3), p. 285–298.</w:t>
          </w:r>
        </w:p>
        <w:p w14:paraId="12F80E6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Lumatauw, L., Wollah, M. &amp; Tulangow, R., 2020. Application of Student Centered Learning (SCL) Method through Discovery Strategies in Vocational Educations. </w:t>
          </w:r>
          <w:r w:rsidRPr="007A71A7">
            <w:rPr>
              <w:rFonts w:ascii="Arial" w:hAnsi="Arial" w:cs="Arial"/>
              <w:i/>
              <w:iCs/>
              <w:noProof/>
              <w:color w:val="000000" w:themeColor="text1"/>
              <w:sz w:val="20"/>
              <w:szCs w:val="20"/>
            </w:rPr>
            <w:t xml:space="preserve">Open Journal of Social Sciences, </w:t>
          </w:r>
          <w:r w:rsidRPr="007A71A7">
            <w:rPr>
              <w:rFonts w:ascii="Arial" w:hAnsi="Arial" w:cs="Arial"/>
              <w:noProof/>
              <w:color w:val="000000" w:themeColor="text1"/>
              <w:sz w:val="20"/>
              <w:szCs w:val="20"/>
            </w:rPr>
            <w:t>8(11).</w:t>
          </w:r>
        </w:p>
        <w:p w14:paraId="514D6EC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Maguire, M. &amp; Delahunt, B., 2017. Doing a thematic analysis: A practical, step-by-step guide for learning and teaching scholars. </w:t>
          </w:r>
          <w:r w:rsidRPr="007A71A7">
            <w:rPr>
              <w:rFonts w:ascii="Arial" w:hAnsi="Arial" w:cs="Arial"/>
              <w:i/>
              <w:iCs/>
              <w:noProof/>
              <w:color w:val="000000" w:themeColor="text1"/>
              <w:sz w:val="20"/>
              <w:szCs w:val="20"/>
            </w:rPr>
            <w:t xml:space="preserve">All Ireland Journal of Higher Education, </w:t>
          </w:r>
          <w:r w:rsidRPr="007A71A7">
            <w:rPr>
              <w:rFonts w:ascii="Arial" w:hAnsi="Arial" w:cs="Arial"/>
              <w:noProof/>
              <w:color w:val="000000" w:themeColor="text1"/>
              <w:sz w:val="20"/>
              <w:szCs w:val="20"/>
            </w:rPr>
            <w:t>9(3).</w:t>
          </w:r>
        </w:p>
        <w:p w14:paraId="229F3DE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Merriam, S. B. &amp; Tisdell, E. J., 2016. </w:t>
          </w:r>
          <w:r w:rsidRPr="007A71A7">
            <w:rPr>
              <w:rFonts w:ascii="Arial" w:hAnsi="Arial" w:cs="Arial"/>
              <w:i/>
              <w:iCs/>
              <w:noProof/>
              <w:color w:val="000000" w:themeColor="text1"/>
              <w:sz w:val="20"/>
              <w:szCs w:val="20"/>
            </w:rPr>
            <w:t xml:space="preserve">Qualitative Research: A Guide to Design and Implementation. </w:t>
          </w:r>
          <w:r w:rsidRPr="007A71A7">
            <w:rPr>
              <w:rFonts w:ascii="Arial" w:hAnsi="Arial" w:cs="Arial"/>
              <w:noProof/>
              <w:color w:val="000000" w:themeColor="text1"/>
              <w:sz w:val="20"/>
              <w:szCs w:val="20"/>
            </w:rPr>
            <w:t>4th ed. San Francisco: Jossey Bass.</w:t>
          </w:r>
        </w:p>
        <w:p w14:paraId="5215B11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Mertler, C. A., 2021. </w:t>
          </w:r>
          <w:r w:rsidRPr="007A71A7">
            <w:rPr>
              <w:rFonts w:ascii="Arial" w:hAnsi="Arial" w:cs="Arial"/>
              <w:i/>
              <w:iCs/>
              <w:noProof/>
              <w:color w:val="000000" w:themeColor="text1"/>
              <w:sz w:val="20"/>
              <w:szCs w:val="20"/>
            </w:rPr>
            <w:t xml:space="preserve">Introduction to Educational Research. </w:t>
          </w:r>
          <w:r w:rsidRPr="007A71A7">
            <w:rPr>
              <w:rFonts w:ascii="Arial" w:hAnsi="Arial" w:cs="Arial"/>
              <w:noProof/>
              <w:color w:val="000000" w:themeColor="text1"/>
              <w:sz w:val="20"/>
              <w:szCs w:val="20"/>
            </w:rPr>
            <w:t>3rd ed. s.l.:SAGE Publications.</w:t>
          </w:r>
        </w:p>
        <w:p w14:paraId="253681DD"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Miles, M. B., Huberman, A. M. &amp; Saldaña, J., 2014. </w:t>
          </w:r>
          <w:r w:rsidRPr="007A71A7">
            <w:rPr>
              <w:rFonts w:ascii="Arial" w:hAnsi="Arial" w:cs="Arial"/>
              <w:i/>
              <w:iCs/>
              <w:noProof/>
              <w:color w:val="000000" w:themeColor="text1"/>
              <w:sz w:val="20"/>
              <w:szCs w:val="20"/>
            </w:rPr>
            <w:t xml:space="preserve">Qualititive Data Analysis. </w:t>
          </w:r>
          <w:r w:rsidRPr="007A71A7">
            <w:rPr>
              <w:rFonts w:ascii="Arial" w:hAnsi="Arial" w:cs="Arial"/>
              <w:noProof/>
              <w:color w:val="000000" w:themeColor="text1"/>
              <w:sz w:val="20"/>
              <w:szCs w:val="20"/>
            </w:rPr>
            <w:t>3rd ed. s.l.:Sage.</w:t>
          </w:r>
        </w:p>
        <w:p w14:paraId="3720C6F7"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lastRenderedPageBreak/>
            <w:t xml:space="preserve">Mistry, R. S. &amp; Elenbaas, L., 2021. It’s All in the Family: Parents’ Economic Worries and Youth’s Perceptions of Financial Stress and Educational Outcomes. </w:t>
          </w:r>
          <w:r w:rsidRPr="007A71A7">
            <w:rPr>
              <w:rFonts w:ascii="Arial" w:hAnsi="Arial" w:cs="Arial"/>
              <w:i/>
              <w:iCs/>
              <w:noProof/>
              <w:color w:val="000000" w:themeColor="text1"/>
              <w:sz w:val="20"/>
              <w:szCs w:val="20"/>
            </w:rPr>
            <w:t xml:space="preserve">Journal of Youth and Adolescence , </w:t>
          </w:r>
          <w:r w:rsidRPr="007A71A7">
            <w:rPr>
              <w:rFonts w:ascii="Arial" w:hAnsi="Arial" w:cs="Arial"/>
              <w:noProof/>
              <w:color w:val="000000" w:themeColor="text1"/>
              <w:sz w:val="20"/>
              <w:szCs w:val="20"/>
            </w:rPr>
            <w:t>Volume 50, pp. 724-738.</w:t>
          </w:r>
        </w:p>
        <w:p w14:paraId="7F7DB6BC"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Moote, J. &amp; Archer, L., 2017. Failing to deliver? Exploring the current status of career education provision in England. </w:t>
          </w:r>
          <w:r w:rsidRPr="007A71A7">
            <w:rPr>
              <w:rFonts w:ascii="Arial" w:hAnsi="Arial" w:cs="Arial"/>
              <w:i/>
              <w:iCs/>
              <w:noProof/>
              <w:color w:val="000000" w:themeColor="text1"/>
              <w:sz w:val="20"/>
              <w:szCs w:val="20"/>
            </w:rPr>
            <w:t xml:space="preserve">Research Papers in Education, </w:t>
          </w:r>
          <w:r w:rsidRPr="007A71A7">
            <w:rPr>
              <w:rFonts w:ascii="Arial" w:hAnsi="Arial" w:cs="Arial"/>
              <w:noProof/>
              <w:color w:val="000000" w:themeColor="text1"/>
              <w:sz w:val="20"/>
              <w:szCs w:val="20"/>
            </w:rPr>
            <w:t>33(2), pp. 187-215.</w:t>
          </w:r>
        </w:p>
        <w:p w14:paraId="14D855A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Morse, J. M., 2015. Data were saturated..... </w:t>
          </w:r>
          <w:r w:rsidRPr="007A71A7">
            <w:rPr>
              <w:rFonts w:ascii="Arial" w:hAnsi="Arial" w:cs="Arial"/>
              <w:i/>
              <w:iCs/>
              <w:noProof/>
              <w:color w:val="000000" w:themeColor="text1"/>
              <w:sz w:val="20"/>
              <w:szCs w:val="20"/>
            </w:rPr>
            <w:t xml:space="preserve">Qualitative Health Research, </w:t>
          </w:r>
          <w:r w:rsidRPr="007A71A7">
            <w:rPr>
              <w:rFonts w:ascii="Arial" w:hAnsi="Arial" w:cs="Arial"/>
              <w:noProof/>
              <w:color w:val="000000" w:themeColor="text1"/>
              <w:sz w:val="20"/>
              <w:szCs w:val="20"/>
            </w:rPr>
            <w:t>25(5), pp. 587-588.</w:t>
          </w:r>
        </w:p>
        <w:p w14:paraId="4A5B2EE7"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NHS England, 2022. </w:t>
          </w:r>
          <w:r w:rsidRPr="007A71A7">
            <w:rPr>
              <w:rFonts w:ascii="Arial" w:hAnsi="Arial" w:cs="Arial"/>
              <w:i/>
              <w:iCs/>
              <w:noProof/>
              <w:color w:val="000000" w:themeColor="text1"/>
              <w:sz w:val="20"/>
              <w:szCs w:val="20"/>
            </w:rPr>
            <w:t xml:space="preserve">Mental Health of Children and Young People in England 2022 - wave 3 follow up to the 2017 survey, </w:t>
          </w:r>
          <w:r w:rsidRPr="007A71A7">
            <w:rPr>
              <w:rFonts w:ascii="Arial" w:hAnsi="Arial" w:cs="Arial"/>
              <w:noProof/>
              <w:color w:val="000000" w:themeColor="text1"/>
              <w:sz w:val="20"/>
              <w:szCs w:val="20"/>
            </w:rPr>
            <w:t>s.l.: NHS England.</w:t>
          </w:r>
        </w:p>
        <w:p w14:paraId="27232D1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Noguera, I., Quesada-Pallarès, C. &amp; Sepúlveda-Parrini, P., 2024. Analysing student satisfaction with teaching strategies in vocational education. </w:t>
          </w:r>
          <w:r w:rsidRPr="007A71A7">
            <w:rPr>
              <w:rFonts w:ascii="Arial" w:hAnsi="Arial" w:cs="Arial"/>
              <w:i/>
              <w:iCs/>
              <w:noProof/>
              <w:color w:val="000000" w:themeColor="text1"/>
              <w:sz w:val="20"/>
              <w:szCs w:val="20"/>
            </w:rPr>
            <w:t xml:space="preserve">Education + Training, </w:t>
          </w:r>
          <w:r w:rsidRPr="007A71A7">
            <w:rPr>
              <w:rFonts w:ascii="Arial" w:hAnsi="Arial" w:cs="Arial"/>
              <w:noProof/>
              <w:color w:val="000000" w:themeColor="text1"/>
              <w:sz w:val="20"/>
              <w:szCs w:val="20"/>
            </w:rPr>
            <w:t>66(10), pp. 75-90.</w:t>
          </w:r>
        </w:p>
        <w:p w14:paraId="0B855E5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Nowell, L. S., Norris, J. M., White, D. E. &amp; Moules, N. J., 2017. Thematic Analysis: Striving to Meet the Trustworthiness Criteria. </w:t>
          </w:r>
          <w:r w:rsidRPr="007A71A7">
            <w:rPr>
              <w:rFonts w:ascii="Arial" w:hAnsi="Arial" w:cs="Arial"/>
              <w:i/>
              <w:iCs/>
              <w:noProof/>
              <w:color w:val="000000" w:themeColor="text1"/>
              <w:sz w:val="20"/>
              <w:szCs w:val="20"/>
            </w:rPr>
            <w:t xml:space="preserve">International Journal of Qualitative Methods, </w:t>
          </w:r>
          <w:r w:rsidRPr="007A71A7">
            <w:rPr>
              <w:rFonts w:ascii="Arial" w:hAnsi="Arial" w:cs="Arial"/>
              <w:noProof/>
              <w:color w:val="000000" w:themeColor="text1"/>
              <w:sz w:val="20"/>
              <w:szCs w:val="20"/>
            </w:rPr>
            <w:t>16(1).</w:t>
          </w:r>
        </w:p>
        <w:p w14:paraId="167FFB2E"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OECD, 2015. </w:t>
          </w:r>
          <w:r w:rsidRPr="007A71A7">
            <w:rPr>
              <w:rFonts w:ascii="Arial" w:hAnsi="Arial" w:cs="Arial"/>
              <w:i/>
              <w:iCs/>
              <w:noProof/>
              <w:color w:val="000000" w:themeColor="text1"/>
              <w:sz w:val="20"/>
              <w:szCs w:val="20"/>
            </w:rPr>
            <w:t xml:space="preserve">Frascati Manual 2015: Guidelines for Collecting and Reporting Data on Research and Experimental Development. </w:t>
          </w:r>
          <w:r w:rsidRPr="007A71A7">
            <w:rPr>
              <w:rFonts w:ascii="Arial" w:hAnsi="Arial" w:cs="Arial"/>
              <w:noProof/>
              <w:color w:val="000000" w:themeColor="text1"/>
              <w:sz w:val="20"/>
              <w:szCs w:val="20"/>
            </w:rPr>
            <w:t>Paris: OECD Publishing.</w:t>
          </w:r>
        </w:p>
        <w:p w14:paraId="46D3DE9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O'Leary,  ., 2020. </w:t>
          </w:r>
          <w:r w:rsidRPr="007A71A7">
            <w:rPr>
              <w:rFonts w:ascii="Arial" w:hAnsi="Arial" w:cs="Arial"/>
              <w:i/>
              <w:iCs/>
              <w:noProof/>
              <w:color w:val="000000" w:themeColor="text1"/>
              <w:sz w:val="20"/>
              <w:szCs w:val="20"/>
            </w:rPr>
            <w:t xml:space="preserve">Classroom Observation: A Guide to the Effective Observation of Teaching and Learning. </w:t>
          </w:r>
          <w:r w:rsidRPr="007A71A7">
            <w:rPr>
              <w:rFonts w:ascii="Arial" w:hAnsi="Arial" w:cs="Arial"/>
              <w:noProof/>
              <w:color w:val="000000" w:themeColor="text1"/>
              <w:sz w:val="20"/>
              <w:szCs w:val="20"/>
            </w:rPr>
            <w:t>s.l.:Taylor &amp; Francis Group.</w:t>
          </w:r>
        </w:p>
        <w:p w14:paraId="490E25C2"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ONS, 2024. </w:t>
          </w:r>
          <w:r w:rsidRPr="007A71A7">
            <w:rPr>
              <w:rFonts w:ascii="Arial" w:hAnsi="Arial" w:cs="Arial"/>
              <w:i/>
              <w:iCs/>
              <w:noProof/>
              <w:color w:val="000000" w:themeColor="text1"/>
              <w:sz w:val="20"/>
              <w:szCs w:val="20"/>
            </w:rPr>
            <w:t xml:space="preserve">Young people from disadvantaged backgrounds feel less in control of their futures.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https://www.ons.gov.uk/peoplepopulationandcommunity/educationandchildcare/articles/youngpeoplefromdisadvantagedbackgroundsfeellessincontroloftheirfutures/2023-11-06</w:t>
          </w:r>
          <w:r w:rsidRPr="007A71A7">
            <w:rPr>
              <w:rFonts w:ascii="Arial" w:hAnsi="Arial" w:cs="Arial"/>
              <w:noProof/>
              <w:color w:val="000000" w:themeColor="text1"/>
              <w:sz w:val="20"/>
              <w:szCs w:val="20"/>
            </w:rPr>
            <w:br/>
            <w:t>[Accessed 28 October 2024].</w:t>
          </w:r>
        </w:p>
        <w:p w14:paraId="3ECB6F7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Packer, R. &amp; Thomas, A., 2021. Transitions to further education: listening to voices of experience. </w:t>
          </w:r>
          <w:r w:rsidRPr="007A71A7">
            <w:rPr>
              <w:rFonts w:ascii="Arial" w:hAnsi="Arial" w:cs="Arial"/>
              <w:i/>
              <w:iCs/>
              <w:noProof/>
              <w:color w:val="000000" w:themeColor="text1"/>
              <w:sz w:val="20"/>
              <w:szCs w:val="20"/>
            </w:rPr>
            <w:t xml:space="preserve">Research in Post-Compulsory Education , </w:t>
          </w:r>
          <w:r w:rsidRPr="007A71A7">
            <w:rPr>
              <w:rFonts w:ascii="Arial" w:hAnsi="Arial" w:cs="Arial"/>
              <w:noProof/>
              <w:color w:val="000000" w:themeColor="text1"/>
              <w:sz w:val="20"/>
              <w:szCs w:val="20"/>
            </w:rPr>
            <w:t>26(2), pp. 212-230.</w:t>
          </w:r>
        </w:p>
        <w:p w14:paraId="1D7F5ECE"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Patton, D. U., Hong, J. S., Patel, S. &amp; Kral, M. J., 2017. A Systematic Review of Research Strategies Used in Qualitative Studies on School Bullying and Victimization. </w:t>
          </w:r>
          <w:r w:rsidRPr="007A71A7">
            <w:rPr>
              <w:rFonts w:ascii="Arial" w:hAnsi="Arial" w:cs="Arial"/>
              <w:i/>
              <w:iCs/>
              <w:noProof/>
              <w:color w:val="000000" w:themeColor="text1"/>
              <w:sz w:val="20"/>
              <w:szCs w:val="20"/>
            </w:rPr>
            <w:t xml:space="preserve">Trauma, Violence, &amp; Abuse , </w:t>
          </w:r>
          <w:r w:rsidRPr="007A71A7">
            <w:rPr>
              <w:rFonts w:ascii="Arial" w:hAnsi="Arial" w:cs="Arial"/>
              <w:noProof/>
              <w:color w:val="000000" w:themeColor="text1"/>
              <w:sz w:val="20"/>
              <w:szCs w:val="20"/>
            </w:rPr>
            <w:t>18(1), pp. 3-16.</w:t>
          </w:r>
        </w:p>
        <w:p w14:paraId="3A64B80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Pearson, 2024. </w:t>
          </w:r>
          <w:r w:rsidRPr="007A71A7">
            <w:rPr>
              <w:rFonts w:ascii="Arial" w:hAnsi="Arial" w:cs="Arial"/>
              <w:i/>
              <w:iCs/>
              <w:noProof/>
              <w:color w:val="000000" w:themeColor="text1"/>
              <w:sz w:val="20"/>
              <w:szCs w:val="20"/>
            </w:rPr>
            <w:t xml:space="preserve">BTEC: Calculating your overall grade.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https://qualifications.pearson.com/en/support/support-topics/results-certification/understanding-marks-and-grades/calculating-your-overall-btec-grade.html</w:t>
          </w:r>
          <w:r w:rsidRPr="007A71A7">
            <w:rPr>
              <w:rFonts w:ascii="Arial" w:hAnsi="Arial" w:cs="Arial"/>
              <w:noProof/>
              <w:color w:val="000000" w:themeColor="text1"/>
              <w:sz w:val="20"/>
              <w:szCs w:val="20"/>
            </w:rPr>
            <w:br/>
            <w:t>[Accessed 9th December 2024].</w:t>
          </w:r>
        </w:p>
        <w:p w14:paraId="44F4274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Pearson, 2024. </w:t>
          </w:r>
          <w:r w:rsidRPr="007A71A7">
            <w:rPr>
              <w:rFonts w:ascii="Arial" w:hAnsi="Arial" w:cs="Arial"/>
              <w:i/>
              <w:iCs/>
              <w:noProof/>
              <w:color w:val="000000" w:themeColor="text1"/>
              <w:sz w:val="20"/>
              <w:szCs w:val="20"/>
            </w:rPr>
            <w:t xml:space="preserve">Pearson Qualifications.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https://qualifications.pearson.com/en/qualifications.html</w:t>
          </w:r>
          <w:r w:rsidRPr="007A71A7">
            <w:rPr>
              <w:rFonts w:ascii="Arial" w:hAnsi="Arial" w:cs="Arial"/>
              <w:noProof/>
              <w:color w:val="000000" w:themeColor="text1"/>
              <w:sz w:val="20"/>
              <w:szCs w:val="20"/>
            </w:rPr>
            <w:br/>
            <w:t>[Accessed 28 October 2024].</w:t>
          </w:r>
        </w:p>
        <w:p w14:paraId="6592AC1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Peltz, J. S., Bodenlos, J. S., Kingery, J. N. &amp; Rogge, R. D., 2020. The role of financial strain in college students’ work hours, sleep, and mental health. </w:t>
          </w:r>
          <w:r w:rsidRPr="007A71A7">
            <w:rPr>
              <w:rFonts w:ascii="Arial" w:hAnsi="Arial" w:cs="Arial"/>
              <w:i/>
              <w:iCs/>
              <w:noProof/>
              <w:color w:val="000000" w:themeColor="text1"/>
              <w:sz w:val="20"/>
              <w:szCs w:val="20"/>
            </w:rPr>
            <w:t xml:space="preserve">Journal of American College Health , </w:t>
          </w:r>
          <w:r w:rsidRPr="007A71A7">
            <w:rPr>
              <w:rFonts w:ascii="Arial" w:hAnsi="Arial" w:cs="Arial"/>
              <w:noProof/>
              <w:color w:val="000000" w:themeColor="text1"/>
              <w:sz w:val="20"/>
              <w:szCs w:val="20"/>
            </w:rPr>
            <w:t>69(6), pp. 577-584.</w:t>
          </w:r>
        </w:p>
        <w:p w14:paraId="46E2145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Pollard, E. et al., 2021. </w:t>
          </w:r>
          <w:r w:rsidRPr="007A71A7">
            <w:rPr>
              <w:rFonts w:ascii="Arial" w:hAnsi="Arial" w:cs="Arial"/>
              <w:i/>
              <w:iCs/>
              <w:noProof/>
              <w:color w:val="000000" w:themeColor="text1"/>
              <w:sz w:val="20"/>
              <w:szCs w:val="20"/>
            </w:rPr>
            <w:t xml:space="preserve">Student mental health and wellbeing. , </w:t>
          </w:r>
          <w:r w:rsidRPr="007A71A7">
            <w:rPr>
              <w:rFonts w:ascii="Arial" w:hAnsi="Arial" w:cs="Arial"/>
              <w:noProof/>
              <w:color w:val="000000" w:themeColor="text1"/>
              <w:sz w:val="20"/>
              <w:szCs w:val="20"/>
            </w:rPr>
            <w:t>s.l.: s.n.</w:t>
          </w:r>
        </w:p>
        <w:p w14:paraId="6A339A8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Powney, J. &amp; Watts, M., 2018. </w:t>
          </w:r>
          <w:r w:rsidRPr="007A71A7">
            <w:rPr>
              <w:rFonts w:ascii="Arial" w:hAnsi="Arial" w:cs="Arial"/>
              <w:i/>
              <w:iCs/>
              <w:noProof/>
              <w:color w:val="000000" w:themeColor="text1"/>
              <w:sz w:val="20"/>
              <w:szCs w:val="20"/>
            </w:rPr>
            <w:t xml:space="preserve">Interviewing in Educational Research. </w:t>
          </w:r>
          <w:r w:rsidRPr="007A71A7">
            <w:rPr>
              <w:rFonts w:ascii="Arial" w:hAnsi="Arial" w:cs="Arial"/>
              <w:noProof/>
              <w:color w:val="000000" w:themeColor="text1"/>
              <w:sz w:val="20"/>
              <w:szCs w:val="20"/>
            </w:rPr>
            <w:t>s.l.:Taylor &amp; Francis.</w:t>
          </w:r>
        </w:p>
        <w:p w14:paraId="58BC4B7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Priestley, M. &amp; Biesta, G., 2013. </w:t>
          </w:r>
          <w:r w:rsidRPr="007A71A7">
            <w:rPr>
              <w:rFonts w:ascii="Arial" w:hAnsi="Arial" w:cs="Arial"/>
              <w:i/>
              <w:iCs/>
              <w:noProof/>
              <w:color w:val="000000" w:themeColor="text1"/>
              <w:sz w:val="20"/>
              <w:szCs w:val="20"/>
            </w:rPr>
            <w:t xml:space="preserve">Reinventing the Curriculum: New Trends in Curriculum Policy and Practice. </w:t>
          </w:r>
          <w:r w:rsidRPr="007A71A7">
            <w:rPr>
              <w:rFonts w:ascii="Arial" w:hAnsi="Arial" w:cs="Arial"/>
              <w:noProof/>
              <w:color w:val="000000" w:themeColor="text1"/>
              <w:sz w:val="20"/>
              <w:szCs w:val="20"/>
            </w:rPr>
            <w:t>s.l.:s.n.</w:t>
          </w:r>
        </w:p>
        <w:p w14:paraId="4AA7077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Qualifications Wales, 2024. </w:t>
          </w:r>
          <w:r w:rsidRPr="007A71A7">
            <w:rPr>
              <w:rFonts w:ascii="Arial" w:hAnsi="Arial" w:cs="Arial"/>
              <w:i/>
              <w:iCs/>
              <w:noProof/>
              <w:color w:val="000000" w:themeColor="text1"/>
              <w:sz w:val="20"/>
              <w:szCs w:val="20"/>
            </w:rPr>
            <w:t xml:space="preserve">Vocational Qualifications.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https://qualifications.wales/information-support/qualifications-available-in-wales/vocational-qualifications/</w:t>
          </w:r>
          <w:r w:rsidRPr="007A71A7">
            <w:rPr>
              <w:rFonts w:ascii="Arial" w:hAnsi="Arial" w:cs="Arial"/>
              <w:noProof/>
              <w:color w:val="000000" w:themeColor="text1"/>
              <w:sz w:val="20"/>
              <w:szCs w:val="20"/>
            </w:rPr>
            <w:br/>
            <w:t>[Accessed 28 October 2024].</w:t>
          </w:r>
        </w:p>
        <w:p w14:paraId="04D5484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Saldaña, J., 2021. </w:t>
          </w:r>
          <w:r w:rsidRPr="007A71A7">
            <w:rPr>
              <w:rFonts w:ascii="Arial" w:hAnsi="Arial" w:cs="Arial"/>
              <w:i/>
              <w:iCs/>
              <w:noProof/>
              <w:color w:val="000000" w:themeColor="text1"/>
              <w:sz w:val="20"/>
              <w:szCs w:val="20"/>
            </w:rPr>
            <w:t xml:space="preserve">The coding manual for qualitative researchers. </w:t>
          </w:r>
          <w:r w:rsidRPr="007A71A7">
            <w:rPr>
              <w:rFonts w:ascii="Arial" w:hAnsi="Arial" w:cs="Arial"/>
              <w:noProof/>
              <w:color w:val="000000" w:themeColor="text1"/>
              <w:sz w:val="20"/>
              <w:szCs w:val="20"/>
            </w:rPr>
            <w:t>4th ed. s.l.:Sage Publications.</w:t>
          </w:r>
        </w:p>
        <w:p w14:paraId="0542978D"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Sandars, J., Langlois, M. &amp; Waterman, H., 2007. Online collaborative learning for healthcare continuing professional development: a cross-case analysis of three case studies. </w:t>
          </w:r>
          <w:r w:rsidRPr="007A71A7">
            <w:rPr>
              <w:rFonts w:ascii="Arial" w:hAnsi="Arial" w:cs="Arial"/>
              <w:i/>
              <w:iCs/>
              <w:noProof/>
              <w:color w:val="000000" w:themeColor="text1"/>
              <w:sz w:val="20"/>
              <w:szCs w:val="20"/>
            </w:rPr>
            <w:t xml:space="preserve">Medical Teacher, </w:t>
          </w:r>
          <w:r w:rsidRPr="007A71A7">
            <w:rPr>
              <w:rFonts w:ascii="Arial" w:hAnsi="Arial" w:cs="Arial"/>
              <w:noProof/>
              <w:color w:val="000000" w:themeColor="text1"/>
              <w:sz w:val="20"/>
              <w:szCs w:val="20"/>
            </w:rPr>
            <w:t>29(1), pp. 9-17.</w:t>
          </w:r>
        </w:p>
        <w:p w14:paraId="66BCA1D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lastRenderedPageBreak/>
            <w:t xml:space="preserve">Selwyn, N., 2016. </w:t>
          </w:r>
          <w:r w:rsidRPr="007A71A7">
            <w:rPr>
              <w:rFonts w:ascii="Arial" w:hAnsi="Arial" w:cs="Arial"/>
              <w:i/>
              <w:iCs/>
              <w:noProof/>
              <w:color w:val="000000" w:themeColor="text1"/>
              <w:sz w:val="20"/>
              <w:szCs w:val="20"/>
            </w:rPr>
            <w:t xml:space="preserve">Is Technology Good for Education?. </w:t>
          </w:r>
          <w:r w:rsidRPr="007A71A7">
            <w:rPr>
              <w:rFonts w:ascii="Arial" w:hAnsi="Arial" w:cs="Arial"/>
              <w:noProof/>
              <w:color w:val="000000" w:themeColor="text1"/>
              <w:sz w:val="20"/>
              <w:szCs w:val="20"/>
            </w:rPr>
            <w:t>Cambridge UK: Polity Press.</w:t>
          </w:r>
        </w:p>
        <w:p w14:paraId="6D996F9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Skilling, K., Bobis, J. &amp; Martin, A. J., 2020. The “ins and outs” of student engagement in mathematics: shifts in engagement factors among high and low achievers. </w:t>
          </w:r>
          <w:r w:rsidRPr="007A71A7">
            <w:rPr>
              <w:rFonts w:ascii="Arial" w:hAnsi="Arial" w:cs="Arial"/>
              <w:i/>
              <w:iCs/>
              <w:noProof/>
              <w:color w:val="000000" w:themeColor="text1"/>
              <w:sz w:val="20"/>
              <w:szCs w:val="20"/>
            </w:rPr>
            <w:t xml:space="preserve">Mathematics Education Research Journal, </w:t>
          </w:r>
          <w:r w:rsidRPr="007A71A7">
            <w:rPr>
              <w:rFonts w:ascii="Arial" w:hAnsi="Arial" w:cs="Arial"/>
              <w:noProof/>
              <w:color w:val="000000" w:themeColor="text1"/>
              <w:sz w:val="20"/>
              <w:szCs w:val="20"/>
            </w:rPr>
            <w:t>Volume 33, pp. 469-493.</w:t>
          </w:r>
        </w:p>
        <w:p w14:paraId="325C21A5"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Smale-Jacobse, A. E., Meijer, A., Helms-Lorenz, M. &amp; Maulana, R., 2019. Differentiated instruction in secondary education: A systematic review of research evidence. </w:t>
          </w:r>
          <w:r w:rsidRPr="007A71A7">
            <w:rPr>
              <w:rFonts w:ascii="Arial" w:hAnsi="Arial" w:cs="Arial"/>
              <w:i/>
              <w:iCs/>
              <w:noProof/>
              <w:color w:val="000000" w:themeColor="text1"/>
              <w:sz w:val="20"/>
              <w:szCs w:val="20"/>
            </w:rPr>
            <w:t xml:space="preserve">Frontiers in psychology, </w:t>
          </w:r>
          <w:r w:rsidRPr="007A71A7">
            <w:rPr>
              <w:rFonts w:ascii="Arial" w:hAnsi="Arial" w:cs="Arial"/>
              <w:noProof/>
              <w:color w:val="000000" w:themeColor="text1"/>
              <w:sz w:val="20"/>
              <w:szCs w:val="20"/>
            </w:rPr>
            <w:t>Volume 10, p. 2366.</w:t>
          </w:r>
        </w:p>
        <w:p w14:paraId="13838C9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Taylor, L. &amp; Parsons, J., 2011. Improving Student Engagement. </w:t>
          </w:r>
          <w:r w:rsidRPr="007A71A7">
            <w:rPr>
              <w:rFonts w:ascii="Arial" w:hAnsi="Arial" w:cs="Arial"/>
              <w:i/>
              <w:iCs/>
              <w:noProof/>
              <w:color w:val="000000" w:themeColor="text1"/>
              <w:sz w:val="20"/>
              <w:szCs w:val="20"/>
            </w:rPr>
            <w:t xml:space="preserve">Current Issues in Education, </w:t>
          </w:r>
          <w:r w:rsidRPr="007A71A7">
            <w:rPr>
              <w:rFonts w:ascii="Arial" w:hAnsi="Arial" w:cs="Arial"/>
              <w:noProof/>
              <w:color w:val="000000" w:themeColor="text1"/>
              <w:sz w:val="20"/>
              <w:szCs w:val="20"/>
            </w:rPr>
            <w:t>Volume 14, pp. 1-32.</w:t>
          </w:r>
        </w:p>
        <w:p w14:paraId="38B52192"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Terry, G. &amp; Hayfield, N., 2021. </w:t>
          </w:r>
          <w:r w:rsidRPr="007A71A7">
            <w:rPr>
              <w:rFonts w:ascii="Arial" w:hAnsi="Arial" w:cs="Arial"/>
              <w:i/>
              <w:iCs/>
              <w:noProof/>
              <w:color w:val="000000" w:themeColor="text1"/>
              <w:sz w:val="20"/>
              <w:szCs w:val="20"/>
            </w:rPr>
            <w:t xml:space="preserve">Essentials of Thematic Analysis. </w:t>
          </w:r>
          <w:r w:rsidRPr="007A71A7">
            <w:rPr>
              <w:rFonts w:ascii="Arial" w:hAnsi="Arial" w:cs="Arial"/>
              <w:noProof/>
              <w:color w:val="000000" w:themeColor="text1"/>
              <w:sz w:val="20"/>
              <w:szCs w:val="20"/>
            </w:rPr>
            <w:t>s.l.:American Psychological Association.</w:t>
          </w:r>
        </w:p>
        <w:p w14:paraId="17D5B808"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Terry, G., Hayfield, N., Clarke, V. &amp; Braun, V., 2017. Thematic analysis. In: </w:t>
          </w:r>
          <w:r w:rsidRPr="007A71A7">
            <w:rPr>
              <w:rFonts w:ascii="Arial" w:hAnsi="Arial" w:cs="Arial"/>
              <w:i/>
              <w:iCs/>
              <w:noProof/>
              <w:color w:val="000000" w:themeColor="text1"/>
              <w:sz w:val="20"/>
              <w:szCs w:val="20"/>
            </w:rPr>
            <w:t xml:space="preserve">The SAGE handbook of qualitative research in psychology,. </w:t>
          </w:r>
          <w:r w:rsidRPr="007A71A7">
            <w:rPr>
              <w:rFonts w:ascii="Arial" w:hAnsi="Arial" w:cs="Arial"/>
              <w:noProof/>
              <w:color w:val="000000" w:themeColor="text1"/>
              <w:sz w:val="20"/>
              <w:szCs w:val="20"/>
            </w:rPr>
            <w:t>s.l.:SAGE Publications, pp. 2(17-37), p.25.</w:t>
          </w:r>
        </w:p>
        <w:p w14:paraId="7D01C426"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Towler, C., Woolner, P. &amp; Wall, K., 2011. Exploring teachers’ and students’ conceptions of learning in two further education colleges. </w:t>
          </w:r>
          <w:r w:rsidRPr="007A71A7">
            <w:rPr>
              <w:rFonts w:ascii="Arial" w:hAnsi="Arial" w:cs="Arial"/>
              <w:i/>
              <w:iCs/>
              <w:noProof/>
              <w:color w:val="000000" w:themeColor="text1"/>
              <w:sz w:val="20"/>
              <w:szCs w:val="20"/>
            </w:rPr>
            <w:t xml:space="preserve">Journal of Further and Higher Education, </w:t>
          </w:r>
          <w:r w:rsidRPr="007A71A7">
            <w:rPr>
              <w:rFonts w:ascii="Arial" w:hAnsi="Arial" w:cs="Arial"/>
              <w:noProof/>
              <w:color w:val="000000" w:themeColor="text1"/>
              <w:sz w:val="20"/>
              <w:szCs w:val="20"/>
            </w:rPr>
            <w:t>35(4), pp. 501-520.</w:t>
          </w:r>
        </w:p>
        <w:p w14:paraId="47CEDD5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Tuckett, S., Robinson, D. &amp; Bunting, F., 2021. </w:t>
          </w:r>
          <w:r w:rsidRPr="007A71A7">
            <w:rPr>
              <w:rFonts w:ascii="Arial" w:hAnsi="Arial" w:cs="Arial"/>
              <w:i/>
              <w:iCs/>
              <w:noProof/>
              <w:color w:val="000000" w:themeColor="text1"/>
              <w:sz w:val="20"/>
              <w:szCs w:val="20"/>
            </w:rPr>
            <w:t xml:space="preserve">Measuring the disadvantage gap in 16-19 education, </w:t>
          </w:r>
          <w:r w:rsidRPr="007A71A7">
            <w:rPr>
              <w:rFonts w:ascii="Arial" w:hAnsi="Arial" w:cs="Arial"/>
              <w:noProof/>
              <w:color w:val="000000" w:themeColor="text1"/>
              <w:sz w:val="20"/>
              <w:szCs w:val="20"/>
            </w:rPr>
            <w:t>s.l.: Education Policy Institute.</w:t>
          </w:r>
        </w:p>
        <w:p w14:paraId="660D3B79"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Tummons, J., 2014. </w:t>
          </w:r>
          <w:r w:rsidRPr="007A71A7">
            <w:rPr>
              <w:rFonts w:ascii="Arial" w:hAnsi="Arial" w:cs="Arial"/>
              <w:i/>
              <w:iCs/>
              <w:noProof/>
              <w:color w:val="000000" w:themeColor="text1"/>
              <w:sz w:val="20"/>
              <w:szCs w:val="20"/>
            </w:rPr>
            <w:t xml:space="preserve">Learning and Teaching in Further Education: The Reflective Practitioner. </w:t>
          </w:r>
          <w:r w:rsidRPr="007A71A7">
            <w:rPr>
              <w:rFonts w:ascii="Arial" w:hAnsi="Arial" w:cs="Arial"/>
              <w:noProof/>
              <w:color w:val="000000" w:themeColor="text1"/>
              <w:sz w:val="20"/>
              <w:szCs w:val="20"/>
            </w:rPr>
            <w:t>4th ed. s.l.:Sage.</w:t>
          </w:r>
        </w:p>
        <w:p w14:paraId="24AF8300"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Ward, M. R. &amp; Delamont, S., 2020. </w:t>
          </w:r>
          <w:r w:rsidRPr="007A71A7">
            <w:rPr>
              <w:rFonts w:ascii="Arial" w:hAnsi="Arial" w:cs="Arial"/>
              <w:i/>
              <w:iCs/>
              <w:noProof/>
              <w:color w:val="000000" w:themeColor="text1"/>
              <w:sz w:val="20"/>
              <w:szCs w:val="20"/>
            </w:rPr>
            <w:t xml:space="preserve">Handbook of Qualitative Research in Education. </w:t>
          </w:r>
          <w:r w:rsidRPr="007A71A7">
            <w:rPr>
              <w:rFonts w:ascii="Arial" w:hAnsi="Arial" w:cs="Arial"/>
              <w:noProof/>
              <w:color w:val="000000" w:themeColor="text1"/>
              <w:sz w:val="20"/>
              <w:szCs w:val="20"/>
            </w:rPr>
            <w:t>2nd ed. s.l.:Edward Elgar Publishing.</w:t>
          </w:r>
        </w:p>
        <w:p w14:paraId="7C415C0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Welsh Government, 2023. </w:t>
          </w:r>
          <w:r w:rsidRPr="007A71A7">
            <w:rPr>
              <w:rFonts w:ascii="Arial" w:hAnsi="Arial" w:cs="Arial"/>
              <w:i/>
              <w:iCs/>
              <w:noProof/>
              <w:color w:val="000000" w:themeColor="text1"/>
              <w:sz w:val="20"/>
              <w:szCs w:val="20"/>
            </w:rPr>
            <w:t xml:space="preserve">Tertiary education reform: background information.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https://www.gov.wales/tertiary-education-reform-background-information-html#:~:text=The%20Tertiary%20Education%20and%20Research,supports%20our%20colleges%20and%20universities.</w:t>
          </w:r>
          <w:r w:rsidRPr="007A71A7">
            <w:rPr>
              <w:rFonts w:ascii="Arial" w:hAnsi="Arial" w:cs="Arial"/>
              <w:noProof/>
              <w:color w:val="000000" w:themeColor="text1"/>
              <w:sz w:val="20"/>
              <w:szCs w:val="20"/>
            </w:rPr>
            <w:br/>
            <w:t>[Accessed 9th December 2024].</w:t>
          </w:r>
        </w:p>
        <w:p w14:paraId="72739DBA"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WG, 2003. </w:t>
          </w:r>
          <w:r w:rsidRPr="007A71A7">
            <w:rPr>
              <w:rFonts w:ascii="Arial" w:hAnsi="Arial" w:cs="Arial"/>
              <w:i/>
              <w:iCs/>
              <w:noProof/>
              <w:color w:val="000000" w:themeColor="text1"/>
              <w:sz w:val="20"/>
              <w:szCs w:val="20"/>
            </w:rPr>
            <w:t xml:space="preserve">Learning Country: Learning Pathways 14-19 Action Plan, </w:t>
          </w:r>
          <w:r w:rsidRPr="007A71A7">
            <w:rPr>
              <w:rFonts w:ascii="Arial" w:hAnsi="Arial" w:cs="Arial"/>
              <w:noProof/>
              <w:color w:val="000000" w:themeColor="text1"/>
              <w:sz w:val="20"/>
              <w:szCs w:val="20"/>
            </w:rPr>
            <w:t>Cardiff: Welsh Assembly Government.</w:t>
          </w:r>
        </w:p>
        <w:p w14:paraId="5876E314"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WG, 2022. </w:t>
          </w:r>
          <w:r w:rsidRPr="007A71A7">
            <w:rPr>
              <w:rFonts w:ascii="Arial" w:hAnsi="Arial" w:cs="Arial"/>
              <w:i/>
              <w:iCs/>
              <w:noProof/>
              <w:color w:val="000000" w:themeColor="text1"/>
              <w:sz w:val="20"/>
              <w:szCs w:val="20"/>
            </w:rPr>
            <w:t xml:space="preserve">Tertiary Education and Research (Wales) Act.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https://www.gov.wales/tertiary-education-research-bill-wales</w:t>
          </w:r>
          <w:r w:rsidRPr="007A71A7">
            <w:rPr>
              <w:rFonts w:ascii="Arial" w:hAnsi="Arial" w:cs="Arial"/>
              <w:noProof/>
              <w:color w:val="000000" w:themeColor="text1"/>
              <w:sz w:val="20"/>
              <w:szCs w:val="20"/>
            </w:rPr>
            <w:br/>
            <w:t>[Accessed 10th December 2024].</w:t>
          </w:r>
        </w:p>
        <w:p w14:paraId="63F24F8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WG, 2023. </w:t>
          </w:r>
          <w:r w:rsidRPr="007A71A7">
            <w:rPr>
              <w:rFonts w:ascii="Arial" w:hAnsi="Arial" w:cs="Arial"/>
              <w:i/>
              <w:iCs/>
              <w:noProof/>
              <w:color w:val="000000" w:themeColor="text1"/>
              <w:sz w:val="20"/>
              <w:szCs w:val="20"/>
            </w:rPr>
            <w:t xml:space="preserve">Tertiary education reform: background information.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https://www.gov.wales/tertiary-education-reform-background-information-html#:~:text=The%20Tertiary%20Education%20and%20Research,supports%20our%20colleges%20and%20universities.</w:t>
          </w:r>
          <w:r w:rsidRPr="007A71A7">
            <w:rPr>
              <w:rFonts w:ascii="Arial" w:hAnsi="Arial" w:cs="Arial"/>
              <w:noProof/>
              <w:color w:val="000000" w:themeColor="text1"/>
              <w:sz w:val="20"/>
              <w:szCs w:val="20"/>
            </w:rPr>
            <w:br/>
            <w:t>[Accessed 9th December 2024].</w:t>
          </w:r>
        </w:p>
        <w:p w14:paraId="61E0EE8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WG, 2024. </w:t>
          </w:r>
          <w:r w:rsidRPr="007A71A7">
            <w:rPr>
              <w:rFonts w:ascii="Arial" w:hAnsi="Arial" w:cs="Arial"/>
              <w:i/>
              <w:iCs/>
              <w:noProof/>
              <w:color w:val="000000" w:themeColor="text1"/>
              <w:sz w:val="20"/>
              <w:szCs w:val="20"/>
            </w:rPr>
            <w:t xml:space="preserve">More support for students and Further and Higher Education institutions. </w:t>
          </w:r>
          <w:r w:rsidRPr="007A71A7">
            <w:rPr>
              <w:rFonts w:ascii="Arial" w:hAnsi="Arial" w:cs="Arial"/>
              <w:noProof/>
              <w:color w:val="000000" w:themeColor="text1"/>
              <w:sz w:val="20"/>
              <w:szCs w:val="20"/>
            </w:rPr>
            <w:t xml:space="preserve">[Online] </w:t>
          </w:r>
          <w:r w:rsidRPr="007A71A7">
            <w:rPr>
              <w:rFonts w:ascii="Arial" w:hAnsi="Arial" w:cs="Arial"/>
              <w:noProof/>
              <w:color w:val="000000" w:themeColor="text1"/>
              <w:sz w:val="20"/>
              <w:szCs w:val="20"/>
            </w:rPr>
            <w:br/>
            <w:t xml:space="preserve">Available at: </w:t>
          </w:r>
          <w:r w:rsidRPr="007A71A7">
            <w:rPr>
              <w:rFonts w:ascii="Arial" w:hAnsi="Arial" w:cs="Arial"/>
              <w:noProof/>
              <w:color w:val="000000" w:themeColor="text1"/>
              <w:sz w:val="20"/>
              <w:szCs w:val="20"/>
              <w:u w:val="single"/>
            </w:rPr>
            <w:t>https://www.gov.wales/more-support-students-and-further-and-higher-education-institutions</w:t>
          </w:r>
          <w:r w:rsidRPr="007A71A7">
            <w:rPr>
              <w:rFonts w:ascii="Arial" w:hAnsi="Arial" w:cs="Arial"/>
              <w:noProof/>
              <w:color w:val="000000" w:themeColor="text1"/>
              <w:sz w:val="20"/>
              <w:szCs w:val="20"/>
            </w:rPr>
            <w:br/>
            <w:t>[Accessed 9th December 2024].</w:t>
          </w:r>
        </w:p>
        <w:p w14:paraId="0D2B11F3"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Wixey, H. et al., 2022. Does well-being matter? Exploring the reasons for learner withdrawal from further education in Wales. </w:t>
          </w:r>
          <w:r w:rsidRPr="007A71A7">
            <w:rPr>
              <w:rFonts w:ascii="Arial" w:hAnsi="Arial" w:cs="Arial"/>
              <w:i/>
              <w:iCs/>
              <w:noProof/>
              <w:color w:val="000000" w:themeColor="text1"/>
              <w:sz w:val="20"/>
              <w:szCs w:val="20"/>
            </w:rPr>
            <w:t xml:space="preserve">Journal of Further and Higher Education , </w:t>
          </w:r>
          <w:r w:rsidRPr="007A71A7">
            <w:rPr>
              <w:rFonts w:ascii="Arial" w:hAnsi="Arial" w:cs="Arial"/>
              <w:noProof/>
              <w:color w:val="000000" w:themeColor="text1"/>
              <w:sz w:val="20"/>
              <w:szCs w:val="20"/>
            </w:rPr>
            <w:t>47(4), pp. 435-449.</w:t>
          </w:r>
        </w:p>
        <w:p w14:paraId="485C6281"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Wragg, E. C., 2012. </w:t>
          </w:r>
          <w:r w:rsidRPr="007A71A7">
            <w:rPr>
              <w:rFonts w:ascii="Arial" w:hAnsi="Arial" w:cs="Arial"/>
              <w:i/>
              <w:iCs/>
              <w:noProof/>
              <w:color w:val="000000" w:themeColor="text1"/>
              <w:sz w:val="20"/>
              <w:szCs w:val="20"/>
            </w:rPr>
            <w:t xml:space="preserve">An Introduction to Classroom Observation. </w:t>
          </w:r>
          <w:r w:rsidRPr="007A71A7">
            <w:rPr>
              <w:rFonts w:ascii="Arial" w:hAnsi="Arial" w:cs="Arial"/>
              <w:noProof/>
              <w:color w:val="000000" w:themeColor="text1"/>
              <w:sz w:val="20"/>
              <w:szCs w:val="20"/>
            </w:rPr>
            <w:t>s.l.:Routledge.</w:t>
          </w:r>
        </w:p>
        <w:p w14:paraId="1B3BD6CB"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Young, E., Thompson, R., Sharp, J. &amp; Bosmans, D., 2020. Emotional transitions? Exploring the student experience of entering higher education in a widening-participation HE-in-FE setting. </w:t>
          </w:r>
          <w:r w:rsidRPr="007A71A7">
            <w:rPr>
              <w:rFonts w:ascii="Arial" w:hAnsi="Arial" w:cs="Arial"/>
              <w:i/>
              <w:iCs/>
              <w:noProof/>
              <w:color w:val="000000" w:themeColor="text1"/>
              <w:sz w:val="20"/>
              <w:szCs w:val="20"/>
            </w:rPr>
            <w:t xml:space="preserve">Journal of Further and Higher Education , </w:t>
          </w:r>
          <w:r w:rsidRPr="007A71A7">
            <w:rPr>
              <w:rFonts w:ascii="Arial" w:hAnsi="Arial" w:cs="Arial"/>
              <w:noProof/>
              <w:color w:val="000000" w:themeColor="text1"/>
              <w:sz w:val="20"/>
              <w:szCs w:val="20"/>
            </w:rPr>
            <w:t>44(10), pp. 1349-1363.</w:t>
          </w:r>
        </w:p>
        <w:p w14:paraId="61ABDABF" w14:textId="77777777" w:rsidR="007A71A7" w:rsidRPr="007A71A7" w:rsidRDefault="007A71A7" w:rsidP="007A71A7">
          <w:pPr>
            <w:pStyle w:val="Bibliography"/>
            <w:spacing w:after="120" w:line="240" w:lineRule="auto"/>
            <w:rPr>
              <w:rFonts w:ascii="Arial" w:hAnsi="Arial" w:cs="Arial"/>
              <w:noProof/>
              <w:color w:val="000000" w:themeColor="text1"/>
              <w:sz w:val="20"/>
              <w:szCs w:val="20"/>
            </w:rPr>
          </w:pPr>
          <w:r w:rsidRPr="007A71A7">
            <w:rPr>
              <w:rFonts w:ascii="Arial" w:hAnsi="Arial" w:cs="Arial"/>
              <w:noProof/>
              <w:color w:val="000000" w:themeColor="text1"/>
              <w:sz w:val="20"/>
              <w:szCs w:val="20"/>
            </w:rPr>
            <w:t xml:space="preserve">Zhao, K., 2021. Sample representation in the social sciences. </w:t>
          </w:r>
          <w:r w:rsidRPr="007A71A7">
            <w:rPr>
              <w:rFonts w:ascii="Arial" w:hAnsi="Arial" w:cs="Arial"/>
              <w:i/>
              <w:iCs/>
              <w:noProof/>
              <w:color w:val="000000" w:themeColor="text1"/>
              <w:sz w:val="20"/>
              <w:szCs w:val="20"/>
            </w:rPr>
            <w:t xml:space="preserve">Synthese, </w:t>
          </w:r>
          <w:r w:rsidRPr="007A71A7">
            <w:rPr>
              <w:rFonts w:ascii="Arial" w:hAnsi="Arial" w:cs="Arial"/>
              <w:noProof/>
              <w:color w:val="000000" w:themeColor="text1"/>
              <w:sz w:val="20"/>
              <w:szCs w:val="20"/>
            </w:rPr>
            <w:t>Volume 198, pp. 9097-9115.</w:t>
          </w:r>
        </w:p>
        <w:p w14:paraId="0560AD8B" w14:textId="1881BF06" w:rsidR="007A71A7" w:rsidRDefault="007A71A7" w:rsidP="007A71A7">
          <w:pPr>
            <w:spacing w:after="120" w:line="240" w:lineRule="auto"/>
          </w:pPr>
          <w:r w:rsidRPr="007A71A7">
            <w:rPr>
              <w:rFonts w:ascii="Arial" w:hAnsi="Arial" w:cs="Arial"/>
              <w:b/>
              <w:bCs/>
              <w:color w:val="000000" w:themeColor="text1"/>
              <w:sz w:val="20"/>
              <w:szCs w:val="20"/>
            </w:rPr>
            <w:fldChar w:fldCharType="end"/>
          </w:r>
        </w:p>
      </w:sdtContent>
    </w:sdt>
    <w:p w14:paraId="44F43A37" w14:textId="686A1B22" w:rsidR="0092415A" w:rsidRPr="003524D8" w:rsidRDefault="0092415A">
      <w:pPr>
        <w:spacing w:after="160" w:line="279" w:lineRule="auto"/>
      </w:pPr>
      <w:r w:rsidRPr="003524D8">
        <w:lastRenderedPageBreak/>
        <w:br w:type="page"/>
      </w:r>
    </w:p>
    <w:p w14:paraId="499FC84F" w14:textId="69644FB3" w:rsidR="0092415A" w:rsidRDefault="0092415A" w:rsidP="008E0178">
      <w:pPr>
        <w:pStyle w:val="Heading2"/>
      </w:pPr>
      <w:bookmarkStart w:id="29" w:name="_Ref185336626"/>
      <w:bookmarkStart w:id="30" w:name="_Toc185674577"/>
      <w:r w:rsidRPr="003524D8">
        <w:lastRenderedPageBreak/>
        <w:t>A</w:t>
      </w:r>
      <w:r w:rsidR="003B247A">
        <w:t>ppendix</w:t>
      </w:r>
      <w:r w:rsidRPr="003524D8">
        <w:t xml:space="preserve"> 1</w:t>
      </w:r>
      <w:bookmarkEnd w:id="29"/>
      <w:bookmarkEnd w:id="30"/>
    </w:p>
    <w:p w14:paraId="0809FE6A" w14:textId="77777777" w:rsidR="008E0178" w:rsidRDefault="00073838" w:rsidP="008E0178">
      <w:r>
        <w:t>Consent Form</w:t>
      </w:r>
      <w:r w:rsidR="0068394A">
        <w:t xml:space="preserve"> and Semi-Structured Questions</w:t>
      </w:r>
      <w:bookmarkStart w:id="31" w:name="_Ref185336562"/>
    </w:p>
    <w:p w14:paraId="373B807C" w14:textId="4586F620" w:rsidR="008E0178" w:rsidRDefault="008E0178" w:rsidP="008E0178">
      <w:bookmarkStart w:id="32" w:name="_Toc185342401"/>
      <w:r>
        <w:rPr>
          <w:noProof/>
        </w:rPr>
        <w:drawing>
          <wp:anchor distT="0" distB="0" distL="114300" distR="114300" simplePos="0" relativeHeight="251663360" behindDoc="0" locked="0" layoutInCell="1" allowOverlap="1" wp14:anchorId="659D09D5" wp14:editId="548F12E9">
            <wp:simplePos x="0" y="0"/>
            <wp:positionH relativeFrom="column">
              <wp:posOffset>0</wp:posOffset>
            </wp:positionH>
            <wp:positionV relativeFrom="paragraph">
              <wp:posOffset>-635</wp:posOffset>
            </wp:positionV>
            <wp:extent cx="5943600" cy="3991610"/>
            <wp:effectExtent l="0" t="0" r="0" b="0"/>
            <wp:wrapNone/>
            <wp:docPr id="874852613" name="Picture 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52613" name="Picture 9"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91610"/>
                    </a:xfrm>
                    <a:prstGeom prst="rect">
                      <a:avLst/>
                    </a:prstGeom>
                  </pic:spPr>
                </pic:pic>
              </a:graphicData>
            </a:graphic>
            <wp14:sizeRelH relativeFrom="page">
              <wp14:pctWidth>0</wp14:pctWidth>
            </wp14:sizeRelH>
            <wp14:sizeRelV relativeFrom="page">
              <wp14:pctHeight>0</wp14:pctHeight>
            </wp14:sizeRelV>
          </wp:anchor>
        </w:drawing>
      </w:r>
      <w:bookmarkEnd w:id="32"/>
      <w:r>
        <w:rPr>
          <w:noProof/>
        </w:rPr>
        <w:drawing>
          <wp:anchor distT="0" distB="0" distL="114300" distR="114300" simplePos="0" relativeHeight="251664384" behindDoc="0" locked="0" layoutInCell="1" allowOverlap="1" wp14:anchorId="0FD54904" wp14:editId="045EE62A">
            <wp:simplePos x="0" y="0"/>
            <wp:positionH relativeFrom="column">
              <wp:posOffset>0</wp:posOffset>
            </wp:positionH>
            <wp:positionV relativeFrom="paragraph">
              <wp:posOffset>4256405</wp:posOffset>
            </wp:positionV>
            <wp:extent cx="5943600" cy="3954780"/>
            <wp:effectExtent l="0" t="0" r="0" b="0"/>
            <wp:wrapNone/>
            <wp:docPr id="270703020" name="Picture 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03020" name="Picture 8" descr="A close-up of a questionnai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54780"/>
                    </a:xfrm>
                    <a:prstGeom prst="rect">
                      <a:avLst/>
                    </a:prstGeom>
                  </pic:spPr>
                </pic:pic>
              </a:graphicData>
            </a:graphic>
            <wp14:sizeRelH relativeFrom="page">
              <wp14:pctWidth>0</wp14:pctWidth>
            </wp14:sizeRelH>
            <wp14:sizeRelV relativeFrom="page">
              <wp14:pctHeight>0</wp14:pctHeight>
            </wp14:sizeRelV>
          </wp:anchor>
        </w:drawing>
      </w:r>
    </w:p>
    <w:p w14:paraId="189024BE" w14:textId="2CF5BC14" w:rsidR="0092415A" w:rsidRPr="008E0178" w:rsidRDefault="0092415A" w:rsidP="008E0178">
      <w:pPr>
        <w:pStyle w:val="Heading2"/>
        <w:rPr>
          <w:rFonts w:ascii="Calibri" w:eastAsia="Times New Roman" w:hAnsi="Calibri" w:cs="Times New Roman"/>
          <w:color w:val="auto"/>
          <w:sz w:val="24"/>
          <w:szCs w:val="24"/>
        </w:rPr>
      </w:pPr>
      <w:bookmarkStart w:id="33" w:name="_Ref185609969"/>
      <w:bookmarkStart w:id="34" w:name="_Toc185674578"/>
      <w:r w:rsidRPr="003524D8">
        <w:lastRenderedPageBreak/>
        <w:t>A</w:t>
      </w:r>
      <w:r w:rsidR="003B247A">
        <w:t xml:space="preserve">ppendix </w:t>
      </w:r>
      <w:r w:rsidRPr="003524D8">
        <w:t>2</w:t>
      </w:r>
      <w:bookmarkEnd w:id="31"/>
      <w:bookmarkEnd w:id="33"/>
      <w:bookmarkEnd w:id="34"/>
    </w:p>
    <w:p w14:paraId="3E44983D" w14:textId="68913A1E" w:rsidR="00073838" w:rsidRPr="00073838" w:rsidRDefault="00073838" w:rsidP="00073838">
      <w:r>
        <w:rPr>
          <w:rFonts w:asciiTheme="majorHAnsi" w:eastAsiaTheme="majorEastAsia" w:hAnsiTheme="majorHAnsi" w:cstheme="majorBidi"/>
          <w:noProof/>
          <w:color w:val="0F4761" w:themeColor="accent1" w:themeShade="BF"/>
          <w:sz w:val="32"/>
          <w:szCs w:val="32"/>
        </w:rPr>
        <w:drawing>
          <wp:inline distT="0" distB="0" distL="0" distR="0" wp14:anchorId="266F8890" wp14:editId="5E633642">
            <wp:extent cx="5943600" cy="7376766"/>
            <wp:effectExtent l="0" t="0" r="0" b="2540"/>
            <wp:docPr id="2046089599" name="Picture 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89599" name="Picture 5" descr="A screenshot of a computer pr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7376766"/>
                    </a:xfrm>
                    <a:prstGeom prst="rect">
                      <a:avLst/>
                    </a:prstGeom>
                  </pic:spPr>
                </pic:pic>
              </a:graphicData>
            </a:graphic>
          </wp:inline>
        </w:drawing>
      </w:r>
    </w:p>
    <w:p w14:paraId="44549CF3" w14:textId="4785B643" w:rsidR="00B00C14" w:rsidRPr="00073838" w:rsidRDefault="00987494" w:rsidP="00073838">
      <w:r>
        <w:rPr>
          <w:noProof/>
        </w:rPr>
        <w:drawing>
          <wp:inline distT="0" distB="0" distL="0" distR="0" wp14:anchorId="7F0BAE24" wp14:editId="278A5B40">
            <wp:extent cx="2911625" cy="196908"/>
            <wp:effectExtent l="0" t="0" r="0" b="6350"/>
            <wp:docPr id="1587148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48382" name="Picture 15871483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56201" cy="226974"/>
                    </a:xfrm>
                    <a:prstGeom prst="rect">
                      <a:avLst/>
                    </a:prstGeom>
                  </pic:spPr>
                </pic:pic>
              </a:graphicData>
            </a:graphic>
          </wp:inline>
        </w:drawing>
      </w:r>
    </w:p>
    <w:p w14:paraId="0528BCC2" w14:textId="046C7C62" w:rsidR="004C1A64" w:rsidRPr="003B247A" w:rsidRDefault="0092415A" w:rsidP="003B247A">
      <w:pPr>
        <w:pStyle w:val="Heading2"/>
      </w:pPr>
      <w:bookmarkStart w:id="35" w:name="_Ref185338696"/>
      <w:bookmarkStart w:id="36" w:name="_Toc185674579"/>
      <w:r w:rsidRPr="003524D8">
        <w:lastRenderedPageBreak/>
        <w:t>A</w:t>
      </w:r>
      <w:r w:rsidR="003B247A">
        <w:t>ppendix</w:t>
      </w:r>
      <w:r w:rsidRPr="003524D8">
        <w:t xml:space="preserve"> 3</w:t>
      </w:r>
      <w:bookmarkEnd w:id="35"/>
      <w:bookmarkEnd w:id="36"/>
    </w:p>
    <w:p w14:paraId="447E7C4F" w14:textId="05FCC88D" w:rsidR="004C1A64" w:rsidRDefault="003B247A" w:rsidP="00D835E5">
      <w:pPr>
        <w:spacing w:after="120"/>
        <w:rPr>
          <w:rFonts w:eastAsia="Aptos" w:cs="Calibri"/>
          <w:color w:val="000000" w:themeColor="text1"/>
        </w:rPr>
      </w:pPr>
      <w:r>
        <w:rPr>
          <w:rFonts w:eastAsia="Aptos" w:cs="Calibri"/>
          <w:noProof/>
          <w:color w:val="000000" w:themeColor="text1"/>
        </w:rPr>
        <w:drawing>
          <wp:inline distT="0" distB="0" distL="0" distR="0" wp14:anchorId="4DA68803" wp14:editId="23485926">
            <wp:extent cx="5943600" cy="4919980"/>
            <wp:effectExtent l="0" t="0" r="0" b="0"/>
            <wp:docPr id="1128415109" name="Picture 4"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415109" name="Picture 4" descr="A screenshot of a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919980"/>
                    </a:xfrm>
                    <a:prstGeom prst="rect">
                      <a:avLst/>
                    </a:prstGeom>
                  </pic:spPr>
                </pic:pic>
              </a:graphicData>
            </a:graphic>
          </wp:inline>
        </w:drawing>
      </w:r>
    </w:p>
    <w:p w14:paraId="4B28BF64" w14:textId="77777777" w:rsidR="004C1A64" w:rsidRDefault="004C1A64" w:rsidP="00D835E5">
      <w:pPr>
        <w:spacing w:after="120"/>
        <w:rPr>
          <w:rFonts w:eastAsia="Aptos" w:cs="Calibri"/>
          <w:color w:val="000000" w:themeColor="text1"/>
        </w:rPr>
      </w:pPr>
    </w:p>
    <w:p w14:paraId="016F7101" w14:textId="77777777" w:rsidR="004C1A64" w:rsidRDefault="004C1A64" w:rsidP="00D835E5">
      <w:pPr>
        <w:spacing w:after="120"/>
        <w:rPr>
          <w:rFonts w:eastAsia="Aptos" w:cs="Calibri"/>
          <w:color w:val="000000" w:themeColor="text1"/>
        </w:rPr>
      </w:pPr>
    </w:p>
    <w:p w14:paraId="01B32374" w14:textId="77777777" w:rsidR="00C47D7B" w:rsidRPr="00C40FA7" w:rsidRDefault="00C47D7B" w:rsidP="00D835E5">
      <w:pPr>
        <w:spacing w:after="120"/>
        <w:rPr>
          <w:rFonts w:cs="Calibri"/>
          <w:sz w:val="16"/>
          <w:szCs w:val="16"/>
        </w:rPr>
      </w:pPr>
    </w:p>
    <w:sectPr w:rsidR="00C47D7B" w:rsidRPr="00C40FA7" w:rsidSect="00D2557A">
      <w:footerReference w:type="even" r:id="rId16"/>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21F32" w14:textId="77777777" w:rsidR="00A42A18" w:rsidRDefault="00A42A18" w:rsidP="00396026">
      <w:pPr>
        <w:spacing w:line="240" w:lineRule="auto"/>
      </w:pPr>
      <w:r>
        <w:separator/>
      </w:r>
    </w:p>
  </w:endnote>
  <w:endnote w:type="continuationSeparator" w:id="0">
    <w:p w14:paraId="6C55E7BC" w14:textId="77777777" w:rsidR="00A42A18" w:rsidRDefault="00A42A18" w:rsidP="003960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2307010"/>
      <w:docPartObj>
        <w:docPartGallery w:val="Page Numbers (Bottom of Page)"/>
        <w:docPartUnique/>
      </w:docPartObj>
    </w:sdtPr>
    <w:sdtContent>
      <w:p w14:paraId="3BB407D2" w14:textId="1220DE0D" w:rsidR="00396026" w:rsidRDefault="00396026" w:rsidP="00525F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AA9F74" w14:textId="77777777" w:rsidR="00396026" w:rsidRDefault="00396026" w:rsidP="00396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77635979"/>
      <w:docPartObj>
        <w:docPartGallery w:val="Page Numbers (Bottom of Page)"/>
        <w:docPartUnique/>
      </w:docPartObj>
    </w:sdtPr>
    <w:sdtContent>
      <w:p w14:paraId="151D41ED" w14:textId="2464B519" w:rsidR="00396026" w:rsidRDefault="00396026" w:rsidP="00525F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778A70FB" w14:textId="77777777" w:rsidR="00396026" w:rsidRDefault="00396026" w:rsidP="003960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25B86" w14:textId="77777777" w:rsidR="00A42A18" w:rsidRDefault="00A42A18" w:rsidP="00396026">
      <w:pPr>
        <w:spacing w:line="240" w:lineRule="auto"/>
      </w:pPr>
      <w:r>
        <w:separator/>
      </w:r>
    </w:p>
  </w:footnote>
  <w:footnote w:type="continuationSeparator" w:id="0">
    <w:p w14:paraId="19B4211E" w14:textId="77777777" w:rsidR="00A42A18" w:rsidRDefault="00A42A18" w:rsidP="003960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F798"/>
    <w:multiLevelType w:val="hybridMultilevel"/>
    <w:tmpl w:val="238278D8"/>
    <w:lvl w:ilvl="0" w:tplc="8828D3BE">
      <w:start w:val="1"/>
      <w:numFmt w:val="decimal"/>
      <w:lvlText w:val="%1."/>
      <w:lvlJc w:val="left"/>
      <w:pPr>
        <w:ind w:left="720" w:hanging="360"/>
      </w:pPr>
    </w:lvl>
    <w:lvl w:ilvl="1" w:tplc="96C468AA">
      <w:start w:val="1"/>
      <w:numFmt w:val="lowerLetter"/>
      <w:lvlText w:val="%2."/>
      <w:lvlJc w:val="left"/>
      <w:pPr>
        <w:ind w:left="1440" w:hanging="360"/>
      </w:pPr>
    </w:lvl>
    <w:lvl w:ilvl="2" w:tplc="C8F8768A">
      <w:start w:val="1"/>
      <w:numFmt w:val="lowerRoman"/>
      <w:lvlText w:val="%3."/>
      <w:lvlJc w:val="right"/>
      <w:pPr>
        <w:ind w:left="2160" w:hanging="180"/>
      </w:pPr>
    </w:lvl>
    <w:lvl w:ilvl="3" w:tplc="033A3CEC">
      <w:start w:val="1"/>
      <w:numFmt w:val="decimal"/>
      <w:lvlText w:val="%4."/>
      <w:lvlJc w:val="left"/>
      <w:pPr>
        <w:ind w:left="2880" w:hanging="360"/>
      </w:pPr>
    </w:lvl>
    <w:lvl w:ilvl="4" w:tplc="7E3A0250">
      <w:start w:val="1"/>
      <w:numFmt w:val="lowerLetter"/>
      <w:lvlText w:val="%5."/>
      <w:lvlJc w:val="left"/>
      <w:pPr>
        <w:ind w:left="3600" w:hanging="360"/>
      </w:pPr>
    </w:lvl>
    <w:lvl w:ilvl="5" w:tplc="F66A0BD4">
      <w:start w:val="1"/>
      <w:numFmt w:val="lowerRoman"/>
      <w:lvlText w:val="%6."/>
      <w:lvlJc w:val="right"/>
      <w:pPr>
        <w:ind w:left="4320" w:hanging="180"/>
      </w:pPr>
    </w:lvl>
    <w:lvl w:ilvl="6" w:tplc="248420EE">
      <w:start w:val="1"/>
      <w:numFmt w:val="decimal"/>
      <w:lvlText w:val="%7."/>
      <w:lvlJc w:val="left"/>
      <w:pPr>
        <w:ind w:left="5040" w:hanging="360"/>
      </w:pPr>
    </w:lvl>
    <w:lvl w:ilvl="7" w:tplc="AAE0E8AA">
      <w:start w:val="1"/>
      <w:numFmt w:val="lowerLetter"/>
      <w:lvlText w:val="%8."/>
      <w:lvlJc w:val="left"/>
      <w:pPr>
        <w:ind w:left="5760" w:hanging="360"/>
      </w:pPr>
    </w:lvl>
    <w:lvl w:ilvl="8" w:tplc="6976629A">
      <w:start w:val="1"/>
      <w:numFmt w:val="lowerRoman"/>
      <w:lvlText w:val="%9."/>
      <w:lvlJc w:val="right"/>
      <w:pPr>
        <w:ind w:left="6480" w:hanging="180"/>
      </w:pPr>
    </w:lvl>
  </w:abstractNum>
  <w:abstractNum w:abstractNumId="1" w15:restartNumberingAfterBreak="0">
    <w:nsid w:val="039C2052"/>
    <w:multiLevelType w:val="hybridMultilevel"/>
    <w:tmpl w:val="19A88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160B7"/>
    <w:multiLevelType w:val="multilevel"/>
    <w:tmpl w:val="471A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5DAF2"/>
    <w:multiLevelType w:val="hybridMultilevel"/>
    <w:tmpl w:val="707E0BD8"/>
    <w:lvl w:ilvl="0" w:tplc="AE243932">
      <w:start w:val="1"/>
      <w:numFmt w:val="bullet"/>
      <w:lvlText w:val=""/>
      <w:lvlJc w:val="left"/>
      <w:pPr>
        <w:ind w:left="720" w:hanging="360"/>
      </w:pPr>
      <w:rPr>
        <w:rFonts w:ascii="Symbol" w:hAnsi="Symbol" w:hint="default"/>
      </w:rPr>
    </w:lvl>
    <w:lvl w:ilvl="1" w:tplc="7F58F96A">
      <w:start w:val="1"/>
      <w:numFmt w:val="bullet"/>
      <w:lvlText w:val="o"/>
      <w:lvlJc w:val="left"/>
      <w:pPr>
        <w:ind w:left="1440" w:hanging="360"/>
      </w:pPr>
      <w:rPr>
        <w:rFonts w:ascii="Courier New" w:hAnsi="Courier New" w:hint="default"/>
      </w:rPr>
    </w:lvl>
    <w:lvl w:ilvl="2" w:tplc="F12A8614">
      <w:start w:val="1"/>
      <w:numFmt w:val="bullet"/>
      <w:lvlText w:val=""/>
      <w:lvlJc w:val="left"/>
      <w:pPr>
        <w:ind w:left="2160" w:hanging="360"/>
      </w:pPr>
      <w:rPr>
        <w:rFonts w:ascii="Wingdings" w:hAnsi="Wingdings" w:hint="default"/>
      </w:rPr>
    </w:lvl>
    <w:lvl w:ilvl="3" w:tplc="3E6C3158">
      <w:start w:val="1"/>
      <w:numFmt w:val="bullet"/>
      <w:lvlText w:val=""/>
      <w:lvlJc w:val="left"/>
      <w:pPr>
        <w:ind w:left="2880" w:hanging="360"/>
      </w:pPr>
      <w:rPr>
        <w:rFonts w:ascii="Symbol" w:hAnsi="Symbol" w:hint="default"/>
      </w:rPr>
    </w:lvl>
    <w:lvl w:ilvl="4" w:tplc="5E3A3CF6">
      <w:start w:val="1"/>
      <w:numFmt w:val="bullet"/>
      <w:lvlText w:val="o"/>
      <w:lvlJc w:val="left"/>
      <w:pPr>
        <w:ind w:left="3600" w:hanging="360"/>
      </w:pPr>
      <w:rPr>
        <w:rFonts w:ascii="Courier New" w:hAnsi="Courier New" w:hint="default"/>
      </w:rPr>
    </w:lvl>
    <w:lvl w:ilvl="5" w:tplc="23B8A94E">
      <w:start w:val="1"/>
      <w:numFmt w:val="bullet"/>
      <w:lvlText w:val=""/>
      <w:lvlJc w:val="left"/>
      <w:pPr>
        <w:ind w:left="4320" w:hanging="360"/>
      </w:pPr>
      <w:rPr>
        <w:rFonts w:ascii="Wingdings" w:hAnsi="Wingdings" w:hint="default"/>
      </w:rPr>
    </w:lvl>
    <w:lvl w:ilvl="6" w:tplc="8F82E0BA">
      <w:start w:val="1"/>
      <w:numFmt w:val="bullet"/>
      <w:lvlText w:val=""/>
      <w:lvlJc w:val="left"/>
      <w:pPr>
        <w:ind w:left="5040" w:hanging="360"/>
      </w:pPr>
      <w:rPr>
        <w:rFonts w:ascii="Symbol" w:hAnsi="Symbol" w:hint="default"/>
      </w:rPr>
    </w:lvl>
    <w:lvl w:ilvl="7" w:tplc="BB3ECFBE">
      <w:start w:val="1"/>
      <w:numFmt w:val="bullet"/>
      <w:lvlText w:val="o"/>
      <w:lvlJc w:val="left"/>
      <w:pPr>
        <w:ind w:left="5760" w:hanging="360"/>
      </w:pPr>
      <w:rPr>
        <w:rFonts w:ascii="Courier New" w:hAnsi="Courier New" w:hint="default"/>
      </w:rPr>
    </w:lvl>
    <w:lvl w:ilvl="8" w:tplc="5254C9E4">
      <w:start w:val="1"/>
      <w:numFmt w:val="bullet"/>
      <w:lvlText w:val=""/>
      <w:lvlJc w:val="left"/>
      <w:pPr>
        <w:ind w:left="6480" w:hanging="360"/>
      </w:pPr>
      <w:rPr>
        <w:rFonts w:ascii="Wingdings" w:hAnsi="Wingdings" w:hint="default"/>
      </w:rPr>
    </w:lvl>
  </w:abstractNum>
  <w:abstractNum w:abstractNumId="4" w15:restartNumberingAfterBreak="0">
    <w:nsid w:val="06911896"/>
    <w:multiLevelType w:val="hybridMultilevel"/>
    <w:tmpl w:val="D3C6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04436"/>
    <w:multiLevelType w:val="hybridMultilevel"/>
    <w:tmpl w:val="1BECA8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8B11934"/>
    <w:multiLevelType w:val="multilevel"/>
    <w:tmpl w:val="300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8C48EF"/>
    <w:multiLevelType w:val="multilevel"/>
    <w:tmpl w:val="7E14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373179"/>
    <w:multiLevelType w:val="multilevel"/>
    <w:tmpl w:val="6550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63D66"/>
    <w:multiLevelType w:val="hybridMultilevel"/>
    <w:tmpl w:val="559EF144"/>
    <w:lvl w:ilvl="0" w:tplc="6DE42CD0">
      <w:start w:val="1"/>
      <w:numFmt w:val="decimal"/>
      <w:lvlText w:val="%1."/>
      <w:lvlJc w:val="left"/>
      <w:pPr>
        <w:ind w:left="720" w:hanging="360"/>
      </w:pPr>
    </w:lvl>
    <w:lvl w:ilvl="1" w:tplc="947619F0">
      <w:start w:val="1"/>
      <w:numFmt w:val="lowerLetter"/>
      <w:lvlText w:val="%2."/>
      <w:lvlJc w:val="left"/>
      <w:pPr>
        <w:ind w:left="1440" w:hanging="360"/>
      </w:pPr>
    </w:lvl>
    <w:lvl w:ilvl="2" w:tplc="9404EA64">
      <w:start w:val="1"/>
      <w:numFmt w:val="lowerRoman"/>
      <w:lvlText w:val="%3."/>
      <w:lvlJc w:val="right"/>
      <w:pPr>
        <w:ind w:left="2160" w:hanging="180"/>
      </w:pPr>
    </w:lvl>
    <w:lvl w:ilvl="3" w:tplc="C5FCCFBA">
      <w:start w:val="1"/>
      <w:numFmt w:val="decimal"/>
      <w:lvlText w:val="%4."/>
      <w:lvlJc w:val="left"/>
      <w:pPr>
        <w:ind w:left="2880" w:hanging="360"/>
      </w:pPr>
    </w:lvl>
    <w:lvl w:ilvl="4" w:tplc="C868D2EA">
      <w:start w:val="1"/>
      <w:numFmt w:val="lowerLetter"/>
      <w:lvlText w:val="%5."/>
      <w:lvlJc w:val="left"/>
      <w:pPr>
        <w:ind w:left="3600" w:hanging="360"/>
      </w:pPr>
    </w:lvl>
    <w:lvl w:ilvl="5" w:tplc="D0840EE4">
      <w:start w:val="1"/>
      <w:numFmt w:val="lowerRoman"/>
      <w:lvlText w:val="%6."/>
      <w:lvlJc w:val="right"/>
      <w:pPr>
        <w:ind w:left="4320" w:hanging="180"/>
      </w:pPr>
    </w:lvl>
    <w:lvl w:ilvl="6" w:tplc="A9AE1488">
      <w:start w:val="1"/>
      <w:numFmt w:val="decimal"/>
      <w:lvlText w:val="%7."/>
      <w:lvlJc w:val="left"/>
      <w:pPr>
        <w:ind w:left="5040" w:hanging="360"/>
      </w:pPr>
    </w:lvl>
    <w:lvl w:ilvl="7" w:tplc="E4ECD93E">
      <w:start w:val="1"/>
      <w:numFmt w:val="lowerLetter"/>
      <w:lvlText w:val="%8."/>
      <w:lvlJc w:val="left"/>
      <w:pPr>
        <w:ind w:left="5760" w:hanging="360"/>
      </w:pPr>
    </w:lvl>
    <w:lvl w:ilvl="8" w:tplc="97C622D6">
      <w:start w:val="1"/>
      <w:numFmt w:val="lowerRoman"/>
      <w:lvlText w:val="%9."/>
      <w:lvlJc w:val="right"/>
      <w:pPr>
        <w:ind w:left="6480" w:hanging="180"/>
      </w:pPr>
    </w:lvl>
  </w:abstractNum>
  <w:abstractNum w:abstractNumId="10" w15:restartNumberingAfterBreak="0">
    <w:nsid w:val="185D4C23"/>
    <w:multiLevelType w:val="multilevel"/>
    <w:tmpl w:val="4BB0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5A074F"/>
    <w:multiLevelType w:val="hybridMultilevel"/>
    <w:tmpl w:val="F0E42596"/>
    <w:lvl w:ilvl="0" w:tplc="7316AC22">
      <w:start w:val="1"/>
      <w:numFmt w:val="bullet"/>
      <w:lvlText w:val=""/>
      <w:lvlJc w:val="left"/>
      <w:pPr>
        <w:ind w:left="720" w:hanging="360"/>
      </w:pPr>
      <w:rPr>
        <w:rFonts w:ascii="Symbol" w:hAnsi="Symbol" w:hint="default"/>
      </w:rPr>
    </w:lvl>
    <w:lvl w:ilvl="1" w:tplc="061E18EE">
      <w:start w:val="1"/>
      <w:numFmt w:val="bullet"/>
      <w:lvlText w:val="o"/>
      <w:lvlJc w:val="left"/>
      <w:pPr>
        <w:ind w:left="1440" w:hanging="360"/>
      </w:pPr>
      <w:rPr>
        <w:rFonts w:ascii="Courier New" w:hAnsi="Courier New" w:hint="default"/>
      </w:rPr>
    </w:lvl>
    <w:lvl w:ilvl="2" w:tplc="E33CF88E">
      <w:start w:val="1"/>
      <w:numFmt w:val="bullet"/>
      <w:lvlText w:val=""/>
      <w:lvlJc w:val="left"/>
      <w:pPr>
        <w:ind w:left="2160" w:hanging="360"/>
      </w:pPr>
      <w:rPr>
        <w:rFonts w:ascii="Wingdings" w:hAnsi="Wingdings" w:hint="default"/>
      </w:rPr>
    </w:lvl>
    <w:lvl w:ilvl="3" w:tplc="13B0CBBA">
      <w:start w:val="1"/>
      <w:numFmt w:val="bullet"/>
      <w:lvlText w:val=""/>
      <w:lvlJc w:val="left"/>
      <w:pPr>
        <w:ind w:left="2880" w:hanging="360"/>
      </w:pPr>
      <w:rPr>
        <w:rFonts w:ascii="Symbol" w:hAnsi="Symbol" w:hint="default"/>
      </w:rPr>
    </w:lvl>
    <w:lvl w:ilvl="4" w:tplc="20AA5D8E">
      <w:start w:val="1"/>
      <w:numFmt w:val="bullet"/>
      <w:lvlText w:val="o"/>
      <w:lvlJc w:val="left"/>
      <w:pPr>
        <w:ind w:left="3600" w:hanging="360"/>
      </w:pPr>
      <w:rPr>
        <w:rFonts w:ascii="Courier New" w:hAnsi="Courier New" w:hint="default"/>
      </w:rPr>
    </w:lvl>
    <w:lvl w:ilvl="5" w:tplc="7A56BA72">
      <w:start w:val="1"/>
      <w:numFmt w:val="bullet"/>
      <w:lvlText w:val=""/>
      <w:lvlJc w:val="left"/>
      <w:pPr>
        <w:ind w:left="4320" w:hanging="360"/>
      </w:pPr>
      <w:rPr>
        <w:rFonts w:ascii="Wingdings" w:hAnsi="Wingdings" w:hint="default"/>
      </w:rPr>
    </w:lvl>
    <w:lvl w:ilvl="6" w:tplc="35FECDF0">
      <w:start w:val="1"/>
      <w:numFmt w:val="bullet"/>
      <w:lvlText w:val=""/>
      <w:lvlJc w:val="left"/>
      <w:pPr>
        <w:ind w:left="5040" w:hanging="360"/>
      </w:pPr>
      <w:rPr>
        <w:rFonts w:ascii="Symbol" w:hAnsi="Symbol" w:hint="default"/>
      </w:rPr>
    </w:lvl>
    <w:lvl w:ilvl="7" w:tplc="2CCE68F0">
      <w:start w:val="1"/>
      <w:numFmt w:val="bullet"/>
      <w:lvlText w:val="o"/>
      <w:lvlJc w:val="left"/>
      <w:pPr>
        <w:ind w:left="5760" w:hanging="360"/>
      </w:pPr>
      <w:rPr>
        <w:rFonts w:ascii="Courier New" w:hAnsi="Courier New" w:hint="default"/>
      </w:rPr>
    </w:lvl>
    <w:lvl w:ilvl="8" w:tplc="34425152">
      <w:start w:val="1"/>
      <w:numFmt w:val="bullet"/>
      <w:lvlText w:val=""/>
      <w:lvlJc w:val="left"/>
      <w:pPr>
        <w:ind w:left="6480" w:hanging="360"/>
      </w:pPr>
      <w:rPr>
        <w:rFonts w:ascii="Wingdings" w:hAnsi="Wingdings" w:hint="default"/>
      </w:rPr>
    </w:lvl>
  </w:abstractNum>
  <w:abstractNum w:abstractNumId="12" w15:restartNumberingAfterBreak="0">
    <w:nsid w:val="1E2A6501"/>
    <w:multiLevelType w:val="multilevel"/>
    <w:tmpl w:val="33C4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215453"/>
    <w:multiLevelType w:val="multilevel"/>
    <w:tmpl w:val="9132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C651A4"/>
    <w:multiLevelType w:val="multilevel"/>
    <w:tmpl w:val="A900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3C1580"/>
    <w:multiLevelType w:val="multilevel"/>
    <w:tmpl w:val="EB56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4273EF"/>
    <w:multiLevelType w:val="multilevel"/>
    <w:tmpl w:val="BEDA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442BE3"/>
    <w:multiLevelType w:val="hybridMultilevel"/>
    <w:tmpl w:val="D332C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ED8603"/>
    <w:multiLevelType w:val="hybridMultilevel"/>
    <w:tmpl w:val="9F66A466"/>
    <w:lvl w:ilvl="0" w:tplc="8040A500">
      <w:start w:val="1"/>
      <w:numFmt w:val="decimal"/>
      <w:lvlText w:val="%1."/>
      <w:lvlJc w:val="left"/>
      <w:pPr>
        <w:ind w:left="720" w:hanging="360"/>
      </w:pPr>
    </w:lvl>
    <w:lvl w:ilvl="1" w:tplc="8E16899A">
      <w:start w:val="1"/>
      <w:numFmt w:val="lowerLetter"/>
      <w:lvlText w:val="%2."/>
      <w:lvlJc w:val="left"/>
      <w:pPr>
        <w:ind w:left="1440" w:hanging="360"/>
      </w:pPr>
    </w:lvl>
    <w:lvl w:ilvl="2" w:tplc="6E1A7A26">
      <w:start w:val="1"/>
      <w:numFmt w:val="lowerRoman"/>
      <w:lvlText w:val="%3."/>
      <w:lvlJc w:val="right"/>
      <w:pPr>
        <w:ind w:left="2160" w:hanging="180"/>
      </w:pPr>
    </w:lvl>
    <w:lvl w:ilvl="3" w:tplc="8C5ADDF4">
      <w:start w:val="1"/>
      <w:numFmt w:val="decimal"/>
      <w:lvlText w:val="%4."/>
      <w:lvlJc w:val="left"/>
      <w:pPr>
        <w:ind w:left="2880" w:hanging="360"/>
      </w:pPr>
    </w:lvl>
    <w:lvl w:ilvl="4" w:tplc="683C58EC">
      <w:start w:val="1"/>
      <w:numFmt w:val="lowerLetter"/>
      <w:lvlText w:val="%5."/>
      <w:lvlJc w:val="left"/>
      <w:pPr>
        <w:ind w:left="3600" w:hanging="360"/>
      </w:pPr>
    </w:lvl>
    <w:lvl w:ilvl="5" w:tplc="BF5A64A2">
      <w:start w:val="1"/>
      <w:numFmt w:val="lowerRoman"/>
      <w:lvlText w:val="%6."/>
      <w:lvlJc w:val="right"/>
      <w:pPr>
        <w:ind w:left="4320" w:hanging="180"/>
      </w:pPr>
    </w:lvl>
    <w:lvl w:ilvl="6" w:tplc="30F0F82E">
      <w:start w:val="1"/>
      <w:numFmt w:val="decimal"/>
      <w:lvlText w:val="%7."/>
      <w:lvlJc w:val="left"/>
      <w:pPr>
        <w:ind w:left="5040" w:hanging="360"/>
      </w:pPr>
    </w:lvl>
    <w:lvl w:ilvl="7" w:tplc="9B8028D8">
      <w:start w:val="1"/>
      <w:numFmt w:val="lowerLetter"/>
      <w:lvlText w:val="%8."/>
      <w:lvlJc w:val="left"/>
      <w:pPr>
        <w:ind w:left="5760" w:hanging="360"/>
      </w:pPr>
    </w:lvl>
    <w:lvl w:ilvl="8" w:tplc="57283212">
      <w:start w:val="1"/>
      <w:numFmt w:val="lowerRoman"/>
      <w:lvlText w:val="%9."/>
      <w:lvlJc w:val="right"/>
      <w:pPr>
        <w:ind w:left="6480" w:hanging="180"/>
      </w:pPr>
    </w:lvl>
  </w:abstractNum>
  <w:abstractNum w:abstractNumId="19" w15:restartNumberingAfterBreak="0">
    <w:nsid w:val="32982D92"/>
    <w:multiLevelType w:val="multilevel"/>
    <w:tmpl w:val="C9B8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CD13A2"/>
    <w:multiLevelType w:val="multilevel"/>
    <w:tmpl w:val="AD18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5457F0"/>
    <w:multiLevelType w:val="multilevel"/>
    <w:tmpl w:val="A678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B92690"/>
    <w:multiLevelType w:val="multilevel"/>
    <w:tmpl w:val="3AD6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F733F6"/>
    <w:multiLevelType w:val="hybridMultilevel"/>
    <w:tmpl w:val="35B0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D4FE4"/>
    <w:multiLevelType w:val="multilevel"/>
    <w:tmpl w:val="243E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3C0FE4"/>
    <w:multiLevelType w:val="hybridMultilevel"/>
    <w:tmpl w:val="92F2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752486"/>
    <w:multiLevelType w:val="multilevel"/>
    <w:tmpl w:val="DA44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13F3CB7"/>
    <w:multiLevelType w:val="multilevel"/>
    <w:tmpl w:val="E87ED6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41CB4FFF"/>
    <w:multiLevelType w:val="multilevel"/>
    <w:tmpl w:val="4E20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5F7E50"/>
    <w:multiLevelType w:val="multilevel"/>
    <w:tmpl w:val="0F74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2B08A0"/>
    <w:multiLevelType w:val="hybridMultilevel"/>
    <w:tmpl w:val="120CB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AC03B7F"/>
    <w:multiLevelType w:val="hybridMultilevel"/>
    <w:tmpl w:val="B4B2C824"/>
    <w:lvl w:ilvl="0" w:tplc="AB5EDBDA">
      <w:start w:val="1"/>
      <w:numFmt w:val="bullet"/>
      <w:lvlText w:val=""/>
      <w:lvlJc w:val="left"/>
      <w:pPr>
        <w:ind w:left="720" w:hanging="360"/>
      </w:pPr>
      <w:rPr>
        <w:rFonts w:ascii="Symbol" w:hAnsi="Symbol" w:hint="default"/>
      </w:rPr>
    </w:lvl>
    <w:lvl w:ilvl="1" w:tplc="B9A6C3A2">
      <w:start w:val="1"/>
      <w:numFmt w:val="bullet"/>
      <w:lvlText w:val="o"/>
      <w:lvlJc w:val="left"/>
      <w:pPr>
        <w:ind w:left="1440" w:hanging="360"/>
      </w:pPr>
      <w:rPr>
        <w:rFonts w:ascii="Courier New" w:hAnsi="Courier New" w:hint="default"/>
      </w:rPr>
    </w:lvl>
    <w:lvl w:ilvl="2" w:tplc="A39E8BF2">
      <w:start w:val="1"/>
      <w:numFmt w:val="bullet"/>
      <w:lvlText w:val=""/>
      <w:lvlJc w:val="left"/>
      <w:pPr>
        <w:ind w:left="2160" w:hanging="360"/>
      </w:pPr>
      <w:rPr>
        <w:rFonts w:ascii="Wingdings" w:hAnsi="Wingdings" w:hint="default"/>
      </w:rPr>
    </w:lvl>
    <w:lvl w:ilvl="3" w:tplc="2F9AA674">
      <w:start w:val="1"/>
      <w:numFmt w:val="bullet"/>
      <w:lvlText w:val=""/>
      <w:lvlJc w:val="left"/>
      <w:pPr>
        <w:ind w:left="2880" w:hanging="360"/>
      </w:pPr>
      <w:rPr>
        <w:rFonts w:ascii="Symbol" w:hAnsi="Symbol" w:hint="default"/>
      </w:rPr>
    </w:lvl>
    <w:lvl w:ilvl="4" w:tplc="242CF69E">
      <w:start w:val="1"/>
      <w:numFmt w:val="bullet"/>
      <w:lvlText w:val="o"/>
      <w:lvlJc w:val="left"/>
      <w:pPr>
        <w:ind w:left="3600" w:hanging="360"/>
      </w:pPr>
      <w:rPr>
        <w:rFonts w:ascii="Courier New" w:hAnsi="Courier New" w:hint="default"/>
      </w:rPr>
    </w:lvl>
    <w:lvl w:ilvl="5" w:tplc="A614B7E2">
      <w:start w:val="1"/>
      <w:numFmt w:val="bullet"/>
      <w:lvlText w:val=""/>
      <w:lvlJc w:val="left"/>
      <w:pPr>
        <w:ind w:left="4320" w:hanging="360"/>
      </w:pPr>
      <w:rPr>
        <w:rFonts w:ascii="Wingdings" w:hAnsi="Wingdings" w:hint="default"/>
      </w:rPr>
    </w:lvl>
    <w:lvl w:ilvl="6" w:tplc="CFDA6264">
      <w:start w:val="1"/>
      <w:numFmt w:val="bullet"/>
      <w:lvlText w:val=""/>
      <w:lvlJc w:val="left"/>
      <w:pPr>
        <w:ind w:left="5040" w:hanging="360"/>
      </w:pPr>
      <w:rPr>
        <w:rFonts w:ascii="Symbol" w:hAnsi="Symbol" w:hint="default"/>
      </w:rPr>
    </w:lvl>
    <w:lvl w:ilvl="7" w:tplc="0F28E5F6">
      <w:start w:val="1"/>
      <w:numFmt w:val="bullet"/>
      <w:lvlText w:val="o"/>
      <w:lvlJc w:val="left"/>
      <w:pPr>
        <w:ind w:left="5760" w:hanging="360"/>
      </w:pPr>
      <w:rPr>
        <w:rFonts w:ascii="Courier New" w:hAnsi="Courier New" w:hint="default"/>
      </w:rPr>
    </w:lvl>
    <w:lvl w:ilvl="8" w:tplc="D3223B7C">
      <w:start w:val="1"/>
      <w:numFmt w:val="bullet"/>
      <w:lvlText w:val=""/>
      <w:lvlJc w:val="left"/>
      <w:pPr>
        <w:ind w:left="6480" w:hanging="360"/>
      </w:pPr>
      <w:rPr>
        <w:rFonts w:ascii="Wingdings" w:hAnsi="Wingdings" w:hint="default"/>
      </w:rPr>
    </w:lvl>
  </w:abstractNum>
  <w:abstractNum w:abstractNumId="32" w15:restartNumberingAfterBreak="0">
    <w:nsid w:val="4BDE389B"/>
    <w:multiLevelType w:val="multilevel"/>
    <w:tmpl w:val="9714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F6603A"/>
    <w:multiLevelType w:val="multilevel"/>
    <w:tmpl w:val="B0EA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25260B"/>
    <w:multiLevelType w:val="hybridMultilevel"/>
    <w:tmpl w:val="D710FC2E"/>
    <w:lvl w:ilvl="0" w:tplc="29DE8560">
      <w:start w:val="1"/>
      <w:numFmt w:val="decimal"/>
      <w:lvlText w:val="%1."/>
      <w:lvlJc w:val="left"/>
      <w:pPr>
        <w:ind w:left="720" w:hanging="360"/>
      </w:pPr>
    </w:lvl>
    <w:lvl w:ilvl="1" w:tplc="45AC3FF6">
      <w:start w:val="1"/>
      <w:numFmt w:val="lowerLetter"/>
      <w:lvlText w:val="%2."/>
      <w:lvlJc w:val="left"/>
      <w:pPr>
        <w:ind w:left="1440" w:hanging="360"/>
      </w:pPr>
    </w:lvl>
    <w:lvl w:ilvl="2" w:tplc="2450763E">
      <w:start w:val="1"/>
      <w:numFmt w:val="lowerRoman"/>
      <w:lvlText w:val="%3."/>
      <w:lvlJc w:val="right"/>
      <w:pPr>
        <w:ind w:left="2160" w:hanging="180"/>
      </w:pPr>
    </w:lvl>
    <w:lvl w:ilvl="3" w:tplc="C172DECE">
      <w:start w:val="1"/>
      <w:numFmt w:val="decimal"/>
      <w:lvlText w:val="%4."/>
      <w:lvlJc w:val="left"/>
      <w:pPr>
        <w:ind w:left="2880" w:hanging="360"/>
      </w:pPr>
    </w:lvl>
    <w:lvl w:ilvl="4" w:tplc="2B1AE452">
      <w:start w:val="1"/>
      <w:numFmt w:val="lowerLetter"/>
      <w:lvlText w:val="%5."/>
      <w:lvlJc w:val="left"/>
      <w:pPr>
        <w:ind w:left="3600" w:hanging="360"/>
      </w:pPr>
    </w:lvl>
    <w:lvl w:ilvl="5" w:tplc="9B7C954C">
      <w:start w:val="1"/>
      <w:numFmt w:val="lowerRoman"/>
      <w:lvlText w:val="%6."/>
      <w:lvlJc w:val="right"/>
      <w:pPr>
        <w:ind w:left="4320" w:hanging="180"/>
      </w:pPr>
    </w:lvl>
    <w:lvl w:ilvl="6" w:tplc="035E6C02">
      <w:start w:val="1"/>
      <w:numFmt w:val="decimal"/>
      <w:lvlText w:val="%7."/>
      <w:lvlJc w:val="left"/>
      <w:pPr>
        <w:ind w:left="5040" w:hanging="360"/>
      </w:pPr>
    </w:lvl>
    <w:lvl w:ilvl="7" w:tplc="215C13F8">
      <w:start w:val="1"/>
      <w:numFmt w:val="lowerLetter"/>
      <w:lvlText w:val="%8."/>
      <w:lvlJc w:val="left"/>
      <w:pPr>
        <w:ind w:left="5760" w:hanging="360"/>
      </w:pPr>
    </w:lvl>
    <w:lvl w:ilvl="8" w:tplc="5E02D028">
      <w:start w:val="1"/>
      <w:numFmt w:val="lowerRoman"/>
      <w:lvlText w:val="%9."/>
      <w:lvlJc w:val="right"/>
      <w:pPr>
        <w:ind w:left="6480" w:hanging="180"/>
      </w:pPr>
    </w:lvl>
  </w:abstractNum>
  <w:abstractNum w:abstractNumId="35" w15:restartNumberingAfterBreak="0">
    <w:nsid w:val="4E247E77"/>
    <w:multiLevelType w:val="hybridMultilevel"/>
    <w:tmpl w:val="C9381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E909C4"/>
    <w:multiLevelType w:val="multilevel"/>
    <w:tmpl w:val="9EAC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73454B"/>
    <w:multiLevelType w:val="multilevel"/>
    <w:tmpl w:val="3E94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B27E85"/>
    <w:multiLevelType w:val="hybridMultilevel"/>
    <w:tmpl w:val="0636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50D30"/>
    <w:multiLevelType w:val="hybridMultilevel"/>
    <w:tmpl w:val="193675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1927784"/>
    <w:multiLevelType w:val="multilevel"/>
    <w:tmpl w:val="9D06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3FE8C1D"/>
    <w:multiLevelType w:val="hybridMultilevel"/>
    <w:tmpl w:val="B268AC3E"/>
    <w:lvl w:ilvl="0" w:tplc="720E0594">
      <w:start w:val="1"/>
      <w:numFmt w:val="bullet"/>
      <w:lvlText w:val=""/>
      <w:lvlJc w:val="left"/>
      <w:pPr>
        <w:ind w:left="720" w:hanging="360"/>
      </w:pPr>
      <w:rPr>
        <w:rFonts w:ascii="Symbol" w:hAnsi="Symbol" w:hint="default"/>
      </w:rPr>
    </w:lvl>
    <w:lvl w:ilvl="1" w:tplc="61A6A5BC">
      <w:start w:val="1"/>
      <w:numFmt w:val="bullet"/>
      <w:lvlText w:val="o"/>
      <w:lvlJc w:val="left"/>
      <w:pPr>
        <w:ind w:left="1440" w:hanging="360"/>
      </w:pPr>
      <w:rPr>
        <w:rFonts w:ascii="Courier New" w:hAnsi="Courier New" w:hint="default"/>
      </w:rPr>
    </w:lvl>
    <w:lvl w:ilvl="2" w:tplc="B1CEB1BE">
      <w:start w:val="1"/>
      <w:numFmt w:val="bullet"/>
      <w:lvlText w:val=""/>
      <w:lvlJc w:val="left"/>
      <w:pPr>
        <w:ind w:left="2160" w:hanging="360"/>
      </w:pPr>
      <w:rPr>
        <w:rFonts w:ascii="Wingdings" w:hAnsi="Wingdings" w:hint="default"/>
      </w:rPr>
    </w:lvl>
    <w:lvl w:ilvl="3" w:tplc="539848FE">
      <w:start w:val="1"/>
      <w:numFmt w:val="bullet"/>
      <w:lvlText w:val=""/>
      <w:lvlJc w:val="left"/>
      <w:pPr>
        <w:ind w:left="2880" w:hanging="360"/>
      </w:pPr>
      <w:rPr>
        <w:rFonts w:ascii="Symbol" w:hAnsi="Symbol" w:hint="default"/>
      </w:rPr>
    </w:lvl>
    <w:lvl w:ilvl="4" w:tplc="9820AB00">
      <w:start w:val="1"/>
      <w:numFmt w:val="bullet"/>
      <w:lvlText w:val="o"/>
      <w:lvlJc w:val="left"/>
      <w:pPr>
        <w:ind w:left="3600" w:hanging="360"/>
      </w:pPr>
      <w:rPr>
        <w:rFonts w:ascii="Courier New" w:hAnsi="Courier New" w:hint="default"/>
      </w:rPr>
    </w:lvl>
    <w:lvl w:ilvl="5" w:tplc="A928DDF8">
      <w:start w:val="1"/>
      <w:numFmt w:val="bullet"/>
      <w:lvlText w:val=""/>
      <w:lvlJc w:val="left"/>
      <w:pPr>
        <w:ind w:left="4320" w:hanging="360"/>
      </w:pPr>
      <w:rPr>
        <w:rFonts w:ascii="Wingdings" w:hAnsi="Wingdings" w:hint="default"/>
      </w:rPr>
    </w:lvl>
    <w:lvl w:ilvl="6" w:tplc="23526D52">
      <w:start w:val="1"/>
      <w:numFmt w:val="bullet"/>
      <w:lvlText w:val=""/>
      <w:lvlJc w:val="left"/>
      <w:pPr>
        <w:ind w:left="5040" w:hanging="360"/>
      </w:pPr>
      <w:rPr>
        <w:rFonts w:ascii="Symbol" w:hAnsi="Symbol" w:hint="default"/>
      </w:rPr>
    </w:lvl>
    <w:lvl w:ilvl="7" w:tplc="5C64DE7C">
      <w:start w:val="1"/>
      <w:numFmt w:val="bullet"/>
      <w:lvlText w:val="o"/>
      <w:lvlJc w:val="left"/>
      <w:pPr>
        <w:ind w:left="5760" w:hanging="360"/>
      </w:pPr>
      <w:rPr>
        <w:rFonts w:ascii="Courier New" w:hAnsi="Courier New" w:hint="default"/>
      </w:rPr>
    </w:lvl>
    <w:lvl w:ilvl="8" w:tplc="B9D2335C">
      <w:start w:val="1"/>
      <w:numFmt w:val="bullet"/>
      <w:lvlText w:val=""/>
      <w:lvlJc w:val="left"/>
      <w:pPr>
        <w:ind w:left="6480" w:hanging="360"/>
      </w:pPr>
      <w:rPr>
        <w:rFonts w:ascii="Wingdings" w:hAnsi="Wingdings" w:hint="default"/>
      </w:rPr>
    </w:lvl>
  </w:abstractNum>
  <w:abstractNum w:abstractNumId="42" w15:restartNumberingAfterBreak="0">
    <w:nsid w:val="64461F5F"/>
    <w:multiLevelType w:val="multilevel"/>
    <w:tmpl w:val="67F22E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67B14A14"/>
    <w:multiLevelType w:val="multilevel"/>
    <w:tmpl w:val="5178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B2E0EC9"/>
    <w:multiLevelType w:val="hybridMultilevel"/>
    <w:tmpl w:val="E0221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EDD60CD"/>
    <w:multiLevelType w:val="multilevel"/>
    <w:tmpl w:val="A65A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E80019"/>
    <w:multiLevelType w:val="multilevel"/>
    <w:tmpl w:val="D430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094210"/>
    <w:multiLevelType w:val="multilevel"/>
    <w:tmpl w:val="4AAE88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77141220"/>
    <w:multiLevelType w:val="multilevel"/>
    <w:tmpl w:val="32CC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723E73E"/>
    <w:multiLevelType w:val="hybridMultilevel"/>
    <w:tmpl w:val="4618756E"/>
    <w:lvl w:ilvl="0" w:tplc="7BE0A952">
      <w:start w:val="1"/>
      <w:numFmt w:val="decimal"/>
      <w:lvlText w:val="%1."/>
      <w:lvlJc w:val="left"/>
      <w:pPr>
        <w:ind w:left="720" w:hanging="360"/>
      </w:pPr>
    </w:lvl>
    <w:lvl w:ilvl="1" w:tplc="36CCB25E">
      <w:start w:val="1"/>
      <w:numFmt w:val="lowerLetter"/>
      <w:lvlText w:val="%2."/>
      <w:lvlJc w:val="left"/>
      <w:pPr>
        <w:ind w:left="1440" w:hanging="360"/>
      </w:pPr>
    </w:lvl>
    <w:lvl w:ilvl="2" w:tplc="5184CF58">
      <w:start w:val="1"/>
      <w:numFmt w:val="lowerRoman"/>
      <w:lvlText w:val="%3."/>
      <w:lvlJc w:val="right"/>
      <w:pPr>
        <w:ind w:left="2160" w:hanging="180"/>
      </w:pPr>
    </w:lvl>
    <w:lvl w:ilvl="3" w:tplc="17FED3AE">
      <w:start w:val="1"/>
      <w:numFmt w:val="decimal"/>
      <w:lvlText w:val="%4."/>
      <w:lvlJc w:val="left"/>
      <w:pPr>
        <w:ind w:left="2880" w:hanging="360"/>
      </w:pPr>
    </w:lvl>
    <w:lvl w:ilvl="4" w:tplc="43A684C0">
      <w:start w:val="1"/>
      <w:numFmt w:val="lowerLetter"/>
      <w:lvlText w:val="%5."/>
      <w:lvlJc w:val="left"/>
      <w:pPr>
        <w:ind w:left="3600" w:hanging="360"/>
      </w:pPr>
    </w:lvl>
    <w:lvl w:ilvl="5" w:tplc="2AF8EF96">
      <w:start w:val="1"/>
      <w:numFmt w:val="lowerRoman"/>
      <w:lvlText w:val="%6."/>
      <w:lvlJc w:val="right"/>
      <w:pPr>
        <w:ind w:left="4320" w:hanging="180"/>
      </w:pPr>
    </w:lvl>
    <w:lvl w:ilvl="6" w:tplc="149CF8C4">
      <w:start w:val="1"/>
      <w:numFmt w:val="decimal"/>
      <w:lvlText w:val="%7."/>
      <w:lvlJc w:val="left"/>
      <w:pPr>
        <w:ind w:left="5040" w:hanging="360"/>
      </w:pPr>
    </w:lvl>
    <w:lvl w:ilvl="7" w:tplc="17CA0628">
      <w:start w:val="1"/>
      <w:numFmt w:val="lowerLetter"/>
      <w:lvlText w:val="%8."/>
      <w:lvlJc w:val="left"/>
      <w:pPr>
        <w:ind w:left="5760" w:hanging="360"/>
      </w:pPr>
    </w:lvl>
    <w:lvl w:ilvl="8" w:tplc="7D6C2D36">
      <w:start w:val="1"/>
      <w:numFmt w:val="lowerRoman"/>
      <w:lvlText w:val="%9."/>
      <w:lvlJc w:val="right"/>
      <w:pPr>
        <w:ind w:left="6480" w:hanging="180"/>
      </w:pPr>
    </w:lvl>
  </w:abstractNum>
  <w:abstractNum w:abstractNumId="50" w15:restartNumberingAfterBreak="0">
    <w:nsid w:val="797D79A9"/>
    <w:multiLevelType w:val="multilevel"/>
    <w:tmpl w:val="53EC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B4F58CB"/>
    <w:multiLevelType w:val="multilevel"/>
    <w:tmpl w:val="335C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538459">
    <w:abstractNumId w:val="11"/>
  </w:num>
  <w:num w:numId="2" w16cid:durableId="1806392658">
    <w:abstractNumId w:val="9"/>
  </w:num>
  <w:num w:numId="3" w16cid:durableId="147483766">
    <w:abstractNumId w:val="49"/>
  </w:num>
  <w:num w:numId="4" w16cid:durableId="790321959">
    <w:abstractNumId w:val="31"/>
  </w:num>
  <w:num w:numId="5" w16cid:durableId="748041924">
    <w:abstractNumId w:val="0"/>
  </w:num>
  <w:num w:numId="6" w16cid:durableId="645552384">
    <w:abstractNumId w:val="41"/>
  </w:num>
  <w:num w:numId="7" w16cid:durableId="92166172">
    <w:abstractNumId w:val="3"/>
  </w:num>
  <w:num w:numId="8" w16cid:durableId="1429161682">
    <w:abstractNumId w:val="34"/>
  </w:num>
  <w:num w:numId="9" w16cid:durableId="664281308">
    <w:abstractNumId w:val="18"/>
  </w:num>
  <w:num w:numId="10" w16cid:durableId="68619816">
    <w:abstractNumId w:val="22"/>
  </w:num>
  <w:num w:numId="11" w16cid:durableId="979770178">
    <w:abstractNumId w:val="36"/>
  </w:num>
  <w:num w:numId="12" w16cid:durableId="1949046321">
    <w:abstractNumId w:val="2"/>
  </w:num>
  <w:num w:numId="13" w16cid:durableId="1969970923">
    <w:abstractNumId w:val="20"/>
  </w:num>
  <w:num w:numId="14" w16cid:durableId="1146817108">
    <w:abstractNumId w:val="29"/>
  </w:num>
  <w:num w:numId="15" w16cid:durableId="1206605025">
    <w:abstractNumId w:val="37"/>
  </w:num>
  <w:num w:numId="16" w16cid:durableId="1782217997">
    <w:abstractNumId w:val="26"/>
  </w:num>
  <w:num w:numId="17" w16cid:durableId="1185633442">
    <w:abstractNumId w:val="8"/>
  </w:num>
  <w:num w:numId="18" w16cid:durableId="1438215759">
    <w:abstractNumId w:val="21"/>
  </w:num>
  <w:num w:numId="19" w16cid:durableId="16123165">
    <w:abstractNumId w:val="47"/>
  </w:num>
  <w:num w:numId="20" w16cid:durableId="26298240">
    <w:abstractNumId w:val="27"/>
  </w:num>
  <w:num w:numId="21" w16cid:durableId="1593196471">
    <w:abstractNumId w:val="42"/>
  </w:num>
  <w:num w:numId="22" w16cid:durableId="505051851">
    <w:abstractNumId w:val="16"/>
  </w:num>
  <w:num w:numId="23" w16cid:durableId="469245382">
    <w:abstractNumId w:val="48"/>
  </w:num>
  <w:num w:numId="24" w16cid:durableId="1551108212">
    <w:abstractNumId w:val="19"/>
  </w:num>
  <w:num w:numId="25" w16cid:durableId="88741492">
    <w:abstractNumId w:val="15"/>
  </w:num>
  <w:num w:numId="26" w16cid:durableId="1557669584">
    <w:abstractNumId w:val="43"/>
  </w:num>
  <w:num w:numId="27" w16cid:durableId="291904747">
    <w:abstractNumId w:val="51"/>
  </w:num>
  <w:num w:numId="28" w16cid:durableId="769471242">
    <w:abstractNumId w:val="40"/>
  </w:num>
  <w:num w:numId="29" w16cid:durableId="1272514301">
    <w:abstractNumId w:val="50"/>
  </w:num>
  <w:num w:numId="30" w16cid:durableId="893925015">
    <w:abstractNumId w:val="6"/>
  </w:num>
  <w:num w:numId="31" w16cid:durableId="543253908">
    <w:abstractNumId w:val="14"/>
  </w:num>
  <w:num w:numId="32" w16cid:durableId="1015957005">
    <w:abstractNumId w:val="12"/>
  </w:num>
  <w:num w:numId="33" w16cid:durableId="1470903904">
    <w:abstractNumId w:val="28"/>
  </w:num>
  <w:num w:numId="34" w16cid:durableId="66467017">
    <w:abstractNumId w:val="24"/>
  </w:num>
  <w:num w:numId="35" w16cid:durableId="1471635982">
    <w:abstractNumId w:val="33"/>
  </w:num>
  <w:num w:numId="36" w16cid:durableId="12417749">
    <w:abstractNumId w:val="4"/>
  </w:num>
  <w:num w:numId="37" w16cid:durableId="347172412">
    <w:abstractNumId w:val="25"/>
  </w:num>
  <w:num w:numId="38" w16cid:durableId="2140880758">
    <w:abstractNumId w:val="35"/>
  </w:num>
  <w:num w:numId="39" w16cid:durableId="1466117938">
    <w:abstractNumId w:val="38"/>
  </w:num>
  <w:num w:numId="40" w16cid:durableId="1352493937">
    <w:abstractNumId w:val="13"/>
  </w:num>
  <w:num w:numId="41" w16cid:durableId="53624594">
    <w:abstractNumId w:val="7"/>
  </w:num>
  <w:num w:numId="42" w16cid:durableId="18972413">
    <w:abstractNumId w:val="32"/>
  </w:num>
  <w:num w:numId="43" w16cid:durableId="825559697">
    <w:abstractNumId w:val="46"/>
  </w:num>
  <w:num w:numId="44" w16cid:durableId="1838612575">
    <w:abstractNumId w:val="10"/>
  </w:num>
  <w:num w:numId="45" w16cid:durableId="134301702">
    <w:abstractNumId w:val="45"/>
  </w:num>
  <w:num w:numId="46" w16cid:durableId="1326322933">
    <w:abstractNumId w:val="17"/>
  </w:num>
  <w:num w:numId="47" w16cid:durableId="607810289">
    <w:abstractNumId w:val="44"/>
  </w:num>
  <w:num w:numId="48" w16cid:durableId="128938993">
    <w:abstractNumId w:val="23"/>
  </w:num>
  <w:num w:numId="49" w16cid:durableId="202327566">
    <w:abstractNumId w:val="30"/>
  </w:num>
  <w:num w:numId="50" w16cid:durableId="1684503715">
    <w:abstractNumId w:val="39"/>
  </w:num>
  <w:num w:numId="51" w16cid:durableId="534730293">
    <w:abstractNumId w:val="5"/>
  </w:num>
  <w:num w:numId="52" w16cid:durableId="113402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CAE9F0"/>
    <w:rsid w:val="0000038C"/>
    <w:rsid w:val="00001114"/>
    <w:rsid w:val="00003887"/>
    <w:rsid w:val="000042FD"/>
    <w:rsid w:val="0000442C"/>
    <w:rsid w:val="000055F4"/>
    <w:rsid w:val="00007D03"/>
    <w:rsid w:val="00013B76"/>
    <w:rsid w:val="00015EB4"/>
    <w:rsid w:val="00016355"/>
    <w:rsid w:val="00017280"/>
    <w:rsid w:val="00017C5F"/>
    <w:rsid w:val="000206C6"/>
    <w:rsid w:val="00021EA3"/>
    <w:rsid w:val="000240FC"/>
    <w:rsid w:val="000262FA"/>
    <w:rsid w:val="00030349"/>
    <w:rsid w:val="000308E5"/>
    <w:rsid w:val="00031DB9"/>
    <w:rsid w:val="00035550"/>
    <w:rsid w:val="00035994"/>
    <w:rsid w:val="0003600F"/>
    <w:rsid w:val="000408AD"/>
    <w:rsid w:val="00040981"/>
    <w:rsid w:val="00041D42"/>
    <w:rsid w:val="000438B9"/>
    <w:rsid w:val="00047E96"/>
    <w:rsid w:val="0005141D"/>
    <w:rsid w:val="00064A71"/>
    <w:rsid w:val="00073419"/>
    <w:rsid w:val="00073838"/>
    <w:rsid w:val="00076146"/>
    <w:rsid w:val="0008144D"/>
    <w:rsid w:val="00082BC8"/>
    <w:rsid w:val="000837AD"/>
    <w:rsid w:val="0008434A"/>
    <w:rsid w:val="00092E38"/>
    <w:rsid w:val="000945B8"/>
    <w:rsid w:val="00096B40"/>
    <w:rsid w:val="00097551"/>
    <w:rsid w:val="000A1347"/>
    <w:rsid w:val="000A20A7"/>
    <w:rsid w:val="000B3CB5"/>
    <w:rsid w:val="000B544D"/>
    <w:rsid w:val="000C6227"/>
    <w:rsid w:val="000C6F9D"/>
    <w:rsid w:val="000C767F"/>
    <w:rsid w:val="000C7863"/>
    <w:rsid w:val="000D3425"/>
    <w:rsid w:val="000E7F88"/>
    <w:rsid w:val="000F3FCD"/>
    <w:rsid w:val="000F4A24"/>
    <w:rsid w:val="000F7A10"/>
    <w:rsid w:val="00102837"/>
    <w:rsid w:val="00103543"/>
    <w:rsid w:val="0010615A"/>
    <w:rsid w:val="00106985"/>
    <w:rsid w:val="0010719D"/>
    <w:rsid w:val="001107D1"/>
    <w:rsid w:val="0011754B"/>
    <w:rsid w:val="00120442"/>
    <w:rsid w:val="00120E89"/>
    <w:rsid w:val="00121DB9"/>
    <w:rsid w:val="00122BCF"/>
    <w:rsid w:val="00123692"/>
    <w:rsid w:val="001244DF"/>
    <w:rsid w:val="00133917"/>
    <w:rsid w:val="00137ECE"/>
    <w:rsid w:val="0014038A"/>
    <w:rsid w:val="00145DFA"/>
    <w:rsid w:val="00147797"/>
    <w:rsid w:val="00156B0E"/>
    <w:rsid w:val="00157046"/>
    <w:rsid w:val="00157380"/>
    <w:rsid w:val="001602EB"/>
    <w:rsid w:val="00164536"/>
    <w:rsid w:val="001658B3"/>
    <w:rsid w:val="001731E8"/>
    <w:rsid w:val="00175BED"/>
    <w:rsid w:val="001829E2"/>
    <w:rsid w:val="00190284"/>
    <w:rsid w:val="00191CF6"/>
    <w:rsid w:val="001960F5"/>
    <w:rsid w:val="00196C79"/>
    <w:rsid w:val="001A066A"/>
    <w:rsid w:val="001A0E38"/>
    <w:rsid w:val="001A20DE"/>
    <w:rsid w:val="001A2353"/>
    <w:rsid w:val="001A3E97"/>
    <w:rsid w:val="001A5787"/>
    <w:rsid w:val="001B090D"/>
    <w:rsid w:val="001C2158"/>
    <w:rsid w:val="001C626C"/>
    <w:rsid w:val="001D1ED3"/>
    <w:rsid w:val="001D2FC6"/>
    <w:rsid w:val="001D35AB"/>
    <w:rsid w:val="001D6307"/>
    <w:rsid w:val="001D7C77"/>
    <w:rsid w:val="001E2730"/>
    <w:rsid w:val="001E3624"/>
    <w:rsid w:val="001E525F"/>
    <w:rsid w:val="001E6FEC"/>
    <w:rsid w:val="001F077E"/>
    <w:rsid w:val="001F0E96"/>
    <w:rsid w:val="001F37E7"/>
    <w:rsid w:val="001F55B2"/>
    <w:rsid w:val="001F7200"/>
    <w:rsid w:val="0020074B"/>
    <w:rsid w:val="002026B2"/>
    <w:rsid w:val="00205671"/>
    <w:rsid w:val="00205DE2"/>
    <w:rsid w:val="00206D03"/>
    <w:rsid w:val="002107C0"/>
    <w:rsid w:val="00214F96"/>
    <w:rsid w:val="002268AC"/>
    <w:rsid w:val="00231096"/>
    <w:rsid w:val="002320B5"/>
    <w:rsid w:val="002334E3"/>
    <w:rsid w:val="0023491E"/>
    <w:rsid w:val="00234D37"/>
    <w:rsid w:val="00235B02"/>
    <w:rsid w:val="0023636F"/>
    <w:rsid w:val="002366DA"/>
    <w:rsid w:val="00245DBA"/>
    <w:rsid w:val="002524DF"/>
    <w:rsid w:val="002526CB"/>
    <w:rsid w:val="00253F9C"/>
    <w:rsid w:val="00257AED"/>
    <w:rsid w:val="002645AD"/>
    <w:rsid w:val="0026563F"/>
    <w:rsid w:val="002658F6"/>
    <w:rsid w:val="00265FEA"/>
    <w:rsid w:val="00266788"/>
    <w:rsid w:val="00267889"/>
    <w:rsid w:val="0027018D"/>
    <w:rsid w:val="002705CF"/>
    <w:rsid w:val="00274778"/>
    <w:rsid w:val="00275AF0"/>
    <w:rsid w:val="00275C35"/>
    <w:rsid w:val="002762C3"/>
    <w:rsid w:val="00276B30"/>
    <w:rsid w:val="00277D02"/>
    <w:rsid w:val="00280BEC"/>
    <w:rsid w:val="00286BF1"/>
    <w:rsid w:val="00292329"/>
    <w:rsid w:val="00297D5C"/>
    <w:rsid w:val="002A1CD6"/>
    <w:rsid w:val="002A42C3"/>
    <w:rsid w:val="002B06C7"/>
    <w:rsid w:val="002B19FE"/>
    <w:rsid w:val="002B2460"/>
    <w:rsid w:val="002C7EDB"/>
    <w:rsid w:val="002D06C6"/>
    <w:rsid w:val="002D24A4"/>
    <w:rsid w:val="002D40F8"/>
    <w:rsid w:val="002D4E38"/>
    <w:rsid w:val="002D4F6C"/>
    <w:rsid w:val="002E2237"/>
    <w:rsid w:val="002E29F6"/>
    <w:rsid w:val="002E3B24"/>
    <w:rsid w:val="002E515D"/>
    <w:rsid w:val="002E6E0D"/>
    <w:rsid w:val="002E78DC"/>
    <w:rsid w:val="002F2E48"/>
    <w:rsid w:val="002F3A30"/>
    <w:rsid w:val="002F421C"/>
    <w:rsid w:val="00307C23"/>
    <w:rsid w:val="00311977"/>
    <w:rsid w:val="003121D6"/>
    <w:rsid w:val="003124E5"/>
    <w:rsid w:val="00315FB5"/>
    <w:rsid w:val="00321885"/>
    <w:rsid w:val="003219D4"/>
    <w:rsid w:val="0032296B"/>
    <w:rsid w:val="0032401C"/>
    <w:rsid w:val="00325565"/>
    <w:rsid w:val="00327073"/>
    <w:rsid w:val="00330BC5"/>
    <w:rsid w:val="00332FE8"/>
    <w:rsid w:val="00336A7A"/>
    <w:rsid w:val="00336B73"/>
    <w:rsid w:val="003413BA"/>
    <w:rsid w:val="00342501"/>
    <w:rsid w:val="00343048"/>
    <w:rsid w:val="0034306B"/>
    <w:rsid w:val="003500D3"/>
    <w:rsid w:val="003524D8"/>
    <w:rsid w:val="003574C2"/>
    <w:rsid w:val="00360718"/>
    <w:rsid w:val="003634F7"/>
    <w:rsid w:val="00365C04"/>
    <w:rsid w:val="00365E4C"/>
    <w:rsid w:val="00367AC0"/>
    <w:rsid w:val="00370201"/>
    <w:rsid w:val="0037267D"/>
    <w:rsid w:val="00376C2C"/>
    <w:rsid w:val="00380013"/>
    <w:rsid w:val="00381085"/>
    <w:rsid w:val="00382CA3"/>
    <w:rsid w:val="00385A99"/>
    <w:rsid w:val="00385EC4"/>
    <w:rsid w:val="0038783E"/>
    <w:rsid w:val="00391DEB"/>
    <w:rsid w:val="0039478D"/>
    <w:rsid w:val="00396026"/>
    <w:rsid w:val="003972E4"/>
    <w:rsid w:val="003A3CCE"/>
    <w:rsid w:val="003A62F9"/>
    <w:rsid w:val="003A6519"/>
    <w:rsid w:val="003A69CD"/>
    <w:rsid w:val="003A6F4B"/>
    <w:rsid w:val="003B247A"/>
    <w:rsid w:val="003B3593"/>
    <w:rsid w:val="003B37AE"/>
    <w:rsid w:val="003B4287"/>
    <w:rsid w:val="003B5DC6"/>
    <w:rsid w:val="003B7E47"/>
    <w:rsid w:val="003C0864"/>
    <w:rsid w:val="003C1C00"/>
    <w:rsid w:val="003C34A4"/>
    <w:rsid w:val="003C3B7B"/>
    <w:rsid w:val="003C5175"/>
    <w:rsid w:val="003C7467"/>
    <w:rsid w:val="003D001F"/>
    <w:rsid w:val="003D07A1"/>
    <w:rsid w:val="003D0D06"/>
    <w:rsid w:val="003D1D9B"/>
    <w:rsid w:val="003D2A93"/>
    <w:rsid w:val="003D2F5D"/>
    <w:rsid w:val="003D465B"/>
    <w:rsid w:val="003E7AA4"/>
    <w:rsid w:val="0040702B"/>
    <w:rsid w:val="0041007F"/>
    <w:rsid w:val="004101E3"/>
    <w:rsid w:val="00411EC4"/>
    <w:rsid w:val="0041212D"/>
    <w:rsid w:val="004146CF"/>
    <w:rsid w:val="00415655"/>
    <w:rsid w:val="00415851"/>
    <w:rsid w:val="00416D80"/>
    <w:rsid w:val="0042315A"/>
    <w:rsid w:val="00423BCE"/>
    <w:rsid w:val="0042609E"/>
    <w:rsid w:val="00433A95"/>
    <w:rsid w:val="0044246F"/>
    <w:rsid w:val="004444A0"/>
    <w:rsid w:val="0044556B"/>
    <w:rsid w:val="00445BD7"/>
    <w:rsid w:val="00446C7C"/>
    <w:rsid w:val="00446CA3"/>
    <w:rsid w:val="00451109"/>
    <w:rsid w:val="0045464A"/>
    <w:rsid w:val="00455D5C"/>
    <w:rsid w:val="004572DC"/>
    <w:rsid w:val="00460EA4"/>
    <w:rsid w:val="00463A2B"/>
    <w:rsid w:val="00465E94"/>
    <w:rsid w:val="00466549"/>
    <w:rsid w:val="0047204B"/>
    <w:rsid w:val="004746B3"/>
    <w:rsid w:val="00482787"/>
    <w:rsid w:val="00484CC6"/>
    <w:rsid w:val="00490D70"/>
    <w:rsid w:val="0049154D"/>
    <w:rsid w:val="0049599D"/>
    <w:rsid w:val="00497D7D"/>
    <w:rsid w:val="004A0D35"/>
    <w:rsid w:val="004A1266"/>
    <w:rsid w:val="004A20B7"/>
    <w:rsid w:val="004A450E"/>
    <w:rsid w:val="004B2775"/>
    <w:rsid w:val="004C1137"/>
    <w:rsid w:val="004C1A64"/>
    <w:rsid w:val="004C5A0D"/>
    <w:rsid w:val="004D1312"/>
    <w:rsid w:val="004D1442"/>
    <w:rsid w:val="004D2F88"/>
    <w:rsid w:val="004D477F"/>
    <w:rsid w:val="004D4C20"/>
    <w:rsid w:val="004E1FEA"/>
    <w:rsid w:val="004E34BE"/>
    <w:rsid w:val="004E3EF4"/>
    <w:rsid w:val="004E5E5E"/>
    <w:rsid w:val="004E61E5"/>
    <w:rsid w:val="004F1016"/>
    <w:rsid w:val="004F47DF"/>
    <w:rsid w:val="0050131D"/>
    <w:rsid w:val="00504928"/>
    <w:rsid w:val="00504B04"/>
    <w:rsid w:val="00504FB7"/>
    <w:rsid w:val="00507527"/>
    <w:rsid w:val="0051000D"/>
    <w:rsid w:val="00514D0C"/>
    <w:rsid w:val="00516E90"/>
    <w:rsid w:val="005174ED"/>
    <w:rsid w:val="0052243D"/>
    <w:rsid w:val="00523261"/>
    <w:rsid w:val="00523ACB"/>
    <w:rsid w:val="00525A43"/>
    <w:rsid w:val="005275F6"/>
    <w:rsid w:val="00530A73"/>
    <w:rsid w:val="0053275C"/>
    <w:rsid w:val="00535C2B"/>
    <w:rsid w:val="00545998"/>
    <w:rsid w:val="005465CA"/>
    <w:rsid w:val="00547C06"/>
    <w:rsid w:val="005513BC"/>
    <w:rsid w:val="00561F45"/>
    <w:rsid w:val="00567295"/>
    <w:rsid w:val="005705EA"/>
    <w:rsid w:val="005715A8"/>
    <w:rsid w:val="005726C7"/>
    <w:rsid w:val="00577058"/>
    <w:rsid w:val="005870D6"/>
    <w:rsid w:val="00587188"/>
    <w:rsid w:val="00587A2A"/>
    <w:rsid w:val="00587B64"/>
    <w:rsid w:val="00591234"/>
    <w:rsid w:val="00592EBC"/>
    <w:rsid w:val="005948B5"/>
    <w:rsid w:val="0059588E"/>
    <w:rsid w:val="005A52EB"/>
    <w:rsid w:val="005B0DCE"/>
    <w:rsid w:val="005B27EC"/>
    <w:rsid w:val="005B47E4"/>
    <w:rsid w:val="005B63EA"/>
    <w:rsid w:val="005B72CF"/>
    <w:rsid w:val="005B79FF"/>
    <w:rsid w:val="005C01E1"/>
    <w:rsid w:val="005C752A"/>
    <w:rsid w:val="005D082B"/>
    <w:rsid w:val="005D0C0E"/>
    <w:rsid w:val="005D1672"/>
    <w:rsid w:val="005D18DA"/>
    <w:rsid w:val="005D2751"/>
    <w:rsid w:val="005D2A2F"/>
    <w:rsid w:val="005D3791"/>
    <w:rsid w:val="005D48B0"/>
    <w:rsid w:val="005D75D1"/>
    <w:rsid w:val="005E2D12"/>
    <w:rsid w:val="005E5246"/>
    <w:rsid w:val="005E6E94"/>
    <w:rsid w:val="005E76E0"/>
    <w:rsid w:val="005F4FAC"/>
    <w:rsid w:val="005F99EA"/>
    <w:rsid w:val="0060463C"/>
    <w:rsid w:val="00607809"/>
    <w:rsid w:val="00615F3C"/>
    <w:rsid w:val="006214DE"/>
    <w:rsid w:val="00624589"/>
    <w:rsid w:val="00625138"/>
    <w:rsid w:val="0062530E"/>
    <w:rsid w:val="006262A9"/>
    <w:rsid w:val="0062666C"/>
    <w:rsid w:val="0062685C"/>
    <w:rsid w:val="00627662"/>
    <w:rsid w:val="006305C3"/>
    <w:rsid w:val="00631264"/>
    <w:rsid w:val="0063170B"/>
    <w:rsid w:val="006337E2"/>
    <w:rsid w:val="00641420"/>
    <w:rsid w:val="006428B4"/>
    <w:rsid w:val="00643167"/>
    <w:rsid w:val="00653D2E"/>
    <w:rsid w:val="006553C6"/>
    <w:rsid w:val="00657E64"/>
    <w:rsid w:val="00661AC3"/>
    <w:rsid w:val="006620BA"/>
    <w:rsid w:val="00664839"/>
    <w:rsid w:val="00677E76"/>
    <w:rsid w:val="00682888"/>
    <w:rsid w:val="0068394A"/>
    <w:rsid w:val="00685F4A"/>
    <w:rsid w:val="00691AC3"/>
    <w:rsid w:val="006921B9"/>
    <w:rsid w:val="0069271B"/>
    <w:rsid w:val="00693375"/>
    <w:rsid w:val="00693E56"/>
    <w:rsid w:val="006941D3"/>
    <w:rsid w:val="0069729E"/>
    <w:rsid w:val="0069778E"/>
    <w:rsid w:val="00697D92"/>
    <w:rsid w:val="006A6CA7"/>
    <w:rsid w:val="006A6CE4"/>
    <w:rsid w:val="006B5094"/>
    <w:rsid w:val="006B59BD"/>
    <w:rsid w:val="006B7E42"/>
    <w:rsid w:val="006C2C74"/>
    <w:rsid w:val="006C544E"/>
    <w:rsid w:val="006C71F4"/>
    <w:rsid w:val="006D09AB"/>
    <w:rsid w:val="006D6033"/>
    <w:rsid w:val="006D72CC"/>
    <w:rsid w:val="006D7504"/>
    <w:rsid w:val="006D78DF"/>
    <w:rsid w:val="006E0DE5"/>
    <w:rsid w:val="006E1633"/>
    <w:rsid w:val="006E46F8"/>
    <w:rsid w:val="006F259D"/>
    <w:rsid w:val="006F2FD1"/>
    <w:rsid w:val="006F5B64"/>
    <w:rsid w:val="006F7C42"/>
    <w:rsid w:val="00700575"/>
    <w:rsid w:val="00701FB5"/>
    <w:rsid w:val="00707828"/>
    <w:rsid w:val="00710623"/>
    <w:rsid w:val="00710659"/>
    <w:rsid w:val="00721E1C"/>
    <w:rsid w:val="00725CA8"/>
    <w:rsid w:val="00727359"/>
    <w:rsid w:val="007327E4"/>
    <w:rsid w:val="00734814"/>
    <w:rsid w:val="00742556"/>
    <w:rsid w:val="00744C0A"/>
    <w:rsid w:val="00747429"/>
    <w:rsid w:val="00747E64"/>
    <w:rsid w:val="00752233"/>
    <w:rsid w:val="007545EF"/>
    <w:rsid w:val="00755432"/>
    <w:rsid w:val="007565DD"/>
    <w:rsid w:val="007623C6"/>
    <w:rsid w:val="00762CA4"/>
    <w:rsid w:val="0076717B"/>
    <w:rsid w:val="0077122A"/>
    <w:rsid w:val="00774B0A"/>
    <w:rsid w:val="007753D9"/>
    <w:rsid w:val="007818C0"/>
    <w:rsid w:val="007829E0"/>
    <w:rsid w:val="00783055"/>
    <w:rsid w:val="00786EC2"/>
    <w:rsid w:val="00790070"/>
    <w:rsid w:val="00791B4E"/>
    <w:rsid w:val="007957BA"/>
    <w:rsid w:val="007958E9"/>
    <w:rsid w:val="007A0A92"/>
    <w:rsid w:val="007A27F3"/>
    <w:rsid w:val="007A4B28"/>
    <w:rsid w:val="007A71A7"/>
    <w:rsid w:val="007B0B49"/>
    <w:rsid w:val="007B2BAC"/>
    <w:rsid w:val="007C213E"/>
    <w:rsid w:val="007D03B7"/>
    <w:rsid w:val="007E39D2"/>
    <w:rsid w:val="007E5FDC"/>
    <w:rsid w:val="007E63F8"/>
    <w:rsid w:val="007E6634"/>
    <w:rsid w:val="007E6D59"/>
    <w:rsid w:val="007F0295"/>
    <w:rsid w:val="007F321D"/>
    <w:rsid w:val="007F627F"/>
    <w:rsid w:val="00800487"/>
    <w:rsid w:val="008007E7"/>
    <w:rsid w:val="0080356A"/>
    <w:rsid w:val="00804658"/>
    <w:rsid w:val="00805B4C"/>
    <w:rsid w:val="0080787D"/>
    <w:rsid w:val="00811FB4"/>
    <w:rsid w:val="00812D40"/>
    <w:rsid w:val="00815B81"/>
    <w:rsid w:val="00815FEB"/>
    <w:rsid w:val="008217CC"/>
    <w:rsid w:val="00824409"/>
    <w:rsid w:val="00831F99"/>
    <w:rsid w:val="008328EA"/>
    <w:rsid w:val="008358A3"/>
    <w:rsid w:val="0083672A"/>
    <w:rsid w:val="008367A2"/>
    <w:rsid w:val="00836BC5"/>
    <w:rsid w:val="008400B3"/>
    <w:rsid w:val="00844D5B"/>
    <w:rsid w:val="00850372"/>
    <w:rsid w:val="00852CD8"/>
    <w:rsid w:val="008556B6"/>
    <w:rsid w:val="00856311"/>
    <w:rsid w:val="00856EB6"/>
    <w:rsid w:val="0085793B"/>
    <w:rsid w:val="00860AA1"/>
    <w:rsid w:val="0086703F"/>
    <w:rsid w:val="008721DE"/>
    <w:rsid w:val="00874FF8"/>
    <w:rsid w:val="00886307"/>
    <w:rsid w:val="00894D42"/>
    <w:rsid w:val="008963AA"/>
    <w:rsid w:val="008A729C"/>
    <w:rsid w:val="008B2170"/>
    <w:rsid w:val="008B2BC1"/>
    <w:rsid w:val="008B5135"/>
    <w:rsid w:val="008C023D"/>
    <w:rsid w:val="008C0D78"/>
    <w:rsid w:val="008C250A"/>
    <w:rsid w:val="008C4827"/>
    <w:rsid w:val="008C5D18"/>
    <w:rsid w:val="008D05CA"/>
    <w:rsid w:val="008D3ABB"/>
    <w:rsid w:val="008D48ED"/>
    <w:rsid w:val="008D7A82"/>
    <w:rsid w:val="008E0092"/>
    <w:rsid w:val="008E0178"/>
    <w:rsid w:val="008E475E"/>
    <w:rsid w:val="008E48F2"/>
    <w:rsid w:val="008E4A7B"/>
    <w:rsid w:val="008F60E9"/>
    <w:rsid w:val="00903AA6"/>
    <w:rsid w:val="00914A30"/>
    <w:rsid w:val="00915607"/>
    <w:rsid w:val="00917826"/>
    <w:rsid w:val="00923076"/>
    <w:rsid w:val="0092415A"/>
    <w:rsid w:val="009245AD"/>
    <w:rsid w:val="00925330"/>
    <w:rsid w:val="00926BC9"/>
    <w:rsid w:val="00927F6E"/>
    <w:rsid w:val="00930681"/>
    <w:rsid w:val="009409E8"/>
    <w:rsid w:val="0095136B"/>
    <w:rsid w:val="00952825"/>
    <w:rsid w:val="0095368A"/>
    <w:rsid w:val="00953F49"/>
    <w:rsid w:val="00957CB6"/>
    <w:rsid w:val="0096710A"/>
    <w:rsid w:val="00967F3A"/>
    <w:rsid w:val="0097043D"/>
    <w:rsid w:val="00973DC3"/>
    <w:rsid w:val="009752BB"/>
    <w:rsid w:val="00976FA2"/>
    <w:rsid w:val="00977426"/>
    <w:rsid w:val="00985BEE"/>
    <w:rsid w:val="00987494"/>
    <w:rsid w:val="0099313C"/>
    <w:rsid w:val="00993C56"/>
    <w:rsid w:val="00993D91"/>
    <w:rsid w:val="00995C8A"/>
    <w:rsid w:val="00995CF4"/>
    <w:rsid w:val="00996B5F"/>
    <w:rsid w:val="00996CFD"/>
    <w:rsid w:val="00996EB8"/>
    <w:rsid w:val="009A03CE"/>
    <w:rsid w:val="009A1A84"/>
    <w:rsid w:val="009A33E8"/>
    <w:rsid w:val="009A7F4E"/>
    <w:rsid w:val="009B2D6F"/>
    <w:rsid w:val="009B2DC4"/>
    <w:rsid w:val="009C0314"/>
    <w:rsid w:val="009C0446"/>
    <w:rsid w:val="009C0CD5"/>
    <w:rsid w:val="009C1A81"/>
    <w:rsid w:val="009C27AD"/>
    <w:rsid w:val="009C7B00"/>
    <w:rsid w:val="009D1E50"/>
    <w:rsid w:val="009D5D86"/>
    <w:rsid w:val="009E083F"/>
    <w:rsid w:val="009E7BCB"/>
    <w:rsid w:val="009F1EF0"/>
    <w:rsid w:val="009F2C2B"/>
    <w:rsid w:val="009F7330"/>
    <w:rsid w:val="00A03D6B"/>
    <w:rsid w:val="00A04981"/>
    <w:rsid w:val="00A10649"/>
    <w:rsid w:val="00A11E47"/>
    <w:rsid w:val="00A12FC7"/>
    <w:rsid w:val="00A14B65"/>
    <w:rsid w:val="00A157BE"/>
    <w:rsid w:val="00A15EDA"/>
    <w:rsid w:val="00A20F33"/>
    <w:rsid w:val="00A34D5E"/>
    <w:rsid w:val="00A35A5B"/>
    <w:rsid w:val="00A36747"/>
    <w:rsid w:val="00A41512"/>
    <w:rsid w:val="00A416C8"/>
    <w:rsid w:val="00A42A18"/>
    <w:rsid w:val="00A44D12"/>
    <w:rsid w:val="00A46C68"/>
    <w:rsid w:val="00A475F7"/>
    <w:rsid w:val="00A5390E"/>
    <w:rsid w:val="00A54279"/>
    <w:rsid w:val="00A54A03"/>
    <w:rsid w:val="00A55036"/>
    <w:rsid w:val="00A5625A"/>
    <w:rsid w:val="00A608F4"/>
    <w:rsid w:val="00A61CDA"/>
    <w:rsid w:val="00A62563"/>
    <w:rsid w:val="00A6570F"/>
    <w:rsid w:val="00A70F42"/>
    <w:rsid w:val="00A77D12"/>
    <w:rsid w:val="00A849E0"/>
    <w:rsid w:val="00A92CCB"/>
    <w:rsid w:val="00A942F4"/>
    <w:rsid w:val="00A94520"/>
    <w:rsid w:val="00A96672"/>
    <w:rsid w:val="00A97517"/>
    <w:rsid w:val="00AA0169"/>
    <w:rsid w:val="00AA5931"/>
    <w:rsid w:val="00AA73C7"/>
    <w:rsid w:val="00AA7680"/>
    <w:rsid w:val="00AB0323"/>
    <w:rsid w:val="00AB3316"/>
    <w:rsid w:val="00AB6FF5"/>
    <w:rsid w:val="00AB75DC"/>
    <w:rsid w:val="00AC2795"/>
    <w:rsid w:val="00AC2872"/>
    <w:rsid w:val="00AC2AEF"/>
    <w:rsid w:val="00AC2B4A"/>
    <w:rsid w:val="00AC42EC"/>
    <w:rsid w:val="00AC4AF6"/>
    <w:rsid w:val="00AC7966"/>
    <w:rsid w:val="00AD63B3"/>
    <w:rsid w:val="00AE0030"/>
    <w:rsid w:val="00AE2FCF"/>
    <w:rsid w:val="00AE3513"/>
    <w:rsid w:val="00AE49B6"/>
    <w:rsid w:val="00AE5240"/>
    <w:rsid w:val="00AE54C8"/>
    <w:rsid w:val="00AF0439"/>
    <w:rsid w:val="00AF13E0"/>
    <w:rsid w:val="00AF3B32"/>
    <w:rsid w:val="00B00C14"/>
    <w:rsid w:val="00B031FF"/>
    <w:rsid w:val="00B06609"/>
    <w:rsid w:val="00B1177F"/>
    <w:rsid w:val="00B274AD"/>
    <w:rsid w:val="00B44563"/>
    <w:rsid w:val="00B447CA"/>
    <w:rsid w:val="00B45F5B"/>
    <w:rsid w:val="00B46C95"/>
    <w:rsid w:val="00B46F79"/>
    <w:rsid w:val="00B4758C"/>
    <w:rsid w:val="00B545C8"/>
    <w:rsid w:val="00B60BD9"/>
    <w:rsid w:val="00B64C68"/>
    <w:rsid w:val="00B70E7E"/>
    <w:rsid w:val="00B715DE"/>
    <w:rsid w:val="00B72DF5"/>
    <w:rsid w:val="00B7507E"/>
    <w:rsid w:val="00B7572B"/>
    <w:rsid w:val="00B77317"/>
    <w:rsid w:val="00B86487"/>
    <w:rsid w:val="00B87043"/>
    <w:rsid w:val="00B90DBF"/>
    <w:rsid w:val="00B92866"/>
    <w:rsid w:val="00B92960"/>
    <w:rsid w:val="00B9464A"/>
    <w:rsid w:val="00B95202"/>
    <w:rsid w:val="00B95F86"/>
    <w:rsid w:val="00B9B4B8"/>
    <w:rsid w:val="00BA1DE0"/>
    <w:rsid w:val="00BA2FE1"/>
    <w:rsid w:val="00BB057E"/>
    <w:rsid w:val="00BB0F72"/>
    <w:rsid w:val="00BB1A2B"/>
    <w:rsid w:val="00BB1D37"/>
    <w:rsid w:val="00BB1D87"/>
    <w:rsid w:val="00BB230B"/>
    <w:rsid w:val="00BB5129"/>
    <w:rsid w:val="00BC0521"/>
    <w:rsid w:val="00BC053D"/>
    <w:rsid w:val="00BC0A31"/>
    <w:rsid w:val="00BC2081"/>
    <w:rsid w:val="00BC467A"/>
    <w:rsid w:val="00BC7447"/>
    <w:rsid w:val="00BD061B"/>
    <w:rsid w:val="00BD0E83"/>
    <w:rsid w:val="00BE0645"/>
    <w:rsid w:val="00BE077C"/>
    <w:rsid w:val="00BE25BA"/>
    <w:rsid w:val="00BE501D"/>
    <w:rsid w:val="00BF5779"/>
    <w:rsid w:val="00BF71FE"/>
    <w:rsid w:val="00C06CBB"/>
    <w:rsid w:val="00C0792F"/>
    <w:rsid w:val="00C122BD"/>
    <w:rsid w:val="00C1266A"/>
    <w:rsid w:val="00C12A4C"/>
    <w:rsid w:val="00C132AE"/>
    <w:rsid w:val="00C14325"/>
    <w:rsid w:val="00C2383D"/>
    <w:rsid w:val="00C26437"/>
    <w:rsid w:val="00C26F31"/>
    <w:rsid w:val="00C3775E"/>
    <w:rsid w:val="00C40FA7"/>
    <w:rsid w:val="00C425B7"/>
    <w:rsid w:val="00C427C3"/>
    <w:rsid w:val="00C4370F"/>
    <w:rsid w:val="00C44A68"/>
    <w:rsid w:val="00C464FF"/>
    <w:rsid w:val="00C47083"/>
    <w:rsid w:val="00C474EE"/>
    <w:rsid w:val="00C47D7B"/>
    <w:rsid w:val="00C643D1"/>
    <w:rsid w:val="00C658EE"/>
    <w:rsid w:val="00C65D7C"/>
    <w:rsid w:val="00C701F1"/>
    <w:rsid w:val="00C71124"/>
    <w:rsid w:val="00C72CED"/>
    <w:rsid w:val="00C73946"/>
    <w:rsid w:val="00C740C1"/>
    <w:rsid w:val="00C74455"/>
    <w:rsid w:val="00C802A7"/>
    <w:rsid w:val="00C818C6"/>
    <w:rsid w:val="00C85B5E"/>
    <w:rsid w:val="00C965ED"/>
    <w:rsid w:val="00CA0C3F"/>
    <w:rsid w:val="00CA2DE3"/>
    <w:rsid w:val="00CB7030"/>
    <w:rsid w:val="00CB73DC"/>
    <w:rsid w:val="00CC00F6"/>
    <w:rsid w:val="00CC3F33"/>
    <w:rsid w:val="00CC4B6A"/>
    <w:rsid w:val="00CD16BD"/>
    <w:rsid w:val="00CD21B8"/>
    <w:rsid w:val="00CE19F0"/>
    <w:rsid w:val="00CE3D76"/>
    <w:rsid w:val="00CE7C7D"/>
    <w:rsid w:val="00CF1915"/>
    <w:rsid w:val="00D01062"/>
    <w:rsid w:val="00D03149"/>
    <w:rsid w:val="00D10D7C"/>
    <w:rsid w:val="00D10E3C"/>
    <w:rsid w:val="00D1284C"/>
    <w:rsid w:val="00D15190"/>
    <w:rsid w:val="00D15612"/>
    <w:rsid w:val="00D1706A"/>
    <w:rsid w:val="00D23C8A"/>
    <w:rsid w:val="00D24042"/>
    <w:rsid w:val="00D2557A"/>
    <w:rsid w:val="00D25FDD"/>
    <w:rsid w:val="00D26691"/>
    <w:rsid w:val="00D27A0B"/>
    <w:rsid w:val="00D287C4"/>
    <w:rsid w:val="00D34954"/>
    <w:rsid w:val="00D40DF4"/>
    <w:rsid w:val="00D45C14"/>
    <w:rsid w:val="00D47928"/>
    <w:rsid w:val="00D5246D"/>
    <w:rsid w:val="00D52970"/>
    <w:rsid w:val="00D52EE6"/>
    <w:rsid w:val="00D55916"/>
    <w:rsid w:val="00D56CCA"/>
    <w:rsid w:val="00D60058"/>
    <w:rsid w:val="00D6039F"/>
    <w:rsid w:val="00D6412F"/>
    <w:rsid w:val="00D701CC"/>
    <w:rsid w:val="00D726A5"/>
    <w:rsid w:val="00D778A2"/>
    <w:rsid w:val="00D805D6"/>
    <w:rsid w:val="00D80614"/>
    <w:rsid w:val="00D835E5"/>
    <w:rsid w:val="00D836BD"/>
    <w:rsid w:val="00D86AA6"/>
    <w:rsid w:val="00D91588"/>
    <w:rsid w:val="00D92DBD"/>
    <w:rsid w:val="00DA44DC"/>
    <w:rsid w:val="00DA7EBC"/>
    <w:rsid w:val="00DB734B"/>
    <w:rsid w:val="00DC1509"/>
    <w:rsid w:val="00DC2AD4"/>
    <w:rsid w:val="00DC3180"/>
    <w:rsid w:val="00DC3F91"/>
    <w:rsid w:val="00DC5E0C"/>
    <w:rsid w:val="00DC700D"/>
    <w:rsid w:val="00DD39CE"/>
    <w:rsid w:val="00DE0C12"/>
    <w:rsid w:val="00DE1064"/>
    <w:rsid w:val="00DE109B"/>
    <w:rsid w:val="00DE25AD"/>
    <w:rsid w:val="00DE3AAB"/>
    <w:rsid w:val="00DE3AD0"/>
    <w:rsid w:val="00DE4898"/>
    <w:rsid w:val="00DE59B5"/>
    <w:rsid w:val="00DF1381"/>
    <w:rsid w:val="00DF1414"/>
    <w:rsid w:val="00DF1B6F"/>
    <w:rsid w:val="00DF3432"/>
    <w:rsid w:val="00DF35B9"/>
    <w:rsid w:val="00DF439E"/>
    <w:rsid w:val="00DF528E"/>
    <w:rsid w:val="00DF5D10"/>
    <w:rsid w:val="00E00793"/>
    <w:rsid w:val="00E03AF7"/>
    <w:rsid w:val="00E051B3"/>
    <w:rsid w:val="00E06371"/>
    <w:rsid w:val="00E11334"/>
    <w:rsid w:val="00E15405"/>
    <w:rsid w:val="00E15572"/>
    <w:rsid w:val="00E16FE6"/>
    <w:rsid w:val="00E17AAF"/>
    <w:rsid w:val="00E20C6C"/>
    <w:rsid w:val="00E216B6"/>
    <w:rsid w:val="00E22A12"/>
    <w:rsid w:val="00E22FEF"/>
    <w:rsid w:val="00E2550A"/>
    <w:rsid w:val="00E25CD3"/>
    <w:rsid w:val="00E277CD"/>
    <w:rsid w:val="00E278A5"/>
    <w:rsid w:val="00E31D3F"/>
    <w:rsid w:val="00E31E9E"/>
    <w:rsid w:val="00E326BE"/>
    <w:rsid w:val="00E3408D"/>
    <w:rsid w:val="00E353A4"/>
    <w:rsid w:val="00E3553E"/>
    <w:rsid w:val="00E3702F"/>
    <w:rsid w:val="00E41FE6"/>
    <w:rsid w:val="00E44523"/>
    <w:rsid w:val="00E54634"/>
    <w:rsid w:val="00E61F14"/>
    <w:rsid w:val="00E7005D"/>
    <w:rsid w:val="00E74533"/>
    <w:rsid w:val="00E74B48"/>
    <w:rsid w:val="00E76841"/>
    <w:rsid w:val="00E808BE"/>
    <w:rsid w:val="00E84D3F"/>
    <w:rsid w:val="00E872E7"/>
    <w:rsid w:val="00E91998"/>
    <w:rsid w:val="00E93C4C"/>
    <w:rsid w:val="00E972E5"/>
    <w:rsid w:val="00EA1022"/>
    <w:rsid w:val="00EB1679"/>
    <w:rsid w:val="00EB2D8E"/>
    <w:rsid w:val="00EB39AD"/>
    <w:rsid w:val="00EB5300"/>
    <w:rsid w:val="00EC0EB1"/>
    <w:rsid w:val="00EC5411"/>
    <w:rsid w:val="00EC6307"/>
    <w:rsid w:val="00EC6659"/>
    <w:rsid w:val="00EC7748"/>
    <w:rsid w:val="00EC7C86"/>
    <w:rsid w:val="00ED26FA"/>
    <w:rsid w:val="00ED59A2"/>
    <w:rsid w:val="00EE3183"/>
    <w:rsid w:val="00EE4079"/>
    <w:rsid w:val="00EE60B3"/>
    <w:rsid w:val="00EE65C6"/>
    <w:rsid w:val="00EF69C3"/>
    <w:rsid w:val="00F000BC"/>
    <w:rsid w:val="00F01DEE"/>
    <w:rsid w:val="00F01FD6"/>
    <w:rsid w:val="00F03D86"/>
    <w:rsid w:val="00F04E41"/>
    <w:rsid w:val="00F14012"/>
    <w:rsid w:val="00F15AB9"/>
    <w:rsid w:val="00F218D7"/>
    <w:rsid w:val="00F2299D"/>
    <w:rsid w:val="00F25092"/>
    <w:rsid w:val="00F25801"/>
    <w:rsid w:val="00F26431"/>
    <w:rsid w:val="00F30FF9"/>
    <w:rsid w:val="00F31C6D"/>
    <w:rsid w:val="00F32521"/>
    <w:rsid w:val="00F409B5"/>
    <w:rsid w:val="00F433F8"/>
    <w:rsid w:val="00F45142"/>
    <w:rsid w:val="00F45CA9"/>
    <w:rsid w:val="00F4670D"/>
    <w:rsid w:val="00F544A3"/>
    <w:rsid w:val="00F57D04"/>
    <w:rsid w:val="00F6098E"/>
    <w:rsid w:val="00F62C86"/>
    <w:rsid w:val="00F6753E"/>
    <w:rsid w:val="00F72A39"/>
    <w:rsid w:val="00F76706"/>
    <w:rsid w:val="00F90A9E"/>
    <w:rsid w:val="00F917E6"/>
    <w:rsid w:val="00F92B0B"/>
    <w:rsid w:val="00F93B43"/>
    <w:rsid w:val="00F957A1"/>
    <w:rsid w:val="00FA1D5F"/>
    <w:rsid w:val="00FA3C8D"/>
    <w:rsid w:val="00FA7E10"/>
    <w:rsid w:val="00FB55D2"/>
    <w:rsid w:val="00FB62DA"/>
    <w:rsid w:val="00FB75D3"/>
    <w:rsid w:val="00FC615C"/>
    <w:rsid w:val="00FC6F2C"/>
    <w:rsid w:val="00FD079F"/>
    <w:rsid w:val="00FD1ECB"/>
    <w:rsid w:val="00FD2988"/>
    <w:rsid w:val="00FD364C"/>
    <w:rsid w:val="00FD436E"/>
    <w:rsid w:val="00FD513D"/>
    <w:rsid w:val="00FE283A"/>
    <w:rsid w:val="00FE4FCD"/>
    <w:rsid w:val="00FF15CA"/>
    <w:rsid w:val="00FF3236"/>
    <w:rsid w:val="00FF53B2"/>
    <w:rsid w:val="00FF5F1D"/>
    <w:rsid w:val="00FF772D"/>
    <w:rsid w:val="00FF7B12"/>
    <w:rsid w:val="01099AA8"/>
    <w:rsid w:val="015ACA36"/>
    <w:rsid w:val="0193E957"/>
    <w:rsid w:val="0351F3EF"/>
    <w:rsid w:val="0369947A"/>
    <w:rsid w:val="03D233B4"/>
    <w:rsid w:val="04067B74"/>
    <w:rsid w:val="044ECA33"/>
    <w:rsid w:val="0513E28C"/>
    <w:rsid w:val="055DC250"/>
    <w:rsid w:val="0584CBE7"/>
    <w:rsid w:val="05A4C46C"/>
    <w:rsid w:val="05E6069F"/>
    <w:rsid w:val="05EFB365"/>
    <w:rsid w:val="06549F09"/>
    <w:rsid w:val="068ECAC7"/>
    <w:rsid w:val="06A61C81"/>
    <w:rsid w:val="06DB558A"/>
    <w:rsid w:val="0703289B"/>
    <w:rsid w:val="0792C0BC"/>
    <w:rsid w:val="08AFC535"/>
    <w:rsid w:val="08F6605A"/>
    <w:rsid w:val="096BA4E1"/>
    <w:rsid w:val="0A0B3477"/>
    <w:rsid w:val="0A0B5F1F"/>
    <w:rsid w:val="0A85BBBE"/>
    <w:rsid w:val="0AC2DB8C"/>
    <w:rsid w:val="0AEA1993"/>
    <w:rsid w:val="0CD76376"/>
    <w:rsid w:val="0DE75912"/>
    <w:rsid w:val="0E1C43CC"/>
    <w:rsid w:val="0E6C81A3"/>
    <w:rsid w:val="0E701D91"/>
    <w:rsid w:val="0E8678BA"/>
    <w:rsid w:val="0FBD5895"/>
    <w:rsid w:val="0FF46591"/>
    <w:rsid w:val="107D09CD"/>
    <w:rsid w:val="10999C9A"/>
    <w:rsid w:val="1161C7AB"/>
    <w:rsid w:val="119249CC"/>
    <w:rsid w:val="11A8D605"/>
    <w:rsid w:val="11CC979A"/>
    <w:rsid w:val="129E12ED"/>
    <w:rsid w:val="12F5D269"/>
    <w:rsid w:val="152D2F82"/>
    <w:rsid w:val="165F0756"/>
    <w:rsid w:val="17FF6F81"/>
    <w:rsid w:val="186FAE3B"/>
    <w:rsid w:val="189E58D7"/>
    <w:rsid w:val="18E53C8B"/>
    <w:rsid w:val="19185882"/>
    <w:rsid w:val="1ABDF74D"/>
    <w:rsid w:val="1AE30B14"/>
    <w:rsid w:val="1C10893C"/>
    <w:rsid w:val="1D21A2AF"/>
    <w:rsid w:val="1D4D7C96"/>
    <w:rsid w:val="1EA22C34"/>
    <w:rsid w:val="1FC6A160"/>
    <w:rsid w:val="21033CE0"/>
    <w:rsid w:val="210B9E77"/>
    <w:rsid w:val="2185ED48"/>
    <w:rsid w:val="21D36B13"/>
    <w:rsid w:val="21FB403E"/>
    <w:rsid w:val="221C4473"/>
    <w:rsid w:val="239E0E6C"/>
    <w:rsid w:val="23DB58DD"/>
    <w:rsid w:val="2443727A"/>
    <w:rsid w:val="24F65477"/>
    <w:rsid w:val="250175B4"/>
    <w:rsid w:val="254E8073"/>
    <w:rsid w:val="25BA56B7"/>
    <w:rsid w:val="265FA237"/>
    <w:rsid w:val="266D5971"/>
    <w:rsid w:val="276A7ABE"/>
    <w:rsid w:val="2799FB03"/>
    <w:rsid w:val="27B02913"/>
    <w:rsid w:val="2851CFC6"/>
    <w:rsid w:val="28B75590"/>
    <w:rsid w:val="28CBE7F0"/>
    <w:rsid w:val="29620850"/>
    <w:rsid w:val="2984E030"/>
    <w:rsid w:val="29FA0D22"/>
    <w:rsid w:val="2B4896BF"/>
    <w:rsid w:val="2C27296C"/>
    <w:rsid w:val="2C307FD8"/>
    <w:rsid w:val="2C7BE97F"/>
    <w:rsid w:val="2CFAAF8C"/>
    <w:rsid w:val="2D0D0265"/>
    <w:rsid w:val="2D4FC876"/>
    <w:rsid w:val="2D5D16AE"/>
    <w:rsid w:val="2E0259B1"/>
    <w:rsid w:val="2E826687"/>
    <w:rsid w:val="2E95E065"/>
    <w:rsid w:val="2EAE900C"/>
    <w:rsid w:val="2ED33F48"/>
    <w:rsid w:val="2F1D5193"/>
    <w:rsid w:val="2F77A796"/>
    <w:rsid w:val="2FA72595"/>
    <w:rsid w:val="2FF8138D"/>
    <w:rsid w:val="303B549C"/>
    <w:rsid w:val="304AC626"/>
    <w:rsid w:val="3101896A"/>
    <w:rsid w:val="314CF07A"/>
    <w:rsid w:val="31D897E1"/>
    <w:rsid w:val="326DAD5A"/>
    <w:rsid w:val="3280F904"/>
    <w:rsid w:val="3360AC03"/>
    <w:rsid w:val="3368EFD3"/>
    <w:rsid w:val="33D85C0F"/>
    <w:rsid w:val="347A5BD1"/>
    <w:rsid w:val="34CDE565"/>
    <w:rsid w:val="3530CE92"/>
    <w:rsid w:val="35356CA5"/>
    <w:rsid w:val="353C0832"/>
    <w:rsid w:val="3619FF43"/>
    <w:rsid w:val="36275A8A"/>
    <w:rsid w:val="3679E25C"/>
    <w:rsid w:val="36D0F26D"/>
    <w:rsid w:val="36F27E42"/>
    <w:rsid w:val="37B12650"/>
    <w:rsid w:val="3808FDAD"/>
    <w:rsid w:val="382777FC"/>
    <w:rsid w:val="38A65D57"/>
    <w:rsid w:val="38D9AEEE"/>
    <w:rsid w:val="38FEA801"/>
    <w:rsid w:val="39129841"/>
    <w:rsid w:val="395C4352"/>
    <w:rsid w:val="39F6DDF6"/>
    <w:rsid w:val="3A20FA72"/>
    <w:rsid w:val="3A5D2E30"/>
    <w:rsid w:val="3ADE0999"/>
    <w:rsid w:val="3AEA27D1"/>
    <w:rsid w:val="3B2C308C"/>
    <w:rsid w:val="3C57BF8C"/>
    <w:rsid w:val="3D68C39F"/>
    <w:rsid w:val="3E3FDF3A"/>
    <w:rsid w:val="3E42D98E"/>
    <w:rsid w:val="3EDB8D9E"/>
    <w:rsid w:val="3EDE1EFD"/>
    <w:rsid w:val="3EE3B67D"/>
    <w:rsid w:val="4001EDCE"/>
    <w:rsid w:val="40FB5FB6"/>
    <w:rsid w:val="4109F800"/>
    <w:rsid w:val="418A6914"/>
    <w:rsid w:val="42177BBC"/>
    <w:rsid w:val="42590D00"/>
    <w:rsid w:val="42F81FC3"/>
    <w:rsid w:val="433B1678"/>
    <w:rsid w:val="434BEAE9"/>
    <w:rsid w:val="43A878C2"/>
    <w:rsid w:val="43BB3C47"/>
    <w:rsid w:val="43F9FC6A"/>
    <w:rsid w:val="4442A354"/>
    <w:rsid w:val="446A5201"/>
    <w:rsid w:val="44A82FC1"/>
    <w:rsid w:val="469A40F8"/>
    <w:rsid w:val="469AAFA3"/>
    <w:rsid w:val="473ACA3A"/>
    <w:rsid w:val="4801E208"/>
    <w:rsid w:val="480D6DD4"/>
    <w:rsid w:val="4868D8DD"/>
    <w:rsid w:val="48BC9260"/>
    <w:rsid w:val="48CCE7FA"/>
    <w:rsid w:val="49066A03"/>
    <w:rsid w:val="49B5F3DD"/>
    <w:rsid w:val="49D2C989"/>
    <w:rsid w:val="4A200592"/>
    <w:rsid w:val="4A69E116"/>
    <w:rsid w:val="4A9182E3"/>
    <w:rsid w:val="4AA885A3"/>
    <w:rsid w:val="4AD0A5EA"/>
    <w:rsid w:val="4BF38F72"/>
    <w:rsid w:val="4C014FD2"/>
    <w:rsid w:val="4CE8E17F"/>
    <w:rsid w:val="4D718FF0"/>
    <w:rsid w:val="4DE174B4"/>
    <w:rsid w:val="4E2977F1"/>
    <w:rsid w:val="4E6227B3"/>
    <w:rsid w:val="4F1960B1"/>
    <w:rsid w:val="4F53A074"/>
    <w:rsid w:val="4F8EB234"/>
    <w:rsid w:val="4FDE82E6"/>
    <w:rsid w:val="500A14CE"/>
    <w:rsid w:val="5022DB85"/>
    <w:rsid w:val="5046CA92"/>
    <w:rsid w:val="50A5D6B6"/>
    <w:rsid w:val="51DCB2EB"/>
    <w:rsid w:val="5273B72F"/>
    <w:rsid w:val="5278D690"/>
    <w:rsid w:val="534F5E62"/>
    <w:rsid w:val="5365A666"/>
    <w:rsid w:val="54E915EC"/>
    <w:rsid w:val="550D05E3"/>
    <w:rsid w:val="5548B5ED"/>
    <w:rsid w:val="5596EBBA"/>
    <w:rsid w:val="55CB9A50"/>
    <w:rsid w:val="5603A159"/>
    <w:rsid w:val="56627D43"/>
    <w:rsid w:val="56EDA8BD"/>
    <w:rsid w:val="586F6363"/>
    <w:rsid w:val="598DDA4A"/>
    <w:rsid w:val="59ECAF53"/>
    <w:rsid w:val="5AA0FC0D"/>
    <w:rsid w:val="5AA2FB3A"/>
    <w:rsid w:val="5AE17A37"/>
    <w:rsid w:val="5B51AD28"/>
    <w:rsid w:val="5B7D8598"/>
    <w:rsid w:val="5BA05137"/>
    <w:rsid w:val="5C0B7904"/>
    <w:rsid w:val="5C4C3B22"/>
    <w:rsid w:val="5CCD3C22"/>
    <w:rsid w:val="5D7F605A"/>
    <w:rsid w:val="5E3358B3"/>
    <w:rsid w:val="5E7FC3C7"/>
    <w:rsid w:val="60175F5F"/>
    <w:rsid w:val="6058553C"/>
    <w:rsid w:val="60CB3E5A"/>
    <w:rsid w:val="6130FE1B"/>
    <w:rsid w:val="614B124D"/>
    <w:rsid w:val="617462A7"/>
    <w:rsid w:val="62734EB7"/>
    <w:rsid w:val="62D377F3"/>
    <w:rsid w:val="63192811"/>
    <w:rsid w:val="6364B331"/>
    <w:rsid w:val="644D9324"/>
    <w:rsid w:val="64782B6E"/>
    <w:rsid w:val="6529A338"/>
    <w:rsid w:val="66C9A7A7"/>
    <w:rsid w:val="66E3989B"/>
    <w:rsid w:val="6715D1FB"/>
    <w:rsid w:val="674B8B21"/>
    <w:rsid w:val="6773B050"/>
    <w:rsid w:val="68CAE9F0"/>
    <w:rsid w:val="690582CA"/>
    <w:rsid w:val="69574DDF"/>
    <w:rsid w:val="699F2BAF"/>
    <w:rsid w:val="6B0AD657"/>
    <w:rsid w:val="6B1D1443"/>
    <w:rsid w:val="6C200E59"/>
    <w:rsid w:val="6C872F35"/>
    <w:rsid w:val="6CA1C18A"/>
    <w:rsid w:val="6CC0D4B7"/>
    <w:rsid w:val="6D79E118"/>
    <w:rsid w:val="6DEEB0AF"/>
    <w:rsid w:val="6ED751F2"/>
    <w:rsid w:val="6EE88E4A"/>
    <w:rsid w:val="6FD532CC"/>
    <w:rsid w:val="7014370F"/>
    <w:rsid w:val="7036E6C7"/>
    <w:rsid w:val="71376790"/>
    <w:rsid w:val="718D1F79"/>
    <w:rsid w:val="718EFBEA"/>
    <w:rsid w:val="72CBDFCD"/>
    <w:rsid w:val="7365EFF7"/>
    <w:rsid w:val="73A2FA59"/>
    <w:rsid w:val="743A2387"/>
    <w:rsid w:val="74E432E3"/>
    <w:rsid w:val="7521E52B"/>
    <w:rsid w:val="7594BB2D"/>
    <w:rsid w:val="75DC5873"/>
    <w:rsid w:val="75FD4046"/>
    <w:rsid w:val="7614D431"/>
    <w:rsid w:val="766999F9"/>
    <w:rsid w:val="76D69778"/>
    <w:rsid w:val="77E8D847"/>
    <w:rsid w:val="781226DB"/>
    <w:rsid w:val="786DBA9A"/>
    <w:rsid w:val="788658CB"/>
    <w:rsid w:val="78D9E1FC"/>
    <w:rsid w:val="78E10CF3"/>
    <w:rsid w:val="796695F6"/>
    <w:rsid w:val="7996C19C"/>
    <w:rsid w:val="79C4C1D7"/>
    <w:rsid w:val="79CD6B7D"/>
    <w:rsid w:val="7A21F416"/>
    <w:rsid w:val="7AD2714A"/>
    <w:rsid w:val="7B702B63"/>
    <w:rsid w:val="7BACBD24"/>
    <w:rsid w:val="7BBC8755"/>
    <w:rsid w:val="7C62AA36"/>
    <w:rsid w:val="7C6D3CE6"/>
    <w:rsid w:val="7C740AF6"/>
    <w:rsid w:val="7C7575DD"/>
    <w:rsid w:val="7CE03EF1"/>
    <w:rsid w:val="7D14EFE8"/>
    <w:rsid w:val="7D93BD8E"/>
    <w:rsid w:val="7DED5AD8"/>
    <w:rsid w:val="7E241264"/>
    <w:rsid w:val="7E293520"/>
    <w:rsid w:val="7E611631"/>
    <w:rsid w:val="7E962C5A"/>
    <w:rsid w:val="7F907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AE9F0"/>
  <w15:chartTrackingRefBased/>
  <w15:docId w15:val="{47A955BD-6327-B64D-825C-40E1FE36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FF5"/>
    <w:pPr>
      <w:spacing w:after="0" w:line="360" w:lineRule="auto"/>
    </w:pPr>
    <w:rPr>
      <w:rFonts w:ascii="Calibri" w:eastAsia="Times New Roman" w:hAnsi="Calibri"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0178"/>
    <w:pPr>
      <w:keepNext/>
      <w:keepLines/>
      <w:spacing w:before="160" w:after="24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0178"/>
    <w:rPr>
      <w:rFonts w:asciiTheme="majorHAnsi" w:eastAsiaTheme="majorEastAsia" w:hAnsiTheme="majorHAnsi" w:cstheme="majorBidi"/>
      <w:color w:val="0F4761" w:themeColor="accent1" w:themeShade="BF"/>
      <w:sz w:val="32"/>
      <w:szCs w:val="32"/>
      <w:lang w:val="en-GB" w:eastAsia="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ascii="Times New Roman" w:eastAsiaTheme="majorEastAsia" w:hAnsi="Times New Roman" w:cstheme="majorBidi"/>
      <w:i/>
      <w:iCs/>
      <w:color w:val="595959" w:themeColor="text1" w:themeTint="A6"/>
      <w:lang w:val="en-GB" w:eastAsia="en-GB"/>
    </w:rPr>
  </w:style>
  <w:style w:type="character" w:customStyle="1" w:styleId="Heading7Char">
    <w:name w:val="Heading 7 Char"/>
    <w:basedOn w:val="DefaultParagraphFont"/>
    <w:link w:val="Heading7"/>
    <w:uiPriority w:val="9"/>
    <w:rPr>
      <w:rFonts w:ascii="Times New Roman" w:eastAsiaTheme="majorEastAsia" w:hAnsi="Times New Roman" w:cstheme="majorBidi"/>
      <w:color w:val="595959" w:themeColor="text1" w:themeTint="A6"/>
      <w:lang w:val="en-GB" w:eastAsia="en-GB"/>
    </w:rPr>
  </w:style>
  <w:style w:type="character" w:customStyle="1" w:styleId="Heading8Char">
    <w:name w:val="Heading 8 Char"/>
    <w:basedOn w:val="DefaultParagraphFont"/>
    <w:link w:val="Heading8"/>
    <w:uiPriority w:val="9"/>
    <w:rPr>
      <w:rFonts w:ascii="Times New Roman" w:eastAsiaTheme="majorEastAsia" w:hAnsi="Times New Roman" w:cstheme="majorBidi"/>
      <w:i/>
      <w:iCs/>
      <w:color w:val="272727" w:themeColor="text1" w:themeTint="D8"/>
      <w:lang w:val="en-GB" w:eastAsia="en-GB"/>
    </w:rPr>
  </w:style>
  <w:style w:type="character" w:customStyle="1" w:styleId="Heading9Char">
    <w:name w:val="Heading 9 Char"/>
    <w:basedOn w:val="DefaultParagraphFont"/>
    <w:link w:val="Heading9"/>
    <w:uiPriority w:val="9"/>
    <w:rPr>
      <w:rFonts w:ascii="Times New Roman" w:eastAsiaTheme="majorEastAsia" w:hAnsi="Times New Roman" w:cstheme="majorBidi"/>
      <w:color w:val="272727" w:themeColor="text1" w:themeTint="D8"/>
      <w:lang w:val="en-GB" w:eastAsia="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eastAsia="en-GB"/>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2645AD"/>
    <w:rPr>
      <w:color w:val="605E5C"/>
      <w:shd w:val="clear" w:color="auto" w:fill="E1DFDD"/>
    </w:rPr>
  </w:style>
  <w:style w:type="character" w:styleId="FollowedHyperlink">
    <w:name w:val="FollowedHyperlink"/>
    <w:basedOn w:val="DefaultParagraphFont"/>
    <w:uiPriority w:val="99"/>
    <w:semiHidden/>
    <w:unhideWhenUsed/>
    <w:rsid w:val="006941D3"/>
    <w:rPr>
      <w:color w:val="96607D" w:themeColor="followedHyperlink"/>
      <w:u w:val="single"/>
    </w:rPr>
  </w:style>
  <w:style w:type="paragraph" w:styleId="NoSpacing">
    <w:name w:val="No Spacing"/>
    <w:link w:val="NoSpacingChar"/>
    <w:uiPriority w:val="1"/>
    <w:qFormat/>
    <w:rsid w:val="00D2557A"/>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D2557A"/>
    <w:rPr>
      <w:sz w:val="22"/>
      <w:szCs w:val="22"/>
      <w:lang w:eastAsia="zh-CN"/>
    </w:rPr>
  </w:style>
  <w:style w:type="character" w:styleId="Strong">
    <w:name w:val="Strong"/>
    <w:basedOn w:val="DefaultParagraphFont"/>
    <w:uiPriority w:val="22"/>
    <w:qFormat/>
    <w:rsid w:val="00D01062"/>
    <w:rPr>
      <w:b/>
      <w:bCs/>
    </w:rPr>
  </w:style>
  <w:style w:type="paragraph" w:styleId="NormalWeb">
    <w:name w:val="Normal (Web)"/>
    <w:basedOn w:val="Normal"/>
    <w:uiPriority w:val="99"/>
    <w:semiHidden/>
    <w:unhideWhenUsed/>
    <w:rsid w:val="00E31E9E"/>
    <w:pPr>
      <w:spacing w:before="100" w:beforeAutospacing="1" w:after="100" w:afterAutospacing="1" w:line="240" w:lineRule="auto"/>
    </w:pPr>
    <w:rPr>
      <w:rFonts w:ascii="Times New Roman" w:hAnsi="Times New Roman"/>
    </w:rPr>
  </w:style>
  <w:style w:type="paragraph" w:styleId="Bibliography">
    <w:name w:val="Bibliography"/>
    <w:basedOn w:val="Normal"/>
    <w:next w:val="Normal"/>
    <w:uiPriority w:val="37"/>
    <w:unhideWhenUsed/>
    <w:rsid w:val="00103543"/>
  </w:style>
  <w:style w:type="paragraph" w:styleId="Caption">
    <w:name w:val="caption"/>
    <w:basedOn w:val="Normal"/>
    <w:next w:val="Normal"/>
    <w:uiPriority w:val="35"/>
    <w:unhideWhenUsed/>
    <w:qFormat/>
    <w:rsid w:val="00D92DBD"/>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523261"/>
    <w:rPr>
      <w:sz w:val="16"/>
      <w:szCs w:val="16"/>
    </w:rPr>
  </w:style>
  <w:style w:type="paragraph" w:styleId="CommentText">
    <w:name w:val="annotation text"/>
    <w:basedOn w:val="Normal"/>
    <w:link w:val="CommentTextChar"/>
    <w:uiPriority w:val="99"/>
    <w:semiHidden/>
    <w:unhideWhenUsed/>
    <w:rsid w:val="00523261"/>
    <w:pPr>
      <w:spacing w:line="240" w:lineRule="auto"/>
    </w:pPr>
    <w:rPr>
      <w:sz w:val="20"/>
      <w:szCs w:val="20"/>
    </w:rPr>
  </w:style>
  <w:style w:type="character" w:customStyle="1" w:styleId="CommentTextChar">
    <w:name w:val="Comment Text Char"/>
    <w:basedOn w:val="DefaultParagraphFont"/>
    <w:link w:val="CommentText"/>
    <w:uiPriority w:val="99"/>
    <w:semiHidden/>
    <w:rsid w:val="00523261"/>
    <w:rPr>
      <w:rFonts w:ascii="Calibri" w:eastAsia="Times New Roman" w:hAnsi="Calibri"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23261"/>
    <w:rPr>
      <w:b/>
      <w:bCs/>
    </w:rPr>
  </w:style>
  <w:style w:type="character" w:customStyle="1" w:styleId="CommentSubjectChar">
    <w:name w:val="Comment Subject Char"/>
    <w:basedOn w:val="CommentTextChar"/>
    <w:link w:val="CommentSubject"/>
    <w:uiPriority w:val="99"/>
    <w:semiHidden/>
    <w:rsid w:val="00523261"/>
    <w:rPr>
      <w:rFonts w:ascii="Calibri" w:eastAsia="Times New Roman" w:hAnsi="Calibri" w:cs="Times New Roman"/>
      <w:b/>
      <w:bCs/>
      <w:sz w:val="20"/>
      <w:szCs w:val="20"/>
      <w:lang w:val="en-GB" w:eastAsia="en-GB"/>
    </w:rPr>
  </w:style>
  <w:style w:type="paragraph" w:styleId="Footer">
    <w:name w:val="footer"/>
    <w:basedOn w:val="Normal"/>
    <w:link w:val="FooterChar"/>
    <w:uiPriority w:val="99"/>
    <w:unhideWhenUsed/>
    <w:rsid w:val="00396026"/>
    <w:pPr>
      <w:tabs>
        <w:tab w:val="center" w:pos="4513"/>
        <w:tab w:val="right" w:pos="9026"/>
      </w:tabs>
      <w:spacing w:line="240" w:lineRule="auto"/>
    </w:pPr>
  </w:style>
  <w:style w:type="character" w:customStyle="1" w:styleId="FooterChar">
    <w:name w:val="Footer Char"/>
    <w:basedOn w:val="DefaultParagraphFont"/>
    <w:link w:val="Footer"/>
    <w:uiPriority w:val="99"/>
    <w:rsid w:val="00396026"/>
    <w:rPr>
      <w:rFonts w:ascii="Calibri" w:eastAsia="Times New Roman" w:hAnsi="Calibri" w:cs="Times New Roman"/>
      <w:lang w:val="en-GB" w:eastAsia="en-GB"/>
    </w:rPr>
  </w:style>
  <w:style w:type="character" w:styleId="PageNumber">
    <w:name w:val="page number"/>
    <w:basedOn w:val="DefaultParagraphFont"/>
    <w:uiPriority w:val="99"/>
    <w:semiHidden/>
    <w:unhideWhenUsed/>
    <w:rsid w:val="00396026"/>
  </w:style>
  <w:style w:type="paragraph" w:styleId="TOCHeading">
    <w:name w:val="TOC Heading"/>
    <w:basedOn w:val="Heading1"/>
    <w:next w:val="Normal"/>
    <w:uiPriority w:val="39"/>
    <w:unhideWhenUsed/>
    <w:qFormat/>
    <w:rsid w:val="00BF5779"/>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BF5779"/>
    <w:pPr>
      <w:spacing w:before="120"/>
      <w:ind w:left="240"/>
    </w:pPr>
    <w:rPr>
      <w:rFonts w:asciiTheme="minorHAnsi" w:hAnsiTheme="minorHAnsi"/>
      <w:b/>
      <w:bCs/>
      <w:sz w:val="22"/>
      <w:szCs w:val="22"/>
    </w:rPr>
  </w:style>
  <w:style w:type="paragraph" w:styleId="TOC1">
    <w:name w:val="toc 1"/>
    <w:basedOn w:val="Normal"/>
    <w:next w:val="Normal"/>
    <w:autoRedefine/>
    <w:uiPriority w:val="39"/>
    <w:unhideWhenUsed/>
    <w:rsid w:val="00BF5779"/>
    <w:pPr>
      <w:spacing w:before="120"/>
    </w:pPr>
    <w:rPr>
      <w:rFonts w:asciiTheme="minorHAnsi" w:hAnsiTheme="minorHAnsi"/>
      <w:b/>
      <w:bCs/>
      <w:i/>
      <w:iCs/>
    </w:rPr>
  </w:style>
  <w:style w:type="paragraph" w:styleId="TOC3">
    <w:name w:val="toc 3"/>
    <w:basedOn w:val="Normal"/>
    <w:next w:val="Normal"/>
    <w:autoRedefine/>
    <w:uiPriority w:val="39"/>
    <w:unhideWhenUsed/>
    <w:rsid w:val="00BF577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F577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F577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F577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F577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F577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F5779"/>
    <w:pPr>
      <w:ind w:left="1920"/>
    </w:pPr>
    <w:rPr>
      <w:rFonts w:asciiTheme="minorHAnsi" w:hAnsiTheme="minorHAnsi"/>
      <w:sz w:val="20"/>
      <w:szCs w:val="20"/>
    </w:rPr>
  </w:style>
  <w:style w:type="paragraph" w:styleId="TableofFigures">
    <w:name w:val="table of figures"/>
    <w:basedOn w:val="Normal"/>
    <w:next w:val="Normal"/>
    <w:uiPriority w:val="99"/>
    <w:unhideWhenUsed/>
    <w:rsid w:val="0092415A"/>
  </w:style>
  <w:style w:type="paragraph" w:styleId="FootnoteText">
    <w:name w:val="footnote text"/>
    <w:basedOn w:val="Normal"/>
    <w:link w:val="FootnoteTextChar"/>
    <w:uiPriority w:val="99"/>
    <w:semiHidden/>
    <w:unhideWhenUsed/>
    <w:rsid w:val="00CF1915"/>
    <w:pPr>
      <w:spacing w:line="240" w:lineRule="auto"/>
    </w:pPr>
    <w:rPr>
      <w:sz w:val="20"/>
      <w:szCs w:val="20"/>
    </w:rPr>
  </w:style>
  <w:style w:type="character" w:customStyle="1" w:styleId="FootnoteTextChar">
    <w:name w:val="Footnote Text Char"/>
    <w:basedOn w:val="DefaultParagraphFont"/>
    <w:link w:val="FootnoteText"/>
    <w:uiPriority w:val="99"/>
    <w:semiHidden/>
    <w:rsid w:val="00CF1915"/>
    <w:rPr>
      <w:rFonts w:ascii="Calibri" w:eastAsia="Times New Roman" w:hAnsi="Calibri" w:cs="Times New Roman"/>
      <w:sz w:val="20"/>
      <w:szCs w:val="20"/>
      <w:lang w:val="en-GB" w:eastAsia="en-GB"/>
    </w:rPr>
  </w:style>
  <w:style w:type="character" w:styleId="FootnoteReference">
    <w:name w:val="footnote reference"/>
    <w:basedOn w:val="DefaultParagraphFont"/>
    <w:uiPriority w:val="99"/>
    <w:semiHidden/>
    <w:unhideWhenUsed/>
    <w:rsid w:val="00CF1915"/>
    <w:rPr>
      <w:vertAlign w:val="superscript"/>
    </w:rPr>
  </w:style>
  <w:style w:type="character" w:customStyle="1" w:styleId="normaltextrun">
    <w:name w:val="normaltextrun"/>
    <w:basedOn w:val="DefaultParagraphFont"/>
    <w:rsid w:val="004C1A64"/>
  </w:style>
  <w:style w:type="character" w:customStyle="1" w:styleId="eop">
    <w:name w:val="eop"/>
    <w:basedOn w:val="DefaultParagraphFont"/>
    <w:rsid w:val="004C1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355">
      <w:bodyDiv w:val="1"/>
      <w:marLeft w:val="0"/>
      <w:marRight w:val="0"/>
      <w:marTop w:val="0"/>
      <w:marBottom w:val="0"/>
      <w:divBdr>
        <w:top w:val="none" w:sz="0" w:space="0" w:color="auto"/>
        <w:left w:val="none" w:sz="0" w:space="0" w:color="auto"/>
        <w:bottom w:val="none" w:sz="0" w:space="0" w:color="auto"/>
        <w:right w:val="none" w:sz="0" w:space="0" w:color="auto"/>
      </w:divBdr>
    </w:div>
    <w:div w:id="1704098">
      <w:bodyDiv w:val="1"/>
      <w:marLeft w:val="0"/>
      <w:marRight w:val="0"/>
      <w:marTop w:val="0"/>
      <w:marBottom w:val="0"/>
      <w:divBdr>
        <w:top w:val="none" w:sz="0" w:space="0" w:color="auto"/>
        <w:left w:val="none" w:sz="0" w:space="0" w:color="auto"/>
        <w:bottom w:val="none" w:sz="0" w:space="0" w:color="auto"/>
        <w:right w:val="none" w:sz="0" w:space="0" w:color="auto"/>
      </w:divBdr>
    </w:div>
    <w:div w:id="4400759">
      <w:bodyDiv w:val="1"/>
      <w:marLeft w:val="0"/>
      <w:marRight w:val="0"/>
      <w:marTop w:val="0"/>
      <w:marBottom w:val="0"/>
      <w:divBdr>
        <w:top w:val="none" w:sz="0" w:space="0" w:color="auto"/>
        <w:left w:val="none" w:sz="0" w:space="0" w:color="auto"/>
        <w:bottom w:val="none" w:sz="0" w:space="0" w:color="auto"/>
        <w:right w:val="none" w:sz="0" w:space="0" w:color="auto"/>
      </w:divBdr>
    </w:div>
    <w:div w:id="7995800">
      <w:bodyDiv w:val="1"/>
      <w:marLeft w:val="0"/>
      <w:marRight w:val="0"/>
      <w:marTop w:val="0"/>
      <w:marBottom w:val="0"/>
      <w:divBdr>
        <w:top w:val="none" w:sz="0" w:space="0" w:color="auto"/>
        <w:left w:val="none" w:sz="0" w:space="0" w:color="auto"/>
        <w:bottom w:val="none" w:sz="0" w:space="0" w:color="auto"/>
        <w:right w:val="none" w:sz="0" w:space="0" w:color="auto"/>
      </w:divBdr>
    </w:div>
    <w:div w:id="39400711">
      <w:bodyDiv w:val="1"/>
      <w:marLeft w:val="0"/>
      <w:marRight w:val="0"/>
      <w:marTop w:val="0"/>
      <w:marBottom w:val="0"/>
      <w:divBdr>
        <w:top w:val="none" w:sz="0" w:space="0" w:color="auto"/>
        <w:left w:val="none" w:sz="0" w:space="0" w:color="auto"/>
        <w:bottom w:val="none" w:sz="0" w:space="0" w:color="auto"/>
        <w:right w:val="none" w:sz="0" w:space="0" w:color="auto"/>
      </w:divBdr>
    </w:div>
    <w:div w:id="44179394">
      <w:bodyDiv w:val="1"/>
      <w:marLeft w:val="0"/>
      <w:marRight w:val="0"/>
      <w:marTop w:val="0"/>
      <w:marBottom w:val="0"/>
      <w:divBdr>
        <w:top w:val="none" w:sz="0" w:space="0" w:color="auto"/>
        <w:left w:val="none" w:sz="0" w:space="0" w:color="auto"/>
        <w:bottom w:val="none" w:sz="0" w:space="0" w:color="auto"/>
        <w:right w:val="none" w:sz="0" w:space="0" w:color="auto"/>
      </w:divBdr>
    </w:div>
    <w:div w:id="44916644">
      <w:bodyDiv w:val="1"/>
      <w:marLeft w:val="0"/>
      <w:marRight w:val="0"/>
      <w:marTop w:val="0"/>
      <w:marBottom w:val="0"/>
      <w:divBdr>
        <w:top w:val="none" w:sz="0" w:space="0" w:color="auto"/>
        <w:left w:val="none" w:sz="0" w:space="0" w:color="auto"/>
        <w:bottom w:val="none" w:sz="0" w:space="0" w:color="auto"/>
        <w:right w:val="none" w:sz="0" w:space="0" w:color="auto"/>
      </w:divBdr>
    </w:div>
    <w:div w:id="46342939">
      <w:bodyDiv w:val="1"/>
      <w:marLeft w:val="0"/>
      <w:marRight w:val="0"/>
      <w:marTop w:val="0"/>
      <w:marBottom w:val="0"/>
      <w:divBdr>
        <w:top w:val="none" w:sz="0" w:space="0" w:color="auto"/>
        <w:left w:val="none" w:sz="0" w:space="0" w:color="auto"/>
        <w:bottom w:val="none" w:sz="0" w:space="0" w:color="auto"/>
        <w:right w:val="none" w:sz="0" w:space="0" w:color="auto"/>
      </w:divBdr>
    </w:div>
    <w:div w:id="58869767">
      <w:bodyDiv w:val="1"/>
      <w:marLeft w:val="0"/>
      <w:marRight w:val="0"/>
      <w:marTop w:val="0"/>
      <w:marBottom w:val="0"/>
      <w:divBdr>
        <w:top w:val="none" w:sz="0" w:space="0" w:color="auto"/>
        <w:left w:val="none" w:sz="0" w:space="0" w:color="auto"/>
        <w:bottom w:val="none" w:sz="0" w:space="0" w:color="auto"/>
        <w:right w:val="none" w:sz="0" w:space="0" w:color="auto"/>
      </w:divBdr>
    </w:div>
    <w:div w:id="59061037">
      <w:bodyDiv w:val="1"/>
      <w:marLeft w:val="0"/>
      <w:marRight w:val="0"/>
      <w:marTop w:val="0"/>
      <w:marBottom w:val="0"/>
      <w:divBdr>
        <w:top w:val="none" w:sz="0" w:space="0" w:color="auto"/>
        <w:left w:val="none" w:sz="0" w:space="0" w:color="auto"/>
        <w:bottom w:val="none" w:sz="0" w:space="0" w:color="auto"/>
        <w:right w:val="none" w:sz="0" w:space="0" w:color="auto"/>
      </w:divBdr>
    </w:div>
    <w:div w:id="69543754">
      <w:bodyDiv w:val="1"/>
      <w:marLeft w:val="0"/>
      <w:marRight w:val="0"/>
      <w:marTop w:val="0"/>
      <w:marBottom w:val="0"/>
      <w:divBdr>
        <w:top w:val="none" w:sz="0" w:space="0" w:color="auto"/>
        <w:left w:val="none" w:sz="0" w:space="0" w:color="auto"/>
        <w:bottom w:val="none" w:sz="0" w:space="0" w:color="auto"/>
        <w:right w:val="none" w:sz="0" w:space="0" w:color="auto"/>
      </w:divBdr>
    </w:div>
    <w:div w:id="70782530">
      <w:bodyDiv w:val="1"/>
      <w:marLeft w:val="0"/>
      <w:marRight w:val="0"/>
      <w:marTop w:val="0"/>
      <w:marBottom w:val="0"/>
      <w:divBdr>
        <w:top w:val="none" w:sz="0" w:space="0" w:color="auto"/>
        <w:left w:val="none" w:sz="0" w:space="0" w:color="auto"/>
        <w:bottom w:val="none" w:sz="0" w:space="0" w:color="auto"/>
        <w:right w:val="none" w:sz="0" w:space="0" w:color="auto"/>
      </w:divBdr>
    </w:div>
    <w:div w:id="71002945">
      <w:bodyDiv w:val="1"/>
      <w:marLeft w:val="0"/>
      <w:marRight w:val="0"/>
      <w:marTop w:val="0"/>
      <w:marBottom w:val="0"/>
      <w:divBdr>
        <w:top w:val="none" w:sz="0" w:space="0" w:color="auto"/>
        <w:left w:val="none" w:sz="0" w:space="0" w:color="auto"/>
        <w:bottom w:val="none" w:sz="0" w:space="0" w:color="auto"/>
        <w:right w:val="none" w:sz="0" w:space="0" w:color="auto"/>
      </w:divBdr>
    </w:div>
    <w:div w:id="84889719">
      <w:bodyDiv w:val="1"/>
      <w:marLeft w:val="0"/>
      <w:marRight w:val="0"/>
      <w:marTop w:val="0"/>
      <w:marBottom w:val="0"/>
      <w:divBdr>
        <w:top w:val="none" w:sz="0" w:space="0" w:color="auto"/>
        <w:left w:val="none" w:sz="0" w:space="0" w:color="auto"/>
        <w:bottom w:val="none" w:sz="0" w:space="0" w:color="auto"/>
        <w:right w:val="none" w:sz="0" w:space="0" w:color="auto"/>
      </w:divBdr>
      <w:divsChild>
        <w:div w:id="1360666256">
          <w:marLeft w:val="0"/>
          <w:marRight w:val="0"/>
          <w:marTop w:val="0"/>
          <w:marBottom w:val="0"/>
          <w:divBdr>
            <w:top w:val="none" w:sz="0" w:space="0" w:color="auto"/>
            <w:left w:val="none" w:sz="0" w:space="0" w:color="auto"/>
            <w:bottom w:val="none" w:sz="0" w:space="0" w:color="auto"/>
            <w:right w:val="none" w:sz="0" w:space="0" w:color="auto"/>
          </w:divBdr>
        </w:div>
        <w:div w:id="310869343">
          <w:marLeft w:val="0"/>
          <w:marRight w:val="0"/>
          <w:marTop w:val="0"/>
          <w:marBottom w:val="0"/>
          <w:divBdr>
            <w:top w:val="none" w:sz="0" w:space="0" w:color="auto"/>
            <w:left w:val="none" w:sz="0" w:space="0" w:color="auto"/>
            <w:bottom w:val="none" w:sz="0" w:space="0" w:color="auto"/>
            <w:right w:val="none" w:sz="0" w:space="0" w:color="auto"/>
          </w:divBdr>
        </w:div>
        <w:div w:id="1182667937">
          <w:marLeft w:val="0"/>
          <w:marRight w:val="0"/>
          <w:marTop w:val="0"/>
          <w:marBottom w:val="0"/>
          <w:divBdr>
            <w:top w:val="none" w:sz="0" w:space="0" w:color="auto"/>
            <w:left w:val="none" w:sz="0" w:space="0" w:color="auto"/>
            <w:bottom w:val="none" w:sz="0" w:space="0" w:color="auto"/>
            <w:right w:val="none" w:sz="0" w:space="0" w:color="auto"/>
          </w:divBdr>
        </w:div>
        <w:div w:id="1254893048">
          <w:marLeft w:val="0"/>
          <w:marRight w:val="0"/>
          <w:marTop w:val="0"/>
          <w:marBottom w:val="0"/>
          <w:divBdr>
            <w:top w:val="none" w:sz="0" w:space="0" w:color="auto"/>
            <w:left w:val="none" w:sz="0" w:space="0" w:color="auto"/>
            <w:bottom w:val="none" w:sz="0" w:space="0" w:color="auto"/>
            <w:right w:val="none" w:sz="0" w:space="0" w:color="auto"/>
          </w:divBdr>
        </w:div>
        <w:div w:id="174194959">
          <w:marLeft w:val="0"/>
          <w:marRight w:val="0"/>
          <w:marTop w:val="0"/>
          <w:marBottom w:val="0"/>
          <w:divBdr>
            <w:top w:val="none" w:sz="0" w:space="0" w:color="auto"/>
            <w:left w:val="none" w:sz="0" w:space="0" w:color="auto"/>
            <w:bottom w:val="none" w:sz="0" w:space="0" w:color="auto"/>
            <w:right w:val="none" w:sz="0" w:space="0" w:color="auto"/>
          </w:divBdr>
        </w:div>
        <w:div w:id="711728787">
          <w:marLeft w:val="0"/>
          <w:marRight w:val="0"/>
          <w:marTop w:val="0"/>
          <w:marBottom w:val="0"/>
          <w:divBdr>
            <w:top w:val="none" w:sz="0" w:space="0" w:color="auto"/>
            <w:left w:val="none" w:sz="0" w:space="0" w:color="auto"/>
            <w:bottom w:val="none" w:sz="0" w:space="0" w:color="auto"/>
            <w:right w:val="none" w:sz="0" w:space="0" w:color="auto"/>
          </w:divBdr>
        </w:div>
        <w:div w:id="1295134495">
          <w:marLeft w:val="0"/>
          <w:marRight w:val="0"/>
          <w:marTop w:val="0"/>
          <w:marBottom w:val="0"/>
          <w:divBdr>
            <w:top w:val="none" w:sz="0" w:space="0" w:color="auto"/>
            <w:left w:val="none" w:sz="0" w:space="0" w:color="auto"/>
            <w:bottom w:val="none" w:sz="0" w:space="0" w:color="auto"/>
            <w:right w:val="none" w:sz="0" w:space="0" w:color="auto"/>
          </w:divBdr>
        </w:div>
        <w:div w:id="1707366543">
          <w:marLeft w:val="0"/>
          <w:marRight w:val="0"/>
          <w:marTop w:val="0"/>
          <w:marBottom w:val="0"/>
          <w:divBdr>
            <w:top w:val="none" w:sz="0" w:space="0" w:color="auto"/>
            <w:left w:val="none" w:sz="0" w:space="0" w:color="auto"/>
            <w:bottom w:val="none" w:sz="0" w:space="0" w:color="auto"/>
            <w:right w:val="none" w:sz="0" w:space="0" w:color="auto"/>
          </w:divBdr>
        </w:div>
        <w:div w:id="2089883230">
          <w:marLeft w:val="0"/>
          <w:marRight w:val="0"/>
          <w:marTop w:val="0"/>
          <w:marBottom w:val="0"/>
          <w:divBdr>
            <w:top w:val="none" w:sz="0" w:space="0" w:color="auto"/>
            <w:left w:val="none" w:sz="0" w:space="0" w:color="auto"/>
            <w:bottom w:val="none" w:sz="0" w:space="0" w:color="auto"/>
            <w:right w:val="none" w:sz="0" w:space="0" w:color="auto"/>
          </w:divBdr>
        </w:div>
        <w:div w:id="1650208190">
          <w:marLeft w:val="0"/>
          <w:marRight w:val="0"/>
          <w:marTop w:val="0"/>
          <w:marBottom w:val="0"/>
          <w:divBdr>
            <w:top w:val="none" w:sz="0" w:space="0" w:color="auto"/>
            <w:left w:val="none" w:sz="0" w:space="0" w:color="auto"/>
            <w:bottom w:val="none" w:sz="0" w:space="0" w:color="auto"/>
            <w:right w:val="none" w:sz="0" w:space="0" w:color="auto"/>
          </w:divBdr>
        </w:div>
        <w:div w:id="1579099461">
          <w:marLeft w:val="0"/>
          <w:marRight w:val="0"/>
          <w:marTop w:val="0"/>
          <w:marBottom w:val="0"/>
          <w:divBdr>
            <w:top w:val="none" w:sz="0" w:space="0" w:color="auto"/>
            <w:left w:val="none" w:sz="0" w:space="0" w:color="auto"/>
            <w:bottom w:val="none" w:sz="0" w:space="0" w:color="auto"/>
            <w:right w:val="none" w:sz="0" w:space="0" w:color="auto"/>
          </w:divBdr>
        </w:div>
        <w:div w:id="481316476">
          <w:marLeft w:val="0"/>
          <w:marRight w:val="0"/>
          <w:marTop w:val="0"/>
          <w:marBottom w:val="0"/>
          <w:divBdr>
            <w:top w:val="none" w:sz="0" w:space="0" w:color="auto"/>
            <w:left w:val="none" w:sz="0" w:space="0" w:color="auto"/>
            <w:bottom w:val="none" w:sz="0" w:space="0" w:color="auto"/>
            <w:right w:val="none" w:sz="0" w:space="0" w:color="auto"/>
          </w:divBdr>
        </w:div>
        <w:div w:id="1291782297">
          <w:marLeft w:val="0"/>
          <w:marRight w:val="0"/>
          <w:marTop w:val="0"/>
          <w:marBottom w:val="0"/>
          <w:divBdr>
            <w:top w:val="none" w:sz="0" w:space="0" w:color="auto"/>
            <w:left w:val="none" w:sz="0" w:space="0" w:color="auto"/>
            <w:bottom w:val="none" w:sz="0" w:space="0" w:color="auto"/>
            <w:right w:val="none" w:sz="0" w:space="0" w:color="auto"/>
          </w:divBdr>
        </w:div>
        <w:div w:id="1600258362">
          <w:marLeft w:val="0"/>
          <w:marRight w:val="0"/>
          <w:marTop w:val="0"/>
          <w:marBottom w:val="0"/>
          <w:divBdr>
            <w:top w:val="none" w:sz="0" w:space="0" w:color="auto"/>
            <w:left w:val="none" w:sz="0" w:space="0" w:color="auto"/>
            <w:bottom w:val="none" w:sz="0" w:space="0" w:color="auto"/>
            <w:right w:val="none" w:sz="0" w:space="0" w:color="auto"/>
          </w:divBdr>
        </w:div>
        <w:div w:id="1433282300">
          <w:marLeft w:val="0"/>
          <w:marRight w:val="0"/>
          <w:marTop w:val="0"/>
          <w:marBottom w:val="0"/>
          <w:divBdr>
            <w:top w:val="none" w:sz="0" w:space="0" w:color="auto"/>
            <w:left w:val="none" w:sz="0" w:space="0" w:color="auto"/>
            <w:bottom w:val="none" w:sz="0" w:space="0" w:color="auto"/>
            <w:right w:val="none" w:sz="0" w:space="0" w:color="auto"/>
          </w:divBdr>
        </w:div>
        <w:div w:id="522859932">
          <w:marLeft w:val="0"/>
          <w:marRight w:val="0"/>
          <w:marTop w:val="0"/>
          <w:marBottom w:val="0"/>
          <w:divBdr>
            <w:top w:val="none" w:sz="0" w:space="0" w:color="auto"/>
            <w:left w:val="none" w:sz="0" w:space="0" w:color="auto"/>
            <w:bottom w:val="none" w:sz="0" w:space="0" w:color="auto"/>
            <w:right w:val="none" w:sz="0" w:space="0" w:color="auto"/>
          </w:divBdr>
        </w:div>
        <w:div w:id="188033796">
          <w:marLeft w:val="0"/>
          <w:marRight w:val="0"/>
          <w:marTop w:val="0"/>
          <w:marBottom w:val="0"/>
          <w:divBdr>
            <w:top w:val="none" w:sz="0" w:space="0" w:color="auto"/>
            <w:left w:val="none" w:sz="0" w:space="0" w:color="auto"/>
            <w:bottom w:val="none" w:sz="0" w:space="0" w:color="auto"/>
            <w:right w:val="none" w:sz="0" w:space="0" w:color="auto"/>
          </w:divBdr>
        </w:div>
        <w:div w:id="1130317934">
          <w:marLeft w:val="0"/>
          <w:marRight w:val="0"/>
          <w:marTop w:val="0"/>
          <w:marBottom w:val="0"/>
          <w:divBdr>
            <w:top w:val="none" w:sz="0" w:space="0" w:color="auto"/>
            <w:left w:val="none" w:sz="0" w:space="0" w:color="auto"/>
            <w:bottom w:val="none" w:sz="0" w:space="0" w:color="auto"/>
            <w:right w:val="none" w:sz="0" w:space="0" w:color="auto"/>
          </w:divBdr>
        </w:div>
        <w:div w:id="864254272">
          <w:marLeft w:val="0"/>
          <w:marRight w:val="0"/>
          <w:marTop w:val="0"/>
          <w:marBottom w:val="0"/>
          <w:divBdr>
            <w:top w:val="none" w:sz="0" w:space="0" w:color="auto"/>
            <w:left w:val="none" w:sz="0" w:space="0" w:color="auto"/>
            <w:bottom w:val="none" w:sz="0" w:space="0" w:color="auto"/>
            <w:right w:val="none" w:sz="0" w:space="0" w:color="auto"/>
          </w:divBdr>
        </w:div>
        <w:div w:id="1201554024">
          <w:marLeft w:val="0"/>
          <w:marRight w:val="0"/>
          <w:marTop w:val="0"/>
          <w:marBottom w:val="0"/>
          <w:divBdr>
            <w:top w:val="none" w:sz="0" w:space="0" w:color="auto"/>
            <w:left w:val="none" w:sz="0" w:space="0" w:color="auto"/>
            <w:bottom w:val="none" w:sz="0" w:space="0" w:color="auto"/>
            <w:right w:val="none" w:sz="0" w:space="0" w:color="auto"/>
          </w:divBdr>
        </w:div>
        <w:div w:id="1899241005">
          <w:marLeft w:val="0"/>
          <w:marRight w:val="0"/>
          <w:marTop w:val="0"/>
          <w:marBottom w:val="0"/>
          <w:divBdr>
            <w:top w:val="none" w:sz="0" w:space="0" w:color="auto"/>
            <w:left w:val="none" w:sz="0" w:space="0" w:color="auto"/>
            <w:bottom w:val="none" w:sz="0" w:space="0" w:color="auto"/>
            <w:right w:val="none" w:sz="0" w:space="0" w:color="auto"/>
          </w:divBdr>
        </w:div>
        <w:div w:id="644773777">
          <w:marLeft w:val="0"/>
          <w:marRight w:val="0"/>
          <w:marTop w:val="0"/>
          <w:marBottom w:val="0"/>
          <w:divBdr>
            <w:top w:val="none" w:sz="0" w:space="0" w:color="auto"/>
            <w:left w:val="none" w:sz="0" w:space="0" w:color="auto"/>
            <w:bottom w:val="none" w:sz="0" w:space="0" w:color="auto"/>
            <w:right w:val="none" w:sz="0" w:space="0" w:color="auto"/>
          </w:divBdr>
        </w:div>
        <w:div w:id="119880707">
          <w:marLeft w:val="0"/>
          <w:marRight w:val="0"/>
          <w:marTop w:val="0"/>
          <w:marBottom w:val="0"/>
          <w:divBdr>
            <w:top w:val="none" w:sz="0" w:space="0" w:color="auto"/>
            <w:left w:val="none" w:sz="0" w:space="0" w:color="auto"/>
            <w:bottom w:val="none" w:sz="0" w:space="0" w:color="auto"/>
            <w:right w:val="none" w:sz="0" w:space="0" w:color="auto"/>
          </w:divBdr>
        </w:div>
        <w:div w:id="1175802261">
          <w:marLeft w:val="0"/>
          <w:marRight w:val="0"/>
          <w:marTop w:val="0"/>
          <w:marBottom w:val="0"/>
          <w:divBdr>
            <w:top w:val="none" w:sz="0" w:space="0" w:color="auto"/>
            <w:left w:val="none" w:sz="0" w:space="0" w:color="auto"/>
            <w:bottom w:val="none" w:sz="0" w:space="0" w:color="auto"/>
            <w:right w:val="none" w:sz="0" w:space="0" w:color="auto"/>
          </w:divBdr>
        </w:div>
        <w:div w:id="468741205">
          <w:marLeft w:val="0"/>
          <w:marRight w:val="0"/>
          <w:marTop w:val="0"/>
          <w:marBottom w:val="0"/>
          <w:divBdr>
            <w:top w:val="none" w:sz="0" w:space="0" w:color="auto"/>
            <w:left w:val="none" w:sz="0" w:space="0" w:color="auto"/>
            <w:bottom w:val="none" w:sz="0" w:space="0" w:color="auto"/>
            <w:right w:val="none" w:sz="0" w:space="0" w:color="auto"/>
          </w:divBdr>
        </w:div>
        <w:div w:id="492137253">
          <w:marLeft w:val="0"/>
          <w:marRight w:val="0"/>
          <w:marTop w:val="0"/>
          <w:marBottom w:val="0"/>
          <w:divBdr>
            <w:top w:val="none" w:sz="0" w:space="0" w:color="auto"/>
            <w:left w:val="none" w:sz="0" w:space="0" w:color="auto"/>
            <w:bottom w:val="none" w:sz="0" w:space="0" w:color="auto"/>
            <w:right w:val="none" w:sz="0" w:space="0" w:color="auto"/>
          </w:divBdr>
        </w:div>
        <w:div w:id="1164317608">
          <w:marLeft w:val="0"/>
          <w:marRight w:val="0"/>
          <w:marTop w:val="0"/>
          <w:marBottom w:val="0"/>
          <w:divBdr>
            <w:top w:val="none" w:sz="0" w:space="0" w:color="auto"/>
            <w:left w:val="none" w:sz="0" w:space="0" w:color="auto"/>
            <w:bottom w:val="none" w:sz="0" w:space="0" w:color="auto"/>
            <w:right w:val="none" w:sz="0" w:space="0" w:color="auto"/>
          </w:divBdr>
        </w:div>
        <w:div w:id="704983850">
          <w:marLeft w:val="0"/>
          <w:marRight w:val="0"/>
          <w:marTop w:val="0"/>
          <w:marBottom w:val="0"/>
          <w:divBdr>
            <w:top w:val="none" w:sz="0" w:space="0" w:color="auto"/>
            <w:left w:val="none" w:sz="0" w:space="0" w:color="auto"/>
            <w:bottom w:val="none" w:sz="0" w:space="0" w:color="auto"/>
            <w:right w:val="none" w:sz="0" w:space="0" w:color="auto"/>
          </w:divBdr>
        </w:div>
        <w:div w:id="1049959050">
          <w:marLeft w:val="0"/>
          <w:marRight w:val="0"/>
          <w:marTop w:val="0"/>
          <w:marBottom w:val="0"/>
          <w:divBdr>
            <w:top w:val="none" w:sz="0" w:space="0" w:color="auto"/>
            <w:left w:val="none" w:sz="0" w:space="0" w:color="auto"/>
            <w:bottom w:val="none" w:sz="0" w:space="0" w:color="auto"/>
            <w:right w:val="none" w:sz="0" w:space="0" w:color="auto"/>
          </w:divBdr>
        </w:div>
        <w:div w:id="444547007">
          <w:marLeft w:val="0"/>
          <w:marRight w:val="0"/>
          <w:marTop w:val="0"/>
          <w:marBottom w:val="0"/>
          <w:divBdr>
            <w:top w:val="none" w:sz="0" w:space="0" w:color="auto"/>
            <w:left w:val="none" w:sz="0" w:space="0" w:color="auto"/>
            <w:bottom w:val="none" w:sz="0" w:space="0" w:color="auto"/>
            <w:right w:val="none" w:sz="0" w:space="0" w:color="auto"/>
          </w:divBdr>
        </w:div>
        <w:div w:id="745031353">
          <w:marLeft w:val="0"/>
          <w:marRight w:val="0"/>
          <w:marTop w:val="0"/>
          <w:marBottom w:val="0"/>
          <w:divBdr>
            <w:top w:val="none" w:sz="0" w:space="0" w:color="auto"/>
            <w:left w:val="none" w:sz="0" w:space="0" w:color="auto"/>
            <w:bottom w:val="none" w:sz="0" w:space="0" w:color="auto"/>
            <w:right w:val="none" w:sz="0" w:space="0" w:color="auto"/>
          </w:divBdr>
        </w:div>
        <w:div w:id="903301591">
          <w:marLeft w:val="0"/>
          <w:marRight w:val="0"/>
          <w:marTop w:val="0"/>
          <w:marBottom w:val="0"/>
          <w:divBdr>
            <w:top w:val="none" w:sz="0" w:space="0" w:color="auto"/>
            <w:left w:val="none" w:sz="0" w:space="0" w:color="auto"/>
            <w:bottom w:val="none" w:sz="0" w:space="0" w:color="auto"/>
            <w:right w:val="none" w:sz="0" w:space="0" w:color="auto"/>
          </w:divBdr>
        </w:div>
        <w:div w:id="794912766">
          <w:marLeft w:val="0"/>
          <w:marRight w:val="0"/>
          <w:marTop w:val="0"/>
          <w:marBottom w:val="0"/>
          <w:divBdr>
            <w:top w:val="none" w:sz="0" w:space="0" w:color="auto"/>
            <w:left w:val="none" w:sz="0" w:space="0" w:color="auto"/>
            <w:bottom w:val="none" w:sz="0" w:space="0" w:color="auto"/>
            <w:right w:val="none" w:sz="0" w:space="0" w:color="auto"/>
          </w:divBdr>
        </w:div>
        <w:div w:id="308098235">
          <w:marLeft w:val="0"/>
          <w:marRight w:val="0"/>
          <w:marTop w:val="0"/>
          <w:marBottom w:val="0"/>
          <w:divBdr>
            <w:top w:val="none" w:sz="0" w:space="0" w:color="auto"/>
            <w:left w:val="none" w:sz="0" w:space="0" w:color="auto"/>
            <w:bottom w:val="none" w:sz="0" w:space="0" w:color="auto"/>
            <w:right w:val="none" w:sz="0" w:space="0" w:color="auto"/>
          </w:divBdr>
        </w:div>
        <w:div w:id="2045791875">
          <w:marLeft w:val="0"/>
          <w:marRight w:val="0"/>
          <w:marTop w:val="0"/>
          <w:marBottom w:val="0"/>
          <w:divBdr>
            <w:top w:val="none" w:sz="0" w:space="0" w:color="auto"/>
            <w:left w:val="none" w:sz="0" w:space="0" w:color="auto"/>
            <w:bottom w:val="none" w:sz="0" w:space="0" w:color="auto"/>
            <w:right w:val="none" w:sz="0" w:space="0" w:color="auto"/>
          </w:divBdr>
        </w:div>
      </w:divsChild>
    </w:div>
    <w:div w:id="88357165">
      <w:bodyDiv w:val="1"/>
      <w:marLeft w:val="0"/>
      <w:marRight w:val="0"/>
      <w:marTop w:val="0"/>
      <w:marBottom w:val="0"/>
      <w:divBdr>
        <w:top w:val="none" w:sz="0" w:space="0" w:color="auto"/>
        <w:left w:val="none" w:sz="0" w:space="0" w:color="auto"/>
        <w:bottom w:val="none" w:sz="0" w:space="0" w:color="auto"/>
        <w:right w:val="none" w:sz="0" w:space="0" w:color="auto"/>
      </w:divBdr>
    </w:div>
    <w:div w:id="95642708">
      <w:bodyDiv w:val="1"/>
      <w:marLeft w:val="0"/>
      <w:marRight w:val="0"/>
      <w:marTop w:val="0"/>
      <w:marBottom w:val="0"/>
      <w:divBdr>
        <w:top w:val="none" w:sz="0" w:space="0" w:color="auto"/>
        <w:left w:val="none" w:sz="0" w:space="0" w:color="auto"/>
        <w:bottom w:val="none" w:sz="0" w:space="0" w:color="auto"/>
        <w:right w:val="none" w:sz="0" w:space="0" w:color="auto"/>
      </w:divBdr>
    </w:div>
    <w:div w:id="118687073">
      <w:bodyDiv w:val="1"/>
      <w:marLeft w:val="0"/>
      <w:marRight w:val="0"/>
      <w:marTop w:val="0"/>
      <w:marBottom w:val="0"/>
      <w:divBdr>
        <w:top w:val="none" w:sz="0" w:space="0" w:color="auto"/>
        <w:left w:val="none" w:sz="0" w:space="0" w:color="auto"/>
        <w:bottom w:val="none" w:sz="0" w:space="0" w:color="auto"/>
        <w:right w:val="none" w:sz="0" w:space="0" w:color="auto"/>
      </w:divBdr>
    </w:div>
    <w:div w:id="119997611">
      <w:bodyDiv w:val="1"/>
      <w:marLeft w:val="0"/>
      <w:marRight w:val="0"/>
      <w:marTop w:val="0"/>
      <w:marBottom w:val="0"/>
      <w:divBdr>
        <w:top w:val="none" w:sz="0" w:space="0" w:color="auto"/>
        <w:left w:val="none" w:sz="0" w:space="0" w:color="auto"/>
        <w:bottom w:val="none" w:sz="0" w:space="0" w:color="auto"/>
        <w:right w:val="none" w:sz="0" w:space="0" w:color="auto"/>
      </w:divBdr>
    </w:div>
    <w:div w:id="120463461">
      <w:bodyDiv w:val="1"/>
      <w:marLeft w:val="0"/>
      <w:marRight w:val="0"/>
      <w:marTop w:val="0"/>
      <w:marBottom w:val="0"/>
      <w:divBdr>
        <w:top w:val="none" w:sz="0" w:space="0" w:color="auto"/>
        <w:left w:val="none" w:sz="0" w:space="0" w:color="auto"/>
        <w:bottom w:val="none" w:sz="0" w:space="0" w:color="auto"/>
        <w:right w:val="none" w:sz="0" w:space="0" w:color="auto"/>
      </w:divBdr>
    </w:div>
    <w:div w:id="125659495">
      <w:bodyDiv w:val="1"/>
      <w:marLeft w:val="0"/>
      <w:marRight w:val="0"/>
      <w:marTop w:val="0"/>
      <w:marBottom w:val="0"/>
      <w:divBdr>
        <w:top w:val="none" w:sz="0" w:space="0" w:color="auto"/>
        <w:left w:val="none" w:sz="0" w:space="0" w:color="auto"/>
        <w:bottom w:val="none" w:sz="0" w:space="0" w:color="auto"/>
        <w:right w:val="none" w:sz="0" w:space="0" w:color="auto"/>
      </w:divBdr>
    </w:div>
    <w:div w:id="126320494">
      <w:bodyDiv w:val="1"/>
      <w:marLeft w:val="0"/>
      <w:marRight w:val="0"/>
      <w:marTop w:val="0"/>
      <w:marBottom w:val="0"/>
      <w:divBdr>
        <w:top w:val="none" w:sz="0" w:space="0" w:color="auto"/>
        <w:left w:val="none" w:sz="0" w:space="0" w:color="auto"/>
        <w:bottom w:val="none" w:sz="0" w:space="0" w:color="auto"/>
        <w:right w:val="none" w:sz="0" w:space="0" w:color="auto"/>
      </w:divBdr>
    </w:div>
    <w:div w:id="127362290">
      <w:bodyDiv w:val="1"/>
      <w:marLeft w:val="0"/>
      <w:marRight w:val="0"/>
      <w:marTop w:val="0"/>
      <w:marBottom w:val="0"/>
      <w:divBdr>
        <w:top w:val="none" w:sz="0" w:space="0" w:color="auto"/>
        <w:left w:val="none" w:sz="0" w:space="0" w:color="auto"/>
        <w:bottom w:val="none" w:sz="0" w:space="0" w:color="auto"/>
        <w:right w:val="none" w:sz="0" w:space="0" w:color="auto"/>
      </w:divBdr>
    </w:div>
    <w:div w:id="134027326">
      <w:bodyDiv w:val="1"/>
      <w:marLeft w:val="0"/>
      <w:marRight w:val="0"/>
      <w:marTop w:val="0"/>
      <w:marBottom w:val="0"/>
      <w:divBdr>
        <w:top w:val="none" w:sz="0" w:space="0" w:color="auto"/>
        <w:left w:val="none" w:sz="0" w:space="0" w:color="auto"/>
        <w:bottom w:val="none" w:sz="0" w:space="0" w:color="auto"/>
        <w:right w:val="none" w:sz="0" w:space="0" w:color="auto"/>
      </w:divBdr>
    </w:div>
    <w:div w:id="134295750">
      <w:bodyDiv w:val="1"/>
      <w:marLeft w:val="0"/>
      <w:marRight w:val="0"/>
      <w:marTop w:val="0"/>
      <w:marBottom w:val="0"/>
      <w:divBdr>
        <w:top w:val="none" w:sz="0" w:space="0" w:color="auto"/>
        <w:left w:val="none" w:sz="0" w:space="0" w:color="auto"/>
        <w:bottom w:val="none" w:sz="0" w:space="0" w:color="auto"/>
        <w:right w:val="none" w:sz="0" w:space="0" w:color="auto"/>
      </w:divBdr>
    </w:div>
    <w:div w:id="136532201">
      <w:bodyDiv w:val="1"/>
      <w:marLeft w:val="0"/>
      <w:marRight w:val="0"/>
      <w:marTop w:val="0"/>
      <w:marBottom w:val="0"/>
      <w:divBdr>
        <w:top w:val="none" w:sz="0" w:space="0" w:color="auto"/>
        <w:left w:val="none" w:sz="0" w:space="0" w:color="auto"/>
        <w:bottom w:val="none" w:sz="0" w:space="0" w:color="auto"/>
        <w:right w:val="none" w:sz="0" w:space="0" w:color="auto"/>
      </w:divBdr>
    </w:div>
    <w:div w:id="140730382">
      <w:bodyDiv w:val="1"/>
      <w:marLeft w:val="0"/>
      <w:marRight w:val="0"/>
      <w:marTop w:val="0"/>
      <w:marBottom w:val="0"/>
      <w:divBdr>
        <w:top w:val="none" w:sz="0" w:space="0" w:color="auto"/>
        <w:left w:val="none" w:sz="0" w:space="0" w:color="auto"/>
        <w:bottom w:val="none" w:sz="0" w:space="0" w:color="auto"/>
        <w:right w:val="none" w:sz="0" w:space="0" w:color="auto"/>
      </w:divBdr>
    </w:div>
    <w:div w:id="157698898">
      <w:bodyDiv w:val="1"/>
      <w:marLeft w:val="0"/>
      <w:marRight w:val="0"/>
      <w:marTop w:val="0"/>
      <w:marBottom w:val="0"/>
      <w:divBdr>
        <w:top w:val="none" w:sz="0" w:space="0" w:color="auto"/>
        <w:left w:val="none" w:sz="0" w:space="0" w:color="auto"/>
        <w:bottom w:val="none" w:sz="0" w:space="0" w:color="auto"/>
        <w:right w:val="none" w:sz="0" w:space="0" w:color="auto"/>
      </w:divBdr>
    </w:div>
    <w:div w:id="160628831">
      <w:bodyDiv w:val="1"/>
      <w:marLeft w:val="0"/>
      <w:marRight w:val="0"/>
      <w:marTop w:val="0"/>
      <w:marBottom w:val="0"/>
      <w:divBdr>
        <w:top w:val="none" w:sz="0" w:space="0" w:color="auto"/>
        <w:left w:val="none" w:sz="0" w:space="0" w:color="auto"/>
        <w:bottom w:val="none" w:sz="0" w:space="0" w:color="auto"/>
        <w:right w:val="none" w:sz="0" w:space="0" w:color="auto"/>
      </w:divBdr>
    </w:div>
    <w:div w:id="165440298">
      <w:bodyDiv w:val="1"/>
      <w:marLeft w:val="0"/>
      <w:marRight w:val="0"/>
      <w:marTop w:val="0"/>
      <w:marBottom w:val="0"/>
      <w:divBdr>
        <w:top w:val="none" w:sz="0" w:space="0" w:color="auto"/>
        <w:left w:val="none" w:sz="0" w:space="0" w:color="auto"/>
        <w:bottom w:val="none" w:sz="0" w:space="0" w:color="auto"/>
        <w:right w:val="none" w:sz="0" w:space="0" w:color="auto"/>
      </w:divBdr>
    </w:div>
    <w:div w:id="170024991">
      <w:bodyDiv w:val="1"/>
      <w:marLeft w:val="0"/>
      <w:marRight w:val="0"/>
      <w:marTop w:val="0"/>
      <w:marBottom w:val="0"/>
      <w:divBdr>
        <w:top w:val="none" w:sz="0" w:space="0" w:color="auto"/>
        <w:left w:val="none" w:sz="0" w:space="0" w:color="auto"/>
        <w:bottom w:val="none" w:sz="0" w:space="0" w:color="auto"/>
        <w:right w:val="none" w:sz="0" w:space="0" w:color="auto"/>
      </w:divBdr>
    </w:div>
    <w:div w:id="172573366">
      <w:bodyDiv w:val="1"/>
      <w:marLeft w:val="0"/>
      <w:marRight w:val="0"/>
      <w:marTop w:val="0"/>
      <w:marBottom w:val="0"/>
      <w:divBdr>
        <w:top w:val="none" w:sz="0" w:space="0" w:color="auto"/>
        <w:left w:val="none" w:sz="0" w:space="0" w:color="auto"/>
        <w:bottom w:val="none" w:sz="0" w:space="0" w:color="auto"/>
        <w:right w:val="none" w:sz="0" w:space="0" w:color="auto"/>
      </w:divBdr>
    </w:div>
    <w:div w:id="187178661">
      <w:bodyDiv w:val="1"/>
      <w:marLeft w:val="0"/>
      <w:marRight w:val="0"/>
      <w:marTop w:val="0"/>
      <w:marBottom w:val="0"/>
      <w:divBdr>
        <w:top w:val="none" w:sz="0" w:space="0" w:color="auto"/>
        <w:left w:val="none" w:sz="0" w:space="0" w:color="auto"/>
        <w:bottom w:val="none" w:sz="0" w:space="0" w:color="auto"/>
        <w:right w:val="none" w:sz="0" w:space="0" w:color="auto"/>
      </w:divBdr>
    </w:div>
    <w:div w:id="187716781">
      <w:bodyDiv w:val="1"/>
      <w:marLeft w:val="0"/>
      <w:marRight w:val="0"/>
      <w:marTop w:val="0"/>
      <w:marBottom w:val="0"/>
      <w:divBdr>
        <w:top w:val="none" w:sz="0" w:space="0" w:color="auto"/>
        <w:left w:val="none" w:sz="0" w:space="0" w:color="auto"/>
        <w:bottom w:val="none" w:sz="0" w:space="0" w:color="auto"/>
        <w:right w:val="none" w:sz="0" w:space="0" w:color="auto"/>
      </w:divBdr>
    </w:div>
    <w:div w:id="191381670">
      <w:bodyDiv w:val="1"/>
      <w:marLeft w:val="0"/>
      <w:marRight w:val="0"/>
      <w:marTop w:val="0"/>
      <w:marBottom w:val="0"/>
      <w:divBdr>
        <w:top w:val="none" w:sz="0" w:space="0" w:color="auto"/>
        <w:left w:val="none" w:sz="0" w:space="0" w:color="auto"/>
        <w:bottom w:val="none" w:sz="0" w:space="0" w:color="auto"/>
        <w:right w:val="none" w:sz="0" w:space="0" w:color="auto"/>
      </w:divBdr>
    </w:div>
    <w:div w:id="191383864">
      <w:bodyDiv w:val="1"/>
      <w:marLeft w:val="0"/>
      <w:marRight w:val="0"/>
      <w:marTop w:val="0"/>
      <w:marBottom w:val="0"/>
      <w:divBdr>
        <w:top w:val="none" w:sz="0" w:space="0" w:color="auto"/>
        <w:left w:val="none" w:sz="0" w:space="0" w:color="auto"/>
        <w:bottom w:val="none" w:sz="0" w:space="0" w:color="auto"/>
        <w:right w:val="none" w:sz="0" w:space="0" w:color="auto"/>
      </w:divBdr>
    </w:div>
    <w:div w:id="199054681">
      <w:bodyDiv w:val="1"/>
      <w:marLeft w:val="0"/>
      <w:marRight w:val="0"/>
      <w:marTop w:val="0"/>
      <w:marBottom w:val="0"/>
      <w:divBdr>
        <w:top w:val="none" w:sz="0" w:space="0" w:color="auto"/>
        <w:left w:val="none" w:sz="0" w:space="0" w:color="auto"/>
        <w:bottom w:val="none" w:sz="0" w:space="0" w:color="auto"/>
        <w:right w:val="none" w:sz="0" w:space="0" w:color="auto"/>
      </w:divBdr>
    </w:div>
    <w:div w:id="200092233">
      <w:bodyDiv w:val="1"/>
      <w:marLeft w:val="0"/>
      <w:marRight w:val="0"/>
      <w:marTop w:val="0"/>
      <w:marBottom w:val="0"/>
      <w:divBdr>
        <w:top w:val="none" w:sz="0" w:space="0" w:color="auto"/>
        <w:left w:val="none" w:sz="0" w:space="0" w:color="auto"/>
        <w:bottom w:val="none" w:sz="0" w:space="0" w:color="auto"/>
        <w:right w:val="none" w:sz="0" w:space="0" w:color="auto"/>
      </w:divBdr>
    </w:div>
    <w:div w:id="203829551">
      <w:bodyDiv w:val="1"/>
      <w:marLeft w:val="0"/>
      <w:marRight w:val="0"/>
      <w:marTop w:val="0"/>
      <w:marBottom w:val="0"/>
      <w:divBdr>
        <w:top w:val="none" w:sz="0" w:space="0" w:color="auto"/>
        <w:left w:val="none" w:sz="0" w:space="0" w:color="auto"/>
        <w:bottom w:val="none" w:sz="0" w:space="0" w:color="auto"/>
        <w:right w:val="none" w:sz="0" w:space="0" w:color="auto"/>
      </w:divBdr>
    </w:div>
    <w:div w:id="210121745">
      <w:bodyDiv w:val="1"/>
      <w:marLeft w:val="0"/>
      <w:marRight w:val="0"/>
      <w:marTop w:val="0"/>
      <w:marBottom w:val="0"/>
      <w:divBdr>
        <w:top w:val="none" w:sz="0" w:space="0" w:color="auto"/>
        <w:left w:val="none" w:sz="0" w:space="0" w:color="auto"/>
        <w:bottom w:val="none" w:sz="0" w:space="0" w:color="auto"/>
        <w:right w:val="none" w:sz="0" w:space="0" w:color="auto"/>
      </w:divBdr>
    </w:div>
    <w:div w:id="214119758">
      <w:bodyDiv w:val="1"/>
      <w:marLeft w:val="0"/>
      <w:marRight w:val="0"/>
      <w:marTop w:val="0"/>
      <w:marBottom w:val="0"/>
      <w:divBdr>
        <w:top w:val="none" w:sz="0" w:space="0" w:color="auto"/>
        <w:left w:val="none" w:sz="0" w:space="0" w:color="auto"/>
        <w:bottom w:val="none" w:sz="0" w:space="0" w:color="auto"/>
        <w:right w:val="none" w:sz="0" w:space="0" w:color="auto"/>
      </w:divBdr>
    </w:div>
    <w:div w:id="215438855">
      <w:bodyDiv w:val="1"/>
      <w:marLeft w:val="0"/>
      <w:marRight w:val="0"/>
      <w:marTop w:val="0"/>
      <w:marBottom w:val="0"/>
      <w:divBdr>
        <w:top w:val="none" w:sz="0" w:space="0" w:color="auto"/>
        <w:left w:val="none" w:sz="0" w:space="0" w:color="auto"/>
        <w:bottom w:val="none" w:sz="0" w:space="0" w:color="auto"/>
        <w:right w:val="none" w:sz="0" w:space="0" w:color="auto"/>
      </w:divBdr>
    </w:div>
    <w:div w:id="228342435">
      <w:bodyDiv w:val="1"/>
      <w:marLeft w:val="0"/>
      <w:marRight w:val="0"/>
      <w:marTop w:val="0"/>
      <w:marBottom w:val="0"/>
      <w:divBdr>
        <w:top w:val="none" w:sz="0" w:space="0" w:color="auto"/>
        <w:left w:val="none" w:sz="0" w:space="0" w:color="auto"/>
        <w:bottom w:val="none" w:sz="0" w:space="0" w:color="auto"/>
        <w:right w:val="none" w:sz="0" w:space="0" w:color="auto"/>
      </w:divBdr>
    </w:div>
    <w:div w:id="228394215">
      <w:bodyDiv w:val="1"/>
      <w:marLeft w:val="0"/>
      <w:marRight w:val="0"/>
      <w:marTop w:val="0"/>
      <w:marBottom w:val="0"/>
      <w:divBdr>
        <w:top w:val="none" w:sz="0" w:space="0" w:color="auto"/>
        <w:left w:val="none" w:sz="0" w:space="0" w:color="auto"/>
        <w:bottom w:val="none" w:sz="0" w:space="0" w:color="auto"/>
        <w:right w:val="none" w:sz="0" w:space="0" w:color="auto"/>
      </w:divBdr>
    </w:div>
    <w:div w:id="245649707">
      <w:bodyDiv w:val="1"/>
      <w:marLeft w:val="0"/>
      <w:marRight w:val="0"/>
      <w:marTop w:val="0"/>
      <w:marBottom w:val="0"/>
      <w:divBdr>
        <w:top w:val="none" w:sz="0" w:space="0" w:color="auto"/>
        <w:left w:val="none" w:sz="0" w:space="0" w:color="auto"/>
        <w:bottom w:val="none" w:sz="0" w:space="0" w:color="auto"/>
        <w:right w:val="none" w:sz="0" w:space="0" w:color="auto"/>
      </w:divBdr>
    </w:div>
    <w:div w:id="249125156">
      <w:bodyDiv w:val="1"/>
      <w:marLeft w:val="0"/>
      <w:marRight w:val="0"/>
      <w:marTop w:val="0"/>
      <w:marBottom w:val="0"/>
      <w:divBdr>
        <w:top w:val="none" w:sz="0" w:space="0" w:color="auto"/>
        <w:left w:val="none" w:sz="0" w:space="0" w:color="auto"/>
        <w:bottom w:val="none" w:sz="0" w:space="0" w:color="auto"/>
        <w:right w:val="none" w:sz="0" w:space="0" w:color="auto"/>
      </w:divBdr>
    </w:div>
    <w:div w:id="253712787">
      <w:bodyDiv w:val="1"/>
      <w:marLeft w:val="0"/>
      <w:marRight w:val="0"/>
      <w:marTop w:val="0"/>
      <w:marBottom w:val="0"/>
      <w:divBdr>
        <w:top w:val="none" w:sz="0" w:space="0" w:color="auto"/>
        <w:left w:val="none" w:sz="0" w:space="0" w:color="auto"/>
        <w:bottom w:val="none" w:sz="0" w:space="0" w:color="auto"/>
        <w:right w:val="none" w:sz="0" w:space="0" w:color="auto"/>
      </w:divBdr>
    </w:div>
    <w:div w:id="259724944">
      <w:bodyDiv w:val="1"/>
      <w:marLeft w:val="0"/>
      <w:marRight w:val="0"/>
      <w:marTop w:val="0"/>
      <w:marBottom w:val="0"/>
      <w:divBdr>
        <w:top w:val="none" w:sz="0" w:space="0" w:color="auto"/>
        <w:left w:val="none" w:sz="0" w:space="0" w:color="auto"/>
        <w:bottom w:val="none" w:sz="0" w:space="0" w:color="auto"/>
        <w:right w:val="none" w:sz="0" w:space="0" w:color="auto"/>
      </w:divBdr>
    </w:div>
    <w:div w:id="271254093">
      <w:bodyDiv w:val="1"/>
      <w:marLeft w:val="0"/>
      <w:marRight w:val="0"/>
      <w:marTop w:val="0"/>
      <w:marBottom w:val="0"/>
      <w:divBdr>
        <w:top w:val="none" w:sz="0" w:space="0" w:color="auto"/>
        <w:left w:val="none" w:sz="0" w:space="0" w:color="auto"/>
        <w:bottom w:val="none" w:sz="0" w:space="0" w:color="auto"/>
        <w:right w:val="none" w:sz="0" w:space="0" w:color="auto"/>
      </w:divBdr>
    </w:div>
    <w:div w:id="271399964">
      <w:bodyDiv w:val="1"/>
      <w:marLeft w:val="0"/>
      <w:marRight w:val="0"/>
      <w:marTop w:val="0"/>
      <w:marBottom w:val="0"/>
      <w:divBdr>
        <w:top w:val="none" w:sz="0" w:space="0" w:color="auto"/>
        <w:left w:val="none" w:sz="0" w:space="0" w:color="auto"/>
        <w:bottom w:val="none" w:sz="0" w:space="0" w:color="auto"/>
        <w:right w:val="none" w:sz="0" w:space="0" w:color="auto"/>
      </w:divBdr>
    </w:div>
    <w:div w:id="273244894">
      <w:bodyDiv w:val="1"/>
      <w:marLeft w:val="0"/>
      <w:marRight w:val="0"/>
      <w:marTop w:val="0"/>
      <w:marBottom w:val="0"/>
      <w:divBdr>
        <w:top w:val="none" w:sz="0" w:space="0" w:color="auto"/>
        <w:left w:val="none" w:sz="0" w:space="0" w:color="auto"/>
        <w:bottom w:val="none" w:sz="0" w:space="0" w:color="auto"/>
        <w:right w:val="none" w:sz="0" w:space="0" w:color="auto"/>
      </w:divBdr>
    </w:div>
    <w:div w:id="298265753">
      <w:bodyDiv w:val="1"/>
      <w:marLeft w:val="0"/>
      <w:marRight w:val="0"/>
      <w:marTop w:val="0"/>
      <w:marBottom w:val="0"/>
      <w:divBdr>
        <w:top w:val="none" w:sz="0" w:space="0" w:color="auto"/>
        <w:left w:val="none" w:sz="0" w:space="0" w:color="auto"/>
        <w:bottom w:val="none" w:sz="0" w:space="0" w:color="auto"/>
        <w:right w:val="none" w:sz="0" w:space="0" w:color="auto"/>
      </w:divBdr>
    </w:div>
    <w:div w:id="311721460">
      <w:bodyDiv w:val="1"/>
      <w:marLeft w:val="0"/>
      <w:marRight w:val="0"/>
      <w:marTop w:val="0"/>
      <w:marBottom w:val="0"/>
      <w:divBdr>
        <w:top w:val="none" w:sz="0" w:space="0" w:color="auto"/>
        <w:left w:val="none" w:sz="0" w:space="0" w:color="auto"/>
        <w:bottom w:val="none" w:sz="0" w:space="0" w:color="auto"/>
        <w:right w:val="none" w:sz="0" w:space="0" w:color="auto"/>
      </w:divBdr>
    </w:div>
    <w:div w:id="312608052">
      <w:bodyDiv w:val="1"/>
      <w:marLeft w:val="0"/>
      <w:marRight w:val="0"/>
      <w:marTop w:val="0"/>
      <w:marBottom w:val="0"/>
      <w:divBdr>
        <w:top w:val="none" w:sz="0" w:space="0" w:color="auto"/>
        <w:left w:val="none" w:sz="0" w:space="0" w:color="auto"/>
        <w:bottom w:val="none" w:sz="0" w:space="0" w:color="auto"/>
        <w:right w:val="none" w:sz="0" w:space="0" w:color="auto"/>
      </w:divBdr>
    </w:div>
    <w:div w:id="312680441">
      <w:bodyDiv w:val="1"/>
      <w:marLeft w:val="0"/>
      <w:marRight w:val="0"/>
      <w:marTop w:val="0"/>
      <w:marBottom w:val="0"/>
      <w:divBdr>
        <w:top w:val="none" w:sz="0" w:space="0" w:color="auto"/>
        <w:left w:val="none" w:sz="0" w:space="0" w:color="auto"/>
        <w:bottom w:val="none" w:sz="0" w:space="0" w:color="auto"/>
        <w:right w:val="none" w:sz="0" w:space="0" w:color="auto"/>
      </w:divBdr>
    </w:div>
    <w:div w:id="315719062">
      <w:bodyDiv w:val="1"/>
      <w:marLeft w:val="0"/>
      <w:marRight w:val="0"/>
      <w:marTop w:val="0"/>
      <w:marBottom w:val="0"/>
      <w:divBdr>
        <w:top w:val="none" w:sz="0" w:space="0" w:color="auto"/>
        <w:left w:val="none" w:sz="0" w:space="0" w:color="auto"/>
        <w:bottom w:val="none" w:sz="0" w:space="0" w:color="auto"/>
        <w:right w:val="none" w:sz="0" w:space="0" w:color="auto"/>
      </w:divBdr>
    </w:div>
    <w:div w:id="319160807">
      <w:bodyDiv w:val="1"/>
      <w:marLeft w:val="0"/>
      <w:marRight w:val="0"/>
      <w:marTop w:val="0"/>
      <w:marBottom w:val="0"/>
      <w:divBdr>
        <w:top w:val="none" w:sz="0" w:space="0" w:color="auto"/>
        <w:left w:val="none" w:sz="0" w:space="0" w:color="auto"/>
        <w:bottom w:val="none" w:sz="0" w:space="0" w:color="auto"/>
        <w:right w:val="none" w:sz="0" w:space="0" w:color="auto"/>
      </w:divBdr>
    </w:div>
    <w:div w:id="324936103">
      <w:bodyDiv w:val="1"/>
      <w:marLeft w:val="0"/>
      <w:marRight w:val="0"/>
      <w:marTop w:val="0"/>
      <w:marBottom w:val="0"/>
      <w:divBdr>
        <w:top w:val="none" w:sz="0" w:space="0" w:color="auto"/>
        <w:left w:val="none" w:sz="0" w:space="0" w:color="auto"/>
        <w:bottom w:val="none" w:sz="0" w:space="0" w:color="auto"/>
        <w:right w:val="none" w:sz="0" w:space="0" w:color="auto"/>
      </w:divBdr>
    </w:div>
    <w:div w:id="328409224">
      <w:bodyDiv w:val="1"/>
      <w:marLeft w:val="0"/>
      <w:marRight w:val="0"/>
      <w:marTop w:val="0"/>
      <w:marBottom w:val="0"/>
      <w:divBdr>
        <w:top w:val="none" w:sz="0" w:space="0" w:color="auto"/>
        <w:left w:val="none" w:sz="0" w:space="0" w:color="auto"/>
        <w:bottom w:val="none" w:sz="0" w:space="0" w:color="auto"/>
        <w:right w:val="none" w:sz="0" w:space="0" w:color="auto"/>
      </w:divBdr>
    </w:div>
    <w:div w:id="345985867">
      <w:bodyDiv w:val="1"/>
      <w:marLeft w:val="0"/>
      <w:marRight w:val="0"/>
      <w:marTop w:val="0"/>
      <w:marBottom w:val="0"/>
      <w:divBdr>
        <w:top w:val="none" w:sz="0" w:space="0" w:color="auto"/>
        <w:left w:val="none" w:sz="0" w:space="0" w:color="auto"/>
        <w:bottom w:val="none" w:sz="0" w:space="0" w:color="auto"/>
        <w:right w:val="none" w:sz="0" w:space="0" w:color="auto"/>
      </w:divBdr>
    </w:div>
    <w:div w:id="354624976">
      <w:bodyDiv w:val="1"/>
      <w:marLeft w:val="0"/>
      <w:marRight w:val="0"/>
      <w:marTop w:val="0"/>
      <w:marBottom w:val="0"/>
      <w:divBdr>
        <w:top w:val="none" w:sz="0" w:space="0" w:color="auto"/>
        <w:left w:val="none" w:sz="0" w:space="0" w:color="auto"/>
        <w:bottom w:val="none" w:sz="0" w:space="0" w:color="auto"/>
        <w:right w:val="none" w:sz="0" w:space="0" w:color="auto"/>
      </w:divBdr>
    </w:div>
    <w:div w:id="358358853">
      <w:bodyDiv w:val="1"/>
      <w:marLeft w:val="0"/>
      <w:marRight w:val="0"/>
      <w:marTop w:val="0"/>
      <w:marBottom w:val="0"/>
      <w:divBdr>
        <w:top w:val="none" w:sz="0" w:space="0" w:color="auto"/>
        <w:left w:val="none" w:sz="0" w:space="0" w:color="auto"/>
        <w:bottom w:val="none" w:sz="0" w:space="0" w:color="auto"/>
        <w:right w:val="none" w:sz="0" w:space="0" w:color="auto"/>
      </w:divBdr>
    </w:div>
    <w:div w:id="372192164">
      <w:bodyDiv w:val="1"/>
      <w:marLeft w:val="0"/>
      <w:marRight w:val="0"/>
      <w:marTop w:val="0"/>
      <w:marBottom w:val="0"/>
      <w:divBdr>
        <w:top w:val="none" w:sz="0" w:space="0" w:color="auto"/>
        <w:left w:val="none" w:sz="0" w:space="0" w:color="auto"/>
        <w:bottom w:val="none" w:sz="0" w:space="0" w:color="auto"/>
        <w:right w:val="none" w:sz="0" w:space="0" w:color="auto"/>
      </w:divBdr>
    </w:div>
    <w:div w:id="375861079">
      <w:bodyDiv w:val="1"/>
      <w:marLeft w:val="0"/>
      <w:marRight w:val="0"/>
      <w:marTop w:val="0"/>
      <w:marBottom w:val="0"/>
      <w:divBdr>
        <w:top w:val="none" w:sz="0" w:space="0" w:color="auto"/>
        <w:left w:val="none" w:sz="0" w:space="0" w:color="auto"/>
        <w:bottom w:val="none" w:sz="0" w:space="0" w:color="auto"/>
        <w:right w:val="none" w:sz="0" w:space="0" w:color="auto"/>
      </w:divBdr>
    </w:div>
    <w:div w:id="377706346">
      <w:bodyDiv w:val="1"/>
      <w:marLeft w:val="0"/>
      <w:marRight w:val="0"/>
      <w:marTop w:val="0"/>
      <w:marBottom w:val="0"/>
      <w:divBdr>
        <w:top w:val="none" w:sz="0" w:space="0" w:color="auto"/>
        <w:left w:val="none" w:sz="0" w:space="0" w:color="auto"/>
        <w:bottom w:val="none" w:sz="0" w:space="0" w:color="auto"/>
        <w:right w:val="none" w:sz="0" w:space="0" w:color="auto"/>
      </w:divBdr>
    </w:div>
    <w:div w:id="380714195">
      <w:bodyDiv w:val="1"/>
      <w:marLeft w:val="0"/>
      <w:marRight w:val="0"/>
      <w:marTop w:val="0"/>
      <w:marBottom w:val="0"/>
      <w:divBdr>
        <w:top w:val="none" w:sz="0" w:space="0" w:color="auto"/>
        <w:left w:val="none" w:sz="0" w:space="0" w:color="auto"/>
        <w:bottom w:val="none" w:sz="0" w:space="0" w:color="auto"/>
        <w:right w:val="none" w:sz="0" w:space="0" w:color="auto"/>
      </w:divBdr>
    </w:div>
    <w:div w:id="406390975">
      <w:bodyDiv w:val="1"/>
      <w:marLeft w:val="0"/>
      <w:marRight w:val="0"/>
      <w:marTop w:val="0"/>
      <w:marBottom w:val="0"/>
      <w:divBdr>
        <w:top w:val="none" w:sz="0" w:space="0" w:color="auto"/>
        <w:left w:val="none" w:sz="0" w:space="0" w:color="auto"/>
        <w:bottom w:val="none" w:sz="0" w:space="0" w:color="auto"/>
        <w:right w:val="none" w:sz="0" w:space="0" w:color="auto"/>
      </w:divBdr>
    </w:div>
    <w:div w:id="424307619">
      <w:bodyDiv w:val="1"/>
      <w:marLeft w:val="0"/>
      <w:marRight w:val="0"/>
      <w:marTop w:val="0"/>
      <w:marBottom w:val="0"/>
      <w:divBdr>
        <w:top w:val="none" w:sz="0" w:space="0" w:color="auto"/>
        <w:left w:val="none" w:sz="0" w:space="0" w:color="auto"/>
        <w:bottom w:val="none" w:sz="0" w:space="0" w:color="auto"/>
        <w:right w:val="none" w:sz="0" w:space="0" w:color="auto"/>
      </w:divBdr>
    </w:div>
    <w:div w:id="429085871">
      <w:bodyDiv w:val="1"/>
      <w:marLeft w:val="0"/>
      <w:marRight w:val="0"/>
      <w:marTop w:val="0"/>
      <w:marBottom w:val="0"/>
      <w:divBdr>
        <w:top w:val="none" w:sz="0" w:space="0" w:color="auto"/>
        <w:left w:val="none" w:sz="0" w:space="0" w:color="auto"/>
        <w:bottom w:val="none" w:sz="0" w:space="0" w:color="auto"/>
        <w:right w:val="none" w:sz="0" w:space="0" w:color="auto"/>
      </w:divBdr>
    </w:div>
    <w:div w:id="433207731">
      <w:bodyDiv w:val="1"/>
      <w:marLeft w:val="0"/>
      <w:marRight w:val="0"/>
      <w:marTop w:val="0"/>
      <w:marBottom w:val="0"/>
      <w:divBdr>
        <w:top w:val="none" w:sz="0" w:space="0" w:color="auto"/>
        <w:left w:val="none" w:sz="0" w:space="0" w:color="auto"/>
        <w:bottom w:val="none" w:sz="0" w:space="0" w:color="auto"/>
        <w:right w:val="none" w:sz="0" w:space="0" w:color="auto"/>
      </w:divBdr>
    </w:div>
    <w:div w:id="442455526">
      <w:bodyDiv w:val="1"/>
      <w:marLeft w:val="0"/>
      <w:marRight w:val="0"/>
      <w:marTop w:val="0"/>
      <w:marBottom w:val="0"/>
      <w:divBdr>
        <w:top w:val="none" w:sz="0" w:space="0" w:color="auto"/>
        <w:left w:val="none" w:sz="0" w:space="0" w:color="auto"/>
        <w:bottom w:val="none" w:sz="0" w:space="0" w:color="auto"/>
        <w:right w:val="none" w:sz="0" w:space="0" w:color="auto"/>
      </w:divBdr>
    </w:div>
    <w:div w:id="450246476">
      <w:bodyDiv w:val="1"/>
      <w:marLeft w:val="0"/>
      <w:marRight w:val="0"/>
      <w:marTop w:val="0"/>
      <w:marBottom w:val="0"/>
      <w:divBdr>
        <w:top w:val="none" w:sz="0" w:space="0" w:color="auto"/>
        <w:left w:val="none" w:sz="0" w:space="0" w:color="auto"/>
        <w:bottom w:val="none" w:sz="0" w:space="0" w:color="auto"/>
        <w:right w:val="none" w:sz="0" w:space="0" w:color="auto"/>
      </w:divBdr>
    </w:div>
    <w:div w:id="454761784">
      <w:bodyDiv w:val="1"/>
      <w:marLeft w:val="0"/>
      <w:marRight w:val="0"/>
      <w:marTop w:val="0"/>
      <w:marBottom w:val="0"/>
      <w:divBdr>
        <w:top w:val="none" w:sz="0" w:space="0" w:color="auto"/>
        <w:left w:val="none" w:sz="0" w:space="0" w:color="auto"/>
        <w:bottom w:val="none" w:sz="0" w:space="0" w:color="auto"/>
        <w:right w:val="none" w:sz="0" w:space="0" w:color="auto"/>
      </w:divBdr>
    </w:div>
    <w:div w:id="456142229">
      <w:bodyDiv w:val="1"/>
      <w:marLeft w:val="0"/>
      <w:marRight w:val="0"/>
      <w:marTop w:val="0"/>
      <w:marBottom w:val="0"/>
      <w:divBdr>
        <w:top w:val="none" w:sz="0" w:space="0" w:color="auto"/>
        <w:left w:val="none" w:sz="0" w:space="0" w:color="auto"/>
        <w:bottom w:val="none" w:sz="0" w:space="0" w:color="auto"/>
        <w:right w:val="none" w:sz="0" w:space="0" w:color="auto"/>
      </w:divBdr>
    </w:div>
    <w:div w:id="457720796">
      <w:bodyDiv w:val="1"/>
      <w:marLeft w:val="0"/>
      <w:marRight w:val="0"/>
      <w:marTop w:val="0"/>
      <w:marBottom w:val="0"/>
      <w:divBdr>
        <w:top w:val="none" w:sz="0" w:space="0" w:color="auto"/>
        <w:left w:val="none" w:sz="0" w:space="0" w:color="auto"/>
        <w:bottom w:val="none" w:sz="0" w:space="0" w:color="auto"/>
        <w:right w:val="none" w:sz="0" w:space="0" w:color="auto"/>
      </w:divBdr>
    </w:div>
    <w:div w:id="507255104">
      <w:bodyDiv w:val="1"/>
      <w:marLeft w:val="0"/>
      <w:marRight w:val="0"/>
      <w:marTop w:val="0"/>
      <w:marBottom w:val="0"/>
      <w:divBdr>
        <w:top w:val="none" w:sz="0" w:space="0" w:color="auto"/>
        <w:left w:val="none" w:sz="0" w:space="0" w:color="auto"/>
        <w:bottom w:val="none" w:sz="0" w:space="0" w:color="auto"/>
        <w:right w:val="none" w:sz="0" w:space="0" w:color="auto"/>
      </w:divBdr>
    </w:div>
    <w:div w:id="511147282">
      <w:bodyDiv w:val="1"/>
      <w:marLeft w:val="0"/>
      <w:marRight w:val="0"/>
      <w:marTop w:val="0"/>
      <w:marBottom w:val="0"/>
      <w:divBdr>
        <w:top w:val="none" w:sz="0" w:space="0" w:color="auto"/>
        <w:left w:val="none" w:sz="0" w:space="0" w:color="auto"/>
        <w:bottom w:val="none" w:sz="0" w:space="0" w:color="auto"/>
        <w:right w:val="none" w:sz="0" w:space="0" w:color="auto"/>
      </w:divBdr>
    </w:div>
    <w:div w:id="516963022">
      <w:bodyDiv w:val="1"/>
      <w:marLeft w:val="0"/>
      <w:marRight w:val="0"/>
      <w:marTop w:val="0"/>
      <w:marBottom w:val="0"/>
      <w:divBdr>
        <w:top w:val="none" w:sz="0" w:space="0" w:color="auto"/>
        <w:left w:val="none" w:sz="0" w:space="0" w:color="auto"/>
        <w:bottom w:val="none" w:sz="0" w:space="0" w:color="auto"/>
        <w:right w:val="none" w:sz="0" w:space="0" w:color="auto"/>
      </w:divBdr>
    </w:div>
    <w:div w:id="519201865">
      <w:bodyDiv w:val="1"/>
      <w:marLeft w:val="0"/>
      <w:marRight w:val="0"/>
      <w:marTop w:val="0"/>
      <w:marBottom w:val="0"/>
      <w:divBdr>
        <w:top w:val="none" w:sz="0" w:space="0" w:color="auto"/>
        <w:left w:val="none" w:sz="0" w:space="0" w:color="auto"/>
        <w:bottom w:val="none" w:sz="0" w:space="0" w:color="auto"/>
        <w:right w:val="none" w:sz="0" w:space="0" w:color="auto"/>
      </w:divBdr>
    </w:div>
    <w:div w:id="529026518">
      <w:bodyDiv w:val="1"/>
      <w:marLeft w:val="0"/>
      <w:marRight w:val="0"/>
      <w:marTop w:val="0"/>
      <w:marBottom w:val="0"/>
      <w:divBdr>
        <w:top w:val="none" w:sz="0" w:space="0" w:color="auto"/>
        <w:left w:val="none" w:sz="0" w:space="0" w:color="auto"/>
        <w:bottom w:val="none" w:sz="0" w:space="0" w:color="auto"/>
        <w:right w:val="none" w:sz="0" w:space="0" w:color="auto"/>
      </w:divBdr>
    </w:div>
    <w:div w:id="529295440">
      <w:bodyDiv w:val="1"/>
      <w:marLeft w:val="0"/>
      <w:marRight w:val="0"/>
      <w:marTop w:val="0"/>
      <w:marBottom w:val="0"/>
      <w:divBdr>
        <w:top w:val="none" w:sz="0" w:space="0" w:color="auto"/>
        <w:left w:val="none" w:sz="0" w:space="0" w:color="auto"/>
        <w:bottom w:val="none" w:sz="0" w:space="0" w:color="auto"/>
        <w:right w:val="none" w:sz="0" w:space="0" w:color="auto"/>
      </w:divBdr>
    </w:div>
    <w:div w:id="532041157">
      <w:bodyDiv w:val="1"/>
      <w:marLeft w:val="0"/>
      <w:marRight w:val="0"/>
      <w:marTop w:val="0"/>
      <w:marBottom w:val="0"/>
      <w:divBdr>
        <w:top w:val="none" w:sz="0" w:space="0" w:color="auto"/>
        <w:left w:val="none" w:sz="0" w:space="0" w:color="auto"/>
        <w:bottom w:val="none" w:sz="0" w:space="0" w:color="auto"/>
        <w:right w:val="none" w:sz="0" w:space="0" w:color="auto"/>
      </w:divBdr>
    </w:div>
    <w:div w:id="532767424">
      <w:bodyDiv w:val="1"/>
      <w:marLeft w:val="0"/>
      <w:marRight w:val="0"/>
      <w:marTop w:val="0"/>
      <w:marBottom w:val="0"/>
      <w:divBdr>
        <w:top w:val="none" w:sz="0" w:space="0" w:color="auto"/>
        <w:left w:val="none" w:sz="0" w:space="0" w:color="auto"/>
        <w:bottom w:val="none" w:sz="0" w:space="0" w:color="auto"/>
        <w:right w:val="none" w:sz="0" w:space="0" w:color="auto"/>
      </w:divBdr>
    </w:div>
    <w:div w:id="535889533">
      <w:bodyDiv w:val="1"/>
      <w:marLeft w:val="0"/>
      <w:marRight w:val="0"/>
      <w:marTop w:val="0"/>
      <w:marBottom w:val="0"/>
      <w:divBdr>
        <w:top w:val="none" w:sz="0" w:space="0" w:color="auto"/>
        <w:left w:val="none" w:sz="0" w:space="0" w:color="auto"/>
        <w:bottom w:val="none" w:sz="0" w:space="0" w:color="auto"/>
        <w:right w:val="none" w:sz="0" w:space="0" w:color="auto"/>
      </w:divBdr>
    </w:div>
    <w:div w:id="536085681">
      <w:bodyDiv w:val="1"/>
      <w:marLeft w:val="0"/>
      <w:marRight w:val="0"/>
      <w:marTop w:val="0"/>
      <w:marBottom w:val="0"/>
      <w:divBdr>
        <w:top w:val="none" w:sz="0" w:space="0" w:color="auto"/>
        <w:left w:val="none" w:sz="0" w:space="0" w:color="auto"/>
        <w:bottom w:val="none" w:sz="0" w:space="0" w:color="auto"/>
        <w:right w:val="none" w:sz="0" w:space="0" w:color="auto"/>
      </w:divBdr>
    </w:div>
    <w:div w:id="537663277">
      <w:bodyDiv w:val="1"/>
      <w:marLeft w:val="0"/>
      <w:marRight w:val="0"/>
      <w:marTop w:val="0"/>
      <w:marBottom w:val="0"/>
      <w:divBdr>
        <w:top w:val="none" w:sz="0" w:space="0" w:color="auto"/>
        <w:left w:val="none" w:sz="0" w:space="0" w:color="auto"/>
        <w:bottom w:val="none" w:sz="0" w:space="0" w:color="auto"/>
        <w:right w:val="none" w:sz="0" w:space="0" w:color="auto"/>
      </w:divBdr>
    </w:div>
    <w:div w:id="540898461">
      <w:bodyDiv w:val="1"/>
      <w:marLeft w:val="0"/>
      <w:marRight w:val="0"/>
      <w:marTop w:val="0"/>
      <w:marBottom w:val="0"/>
      <w:divBdr>
        <w:top w:val="none" w:sz="0" w:space="0" w:color="auto"/>
        <w:left w:val="none" w:sz="0" w:space="0" w:color="auto"/>
        <w:bottom w:val="none" w:sz="0" w:space="0" w:color="auto"/>
        <w:right w:val="none" w:sz="0" w:space="0" w:color="auto"/>
      </w:divBdr>
    </w:div>
    <w:div w:id="550311257">
      <w:bodyDiv w:val="1"/>
      <w:marLeft w:val="0"/>
      <w:marRight w:val="0"/>
      <w:marTop w:val="0"/>
      <w:marBottom w:val="0"/>
      <w:divBdr>
        <w:top w:val="none" w:sz="0" w:space="0" w:color="auto"/>
        <w:left w:val="none" w:sz="0" w:space="0" w:color="auto"/>
        <w:bottom w:val="none" w:sz="0" w:space="0" w:color="auto"/>
        <w:right w:val="none" w:sz="0" w:space="0" w:color="auto"/>
      </w:divBdr>
    </w:div>
    <w:div w:id="556284209">
      <w:bodyDiv w:val="1"/>
      <w:marLeft w:val="0"/>
      <w:marRight w:val="0"/>
      <w:marTop w:val="0"/>
      <w:marBottom w:val="0"/>
      <w:divBdr>
        <w:top w:val="none" w:sz="0" w:space="0" w:color="auto"/>
        <w:left w:val="none" w:sz="0" w:space="0" w:color="auto"/>
        <w:bottom w:val="none" w:sz="0" w:space="0" w:color="auto"/>
        <w:right w:val="none" w:sz="0" w:space="0" w:color="auto"/>
      </w:divBdr>
    </w:div>
    <w:div w:id="560404022">
      <w:bodyDiv w:val="1"/>
      <w:marLeft w:val="0"/>
      <w:marRight w:val="0"/>
      <w:marTop w:val="0"/>
      <w:marBottom w:val="0"/>
      <w:divBdr>
        <w:top w:val="none" w:sz="0" w:space="0" w:color="auto"/>
        <w:left w:val="none" w:sz="0" w:space="0" w:color="auto"/>
        <w:bottom w:val="none" w:sz="0" w:space="0" w:color="auto"/>
        <w:right w:val="none" w:sz="0" w:space="0" w:color="auto"/>
      </w:divBdr>
    </w:div>
    <w:div w:id="561795505">
      <w:bodyDiv w:val="1"/>
      <w:marLeft w:val="0"/>
      <w:marRight w:val="0"/>
      <w:marTop w:val="0"/>
      <w:marBottom w:val="0"/>
      <w:divBdr>
        <w:top w:val="none" w:sz="0" w:space="0" w:color="auto"/>
        <w:left w:val="none" w:sz="0" w:space="0" w:color="auto"/>
        <w:bottom w:val="none" w:sz="0" w:space="0" w:color="auto"/>
        <w:right w:val="none" w:sz="0" w:space="0" w:color="auto"/>
      </w:divBdr>
    </w:div>
    <w:div w:id="562567310">
      <w:bodyDiv w:val="1"/>
      <w:marLeft w:val="0"/>
      <w:marRight w:val="0"/>
      <w:marTop w:val="0"/>
      <w:marBottom w:val="0"/>
      <w:divBdr>
        <w:top w:val="none" w:sz="0" w:space="0" w:color="auto"/>
        <w:left w:val="none" w:sz="0" w:space="0" w:color="auto"/>
        <w:bottom w:val="none" w:sz="0" w:space="0" w:color="auto"/>
        <w:right w:val="none" w:sz="0" w:space="0" w:color="auto"/>
      </w:divBdr>
    </w:div>
    <w:div w:id="565654404">
      <w:bodyDiv w:val="1"/>
      <w:marLeft w:val="0"/>
      <w:marRight w:val="0"/>
      <w:marTop w:val="0"/>
      <w:marBottom w:val="0"/>
      <w:divBdr>
        <w:top w:val="none" w:sz="0" w:space="0" w:color="auto"/>
        <w:left w:val="none" w:sz="0" w:space="0" w:color="auto"/>
        <w:bottom w:val="none" w:sz="0" w:space="0" w:color="auto"/>
        <w:right w:val="none" w:sz="0" w:space="0" w:color="auto"/>
      </w:divBdr>
    </w:div>
    <w:div w:id="566260215">
      <w:bodyDiv w:val="1"/>
      <w:marLeft w:val="0"/>
      <w:marRight w:val="0"/>
      <w:marTop w:val="0"/>
      <w:marBottom w:val="0"/>
      <w:divBdr>
        <w:top w:val="none" w:sz="0" w:space="0" w:color="auto"/>
        <w:left w:val="none" w:sz="0" w:space="0" w:color="auto"/>
        <w:bottom w:val="none" w:sz="0" w:space="0" w:color="auto"/>
        <w:right w:val="none" w:sz="0" w:space="0" w:color="auto"/>
      </w:divBdr>
    </w:div>
    <w:div w:id="569538068">
      <w:bodyDiv w:val="1"/>
      <w:marLeft w:val="0"/>
      <w:marRight w:val="0"/>
      <w:marTop w:val="0"/>
      <w:marBottom w:val="0"/>
      <w:divBdr>
        <w:top w:val="none" w:sz="0" w:space="0" w:color="auto"/>
        <w:left w:val="none" w:sz="0" w:space="0" w:color="auto"/>
        <w:bottom w:val="none" w:sz="0" w:space="0" w:color="auto"/>
        <w:right w:val="none" w:sz="0" w:space="0" w:color="auto"/>
      </w:divBdr>
    </w:div>
    <w:div w:id="572589211">
      <w:bodyDiv w:val="1"/>
      <w:marLeft w:val="0"/>
      <w:marRight w:val="0"/>
      <w:marTop w:val="0"/>
      <w:marBottom w:val="0"/>
      <w:divBdr>
        <w:top w:val="none" w:sz="0" w:space="0" w:color="auto"/>
        <w:left w:val="none" w:sz="0" w:space="0" w:color="auto"/>
        <w:bottom w:val="none" w:sz="0" w:space="0" w:color="auto"/>
        <w:right w:val="none" w:sz="0" w:space="0" w:color="auto"/>
      </w:divBdr>
    </w:div>
    <w:div w:id="572810632">
      <w:bodyDiv w:val="1"/>
      <w:marLeft w:val="0"/>
      <w:marRight w:val="0"/>
      <w:marTop w:val="0"/>
      <w:marBottom w:val="0"/>
      <w:divBdr>
        <w:top w:val="none" w:sz="0" w:space="0" w:color="auto"/>
        <w:left w:val="none" w:sz="0" w:space="0" w:color="auto"/>
        <w:bottom w:val="none" w:sz="0" w:space="0" w:color="auto"/>
        <w:right w:val="none" w:sz="0" w:space="0" w:color="auto"/>
      </w:divBdr>
    </w:div>
    <w:div w:id="574365844">
      <w:bodyDiv w:val="1"/>
      <w:marLeft w:val="0"/>
      <w:marRight w:val="0"/>
      <w:marTop w:val="0"/>
      <w:marBottom w:val="0"/>
      <w:divBdr>
        <w:top w:val="none" w:sz="0" w:space="0" w:color="auto"/>
        <w:left w:val="none" w:sz="0" w:space="0" w:color="auto"/>
        <w:bottom w:val="none" w:sz="0" w:space="0" w:color="auto"/>
        <w:right w:val="none" w:sz="0" w:space="0" w:color="auto"/>
      </w:divBdr>
    </w:div>
    <w:div w:id="575867113">
      <w:bodyDiv w:val="1"/>
      <w:marLeft w:val="0"/>
      <w:marRight w:val="0"/>
      <w:marTop w:val="0"/>
      <w:marBottom w:val="0"/>
      <w:divBdr>
        <w:top w:val="none" w:sz="0" w:space="0" w:color="auto"/>
        <w:left w:val="none" w:sz="0" w:space="0" w:color="auto"/>
        <w:bottom w:val="none" w:sz="0" w:space="0" w:color="auto"/>
        <w:right w:val="none" w:sz="0" w:space="0" w:color="auto"/>
      </w:divBdr>
    </w:div>
    <w:div w:id="576091086">
      <w:bodyDiv w:val="1"/>
      <w:marLeft w:val="0"/>
      <w:marRight w:val="0"/>
      <w:marTop w:val="0"/>
      <w:marBottom w:val="0"/>
      <w:divBdr>
        <w:top w:val="none" w:sz="0" w:space="0" w:color="auto"/>
        <w:left w:val="none" w:sz="0" w:space="0" w:color="auto"/>
        <w:bottom w:val="none" w:sz="0" w:space="0" w:color="auto"/>
        <w:right w:val="none" w:sz="0" w:space="0" w:color="auto"/>
      </w:divBdr>
    </w:div>
    <w:div w:id="582642991">
      <w:bodyDiv w:val="1"/>
      <w:marLeft w:val="0"/>
      <w:marRight w:val="0"/>
      <w:marTop w:val="0"/>
      <w:marBottom w:val="0"/>
      <w:divBdr>
        <w:top w:val="none" w:sz="0" w:space="0" w:color="auto"/>
        <w:left w:val="none" w:sz="0" w:space="0" w:color="auto"/>
        <w:bottom w:val="none" w:sz="0" w:space="0" w:color="auto"/>
        <w:right w:val="none" w:sz="0" w:space="0" w:color="auto"/>
      </w:divBdr>
    </w:div>
    <w:div w:id="583801764">
      <w:bodyDiv w:val="1"/>
      <w:marLeft w:val="0"/>
      <w:marRight w:val="0"/>
      <w:marTop w:val="0"/>
      <w:marBottom w:val="0"/>
      <w:divBdr>
        <w:top w:val="none" w:sz="0" w:space="0" w:color="auto"/>
        <w:left w:val="none" w:sz="0" w:space="0" w:color="auto"/>
        <w:bottom w:val="none" w:sz="0" w:space="0" w:color="auto"/>
        <w:right w:val="none" w:sz="0" w:space="0" w:color="auto"/>
      </w:divBdr>
    </w:div>
    <w:div w:id="585069364">
      <w:bodyDiv w:val="1"/>
      <w:marLeft w:val="0"/>
      <w:marRight w:val="0"/>
      <w:marTop w:val="0"/>
      <w:marBottom w:val="0"/>
      <w:divBdr>
        <w:top w:val="none" w:sz="0" w:space="0" w:color="auto"/>
        <w:left w:val="none" w:sz="0" w:space="0" w:color="auto"/>
        <w:bottom w:val="none" w:sz="0" w:space="0" w:color="auto"/>
        <w:right w:val="none" w:sz="0" w:space="0" w:color="auto"/>
      </w:divBdr>
    </w:div>
    <w:div w:id="587272426">
      <w:bodyDiv w:val="1"/>
      <w:marLeft w:val="0"/>
      <w:marRight w:val="0"/>
      <w:marTop w:val="0"/>
      <w:marBottom w:val="0"/>
      <w:divBdr>
        <w:top w:val="none" w:sz="0" w:space="0" w:color="auto"/>
        <w:left w:val="none" w:sz="0" w:space="0" w:color="auto"/>
        <w:bottom w:val="none" w:sz="0" w:space="0" w:color="auto"/>
        <w:right w:val="none" w:sz="0" w:space="0" w:color="auto"/>
      </w:divBdr>
    </w:div>
    <w:div w:id="587882889">
      <w:bodyDiv w:val="1"/>
      <w:marLeft w:val="0"/>
      <w:marRight w:val="0"/>
      <w:marTop w:val="0"/>
      <w:marBottom w:val="0"/>
      <w:divBdr>
        <w:top w:val="none" w:sz="0" w:space="0" w:color="auto"/>
        <w:left w:val="none" w:sz="0" w:space="0" w:color="auto"/>
        <w:bottom w:val="none" w:sz="0" w:space="0" w:color="auto"/>
        <w:right w:val="none" w:sz="0" w:space="0" w:color="auto"/>
      </w:divBdr>
    </w:div>
    <w:div w:id="588319623">
      <w:bodyDiv w:val="1"/>
      <w:marLeft w:val="0"/>
      <w:marRight w:val="0"/>
      <w:marTop w:val="0"/>
      <w:marBottom w:val="0"/>
      <w:divBdr>
        <w:top w:val="none" w:sz="0" w:space="0" w:color="auto"/>
        <w:left w:val="none" w:sz="0" w:space="0" w:color="auto"/>
        <w:bottom w:val="none" w:sz="0" w:space="0" w:color="auto"/>
        <w:right w:val="none" w:sz="0" w:space="0" w:color="auto"/>
      </w:divBdr>
    </w:div>
    <w:div w:id="588735324">
      <w:bodyDiv w:val="1"/>
      <w:marLeft w:val="0"/>
      <w:marRight w:val="0"/>
      <w:marTop w:val="0"/>
      <w:marBottom w:val="0"/>
      <w:divBdr>
        <w:top w:val="none" w:sz="0" w:space="0" w:color="auto"/>
        <w:left w:val="none" w:sz="0" w:space="0" w:color="auto"/>
        <w:bottom w:val="none" w:sz="0" w:space="0" w:color="auto"/>
        <w:right w:val="none" w:sz="0" w:space="0" w:color="auto"/>
      </w:divBdr>
    </w:div>
    <w:div w:id="592514366">
      <w:bodyDiv w:val="1"/>
      <w:marLeft w:val="0"/>
      <w:marRight w:val="0"/>
      <w:marTop w:val="0"/>
      <w:marBottom w:val="0"/>
      <w:divBdr>
        <w:top w:val="none" w:sz="0" w:space="0" w:color="auto"/>
        <w:left w:val="none" w:sz="0" w:space="0" w:color="auto"/>
        <w:bottom w:val="none" w:sz="0" w:space="0" w:color="auto"/>
        <w:right w:val="none" w:sz="0" w:space="0" w:color="auto"/>
      </w:divBdr>
    </w:div>
    <w:div w:id="597639846">
      <w:bodyDiv w:val="1"/>
      <w:marLeft w:val="0"/>
      <w:marRight w:val="0"/>
      <w:marTop w:val="0"/>
      <w:marBottom w:val="0"/>
      <w:divBdr>
        <w:top w:val="none" w:sz="0" w:space="0" w:color="auto"/>
        <w:left w:val="none" w:sz="0" w:space="0" w:color="auto"/>
        <w:bottom w:val="none" w:sz="0" w:space="0" w:color="auto"/>
        <w:right w:val="none" w:sz="0" w:space="0" w:color="auto"/>
      </w:divBdr>
    </w:div>
    <w:div w:id="616183311">
      <w:bodyDiv w:val="1"/>
      <w:marLeft w:val="0"/>
      <w:marRight w:val="0"/>
      <w:marTop w:val="0"/>
      <w:marBottom w:val="0"/>
      <w:divBdr>
        <w:top w:val="none" w:sz="0" w:space="0" w:color="auto"/>
        <w:left w:val="none" w:sz="0" w:space="0" w:color="auto"/>
        <w:bottom w:val="none" w:sz="0" w:space="0" w:color="auto"/>
        <w:right w:val="none" w:sz="0" w:space="0" w:color="auto"/>
      </w:divBdr>
    </w:div>
    <w:div w:id="620576407">
      <w:bodyDiv w:val="1"/>
      <w:marLeft w:val="0"/>
      <w:marRight w:val="0"/>
      <w:marTop w:val="0"/>
      <w:marBottom w:val="0"/>
      <w:divBdr>
        <w:top w:val="none" w:sz="0" w:space="0" w:color="auto"/>
        <w:left w:val="none" w:sz="0" w:space="0" w:color="auto"/>
        <w:bottom w:val="none" w:sz="0" w:space="0" w:color="auto"/>
        <w:right w:val="none" w:sz="0" w:space="0" w:color="auto"/>
      </w:divBdr>
    </w:div>
    <w:div w:id="623775263">
      <w:bodyDiv w:val="1"/>
      <w:marLeft w:val="0"/>
      <w:marRight w:val="0"/>
      <w:marTop w:val="0"/>
      <w:marBottom w:val="0"/>
      <w:divBdr>
        <w:top w:val="none" w:sz="0" w:space="0" w:color="auto"/>
        <w:left w:val="none" w:sz="0" w:space="0" w:color="auto"/>
        <w:bottom w:val="none" w:sz="0" w:space="0" w:color="auto"/>
        <w:right w:val="none" w:sz="0" w:space="0" w:color="auto"/>
      </w:divBdr>
    </w:div>
    <w:div w:id="624317043">
      <w:bodyDiv w:val="1"/>
      <w:marLeft w:val="0"/>
      <w:marRight w:val="0"/>
      <w:marTop w:val="0"/>
      <w:marBottom w:val="0"/>
      <w:divBdr>
        <w:top w:val="none" w:sz="0" w:space="0" w:color="auto"/>
        <w:left w:val="none" w:sz="0" w:space="0" w:color="auto"/>
        <w:bottom w:val="none" w:sz="0" w:space="0" w:color="auto"/>
        <w:right w:val="none" w:sz="0" w:space="0" w:color="auto"/>
      </w:divBdr>
    </w:div>
    <w:div w:id="627781867">
      <w:bodyDiv w:val="1"/>
      <w:marLeft w:val="0"/>
      <w:marRight w:val="0"/>
      <w:marTop w:val="0"/>
      <w:marBottom w:val="0"/>
      <w:divBdr>
        <w:top w:val="none" w:sz="0" w:space="0" w:color="auto"/>
        <w:left w:val="none" w:sz="0" w:space="0" w:color="auto"/>
        <w:bottom w:val="none" w:sz="0" w:space="0" w:color="auto"/>
        <w:right w:val="none" w:sz="0" w:space="0" w:color="auto"/>
      </w:divBdr>
    </w:div>
    <w:div w:id="630208623">
      <w:bodyDiv w:val="1"/>
      <w:marLeft w:val="0"/>
      <w:marRight w:val="0"/>
      <w:marTop w:val="0"/>
      <w:marBottom w:val="0"/>
      <w:divBdr>
        <w:top w:val="none" w:sz="0" w:space="0" w:color="auto"/>
        <w:left w:val="none" w:sz="0" w:space="0" w:color="auto"/>
        <w:bottom w:val="none" w:sz="0" w:space="0" w:color="auto"/>
        <w:right w:val="none" w:sz="0" w:space="0" w:color="auto"/>
      </w:divBdr>
    </w:div>
    <w:div w:id="649797052">
      <w:bodyDiv w:val="1"/>
      <w:marLeft w:val="0"/>
      <w:marRight w:val="0"/>
      <w:marTop w:val="0"/>
      <w:marBottom w:val="0"/>
      <w:divBdr>
        <w:top w:val="none" w:sz="0" w:space="0" w:color="auto"/>
        <w:left w:val="none" w:sz="0" w:space="0" w:color="auto"/>
        <w:bottom w:val="none" w:sz="0" w:space="0" w:color="auto"/>
        <w:right w:val="none" w:sz="0" w:space="0" w:color="auto"/>
      </w:divBdr>
    </w:div>
    <w:div w:id="651639807">
      <w:bodyDiv w:val="1"/>
      <w:marLeft w:val="0"/>
      <w:marRight w:val="0"/>
      <w:marTop w:val="0"/>
      <w:marBottom w:val="0"/>
      <w:divBdr>
        <w:top w:val="none" w:sz="0" w:space="0" w:color="auto"/>
        <w:left w:val="none" w:sz="0" w:space="0" w:color="auto"/>
        <w:bottom w:val="none" w:sz="0" w:space="0" w:color="auto"/>
        <w:right w:val="none" w:sz="0" w:space="0" w:color="auto"/>
      </w:divBdr>
    </w:div>
    <w:div w:id="653460690">
      <w:bodyDiv w:val="1"/>
      <w:marLeft w:val="0"/>
      <w:marRight w:val="0"/>
      <w:marTop w:val="0"/>
      <w:marBottom w:val="0"/>
      <w:divBdr>
        <w:top w:val="none" w:sz="0" w:space="0" w:color="auto"/>
        <w:left w:val="none" w:sz="0" w:space="0" w:color="auto"/>
        <w:bottom w:val="none" w:sz="0" w:space="0" w:color="auto"/>
        <w:right w:val="none" w:sz="0" w:space="0" w:color="auto"/>
      </w:divBdr>
    </w:div>
    <w:div w:id="658198105">
      <w:bodyDiv w:val="1"/>
      <w:marLeft w:val="0"/>
      <w:marRight w:val="0"/>
      <w:marTop w:val="0"/>
      <w:marBottom w:val="0"/>
      <w:divBdr>
        <w:top w:val="none" w:sz="0" w:space="0" w:color="auto"/>
        <w:left w:val="none" w:sz="0" w:space="0" w:color="auto"/>
        <w:bottom w:val="none" w:sz="0" w:space="0" w:color="auto"/>
        <w:right w:val="none" w:sz="0" w:space="0" w:color="auto"/>
      </w:divBdr>
    </w:div>
    <w:div w:id="667174020">
      <w:bodyDiv w:val="1"/>
      <w:marLeft w:val="0"/>
      <w:marRight w:val="0"/>
      <w:marTop w:val="0"/>
      <w:marBottom w:val="0"/>
      <w:divBdr>
        <w:top w:val="none" w:sz="0" w:space="0" w:color="auto"/>
        <w:left w:val="none" w:sz="0" w:space="0" w:color="auto"/>
        <w:bottom w:val="none" w:sz="0" w:space="0" w:color="auto"/>
        <w:right w:val="none" w:sz="0" w:space="0" w:color="auto"/>
      </w:divBdr>
    </w:div>
    <w:div w:id="668868267">
      <w:bodyDiv w:val="1"/>
      <w:marLeft w:val="0"/>
      <w:marRight w:val="0"/>
      <w:marTop w:val="0"/>
      <w:marBottom w:val="0"/>
      <w:divBdr>
        <w:top w:val="none" w:sz="0" w:space="0" w:color="auto"/>
        <w:left w:val="none" w:sz="0" w:space="0" w:color="auto"/>
        <w:bottom w:val="none" w:sz="0" w:space="0" w:color="auto"/>
        <w:right w:val="none" w:sz="0" w:space="0" w:color="auto"/>
      </w:divBdr>
    </w:div>
    <w:div w:id="670302407">
      <w:bodyDiv w:val="1"/>
      <w:marLeft w:val="0"/>
      <w:marRight w:val="0"/>
      <w:marTop w:val="0"/>
      <w:marBottom w:val="0"/>
      <w:divBdr>
        <w:top w:val="none" w:sz="0" w:space="0" w:color="auto"/>
        <w:left w:val="none" w:sz="0" w:space="0" w:color="auto"/>
        <w:bottom w:val="none" w:sz="0" w:space="0" w:color="auto"/>
        <w:right w:val="none" w:sz="0" w:space="0" w:color="auto"/>
      </w:divBdr>
    </w:div>
    <w:div w:id="672532095">
      <w:bodyDiv w:val="1"/>
      <w:marLeft w:val="0"/>
      <w:marRight w:val="0"/>
      <w:marTop w:val="0"/>
      <w:marBottom w:val="0"/>
      <w:divBdr>
        <w:top w:val="none" w:sz="0" w:space="0" w:color="auto"/>
        <w:left w:val="none" w:sz="0" w:space="0" w:color="auto"/>
        <w:bottom w:val="none" w:sz="0" w:space="0" w:color="auto"/>
        <w:right w:val="none" w:sz="0" w:space="0" w:color="auto"/>
      </w:divBdr>
    </w:div>
    <w:div w:id="676008605">
      <w:bodyDiv w:val="1"/>
      <w:marLeft w:val="0"/>
      <w:marRight w:val="0"/>
      <w:marTop w:val="0"/>
      <w:marBottom w:val="0"/>
      <w:divBdr>
        <w:top w:val="none" w:sz="0" w:space="0" w:color="auto"/>
        <w:left w:val="none" w:sz="0" w:space="0" w:color="auto"/>
        <w:bottom w:val="none" w:sz="0" w:space="0" w:color="auto"/>
        <w:right w:val="none" w:sz="0" w:space="0" w:color="auto"/>
      </w:divBdr>
    </w:div>
    <w:div w:id="677081439">
      <w:bodyDiv w:val="1"/>
      <w:marLeft w:val="0"/>
      <w:marRight w:val="0"/>
      <w:marTop w:val="0"/>
      <w:marBottom w:val="0"/>
      <w:divBdr>
        <w:top w:val="none" w:sz="0" w:space="0" w:color="auto"/>
        <w:left w:val="none" w:sz="0" w:space="0" w:color="auto"/>
        <w:bottom w:val="none" w:sz="0" w:space="0" w:color="auto"/>
        <w:right w:val="none" w:sz="0" w:space="0" w:color="auto"/>
      </w:divBdr>
    </w:div>
    <w:div w:id="693504680">
      <w:bodyDiv w:val="1"/>
      <w:marLeft w:val="0"/>
      <w:marRight w:val="0"/>
      <w:marTop w:val="0"/>
      <w:marBottom w:val="0"/>
      <w:divBdr>
        <w:top w:val="none" w:sz="0" w:space="0" w:color="auto"/>
        <w:left w:val="none" w:sz="0" w:space="0" w:color="auto"/>
        <w:bottom w:val="none" w:sz="0" w:space="0" w:color="auto"/>
        <w:right w:val="none" w:sz="0" w:space="0" w:color="auto"/>
      </w:divBdr>
    </w:div>
    <w:div w:id="694041979">
      <w:bodyDiv w:val="1"/>
      <w:marLeft w:val="0"/>
      <w:marRight w:val="0"/>
      <w:marTop w:val="0"/>
      <w:marBottom w:val="0"/>
      <w:divBdr>
        <w:top w:val="none" w:sz="0" w:space="0" w:color="auto"/>
        <w:left w:val="none" w:sz="0" w:space="0" w:color="auto"/>
        <w:bottom w:val="none" w:sz="0" w:space="0" w:color="auto"/>
        <w:right w:val="none" w:sz="0" w:space="0" w:color="auto"/>
      </w:divBdr>
    </w:div>
    <w:div w:id="699354179">
      <w:bodyDiv w:val="1"/>
      <w:marLeft w:val="0"/>
      <w:marRight w:val="0"/>
      <w:marTop w:val="0"/>
      <w:marBottom w:val="0"/>
      <w:divBdr>
        <w:top w:val="none" w:sz="0" w:space="0" w:color="auto"/>
        <w:left w:val="none" w:sz="0" w:space="0" w:color="auto"/>
        <w:bottom w:val="none" w:sz="0" w:space="0" w:color="auto"/>
        <w:right w:val="none" w:sz="0" w:space="0" w:color="auto"/>
      </w:divBdr>
    </w:div>
    <w:div w:id="705519227">
      <w:bodyDiv w:val="1"/>
      <w:marLeft w:val="0"/>
      <w:marRight w:val="0"/>
      <w:marTop w:val="0"/>
      <w:marBottom w:val="0"/>
      <w:divBdr>
        <w:top w:val="none" w:sz="0" w:space="0" w:color="auto"/>
        <w:left w:val="none" w:sz="0" w:space="0" w:color="auto"/>
        <w:bottom w:val="none" w:sz="0" w:space="0" w:color="auto"/>
        <w:right w:val="none" w:sz="0" w:space="0" w:color="auto"/>
      </w:divBdr>
    </w:div>
    <w:div w:id="707031572">
      <w:bodyDiv w:val="1"/>
      <w:marLeft w:val="0"/>
      <w:marRight w:val="0"/>
      <w:marTop w:val="0"/>
      <w:marBottom w:val="0"/>
      <w:divBdr>
        <w:top w:val="none" w:sz="0" w:space="0" w:color="auto"/>
        <w:left w:val="none" w:sz="0" w:space="0" w:color="auto"/>
        <w:bottom w:val="none" w:sz="0" w:space="0" w:color="auto"/>
        <w:right w:val="none" w:sz="0" w:space="0" w:color="auto"/>
      </w:divBdr>
    </w:div>
    <w:div w:id="708069807">
      <w:bodyDiv w:val="1"/>
      <w:marLeft w:val="0"/>
      <w:marRight w:val="0"/>
      <w:marTop w:val="0"/>
      <w:marBottom w:val="0"/>
      <w:divBdr>
        <w:top w:val="none" w:sz="0" w:space="0" w:color="auto"/>
        <w:left w:val="none" w:sz="0" w:space="0" w:color="auto"/>
        <w:bottom w:val="none" w:sz="0" w:space="0" w:color="auto"/>
        <w:right w:val="none" w:sz="0" w:space="0" w:color="auto"/>
      </w:divBdr>
    </w:div>
    <w:div w:id="724069012">
      <w:bodyDiv w:val="1"/>
      <w:marLeft w:val="0"/>
      <w:marRight w:val="0"/>
      <w:marTop w:val="0"/>
      <w:marBottom w:val="0"/>
      <w:divBdr>
        <w:top w:val="none" w:sz="0" w:space="0" w:color="auto"/>
        <w:left w:val="none" w:sz="0" w:space="0" w:color="auto"/>
        <w:bottom w:val="none" w:sz="0" w:space="0" w:color="auto"/>
        <w:right w:val="none" w:sz="0" w:space="0" w:color="auto"/>
      </w:divBdr>
    </w:div>
    <w:div w:id="735007264">
      <w:bodyDiv w:val="1"/>
      <w:marLeft w:val="0"/>
      <w:marRight w:val="0"/>
      <w:marTop w:val="0"/>
      <w:marBottom w:val="0"/>
      <w:divBdr>
        <w:top w:val="none" w:sz="0" w:space="0" w:color="auto"/>
        <w:left w:val="none" w:sz="0" w:space="0" w:color="auto"/>
        <w:bottom w:val="none" w:sz="0" w:space="0" w:color="auto"/>
        <w:right w:val="none" w:sz="0" w:space="0" w:color="auto"/>
      </w:divBdr>
    </w:div>
    <w:div w:id="738673669">
      <w:bodyDiv w:val="1"/>
      <w:marLeft w:val="0"/>
      <w:marRight w:val="0"/>
      <w:marTop w:val="0"/>
      <w:marBottom w:val="0"/>
      <w:divBdr>
        <w:top w:val="none" w:sz="0" w:space="0" w:color="auto"/>
        <w:left w:val="none" w:sz="0" w:space="0" w:color="auto"/>
        <w:bottom w:val="none" w:sz="0" w:space="0" w:color="auto"/>
        <w:right w:val="none" w:sz="0" w:space="0" w:color="auto"/>
      </w:divBdr>
    </w:div>
    <w:div w:id="738751616">
      <w:bodyDiv w:val="1"/>
      <w:marLeft w:val="0"/>
      <w:marRight w:val="0"/>
      <w:marTop w:val="0"/>
      <w:marBottom w:val="0"/>
      <w:divBdr>
        <w:top w:val="none" w:sz="0" w:space="0" w:color="auto"/>
        <w:left w:val="none" w:sz="0" w:space="0" w:color="auto"/>
        <w:bottom w:val="none" w:sz="0" w:space="0" w:color="auto"/>
        <w:right w:val="none" w:sz="0" w:space="0" w:color="auto"/>
      </w:divBdr>
    </w:div>
    <w:div w:id="741371161">
      <w:bodyDiv w:val="1"/>
      <w:marLeft w:val="0"/>
      <w:marRight w:val="0"/>
      <w:marTop w:val="0"/>
      <w:marBottom w:val="0"/>
      <w:divBdr>
        <w:top w:val="none" w:sz="0" w:space="0" w:color="auto"/>
        <w:left w:val="none" w:sz="0" w:space="0" w:color="auto"/>
        <w:bottom w:val="none" w:sz="0" w:space="0" w:color="auto"/>
        <w:right w:val="none" w:sz="0" w:space="0" w:color="auto"/>
      </w:divBdr>
    </w:div>
    <w:div w:id="744841704">
      <w:bodyDiv w:val="1"/>
      <w:marLeft w:val="0"/>
      <w:marRight w:val="0"/>
      <w:marTop w:val="0"/>
      <w:marBottom w:val="0"/>
      <w:divBdr>
        <w:top w:val="none" w:sz="0" w:space="0" w:color="auto"/>
        <w:left w:val="none" w:sz="0" w:space="0" w:color="auto"/>
        <w:bottom w:val="none" w:sz="0" w:space="0" w:color="auto"/>
        <w:right w:val="none" w:sz="0" w:space="0" w:color="auto"/>
      </w:divBdr>
    </w:div>
    <w:div w:id="749546577">
      <w:bodyDiv w:val="1"/>
      <w:marLeft w:val="0"/>
      <w:marRight w:val="0"/>
      <w:marTop w:val="0"/>
      <w:marBottom w:val="0"/>
      <w:divBdr>
        <w:top w:val="none" w:sz="0" w:space="0" w:color="auto"/>
        <w:left w:val="none" w:sz="0" w:space="0" w:color="auto"/>
        <w:bottom w:val="none" w:sz="0" w:space="0" w:color="auto"/>
        <w:right w:val="none" w:sz="0" w:space="0" w:color="auto"/>
      </w:divBdr>
    </w:div>
    <w:div w:id="756295409">
      <w:bodyDiv w:val="1"/>
      <w:marLeft w:val="0"/>
      <w:marRight w:val="0"/>
      <w:marTop w:val="0"/>
      <w:marBottom w:val="0"/>
      <w:divBdr>
        <w:top w:val="none" w:sz="0" w:space="0" w:color="auto"/>
        <w:left w:val="none" w:sz="0" w:space="0" w:color="auto"/>
        <w:bottom w:val="none" w:sz="0" w:space="0" w:color="auto"/>
        <w:right w:val="none" w:sz="0" w:space="0" w:color="auto"/>
      </w:divBdr>
    </w:div>
    <w:div w:id="757022858">
      <w:bodyDiv w:val="1"/>
      <w:marLeft w:val="0"/>
      <w:marRight w:val="0"/>
      <w:marTop w:val="0"/>
      <w:marBottom w:val="0"/>
      <w:divBdr>
        <w:top w:val="none" w:sz="0" w:space="0" w:color="auto"/>
        <w:left w:val="none" w:sz="0" w:space="0" w:color="auto"/>
        <w:bottom w:val="none" w:sz="0" w:space="0" w:color="auto"/>
        <w:right w:val="none" w:sz="0" w:space="0" w:color="auto"/>
      </w:divBdr>
    </w:div>
    <w:div w:id="758601704">
      <w:bodyDiv w:val="1"/>
      <w:marLeft w:val="0"/>
      <w:marRight w:val="0"/>
      <w:marTop w:val="0"/>
      <w:marBottom w:val="0"/>
      <w:divBdr>
        <w:top w:val="none" w:sz="0" w:space="0" w:color="auto"/>
        <w:left w:val="none" w:sz="0" w:space="0" w:color="auto"/>
        <w:bottom w:val="none" w:sz="0" w:space="0" w:color="auto"/>
        <w:right w:val="none" w:sz="0" w:space="0" w:color="auto"/>
      </w:divBdr>
    </w:div>
    <w:div w:id="764687317">
      <w:bodyDiv w:val="1"/>
      <w:marLeft w:val="0"/>
      <w:marRight w:val="0"/>
      <w:marTop w:val="0"/>
      <w:marBottom w:val="0"/>
      <w:divBdr>
        <w:top w:val="none" w:sz="0" w:space="0" w:color="auto"/>
        <w:left w:val="none" w:sz="0" w:space="0" w:color="auto"/>
        <w:bottom w:val="none" w:sz="0" w:space="0" w:color="auto"/>
        <w:right w:val="none" w:sz="0" w:space="0" w:color="auto"/>
      </w:divBdr>
    </w:div>
    <w:div w:id="773481913">
      <w:bodyDiv w:val="1"/>
      <w:marLeft w:val="0"/>
      <w:marRight w:val="0"/>
      <w:marTop w:val="0"/>
      <w:marBottom w:val="0"/>
      <w:divBdr>
        <w:top w:val="none" w:sz="0" w:space="0" w:color="auto"/>
        <w:left w:val="none" w:sz="0" w:space="0" w:color="auto"/>
        <w:bottom w:val="none" w:sz="0" w:space="0" w:color="auto"/>
        <w:right w:val="none" w:sz="0" w:space="0" w:color="auto"/>
      </w:divBdr>
    </w:div>
    <w:div w:id="774592761">
      <w:bodyDiv w:val="1"/>
      <w:marLeft w:val="0"/>
      <w:marRight w:val="0"/>
      <w:marTop w:val="0"/>
      <w:marBottom w:val="0"/>
      <w:divBdr>
        <w:top w:val="none" w:sz="0" w:space="0" w:color="auto"/>
        <w:left w:val="none" w:sz="0" w:space="0" w:color="auto"/>
        <w:bottom w:val="none" w:sz="0" w:space="0" w:color="auto"/>
        <w:right w:val="none" w:sz="0" w:space="0" w:color="auto"/>
      </w:divBdr>
    </w:div>
    <w:div w:id="778450257">
      <w:bodyDiv w:val="1"/>
      <w:marLeft w:val="0"/>
      <w:marRight w:val="0"/>
      <w:marTop w:val="0"/>
      <w:marBottom w:val="0"/>
      <w:divBdr>
        <w:top w:val="none" w:sz="0" w:space="0" w:color="auto"/>
        <w:left w:val="none" w:sz="0" w:space="0" w:color="auto"/>
        <w:bottom w:val="none" w:sz="0" w:space="0" w:color="auto"/>
        <w:right w:val="none" w:sz="0" w:space="0" w:color="auto"/>
      </w:divBdr>
    </w:div>
    <w:div w:id="782725761">
      <w:bodyDiv w:val="1"/>
      <w:marLeft w:val="0"/>
      <w:marRight w:val="0"/>
      <w:marTop w:val="0"/>
      <w:marBottom w:val="0"/>
      <w:divBdr>
        <w:top w:val="none" w:sz="0" w:space="0" w:color="auto"/>
        <w:left w:val="none" w:sz="0" w:space="0" w:color="auto"/>
        <w:bottom w:val="none" w:sz="0" w:space="0" w:color="auto"/>
        <w:right w:val="none" w:sz="0" w:space="0" w:color="auto"/>
      </w:divBdr>
    </w:div>
    <w:div w:id="788470323">
      <w:bodyDiv w:val="1"/>
      <w:marLeft w:val="0"/>
      <w:marRight w:val="0"/>
      <w:marTop w:val="0"/>
      <w:marBottom w:val="0"/>
      <w:divBdr>
        <w:top w:val="none" w:sz="0" w:space="0" w:color="auto"/>
        <w:left w:val="none" w:sz="0" w:space="0" w:color="auto"/>
        <w:bottom w:val="none" w:sz="0" w:space="0" w:color="auto"/>
        <w:right w:val="none" w:sz="0" w:space="0" w:color="auto"/>
      </w:divBdr>
    </w:div>
    <w:div w:id="793796474">
      <w:bodyDiv w:val="1"/>
      <w:marLeft w:val="0"/>
      <w:marRight w:val="0"/>
      <w:marTop w:val="0"/>
      <w:marBottom w:val="0"/>
      <w:divBdr>
        <w:top w:val="none" w:sz="0" w:space="0" w:color="auto"/>
        <w:left w:val="none" w:sz="0" w:space="0" w:color="auto"/>
        <w:bottom w:val="none" w:sz="0" w:space="0" w:color="auto"/>
        <w:right w:val="none" w:sz="0" w:space="0" w:color="auto"/>
      </w:divBdr>
    </w:div>
    <w:div w:id="794786007">
      <w:bodyDiv w:val="1"/>
      <w:marLeft w:val="0"/>
      <w:marRight w:val="0"/>
      <w:marTop w:val="0"/>
      <w:marBottom w:val="0"/>
      <w:divBdr>
        <w:top w:val="none" w:sz="0" w:space="0" w:color="auto"/>
        <w:left w:val="none" w:sz="0" w:space="0" w:color="auto"/>
        <w:bottom w:val="none" w:sz="0" w:space="0" w:color="auto"/>
        <w:right w:val="none" w:sz="0" w:space="0" w:color="auto"/>
      </w:divBdr>
    </w:div>
    <w:div w:id="795489752">
      <w:bodyDiv w:val="1"/>
      <w:marLeft w:val="0"/>
      <w:marRight w:val="0"/>
      <w:marTop w:val="0"/>
      <w:marBottom w:val="0"/>
      <w:divBdr>
        <w:top w:val="none" w:sz="0" w:space="0" w:color="auto"/>
        <w:left w:val="none" w:sz="0" w:space="0" w:color="auto"/>
        <w:bottom w:val="none" w:sz="0" w:space="0" w:color="auto"/>
        <w:right w:val="none" w:sz="0" w:space="0" w:color="auto"/>
      </w:divBdr>
    </w:div>
    <w:div w:id="799952928">
      <w:bodyDiv w:val="1"/>
      <w:marLeft w:val="0"/>
      <w:marRight w:val="0"/>
      <w:marTop w:val="0"/>
      <w:marBottom w:val="0"/>
      <w:divBdr>
        <w:top w:val="none" w:sz="0" w:space="0" w:color="auto"/>
        <w:left w:val="none" w:sz="0" w:space="0" w:color="auto"/>
        <w:bottom w:val="none" w:sz="0" w:space="0" w:color="auto"/>
        <w:right w:val="none" w:sz="0" w:space="0" w:color="auto"/>
      </w:divBdr>
    </w:div>
    <w:div w:id="806774480">
      <w:bodyDiv w:val="1"/>
      <w:marLeft w:val="0"/>
      <w:marRight w:val="0"/>
      <w:marTop w:val="0"/>
      <w:marBottom w:val="0"/>
      <w:divBdr>
        <w:top w:val="none" w:sz="0" w:space="0" w:color="auto"/>
        <w:left w:val="none" w:sz="0" w:space="0" w:color="auto"/>
        <w:bottom w:val="none" w:sz="0" w:space="0" w:color="auto"/>
        <w:right w:val="none" w:sz="0" w:space="0" w:color="auto"/>
      </w:divBdr>
    </w:div>
    <w:div w:id="810754136">
      <w:bodyDiv w:val="1"/>
      <w:marLeft w:val="0"/>
      <w:marRight w:val="0"/>
      <w:marTop w:val="0"/>
      <w:marBottom w:val="0"/>
      <w:divBdr>
        <w:top w:val="none" w:sz="0" w:space="0" w:color="auto"/>
        <w:left w:val="none" w:sz="0" w:space="0" w:color="auto"/>
        <w:bottom w:val="none" w:sz="0" w:space="0" w:color="auto"/>
        <w:right w:val="none" w:sz="0" w:space="0" w:color="auto"/>
      </w:divBdr>
    </w:div>
    <w:div w:id="814025666">
      <w:bodyDiv w:val="1"/>
      <w:marLeft w:val="0"/>
      <w:marRight w:val="0"/>
      <w:marTop w:val="0"/>
      <w:marBottom w:val="0"/>
      <w:divBdr>
        <w:top w:val="none" w:sz="0" w:space="0" w:color="auto"/>
        <w:left w:val="none" w:sz="0" w:space="0" w:color="auto"/>
        <w:bottom w:val="none" w:sz="0" w:space="0" w:color="auto"/>
        <w:right w:val="none" w:sz="0" w:space="0" w:color="auto"/>
      </w:divBdr>
    </w:div>
    <w:div w:id="815031508">
      <w:bodyDiv w:val="1"/>
      <w:marLeft w:val="0"/>
      <w:marRight w:val="0"/>
      <w:marTop w:val="0"/>
      <w:marBottom w:val="0"/>
      <w:divBdr>
        <w:top w:val="none" w:sz="0" w:space="0" w:color="auto"/>
        <w:left w:val="none" w:sz="0" w:space="0" w:color="auto"/>
        <w:bottom w:val="none" w:sz="0" w:space="0" w:color="auto"/>
        <w:right w:val="none" w:sz="0" w:space="0" w:color="auto"/>
      </w:divBdr>
    </w:div>
    <w:div w:id="818225477">
      <w:bodyDiv w:val="1"/>
      <w:marLeft w:val="0"/>
      <w:marRight w:val="0"/>
      <w:marTop w:val="0"/>
      <w:marBottom w:val="0"/>
      <w:divBdr>
        <w:top w:val="none" w:sz="0" w:space="0" w:color="auto"/>
        <w:left w:val="none" w:sz="0" w:space="0" w:color="auto"/>
        <w:bottom w:val="none" w:sz="0" w:space="0" w:color="auto"/>
        <w:right w:val="none" w:sz="0" w:space="0" w:color="auto"/>
      </w:divBdr>
    </w:div>
    <w:div w:id="818889566">
      <w:bodyDiv w:val="1"/>
      <w:marLeft w:val="0"/>
      <w:marRight w:val="0"/>
      <w:marTop w:val="0"/>
      <w:marBottom w:val="0"/>
      <w:divBdr>
        <w:top w:val="none" w:sz="0" w:space="0" w:color="auto"/>
        <w:left w:val="none" w:sz="0" w:space="0" w:color="auto"/>
        <w:bottom w:val="none" w:sz="0" w:space="0" w:color="auto"/>
        <w:right w:val="none" w:sz="0" w:space="0" w:color="auto"/>
      </w:divBdr>
    </w:div>
    <w:div w:id="832456228">
      <w:bodyDiv w:val="1"/>
      <w:marLeft w:val="0"/>
      <w:marRight w:val="0"/>
      <w:marTop w:val="0"/>
      <w:marBottom w:val="0"/>
      <w:divBdr>
        <w:top w:val="none" w:sz="0" w:space="0" w:color="auto"/>
        <w:left w:val="none" w:sz="0" w:space="0" w:color="auto"/>
        <w:bottom w:val="none" w:sz="0" w:space="0" w:color="auto"/>
        <w:right w:val="none" w:sz="0" w:space="0" w:color="auto"/>
      </w:divBdr>
    </w:div>
    <w:div w:id="839009558">
      <w:bodyDiv w:val="1"/>
      <w:marLeft w:val="0"/>
      <w:marRight w:val="0"/>
      <w:marTop w:val="0"/>
      <w:marBottom w:val="0"/>
      <w:divBdr>
        <w:top w:val="none" w:sz="0" w:space="0" w:color="auto"/>
        <w:left w:val="none" w:sz="0" w:space="0" w:color="auto"/>
        <w:bottom w:val="none" w:sz="0" w:space="0" w:color="auto"/>
        <w:right w:val="none" w:sz="0" w:space="0" w:color="auto"/>
      </w:divBdr>
    </w:div>
    <w:div w:id="846794011">
      <w:bodyDiv w:val="1"/>
      <w:marLeft w:val="0"/>
      <w:marRight w:val="0"/>
      <w:marTop w:val="0"/>
      <w:marBottom w:val="0"/>
      <w:divBdr>
        <w:top w:val="none" w:sz="0" w:space="0" w:color="auto"/>
        <w:left w:val="none" w:sz="0" w:space="0" w:color="auto"/>
        <w:bottom w:val="none" w:sz="0" w:space="0" w:color="auto"/>
        <w:right w:val="none" w:sz="0" w:space="0" w:color="auto"/>
      </w:divBdr>
    </w:div>
    <w:div w:id="851261158">
      <w:bodyDiv w:val="1"/>
      <w:marLeft w:val="0"/>
      <w:marRight w:val="0"/>
      <w:marTop w:val="0"/>
      <w:marBottom w:val="0"/>
      <w:divBdr>
        <w:top w:val="none" w:sz="0" w:space="0" w:color="auto"/>
        <w:left w:val="none" w:sz="0" w:space="0" w:color="auto"/>
        <w:bottom w:val="none" w:sz="0" w:space="0" w:color="auto"/>
        <w:right w:val="none" w:sz="0" w:space="0" w:color="auto"/>
      </w:divBdr>
    </w:div>
    <w:div w:id="853542466">
      <w:bodyDiv w:val="1"/>
      <w:marLeft w:val="0"/>
      <w:marRight w:val="0"/>
      <w:marTop w:val="0"/>
      <w:marBottom w:val="0"/>
      <w:divBdr>
        <w:top w:val="none" w:sz="0" w:space="0" w:color="auto"/>
        <w:left w:val="none" w:sz="0" w:space="0" w:color="auto"/>
        <w:bottom w:val="none" w:sz="0" w:space="0" w:color="auto"/>
        <w:right w:val="none" w:sz="0" w:space="0" w:color="auto"/>
      </w:divBdr>
    </w:div>
    <w:div w:id="858739627">
      <w:bodyDiv w:val="1"/>
      <w:marLeft w:val="0"/>
      <w:marRight w:val="0"/>
      <w:marTop w:val="0"/>
      <w:marBottom w:val="0"/>
      <w:divBdr>
        <w:top w:val="none" w:sz="0" w:space="0" w:color="auto"/>
        <w:left w:val="none" w:sz="0" w:space="0" w:color="auto"/>
        <w:bottom w:val="none" w:sz="0" w:space="0" w:color="auto"/>
        <w:right w:val="none" w:sz="0" w:space="0" w:color="auto"/>
      </w:divBdr>
    </w:div>
    <w:div w:id="866716442">
      <w:bodyDiv w:val="1"/>
      <w:marLeft w:val="0"/>
      <w:marRight w:val="0"/>
      <w:marTop w:val="0"/>
      <w:marBottom w:val="0"/>
      <w:divBdr>
        <w:top w:val="none" w:sz="0" w:space="0" w:color="auto"/>
        <w:left w:val="none" w:sz="0" w:space="0" w:color="auto"/>
        <w:bottom w:val="none" w:sz="0" w:space="0" w:color="auto"/>
        <w:right w:val="none" w:sz="0" w:space="0" w:color="auto"/>
      </w:divBdr>
    </w:div>
    <w:div w:id="868833423">
      <w:bodyDiv w:val="1"/>
      <w:marLeft w:val="0"/>
      <w:marRight w:val="0"/>
      <w:marTop w:val="0"/>
      <w:marBottom w:val="0"/>
      <w:divBdr>
        <w:top w:val="none" w:sz="0" w:space="0" w:color="auto"/>
        <w:left w:val="none" w:sz="0" w:space="0" w:color="auto"/>
        <w:bottom w:val="none" w:sz="0" w:space="0" w:color="auto"/>
        <w:right w:val="none" w:sz="0" w:space="0" w:color="auto"/>
      </w:divBdr>
    </w:div>
    <w:div w:id="870721925">
      <w:bodyDiv w:val="1"/>
      <w:marLeft w:val="0"/>
      <w:marRight w:val="0"/>
      <w:marTop w:val="0"/>
      <w:marBottom w:val="0"/>
      <w:divBdr>
        <w:top w:val="none" w:sz="0" w:space="0" w:color="auto"/>
        <w:left w:val="none" w:sz="0" w:space="0" w:color="auto"/>
        <w:bottom w:val="none" w:sz="0" w:space="0" w:color="auto"/>
        <w:right w:val="none" w:sz="0" w:space="0" w:color="auto"/>
      </w:divBdr>
    </w:div>
    <w:div w:id="873542714">
      <w:bodyDiv w:val="1"/>
      <w:marLeft w:val="0"/>
      <w:marRight w:val="0"/>
      <w:marTop w:val="0"/>
      <w:marBottom w:val="0"/>
      <w:divBdr>
        <w:top w:val="none" w:sz="0" w:space="0" w:color="auto"/>
        <w:left w:val="none" w:sz="0" w:space="0" w:color="auto"/>
        <w:bottom w:val="none" w:sz="0" w:space="0" w:color="auto"/>
        <w:right w:val="none" w:sz="0" w:space="0" w:color="auto"/>
      </w:divBdr>
    </w:div>
    <w:div w:id="884409839">
      <w:bodyDiv w:val="1"/>
      <w:marLeft w:val="0"/>
      <w:marRight w:val="0"/>
      <w:marTop w:val="0"/>
      <w:marBottom w:val="0"/>
      <w:divBdr>
        <w:top w:val="none" w:sz="0" w:space="0" w:color="auto"/>
        <w:left w:val="none" w:sz="0" w:space="0" w:color="auto"/>
        <w:bottom w:val="none" w:sz="0" w:space="0" w:color="auto"/>
        <w:right w:val="none" w:sz="0" w:space="0" w:color="auto"/>
      </w:divBdr>
    </w:div>
    <w:div w:id="891968187">
      <w:bodyDiv w:val="1"/>
      <w:marLeft w:val="0"/>
      <w:marRight w:val="0"/>
      <w:marTop w:val="0"/>
      <w:marBottom w:val="0"/>
      <w:divBdr>
        <w:top w:val="none" w:sz="0" w:space="0" w:color="auto"/>
        <w:left w:val="none" w:sz="0" w:space="0" w:color="auto"/>
        <w:bottom w:val="none" w:sz="0" w:space="0" w:color="auto"/>
        <w:right w:val="none" w:sz="0" w:space="0" w:color="auto"/>
      </w:divBdr>
    </w:div>
    <w:div w:id="897321886">
      <w:bodyDiv w:val="1"/>
      <w:marLeft w:val="0"/>
      <w:marRight w:val="0"/>
      <w:marTop w:val="0"/>
      <w:marBottom w:val="0"/>
      <w:divBdr>
        <w:top w:val="none" w:sz="0" w:space="0" w:color="auto"/>
        <w:left w:val="none" w:sz="0" w:space="0" w:color="auto"/>
        <w:bottom w:val="none" w:sz="0" w:space="0" w:color="auto"/>
        <w:right w:val="none" w:sz="0" w:space="0" w:color="auto"/>
      </w:divBdr>
    </w:div>
    <w:div w:id="909577362">
      <w:bodyDiv w:val="1"/>
      <w:marLeft w:val="0"/>
      <w:marRight w:val="0"/>
      <w:marTop w:val="0"/>
      <w:marBottom w:val="0"/>
      <w:divBdr>
        <w:top w:val="none" w:sz="0" w:space="0" w:color="auto"/>
        <w:left w:val="none" w:sz="0" w:space="0" w:color="auto"/>
        <w:bottom w:val="none" w:sz="0" w:space="0" w:color="auto"/>
        <w:right w:val="none" w:sz="0" w:space="0" w:color="auto"/>
      </w:divBdr>
    </w:div>
    <w:div w:id="909773366">
      <w:bodyDiv w:val="1"/>
      <w:marLeft w:val="0"/>
      <w:marRight w:val="0"/>
      <w:marTop w:val="0"/>
      <w:marBottom w:val="0"/>
      <w:divBdr>
        <w:top w:val="none" w:sz="0" w:space="0" w:color="auto"/>
        <w:left w:val="none" w:sz="0" w:space="0" w:color="auto"/>
        <w:bottom w:val="none" w:sz="0" w:space="0" w:color="auto"/>
        <w:right w:val="none" w:sz="0" w:space="0" w:color="auto"/>
      </w:divBdr>
    </w:div>
    <w:div w:id="931157450">
      <w:bodyDiv w:val="1"/>
      <w:marLeft w:val="0"/>
      <w:marRight w:val="0"/>
      <w:marTop w:val="0"/>
      <w:marBottom w:val="0"/>
      <w:divBdr>
        <w:top w:val="none" w:sz="0" w:space="0" w:color="auto"/>
        <w:left w:val="none" w:sz="0" w:space="0" w:color="auto"/>
        <w:bottom w:val="none" w:sz="0" w:space="0" w:color="auto"/>
        <w:right w:val="none" w:sz="0" w:space="0" w:color="auto"/>
      </w:divBdr>
    </w:div>
    <w:div w:id="934443454">
      <w:bodyDiv w:val="1"/>
      <w:marLeft w:val="0"/>
      <w:marRight w:val="0"/>
      <w:marTop w:val="0"/>
      <w:marBottom w:val="0"/>
      <w:divBdr>
        <w:top w:val="none" w:sz="0" w:space="0" w:color="auto"/>
        <w:left w:val="none" w:sz="0" w:space="0" w:color="auto"/>
        <w:bottom w:val="none" w:sz="0" w:space="0" w:color="auto"/>
        <w:right w:val="none" w:sz="0" w:space="0" w:color="auto"/>
      </w:divBdr>
    </w:div>
    <w:div w:id="942147503">
      <w:bodyDiv w:val="1"/>
      <w:marLeft w:val="0"/>
      <w:marRight w:val="0"/>
      <w:marTop w:val="0"/>
      <w:marBottom w:val="0"/>
      <w:divBdr>
        <w:top w:val="none" w:sz="0" w:space="0" w:color="auto"/>
        <w:left w:val="none" w:sz="0" w:space="0" w:color="auto"/>
        <w:bottom w:val="none" w:sz="0" w:space="0" w:color="auto"/>
        <w:right w:val="none" w:sz="0" w:space="0" w:color="auto"/>
      </w:divBdr>
    </w:div>
    <w:div w:id="942957234">
      <w:bodyDiv w:val="1"/>
      <w:marLeft w:val="0"/>
      <w:marRight w:val="0"/>
      <w:marTop w:val="0"/>
      <w:marBottom w:val="0"/>
      <w:divBdr>
        <w:top w:val="none" w:sz="0" w:space="0" w:color="auto"/>
        <w:left w:val="none" w:sz="0" w:space="0" w:color="auto"/>
        <w:bottom w:val="none" w:sz="0" w:space="0" w:color="auto"/>
        <w:right w:val="none" w:sz="0" w:space="0" w:color="auto"/>
      </w:divBdr>
    </w:div>
    <w:div w:id="953708183">
      <w:bodyDiv w:val="1"/>
      <w:marLeft w:val="0"/>
      <w:marRight w:val="0"/>
      <w:marTop w:val="0"/>
      <w:marBottom w:val="0"/>
      <w:divBdr>
        <w:top w:val="none" w:sz="0" w:space="0" w:color="auto"/>
        <w:left w:val="none" w:sz="0" w:space="0" w:color="auto"/>
        <w:bottom w:val="none" w:sz="0" w:space="0" w:color="auto"/>
        <w:right w:val="none" w:sz="0" w:space="0" w:color="auto"/>
      </w:divBdr>
    </w:div>
    <w:div w:id="959264981">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5087001">
      <w:bodyDiv w:val="1"/>
      <w:marLeft w:val="0"/>
      <w:marRight w:val="0"/>
      <w:marTop w:val="0"/>
      <w:marBottom w:val="0"/>
      <w:divBdr>
        <w:top w:val="none" w:sz="0" w:space="0" w:color="auto"/>
        <w:left w:val="none" w:sz="0" w:space="0" w:color="auto"/>
        <w:bottom w:val="none" w:sz="0" w:space="0" w:color="auto"/>
        <w:right w:val="none" w:sz="0" w:space="0" w:color="auto"/>
      </w:divBdr>
    </w:div>
    <w:div w:id="965160349">
      <w:bodyDiv w:val="1"/>
      <w:marLeft w:val="0"/>
      <w:marRight w:val="0"/>
      <w:marTop w:val="0"/>
      <w:marBottom w:val="0"/>
      <w:divBdr>
        <w:top w:val="none" w:sz="0" w:space="0" w:color="auto"/>
        <w:left w:val="none" w:sz="0" w:space="0" w:color="auto"/>
        <w:bottom w:val="none" w:sz="0" w:space="0" w:color="auto"/>
        <w:right w:val="none" w:sz="0" w:space="0" w:color="auto"/>
      </w:divBdr>
    </w:div>
    <w:div w:id="979457340">
      <w:bodyDiv w:val="1"/>
      <w:marLeft w:val="0"/>
      <w:marRight w:val="0"/>
      <w:marTop w:val="0"/>
      <w:marBottom w:val="0"/>
      <w:divBdr>
        <w:top w:val="none" w:sz="0" w:space="0" w:color="auto"/>
        <w:left w:val="none" w:sz="0" w:space="0" w:color="auto"/>
        <w:bottom w:val="none" w:sz="0" w:space="0" w:color="auto"/>
        <w:right w:val="none" w:sz="0" w:space="0" w:color="auto"/>
      </w:divBdr>
    </w:div>
    <w:div w:id="989211287">
      <w:bodyDiv w:val="1"/>
      <w:marLeft w:val="0"/>
      <w:marRight w:val="0"/>
      <w:marTop w:val="0"/>
      <w:marBottom w:val="0"/>
      <w:divBdr>
        <w:top w:val="none" w:sz="0" w:space="0" w:color="auto"/>
        <w:left w:val="none" w:sz="0" w:space="0" w:color="auto"/>
        <w:bottom w:val="none" w:sz="0" w:space="0" w:color="auto"/>
        <w:right w:val="none" w:sz="0" w:space="0" w:color="auto"/>
      </w:divBdr>
    </w:div>
    <w:div w:id="996375681">
      <w:bodyDiv w:val="1"/>
      <w:marLeft w:val="0"/>
      <w:marRight w:val="0"/>
      <w:marTop w:val="0"/>
      <w:marBottom w:val="0"/>
      <w:divBdr>
        <w:top w:val="none" w:sz="0" w:space="0" w:color="auto"/>
        <w:left w:val="none" w:sz="0" w:space="0" w:color="auto"/>
        <w:bottom w:val="none" w:sz="0" w:space="0" w:color="auto"/>
        <w:right w:val="none" w:sz="0" w:space="0" w:color="auto"/>
      </w:divBdr>
    </w:div>
    <w:div w:id="1006322806">
      <w:bodyDiv w:val="1"/>
      <w:marLeft w:val="0"/>
      <w:marRight w:val="0"/>
      <w:marTop w:val="0"/>
      <w:marBottom w:val="0"/>
      <w:divBdr>
        <w:top w:val="none" w:sz="0" w:space="0" w:color="auto"/>
        <w:left w:val="none" w:sz="0" w:space="0" w:color="auto"/>
        <w:bottom w:val="none" w:sz="0" w:space="0" w:color="auto"/>
        <w:right w:val="none" w:sz="0" w:space="0" w:color="auto"/>
      </w:divBdr>
    </w:div>
    <w:div w:id="1009255018">
      <w:bodyDiv w:val="1"/>
      <w:marLeft w:val="0"/>
      <w:marRight w:val="0"/>
      <w:marTop w:val="0"/>
      <w:marBottom w:val="0"/>
      <w:divBdr>
        <w:top w:val="none" w:sz="0" w:space="0" w:color="auto"/>
        <w:left w:val="none" w:sz="0" w:space="0" w:color="auto"/>
        <w:bottom w:val="none" w:sz="0" w:space="0" w:color="auto"/>
        <w:right w:val="none" w:sz="0" w:space="0" w:color="auto"/>
      </w:divBdr>
    </w:div>
    <w:div w:id="1011033079">
      <w:bodyDiv w:val="1"/>
      <w:marLeft w:val="0"/>
      <w:marRight w:val="0"/>
      <w:marTop w:val="0"/>
      <w:marBottom w:val="0"/>
      <w:divBdr>
        <w:top w:val="none" w:sz="0" w:space="0" w:color="auto"/>
        <w:left w:val="none" w:sz="0" w:space="0" w:color="auto"/>
        <w:bottom w:val="none" w:sz="0" w:space="0" w:color="auto"/>
        <w:right w:val="none" w:sz="0" w:space="0" w:color="auto"/>
      </w:divBdr>
    </w:div>
    <w:div w:id="1014183399">
      <w:bodyDiv w:val="1"/>
      <w:marLeft w:val="0"/>
      <w:marRight w:val="0"/>
      <w:marTop w:val="0"/>
      <w:marBottom w:val="0"/>
      <w:divBdr>
        <w:top w:val="none" w:sz="0" w:space="0" w:color="auto"/>
        <w:left w:val="none" w:sz="0" w:space="0" w:color="auto"/>
        <w:bottom w:val="none" w:sz="0" w:space="0" w:color="auto"/>
        <w:right w:val="none" w:sz="0" w:space="0" w:color="auto"/>
      </w:divBdr>
    </w:div>
    <w:div w:id="1022852882">
      <w:bodyDiv w:val="1"/>
      <w:marLeft w:val="0"/>
      <w:marRight w:val="0"/>
      <w:marTop w:val="0"/>
      <w:marBottom w:val="0"/>
      <w:divBdr>
        <w:top w:val="none" w:sz="0" w:space="0" w:color="auto"/>
        <w:left w:val="none" w:sz="0" w:space="0" w:color="auto"/>
        <w:bottom w:val="none" w:sz="0" w:space="0" w:color="auto"/>
        <w:right w:val="none" w:sz="0" w:space="0" w:color="auto"/>
      </w:divBdr>
    </w:div>
    <w:div w:id="1027100522">
      <w:bodyDiv w:val="1"/>
      <w:marLeft w:val="0"/>
      <w:marRight w:val="0"/>
      <w:marTop w:val="0"/>
      <w:marBottom w:val="0"/>
      <w:divBdr>
        <w:top w:val="none" w:sz="0" w:space="0" w:color="auto"/>
        <w:left w:val="none" w:sz="0" w:space="0" w:color="auto"/>
        <w:bottom w:val="none" w:sz="0" w:space="0" w:color="auto"/>
        <w:right w:val="none" w:sz="0" w:space="0" w:color="auto"/>
      </w:divBdr>
    </w:div>
    <w:div w:id="1039473771">
      <w:bodyDiv w:val="1"/>
      <w:marLeft w:val="0"/>
      <w:marRight w:val="0"/>
      <w:marTop w:val="0"/>
      <w:marBottom w:val="0"/>
      <w:divBdr>
        <w:top w:val="none" w:sz="0" w:space="0" w:color="auto"/>
        <w:left w:val="none" w:sz="0" w:space="0" w:color="auto"/>
        <w:bottom w:val="none" w:sz="0" w:space="0" w:color="auto"/>
        <w:right w:val="none" w:sz="0" w:space="0" w:color="auto"/>
      </w:divBdr>
    </w:div>
    <w:div w:id="1048797943">
      <w:bodyDiv w:val="1"/>
      <w:marLeft w:val="0"/>
      <w:marRight w:val="0"/>
      <w:marTop w:val="0"/>
      <w:marBottom w:val="0"/>
      <w:divBdr>
        <w:top w:val="none" w:sz="0" w:space="0" w:color="auto"/>
        <w:left w:val="none" w:sz="0" w:space="0" w:color="auto"/>
        <w:bottom w:val="none" w:sz="0" w:space="0" w:color="auto"/>
        <w:right w:val="none" w:sz="0" w:space="0" w:color="auto"/>
      </w:divBdr>
    </w:div>
    <w:div w:id="1051032414">
      <w:bodyDiv w:val="1"/>
      <w:marLeft w:val="0"/>
      <w:marRight w:val="0"/>
      <w:marTop w:val="0"/>
      <w:marBottom w:val="0"/>
      <w:divBdr>
        <w:top w:val="none" w:sz="0" w:space="0" w:color="auto"/>
        <w:left w:val="none" w:sz="0" w:space="0" w:color="auto"/>
        <w:bottom w:val="none" w:sz="0" w:space="0" w:color="auto"/>
        <w:right w:val="none" w:sz="0" w:space="0" w:color="auto"/>
      </w:divBdr>
    </w:div>
    <w:div w:id="1060636607">
      <w:bodyDiv w:val="1"/>
      <w:marLeft w:val="0"/>
      <w:marRight w:val="0"/>
      <w:marTop w:val="0"/>
      <w:marBottom w:val="0"/>
      <w:divBdr>
        <w:top w:val="none" w:sz="0" w:space="0" w:color="auto"/>
        <w:left w:val="none" w:sz="0" w:space="0" w:color="auto"/>
        <w:bottom w:val="none" w:sz="0" w:space="0" w:color="auto"/>
        <w:right w:val="none" w:sz="0" w:space="0" w:color="auto"/>
      </w:divBdr>
    </w:div>
    <w:div w:id="1065683797">
      <w:bodyDiv w:val="1"/>
      <w:marLeft w:val="0"/>
      <w:marRight w:val="0"/>
      <w:marTop w:val="0"/>
      <w:marBottom w:val="0"/>
      <w:divBdr>
        <w:top w:val="none" w:sz="0" w:space="0" w:color="auto"/>
        <w:left w:val="none" w:sz="0" w:space="0" w:color="auto"/>
        <w:bottom w:val="none" w:sz="0" w:space="0" w:color="auto"/>
        <w:right w:val="none" w:sz="0" w:space="0" w:color="auto"/>
      </w:divBdr>
    </w:div>
    <w:div w:id="1073814957">
      <w:bodyDiv w:val="1"/>
      <w:marLeft w:val="0"/>
      <w:marRight w:val="0"/>
      <w:marTop w:val="0"/>
      <w:marBottom w:val="0"/>
      <w:divBdr>
        <w:top w:val="none" w:sz="0" w:space="0" w:color="auto"/>
        <w:left w:val="none" w:sz="0" w:space="0" w:color="auto"/>
        <w:bottom w:val="none" w:sz="0" w:space="0" w:color="auto"/>
        <w:right w:val="none" w:sz="0" w:space="0" w:color="auto"/>
      </w:divBdr>
    </w:div>
    <w:div w:id="1075013326">
      <w:bodyDiv w:val="1"/>
      <w:marLeft w:val="0"/>
      <w:marRight w:val="0"/>
      <w:marTop w:val="0"/>
      <w:marBottom w:val="0"/>
      <w:divBdr>
        <w:top w:val="none" w:sz="0" w:space="0" w:color="auto"/>
        <w:left w:val="none" w:sz="0" w:space="0" w:color="auto"/>
        <w:bottom w:val="none" w:sz="0" w:space="0" w:color="auto"/>
        <w:right w:val="none" w:sz="0" w:space="0" w:color="auto"/>
      </w:divBdr>
    </w:div>
    <w:div w:id="1078941177">
      <w:bodyDiv w:val="1"/>
      <w:marLeft w:val="0"/>
      <w:marRight w:val="0"/>
      <w:marTop w:val="0"/>
      <w:marBottom w:val="0"/>
      <w:divBdr>
        <w:top w:val="none" w:sz="0" w:space="0" w:color="auto"/>
        <w:left w:val="none" w:sz="0" w:space="0" w:color="auto"/>
        <w:bottom w:val="none" w:sz="0" w:space="0" w:color="auto"/>
        <w:right w:val="none" w:sz="0" w:space="0" w:color="auto"/>
      </w:divBdr>
    </w:div>
    <w:div w:id="1080759585">
      <w:bodyDiv w:val="1"/>
      <w:marLeft w:val="0"/>
      <w:marRight w:val="0"/>
      <w:marTop w:val="0"/>
      <w:marBottom w:val="0"/>
      <w:divBdr>
        <w:top w:val="none" w:sz="0" w:space="0" w:color="auto"/>
        <w:left w:val="none" w:sz="0" w:space="0" w:color="auto"/>
        <w:bottom w:val="none" w:sz="0" w:space="0" w:color="auto"/>
        <w:right w:val="none" w:sz="0" w:space="0" w:color="auto"/>
      </w:divBdr>
    </w:div>
    <w:div w:id="1089737588">
      <w:bodyDiv w:val="1"/>
      <w:marLeft w:val="0"/>
      <w:marRight w:val="0"/>
      <w:marTop w:val="0"/>
      <w:marBottom w:val="0"/>
      <w:divBdr>
        <w:top w:val="none" w:sz="0" w:space="0" w:color="auto"/>
        <w:left w:val="none" w:sz="0" w:space="0" w:color="auto"/>
        <w:bottom w:val="none" w:sz="0" w:space="0" w:color="auto"/>
        <w:right w:val="none" w:sz="0" w:space="0" w:color="auto"/>
      </w:divBdr>
    </w:div>
    <w:div w:id="1090589641">
      <w:bodyDiv w:val="1"/>
      <w:marLeft w:val="0"/>
      <w:marRight w:val="0"/>
      <w:marTop w:val="0"/>
      <w:marBottom w:val="0"/>
      <w:divBdr>
        <w:top w:val="none" w:sz="0" w:space="0" w:color="auto"/>
        <w:left w:val="none" w:sz="0" w:space="0" w:color="auto"/>
        <w:bottom w:val="none" w:sz="0" w:space="0" w:color="auto"/>
        <w:right w:val="none" w:sz="0" w:space="0" w:color="auto"/>
      </w:divBdr>
    </w:div>
    <w:div w:id="1092236591">
      <w:bodyDiv w:val="1"/>
      <w:marLeft w:val="0"/>
      <w:marRight w:val="0"/>
      <w:marTop w:val="0"/>
      <w:marBottom w:val="0"/>
      <w:divBdr>
        <w:top w:val="none" w:sz="0" w:space="0" w:color="auto"/>
        <w:left w:val="none" w:sz="0" w:space="0" w:color="auto"/>
        <w:bottom w:val="none" w:sz="0" w:space="0" w:color="auto"/>
        <w:right w:val="none" w:sz="0" w:space="0" w:color="auto"/>
      </w:divBdr>
    </w:div>
    <w:div w:id="1098910740">
      <w:bodyDiv w:val="1"/>
      <w:marLeft w:val="0"/>
      <w:marRight w:val="0"/>
      <w:marTop w:val="0"/>
      <w:marBottom w:val="0"/>
      <w:divBdr>
        <w:top w:val="none" w:sz="0" w:space="0" w:color="auto"/>
        <w:left w:val="none" w:sz="0" w:space="0" w:color="auto"/>
        <w:bottom w:val="none" w:sz="0" w:space="0" w:color="auto"/>
        <w:right w:val="none" w:sz="0" w:space="0" w:color="auto"/>
      </w:divBdr>
    </w:div>
    <w:div w:id="1099523685">
      <w:bodyDiv w:val="1"/>
      <w:marLeft w:val="0"/>
      <w:marRight w:val="0"/>
      <w:marTop w:val="0"/>
      <w:marBottom w:val="0"/>
      <w:divBdr>
        <w:top w:val="none" w:sz="0" w:space="0" w:color="auto"/>
        <w:left w:val="none" w:sz="0" w:space="0" w:color="auto"/>
        <w:bottom w:val="none" w:sz="0" w:space="0" w:color="auto"/>
        <w:right w:val="none" w:sz="0" w:space="0" w:color="auto"/>
      </w:divBdr>
    </w:div>
    <w:div w:id="1100299106">
      <w:bodyDiv w:val="1"/>
      <w:marLeft w:val="0"/>
      <w:marRight w:val="0"/>
      <w:marTop w:val="0"/>
      <w:marBottom w:val="0"/>
      <w:divBdr>
        <w:top w:val="none" w:sz="0" w:space="0" w:color="auto"/>
        <w:left w:val="none" w:sz="0" w:space="0" w:color="auto"/>
        <w:bottom w:val="none" w:sz="0" w:space="0" w:color="auto"/>
        <w:right w:val="none" w:sz="0" w:space="0" w:color="auto"/>
      </w:divBdr>
    </w:div>
    <w:div w:id="1104881059">
      <w:bodyDiv w:val="1"/>
      <w:marLeft w:val="0"/>
      <w:marRight w:val="0"/>
      <w:marTop w:val="0"/>
      <w:marBottom w:val="0"/>
      <w:divBdr>
        <w:top w:val="none" w:sz="0" w:space="0" w:color="auto"/>
        <w:left w:val="none" w:sz="0" w:space="0" w:color="auto"/>
        <w:bottom w:val="none" w:sz="0" w:space="0" w:color="auto"/>
        <w:right w:val="none" w:sz="0" w:space="0" w:color="auto"/>
      </w:divBdr>
    </w:div>
    <w:div w:id="1105153368">
      <w:bodyDiv w:val="1"/>
      <w:marLeft w:val="0"/>
      <w:marRight w:val="0"/>
      <w:marTop w:val="0"/>
      <w:marBottom w:val="0"/>
      <w:divBdr>
        <w:top w:val="none" w:sz="0" w:space="0" w:color="auto"/>
        <w:left w:val="none" w:sz="0" w:space="0" w:color="auto"/>
        <w:bottom w:val="none" w:sz="0" w:space="0" w:color="auto"/>
        <w:right w:val="none" w:sz="0" w:space="0" w:color="auto"/>
      </w:divBdr>
    </w:div>
    <w:div w:id="1113554733">
      <w:bodyDiv w:val="1"/>
      <w:marLeft w:val="0"/>
      <w:marRight w:val="0"/>
      <w:marTop w:val="0"/>
      <w:marBottom w:val="0"/>
      <w:divBdr>
        <w:top w:val="none" w:sz="0" w:space="0" w:color="auto"/>
        <w:left w:val="none" w:sz="0" w:space="0" w:color="auto"/>
        <w:bottom w:val="none" w:sz="0" w:space="0" w:color="auto"/>
        <w:right w:val="none" w:sz="0" w:space="0" w:color="auto"/>
      </w:divBdr>
    </w:div>
    <w:div w:id="1120034384">
      <w:bodyDiv w:val="1"/>
      <w:marLeft w:val="0"/>
      <w:marRight w:val="0"/>
      <w:marTop w:val="0"/>
      <w:marBottom w:val="0"/>
      <w:divBdr>
        <w:top w:val="none" w:sz="0" w:space="0" w:color="auto"/>
        <w:left w:val="none" w:sz="0" w:space="0" w:color="auto"/>
        <w:bottom w:val="none" w:sz="0" w:space="0" w:color="auto"/>
        <w:right w:val="none" w:sz="0" w:space="0" w:color="auto"/>
      </w:divBdr>
    </w:div>
    <w:div w:id="1122116554">
      <w:bodyDiv w:val="1"/>
      <w:marLeft w:val="0"/>
      <w:marRight w:val="0"/>
      <w:marTop w:val="0"/>
      <w:marBottom w:val="0"/>
      <w:divBdr>
        <w:top w:val="none" w:sz="0" w:space="0" w:color="auto"/>
        <w:left w:val="none" w:sz="0" w:space="0" w:color="auto"/>
        <w:bottom w:val="none" w:sz="0" w:space="0" w:color="auto"/>
        <w:right w:val="none" w:sz="0" w:space="0" w:color="auto"/>
      </w:divBdr>
    </w:div>
    <w:div w:id="1122963641">
      <w:bodyDiv w:val="1"/>
      <w:marLeft w:val="0"/>
      <w:marRight w:val="0"/>
      <w:marTop w:val="0"/>
      <w:marBottom w:val="0"/>
      <w:divBdr>
        <w:top w:val="none" w:sz="0" w:space="0" w:color="auto"/>
        <w:left w:val="none" w:sz="0" w:space="0" w:color="auto"/>
        <w:bottom w:val="none" w:sz="0" w:space="0" w:color="auto"/>
        <w:right w:val="none" w:sz="0" w:space="0" w:color="auto"/>
      </w:divBdr>
    </w:div>
    <w:div w:id="1127892508">
      <w:bodyDiv w:val="1"/>
      <w:marLeft w:val="0"/>
      <w:marRight w:val="0"/>
      <w:marTop w:val="0"/>
      <w:marBottom w:val="0"/>
      <w:divBdr>
        <w:top w:val="none" w:sz="0" w:space="0" w:color="auto"/>
        <w:left w:val="none" w:sz="0" w:space="0" w:color="auto"/>
        <w:bottom w:val="none" w:sz="0" w:space="0" w:color="auto"/>
        <w:right w:val="none" w:sz="0" w:space="0" w:color="auto"/>
      </w:divBdr>
    </w:div>
    <w:div w:id="1127965684">
      <w:bodyDiv w:val="1"/>
      <w:marLeft w:val="0"/>
      <w:marRight w:val="0"/>
      <w:marTop w:val="0"/>
      <w:marBottom w:val="0"/>
      <w:divBdr>
        <w:top w:val="none" w:sz="0" w:space="0" w:color="auto"/>
        <w:left w:val="none" w:sz="0" w:space="0" w:color="auto"/>
        <w:bottom w:val="none" w:sz="0" w:space="0" w:color="auto"/>
        <w:right w:val="none" w:sz="0" w:space="0" w:color="auto"/>
      </w:divBdr>
    </w:div>
    <w:div w:id="1129663005">
      <w:bodyDiv w:val="1"/>
      <w:marLeft w:val="0"/>
      <w:marRight w:val="0"/>
      <w:marTop w:val="0"/>
      <w:marBottom w:val="0"/>
      <w:divBdr>
        <w:top w:val="none" w:sz="0" w:space="0" w:color="auto"/>
        <w:left w:val="none" w:sz="0" w:space="0" w:color="auto"/>
        <w:bottom w:val="none" w:sz="0" w:space="0" w:color="auto"/>
        <w:right w:val="none" w:sz="0" w:space="0" w:color="auto"/>
      </w:divBdr>
    </w:div>
    <w:div w:id="1129930710">
      <w:bodyDiv w:val="1"/>
      <w:marLeft w:val="0"/>
      <w:marRight w:val="0"/>
      <w:marTop w:val="0"/>
      <w:marBottom w:val="0"/>
      <w:divBdr>
        <w:top w:val="none" w:sz="0" w:space="0" w:color="auto"/>
        <w:left w:val="none" w:sz="0" w:space="0" w:color="auto"/>
        <w:bottom w:val="none" w:sz="0" w:space="0" w:color="auto"/>
        <w:right w:val="none" w:sz="0" w:space="0" w:color="auto"/>
      </w:divBdr>
    </w:div>
    <w:div w:id="1130124616">
      <w:bodyDiv w:val="1"/>
      <w:marLeft w:val="0"/>
      <w:marRight w:val="0"/>
      <w:marTop w:val="0"/>
      <w:marBottom w:val="0"/>
      <w:divBdr>
        <w:top w:val="none" w:sz="0" w:space="0" w:color="auto"/>
        <w:left w:val="none" w:sz="0" w:space="0" w:color="auto"/>
        <w:bottom w:val="none" w:sz="0" w:space="0" w:color="auto"/>
        <w:right w:val="none" w:sz="0" w:space="0" w:color="auto"/>
      </w:divBdr>
    </w:div>
    <w:div w:id="1140540921">
      <w:bodyDiv w:val="1"/>
      <w:marLeft w:val="0"/>
      <w:marRight w:val="0"/>
      <w:marTop w:val="0"/>
      <w:marBottom w:val="0"/>
      <w:divBdr>
        <w:top w:val="none" w:sz="0" w:space="0" w:color="auto"/>
        <w:left w:val="none" w:sz="0" w:space="0" w:color="auto"/>
        <w:bottom w:val="none" w:sz="0" w:space="0" w:color="auto"/>
        <w:right w:val="none" w:sz="0" w:space="0" w:color="auto"/>
      </w:divBdr>
    </w:div>
    <w:div w:id="1150099261">
      <w:bodyDiv w:val="1"/>
      <w:marLeft w:val="0"/>
      <w:marRight w:val="0"/>
      <w:marTop w:val="0"/>
      <w:marBottom w:val="0"/>
      <w:divBdr>
        <w:top w:val="none" w:sz="0" w:space="0" w:color="auto"/>
        <w:left w:val="none" w:sz="0" w:space="0" w:color="auto"/>
        <w:bottom w:val="none" w:sz="0" w:space="0" w:color="auto"/>
        <w:right w:val="none" w:sz="0" w:space="0" w:color="auto"/>
      </w:divBdr>
    </w:div>
    <w:div w:id="1152210935">
      <w:bodyDiv w:val="1"/>
      <w:marLeft w:val="0"/>
      <w:marRight w:val="0"/>
      <w:marTop w:val="0"/>
      <w:marBottom w:val="0"/>
      <w:divBdr>
        <w:top w:val="none" w:sz="0" w:space="0" w:color="auto"/>
        <w:left w:val="none" w:sz="0" w:space="0" w:color="auto"/>
        <w:bottom w:val="none" w:sz="0" w:space="0" w:color="auto"/>
        <w:right w:val="none" w:sz="0" w:space="0" w:color="auto"/>
      </w:divBdr>
    </w:div>
    <w:div w:id="1158375729">
      <w:bodyDiv w:val="1"/>
      <w:marLeft w:val="0"/>
      <w:marRight w:val="0"/>
      <w:marTop w:val="0"/>
      <w:marBottom w:val="0"/>
      <w:divBdr>
        <w:top w:val="none" w:sz="0" w:space="0" w:color="auto"/>
        <w:left w:val="none" w:sz="0" w:space="0" w:color="auto"/>
        <w:bottom w:val="none" w:sz="0" w:space="0" w:color="auto"/>
        <w:right w:val="none" w:sz="0" w:space="0" w:color="auto"/>
      </w:divBdr>
    </w:div>
    <w:div w:id="1161778442">
      <w:bodyDiv w:val="1"/>
      <w:marLeft w:val="0"/>
      <w:marRight w:val="0"/>
      <w:marTop w:val="0"/>
      <w:marBottom w:val="0"/>
      <w:divBdr>
        <w:top w:val="none" w:sz="0" w:space="0" w:color="auto"/>
        <w:left w:val="none" w:sz="0" w:space="0" w:color="auto"/>
        <w:bottom w:val="none" w:sz="0" w:space="0" w:color="auto"/>
        <w:right w:val="none" w:sz="0" w:space="0" w:color="auto"/>
      </w:divBdr>
    </w:div>
    <w:div w:id="1163621305">
      <w:bodyDiv w:val="1"/>
      <w:marLeft w:val="0"/>
      <w:marRight w:val="0"/>
      <w:marTop w:val="0"/>
      <w:marBottom w:val="0"/>
      <w:divBdr>
        <w:top w:val="none" w:sz="0" w:space="0" w:color="auto"/>
        <w:left w:val="none" w:sz="0" w:space="0" w:color="auto"/>
        <w:bottom w:val="none" w:sz="0" w:space="0" w:color="auto"/>
        <w:right w:val="none" w:sz="0" w:space="0" w:color="auto"/>
      </w:divBdr>
    </w:div>
    <w:div w:id="1189031764">
      <w:bodyDiv w:val="1"/>
      <w:marLeft w:val="0"/>
      <w:marRight w:val="0"/>
      <w:marTop w:val="0"/>
      <w:marBottom w:val="0"/>
      <w:divBdr>
        <w:top w:val="none" w:sz="0" w:space="0" w:color="auto"/>
        <w:left w:val="none" w:sz="0" w:space="0" w:color="auto"/>
        <w:bottom w:val="none" w:sz="0" w:space="0" w:color="auto"/>
        <w:right w:val="none" w:sz="0" w:space="0" w:color="auto"/>
      </w:divBdr>
    </w:div>
    <w:div w:id="1205143478">
      <w:bodyDiv w:val="1"/>
      <w:marLeft w:val="0"/>
      <w:marRight w:val="0"/>
      <w:marTop w:val="0"/>
      <w:marBottom w:val="0"/>
      <w:divBdr>
        <w:top w:val="none" w:sz="0" w:space="0" w:color="auto"/>
        <w:left w:val="none" w:sz="0" w:space="0" w:color="auto"/>
        <w:bottom w:val="none" w:sz="0" w:space="0" w:color="auto"/>
        <w:right w:val="none" w:sz="0" w:space="0" w:color="auto"/>
      </w:divBdr>
    </w:div>
    <w:div w:id="1209343826">
      <w:bodyDiv w:val="1"/>
      <w:marLeft w:val="0"/>
      <w:marRight w:val="0"/>
      <w:marTop w:val="0"/>
      <w:marBottom w:val="0"/>
      <w:divBdr>
        <w:top w:val="none" w:sz="0" w:space="0" w:color="auto"/>
        <w:left w:val="none" w:sz="0" w:space="0" w:color="auto"/>
        <w:bottom w:val="none" w:sz="0" w:space="0" w:color="auto"/>
        <w:right w:val="none" w:sz="0" w:space="0" w:color="auto"/>
      </w:divBdr>
    </w:div>
    <w:div w:id="1210191209">
      <w:bodyDiv w:val="1"/>
      <w:marLeft w:val="0"/>
      <w:marRight w:val="0"/>
      <w:marTop w:val="0"/>
      <w:marBottom w:val="0"/>
      <w:divBdr>
        <w:top w:val="none" w:sz="0" w:space="0" w:color="auto"/>
        <w:left w:val="none" w:sz="0" w:space="0" w:color="auto"/>
        <w:bottom w:val="none" w:sz="0" w:space="0" w:color="auto"/>
        <w:right w:val="none" w:sz="0" w:space="0" w:color="auto"/>
      </w:divBdr>
    </w:div>
    <w:div w:id="1210265031">
      <w:bodyDiv w:val="1"/>
      <w:marLeft w:val="0"/>
      <w:marRight w:val="0"/>
      <w:marTop w:val="0"/>
      <w:marBottom w:val="0"/>
      <w:divBdr>
        <w:top w:val="none" w:sz="0" w:space="0" w:color="auto"/>
        <w:left w:val="none" w:sz="0" w:space="0" w:color="auto"/>
        <w:bottom w:val="none" w:sz="0" w:space="0" w:color="auto"/>
        <w:right w:val="none" w:sz="0" w:space="0" w:color="auto"/>
      </w:divBdr>
    </w:div>
    <w:div w:id="1218249791">
      <w:bodyDiv w:val="1"/>
      <w:marLeft w:val="0"/>
      <w:marRight w:val="0"/>
      <w:marTop w:val="0"/>
      <w:marBottom w:val="0"/>
      <w:divBdr>
        <w:top w:val="none" w:sz="0" w:space="0" w:color="auto"/>
        <w:left w:val="none" w:sz="0" w:space="0" w:color="auto"/>
        <w:bottom w:val="none" w:sz="0" w:space="0" w:color="auto"/>
        <w:right w:val="none" w:sz="0" w:space="0" w:color="auto"/>
      </w:divBdr>
    </w:div>
    <w:div w:id="1222709853">
      <w:bodyDiv w:val="1"/>
      <w:marLeft w:val="0"/>
      <w:marRight w:val="0"/>
      <w:marTop w:val="0"/>
      <w:marBottom w:val="0"/>
      <w:divBdr>
        <w:top w:val="none" w:sz="0" w:space="0" w:color="auto"/>
        <w:left w:val="none" w:sz="0" w:space="0" w:color="auto"/>
        <w:bottom w:val="none" w:sz="0" w:space="0" w:color="auto"/>
        <w:right w:val="none" w:sz="0" w:space="0" w:color="auto"/>
      </w:divBdr>
    </w:div>
    <w:div w:id="1224753214">
      <w:bodyDiv w:val="1"/>
      <w:marLeft w:val="0"/>
      <w:marRight w:val="0"/>
      <w:marTop w:val="0"/>
      <w:marBottom w:val="0"/>
      <w:divBdr>
        <w:top w:val="none" w:sz="0" w:space="0" w:color="auto"/>
        <w:left w:val="none" w:sz="0" w:space="0" w:color="auto"/>
        <w:bottom w:val="none" w:sz="0" w:space="0" w:color="auto"/>
        <w:right w:val="none" w:sz="0" w:space="0" w:color="auto"/>
      </w:divBdr>
    </w:div>
    <w:div w:id="1231580990">
      <w:bodyDiv w:val="1"/>
      <w:marLeft w:val="0"/>
      <w:marRight w:val="0"/>
      <w:marTop w:val="0"/>
      <w:marBottom w:val="0"/>
      <w:divBdr>
        <w:top w:val="none" w:sz="0" w:space="0" w:color="auto"/>
        <w:left w:val="none" w:sz="0" w:space="0" w:color="auto"/>
        <w:bottom w:val="none" w:sz="0" w:space="0" w:color="auto"/>
        <w:right w:val="none" w:sz="0" w:space="0" w:color="auto"/>
      </w:divBdr>
    </w:div>
    <w:div w:id="1235700064">
      <w:bodyDiv w:val="1"/>
      <w:marLeft w:val="0"/>
      <w:marRight w:val="0"/>
      <w:marTop w:val="0"/>
      <w:marBottom w:val="0"/>
      <w:divBdr>
        <w:top w:val="none" w:sz="0" w:space="0" w:color="auto"/>
        <w:left w:val="none" w:sz="0" w:space="0" w:color="auto"/>
        <w:bottom w:val="none" w:sz="0" w:space="0" w:color="auto"/>
        <w:right w:val="none" w:sz="0" w:space="0" w:color="auto"/>
      </w:divBdr>
    </w:div>
    <w:div w:id="1237320083">
      <w:bodyDiv w:val="1"/>
      <w:marLeft w:val="0"/>
      <w:marRight w:val="0"/>
      <w:marTop w:val="0"/>
      <w:marBottom w:val="0"/>
      <w:divBdr>
        <w:top w:val="none" w:sz="0" w:space="0" w:color="auto"/>
        <w:left w:val="none" w:sz="0" w:space="0" w:color="auto"/>
        <w:bottom w:val="none" w:sz="0" w:space="0" w:color="auto"/>
        <w:right w:val="none" w:sz="0" w:space="0" w:color="auto"/>
      </w:divBdr>
    </w:div>
    <w:div w:id="1240793375">
      <w:bodyDiv w:val="1"/>
      <w:marLeft w:val="0"/>
      <w:marRight w:val="0"/>
      <w:marTop w:val="0"/>
      <w:marBottom w:val="0"/>
      <w:divBdr>
        <w:top w:val="none" w:sz="0" w:space="0" w:color="auto"/>
        <w:left w:val="none" w:sz="0" w:space="0" w:color="auto"/>
        <w:bottom w:val="none" w:sz="0" w:space="0" w:color="auto"/>
        <w:right w:val="none" w:sz="0" w:space="0" w:color="auto"/>
      </w:divBdr>
    </w:div>
    <w:div w:id="1250968975">
      <w:bodyDiv w:val="1"/>
      <w:marLeft w:val="0"/>
      <w:marRight w:val="0"/>
      <w:marTop w:val="0"/>
      <w:marBottom w:val="0"/>
      <w:divBdr>
        <w:top w:val="none" w:sz="0" w:space="0" w:color="auto"/>
        <w:left w:val="none" w:sz="0" w:space="0" w:color="auto"/>
        <w:bottom w:val="none" w:sz="0" w:space="0" w:color="auto"/>
        <w:right w:val="none" w:sz="0" w:space="0" w:color="auto"/>
      </w:divBdr>
    </w:div>
    <w:div w:id="1260023300">
      <w:bodyDiv w:val="1"/>
      <w:marLeft w:val="0"/>
      <w:marRight w:val="0"/>
      <w:marTop w:val="0"/>
      <w:marBottom w:val="0"/>
      <w:divBdr>
        <w:top w:val="none" w:sz="0" w:space="0" w:color="auto"/>
        <w:left w:val="none" w:sz="0" w:space="0" w:color="auto"/>
        <w:bottom w:val="none" w:sz="0" w:space="0" w:color="auto"/>
        <w:right w:val="none" w:sz="0" w:space="0" w:color="auto"/>
      </w:divBdr>
    </w:div>
    <w:div w:id="1266112114">
      <w:bodyDiv w:val="1"/>
      <w:marLeft w:val="0"/>
      <w:marRight w:val="0"/>
      <w:marTop w:val="0"/>
      <w:marBottom w:val="0"/>
      <w:divBdr>
        <w:top w:val="none" w:sz="0" w:space="0" w:color="auto"/>
        <w:left w:val="none" w:sz="0" w:space="0" w:color="auto"/>
        <w:bottom w:val="none" w:sz="0" w:space="0" w:color="auto"/>
        <w:right w:val="none" w:sz="0" w:space="0" w:color="auto"/>
      </w:divBdr>
    </w:div>
    <w:div w:id="1267153837">
      <w:bodyDiv w:val="1"/>
      <w:marLeft w:val="0"/>
      <w:marRight w:val="0"/>
      <w:marTop w:val="0"/>
      <w:marBottom w:val="0"/>
      <w:divBdr>
        <w:top w:val="none" w:sz="0" w:space="0" w:color="auto"/>
        <w:left w:val="none" w:sz="0" w:space="0" w:color="auto"/>
        <w:bottom w:val="none" w:sz="0" w:space="0" w:color="auto"/>
        <w:right w:val="none" w:sz="0" w:space="0" w:color="auto"/>
      </w:divBdr>
    </w:div>
    <w:div w:id="1270743376">
      <w:bodyDiv w:val="1"/>
      <w:marLeft w:val="0"/>
      <w:marRight w:val="0"/>
      <w:marTop w:val="0"/>
      <w:marBottom w:val="0"/>
      <w:divBdr>
        <w:top w:val="none" w:sz="0" w:space="0" w:color="auto"/>
        <w:left w:val="none" w:sz="0" w:space="0" w:color="auto"/>
        <w:bottom w:val="none" w:sz="0" w:space="0" w:color="auto"/>
        <w:right w:val="none" w:sz="0" w:space="0" w:color="auto"/>
      </w:divBdr>
    </w:div>
    <w:div w:id="1283729895">
      <w:bodyDiv w:val="1"/>
      <w:marLeft w:val="0"/>
      <w:marRight w:val="0"/>
      <w:marTop w:val="0"/>
      <w:marBottom w:val="0"/>
      <w:divBdr>
        <w:top w:val="none" w:sz="0" w:space="0" w:color="auto"/>
        <w:left w:val="none" w:sz="0" w:space="0" w:color="auto"/>
        <w:bottom w:val="none" w:sz="0" w:space="0" w:color="auto"/>
        <w:right w:val="none" w:sz="0" w:space="0" w:color="auto"/>
      </w:divBdr>
    </w:div>
    <w:div w:id="1288390497">
      <w:bodyDiv w:val="1"/>
      <w:marLeft w:val="0"/>
      <w:marRight w:val="0"/>
      <w:marTop w:val="0"/>
      <w:marBottom w:val="0"/>
      <w:divBdr>
        <w:top w:val="none" w:sz="0" w:space="0" w:color="auto"/>
        <w:left w:val="none" w:sz="0" w:space="0" w:color="auto"/>
        <w:bottom w:val="none" w:sz="0" w:space="0" w:color="auto"/>
        <w:right w:val="none" w:sz="0" w:space="0" w:color="auto"/>
      </w:divBdr>
    </w:div>
    <w:div w:id="1295722241">
      <w:bodyDiv w:val="1"/>
      <w:marLeft w:val="0"/>
      <w:marRight w:val="0"/>
      <w:marTop w:val="0"/>
      <w:marBottom w:val="0"/>
      <w:divBdr>
        <w:top w:val="none" w:sz="0" w:space="0" w:color="auto"/>
        <w:left w:val="none" w:sz="0" w:space="0" w:color="auto"/>
        <w:bottom w:val="none" w:sz="0" w:space="0" w:color="auto"/>
        <w:right w:val="none" w:sz="0" w:space="0" w:color="auto"/>
      </w:divBdr>
    </w:div>
    <w:div w:id="1302154700">
      <w:bodyDiv w:val="1"/>
      <w:marLeft w:val="0"/>
      <w:marRight w:val="0"/>
      <w:marTop w:val="0"/>
      <w:marBottom w:val="0"/>
      <w:divBdr>
        <w:top w:val="none" w:sz="0" w:space="0" w:color="auto"/>
        <w:left w:val="none" w:sz="0" w:space="0" w:color="auto"/>
        <w:bottom w:val="none" w:sz="0" w:space="0" w:color="auto"/>
        <w:right w:val="none" w:sz="0" w:space="0" w:color="auto"/>
      </w:divBdr>
    </w:div>
    <w:div w:id="1309480523">
      <w:bodyDiv w:val="1"/>
      <w:marLeft w:val="0"/>
      <w:marRight w:val="0"/>
      <w:marTop w:val="0"/>
      <w:marBottom w:val="0"/>
      <w:divBdr>
        <w:top w:val="none" w:sz="0" w:space="0" w:color="auto"/>
        <w:left w:val="none" w:sz="0" w:space="0" w:color="auto"/>
        <w:bottom w:val="none" w:sz="0" w:space="0" w:color="auto"/>
        <w:right w:val="none" w:sz="0" w:space="0" w:color="auto"/>
      </w:divBdr>
    </w:div>
    <w:div w:id="1312566268">
      <w:bodyDiv w:val="1"/>
      <w:marLeft w:val="0"/>
      <w:marRight w:val="0"/>
      <w:marTop w:val="0"/>
      <w:marBottom w:val="0"/>
      <w:divBdr>
        <w:top w:val="none" w:sz="0" w:space="0" w:color="auto"/>
        <w:left w:val="none" w:sz="0" w:space="0" w:color="auto"/>
        <w:bottom w:val="none" w:sz="0" w:space="0" w:color="auto"/>
        <w:right w:val="none" w:sz="0" w:space="0" w:color="auto"/>
      </w:divBdr>
    </w:div>
    <w:div w:id="1312640033">
      <w:bodyDiv w:val="1"/>
      <w:marLeft w:val="0"/>
      <w:marRight w:val="0"/>
      <w:marTop w:val="0"/>
      <w:marBottom w:val="0"/>
      <w:divBdr>
        <w:top w:val="none" w:sz="0" w:space="0" w:color="auto"/>
        <w:left w:val="none" w:sz="0" w:space="0" w:color="auto"/>
        <w:bottom w:val="none" w:sz="0" w:space="0" w:color="auto"/>
        <w:right w:val="none" w:sz="0" w:space="0" w:color="auto"/>
      </w:divBdr>
    </w:div>
    <w:div w:id="1312977602">
      <w:bodyDiv w:val="1"/>
      <w:marLeft w:val="0"/>
      <w:marRight w:val="0"/>
      <w:marTop w:val="0"/>
      <w:marBottom w:val="0"/>
      <w:divBdr>
        <w:top w:val="none" w:sz="0" w:space="0" w:color="auto"/>
        <w:left w:val="none" w:sz="0" w:space="0" w:color="auto"/>
        <w:bottom w:val="none" w:sz="0" w:space="0" w:color="auto"/>
        <w:right w:val="none" w:sz="0" w:space="0" w:color="auto"/>
      </w:divBdr>
    </w:div>
    <w:div w:id="1319337844">
      <w:bodyDiv w:val="1"/>
      <w:marLeft w:val="0"/>
      <w:marRight w:val="0"/>
      <w:marTop w:val="0"/>
      <w:marBottom w:val="0"/>
      <w:divBdr>
        <w:top w:val="none" w:sz="0" w:space="0" w:color="auto"/>
        <w:left w:val="none" w:sz="0" w:space="0" w:color="auto"/>
        <w:bottom w:val="none" w:sz="0" w:space="0" w:color="auto"/>
        <w:right w:val="none" w:sz="0" w:space="0" w:color="auto"/>
      </w:divBdr>
    </w:div>
    <w:div w:id="1327783823">
      <w:bodyDiv w:val="1"/>
      <w:marLeft w:val="0"/>
      <w:marRight w:val="0"/>
      <w:marTop w:val="0"/>
      <w:marBottom w:val="0"/>
      <w:divBdr>
        <w:top w:val="none" w:sz="0" w:space="0" w:color="auto"/>
        <w:left w:val="none" w:sz="0" w:space="0" w:color="auto"/>
        <w:bottom w:val="none" w:sz="0" w:space="0" w:color="auto"/>
        <w:right w:val="none" w:sz="0" w:space="0" w:color="auto"/>
      </w:divBdr>
    </w:div>
    <w:div w:id="1329820719">
      <w:bodyDiv w:val="1"/>
      <w:marLeft w:val="0"/>
      <w:marRight w:val="0"/>
      <w:marTop w:val="0"/>
      <w:marBottom w:val="0"/>
      <w:divBdr>
        <w:top w:val="none" w:sz="0" w:space="0" w:color="auto"/>
        <w:left w:val="none" w:sz="0" w:space="0" w:color="auto"/>
        <w:bottom w:val="none" w:sz="0" w:space="0" w:color="auto"/>
        <w:right w:val="none" w:sz="0" w:space="0" w:color="auto"/>
      </w:divBdr>
    </w:div>
    <w:div w:id="1339582154">
      <w:bodyDiv w:val="1"/>
      <w:marLeft w:val="0"/>
      <w:marRight w:val="0"/>
      <w:marTop w:val="0"/>
      <w:marBottom w:val="0"/>
      <w:divBdr>
        <w:top w:val="none" w:sz="0" w:space="0" w:color="auto"/>
        <w:left w:val="none" w:sz="0" w:space="0" w:color="auto"/>
        <w:bottom w:val="none" w:sz="0" w:space="0" w:color="auto"/>
        <w:right w:val="none" w:sz="0" w:space="0" w:color="auto"/>
      </w:divBdr>
    </w:div>
    <w:div w:id="1341588443">
      <w:bodyDiv w:val="1"/>
      <w:marLeft w:val="0"/>
      <w:marRight w:val="0"/>
      <w:marTop w:val="0"/>
      <w:marBottom w:val="0"/>
      <w:divBdr>
        <w:top w:val="none" w:sz="0" w:space="0" w:color="auto"/>
        <w:left w:val="none" w:sz="0" w:space="0" w:color="auto"/>
        <w:bottom w:val="none" w:sz="0" w:space="0" w:color="auto"/>
        <w:right w:val="none" w:sz="0" w:space="0" w:color="auto"/>
      </w:divBdr>
      <w:divsChild>
        <w:div w:id="1708530899">
          <w:marLeft w:val="0"/>
          <w:marRight w:val="0"/>
          <w:marTop w:val="0"/>
          <w:marBottom w:val="0"/>
          <w:divBdr>
            <w:top w:val="none" w:sz="0" w:space="0" w:color="auto"/>
            <w:left w:val="none" w:sz="0" w:space="0" w:color="auto"/>
            <w:bottom w:val="none" w:sz="0" w:space="0" w:color="auto"/>
            <w:right w:val="none" w:sz="0" w:space="0" w:color="auto"/>
          </w:divBdr>
          <w:divsChild>
            <w:div w:id="1155797566">
              <w:marLeft w:val="0"/>
              <w:marRight w:val="0"/>
              <w:marTop w:val="0"/>
              <w:marBottom w:val="0"/>
              <w:divBdr>
                <w:top w:val="none" w:sz="0" w:space="0" w:color="auto"/>
                <w:left w:val="none" w:sz="0" w:space="0" w:color="auto"/>
                <w:bottom w:val="none" w:sz="0" w:space="0" w:color="auto"/>
                <w:right w:val="none" w:sz="0" w:space="0" w:color="auto"/>
              </w:divBdr>
              <w:divsChild>
                <w:div w:id="1273245504">
                  <w:marLeft w:val="0"/>
                  <w:marRight w:val="0"/>
                  <w:marTop w:val="0"/>
                  <w:marBottom w:val="0"/>
                  <w:divBdr>
                    <w:top w:val="none" w:sz="0" w:space="0" w:color="auto"/>
                    <w:left w:val="none" w:sz="0" w:space="0" w:color="auto"/>
                    <w:bottom w:val="none" w:sz="0" w:space="0" w:color="auto"/>
                    <w:right w:val="none" w:sz="0" w:space="0" w:color="auto"/>
                  </w:divBdr>
                  <w:divsChild>
                    <w:div w:id="205604414">
                      <w:marLeft w:val="0"/>
                      <w:marRight w:val="0"/>
                      <w:marTop w:val="0"/>
                      <w:marBottom w:val="0"/>
                      <w:divBdr>
                        <w:top w:val="none" w:sz="0" w:space="0" w:color="auto"/>
                        <w:left w:val="none" w:sz="0" w:space="0" w:color="auto"/>
                        <w:bottom w:val="none" w:sz="0" w:space="0" w:color="auto"/>
                        <w:right w:val="none" w:sz="0" w:space="0" w:color="auto"/>
                      </w:divBdr>
                      <w:divsChild>
                        <w:div w:id="625084297">
                          <w:marLeft w:val="0"/>
                          <w:marRight w:val="0"/>
                          <w:marTop w:val="0"/>
                          <w:marBottom w:val="0"/>
                          <w:divBdr>
                            <w:top w:val="none" w:sz="0" w:space="0" w:color="auto"/>
                            <w:left w:val="none" w:sz="0" w:space="0" w:color="auto"/>
                            <w:bottom w:val="none" w:sz="0" w:space="0" w:color="auto"/>
                            <w:right w:val="none" w:sz="0" w:space="0" w:color="auto"/>
                          </w:divBdr>
                          <w:divsChild>
                            <w:div w:id="20128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463399">
      <w:bodyDiv w:val="1"/>
      <w:marLeft w:val="0"/>
      <w:marRight w:val="0"/>
      <w:marTop w:val="0"/>
      <w:marBottom w:val="0"/>
      <w:divBdr>
        <w:top w:val="none" w:sz="0" w:space="0" w:color="auto"/>
        <w:left w:val="none" w:sz="0" w:space="0" w:color="auto"/>
        <w:bottom w:val="none" w:sz="0" w:space="0" w:color="auto"/>
        <w:right w:val="none" w:sz="0" w:space="0" w:color="auto"/>
      </w:divBdr>
    </w:div>
    <w:div w:id="1357922902">
      <w:bodyDiv w:val="1"/>
      <w:marLeft w:val="0"/>
      <w:marRight w:val="0"/>
      <w:marTop w:val="0"/>
      <w:marBottom w:val="0"/>
      <w:divBdr>
        <w:top w:val="none" w:sz="0" w:space="0" w:color="auto"/>
        <w:left w:val="none" w:sz="0" w:space="0" w:color="auto"/>
        <w:bottom w:val="none" w:sz="0" w:space="0" w:color="auto"/>
        <w:right w:val="none" w:sz="0" w:space="0" w:color="auto"/>
      </w:divBdr>
    </w:div>
    <w:div w:id="1359042976">
      <w:bodyDiv w:val="1"/>
      <w:marLeft w:val="0"/>
      <w:marRight w:val="0"/>
      <w:marTop w:val="0"/>
      <w:marBottom w:val="0"/>
      <w:divBdr>
        <w:top w:val="none" w:sz="0" w:space="0" w:color="auto"/>
        <w:left w:val="none" w:sz="0" w:space="0" w:color="auto"/>
        <w:bottom w:val="none" w:sz="0" w:space="0" w:color="auto"/>
        <w:right w:val="none" w:sz="0" w:space="0" w:color="auto"/>
      </w:divBdr>
    </w:div>
    <w:div w:id="1362196930">
      <w:bodyDiv w:val="1"/>
      <w:marLeft w:val="0"/>
      <w:marRight w:val="0"/>
      <w:marTop w:val="0"/>
      <w:marBottom w:val="0"/>
      <w:divBdr>
        <w:top w:val="none" w:sz="0" w:space="0" w:color="auto"/>
        <w:left w:val="none" w:sz="0" w:space="0" w:color="auto"/>
        <w:bottom w:val="none" w:sz="0" w:space="0" w:color="auto"/>
        <w:right w:val="none" w:sz="0" w:space="0" w:color="auto"/>
      </w:divBdr>
      <w:divsChild>
        <w:div w:id="1548252653">
          <w:marLeft w:val="0"/>
          <w:marRight w:val="0"/>
          <w:marTop w:val="0"/>
          <w:marBottom w:val="0"/>
          <w:divBdr>
            <w:top w:val="none" w:sz="0" w:space="0" w:color="auto"/>
            <w:left w:val="none" w:sz="0" w:space="0" w:color="auto"/>
            <w:bottom w:val="none" w:sz="0" w:space="0" w:color="auto"/>
            <w:right w:val="none" w:sz="0" w:space="0" w:color="auto"/>
          </w:divBdr>
        </w:div>
        <w:div w:id="926310715">
          <w:marLeft w:val="0"/>
          <w:marRight w:val="0"/>
          <w:marTop w:val="0"/>
          <w:marBottom w:val="0"/>
          <w:divBdr>
            <w:top w:val="none" w:sz="0" w:space="0" w:color="auto"/>
            <w:left w:val="none" w:sz="0" w:space="0" w:color="auto"/>
            <w:bottom w:val="none" w:sz="0" w:space="0" w:color="auto"/>
            <w:right w:val="none" w:sz="0" w:space="0" w:color="auto"/>
          </w:divBdr>
        </w:div>
        <w:div w:id="1324747255">
          <w:marLeft w:val="0"/>
          <w:marRight w:val="0"/>
          <w:marTop w:val="0"/>
          <w:marBottom w:val="0"/>
          <w:divBdr>
            <w:top w:val="none" w:sz="0" w:space="0" w:color="auto"/>
            <w:left w:val="none" w:sz="0" w:space="0" w:color="auto"/>
            <w:bottom w:val="none" w:sz="0" w:space="0" w:color="auto"/>
            <w:right w:val="none" w:sz="0" w:space="0" w:color="auto"/>
          </w:divBdr>
        </w:div>
        <w:div w:id="1966934367">
          <w:marLeft w:val="0"/>
          <w:marRight w:val="0"/>
          <w:marTop w:val="0"/>
          <w:marBottom w:val="0"/>
          <w:divBdr>
            <w:top w:val="none" w:sz="0" w:space="0" w:color="auto"/>
            <w:left w:val="none" w:sz="0" w:space="0" w:color="auto"/>
            <w:bottom w:val="none" w:sz="0" w:space="0" w:color="auto"/>
            <w:right w:val="none" w:sz="0" w:space="0" w:color="auto"/>
          </w:divBdr>
        </w:div>
        <w:div w:id="247157710">
          <w:marLeft w:val="0"/>
          <w:marRight w:val="0"/>
          <w:marTop w:val="0"/>
          <w:marBottom w:val="0"/>
          <w:divBdr>
            <w:top w:val="none" w:sz="0" w:space="0" w:color="auto"/>
            <w:left w:val="none" w:sz="0" w:space="0" w:color="auto"/>
            <w:bottom w:val="none" w:sz="0" w:space="0" w:color="auto"/>
            <w:right w:val="none" w:sz="0" w:space="0" w:color="auto"/>
          </w:divBdr>
        </w:div>
        <w:div w:id="344525145">
          <w:marLeft w:val="0"/>
          <w:marRight w:val="0"/>
          <w:marTop w:val="0"/>
          <w:marBottom w:val="0"/>
          <w:divBdr>
            <w:top w:val="none" w:sz="0" w:space="0" w:color="auto"/>
            <w:left w:val="none" w:sz="0" w:space="0" w:color="auto"/>
            <w:bottom w:val="none" w:sz="0" w:space="0" w:color="auto"/>
            <w:right w:val="none" w:sz="0" w:space="0" w:color="auto"/>
          </w:divBdr>
        </w:div>
        <w:div w:id="879559208">
          <w:marLeft w:val="0"/>
          <w:marRight w:val="0"/>
          <w:marTop w:val="0"/>
          <w:marBottom w:val="0"/>
          <w:divBdr>
            <w:top w:val="none" w:sz="0" w:space="0" w:color="auto"/>
            <w:left w:val="none" w:sz="0" w:space="0" w:color="auto"/>
            <w:bottom w:val="none" w:sz="0" w:space="0" w:color="auto"/>
            <w:right w:val="none" w:sz="0" w:space="0" w:color="auto"/>
          </w:divBdr>
        </w:div>
        <w:div w:id="2002197595">
          <w:marLeft w:val="0"/>
          <w:marRight w:val="0"/>
          <w:marTop w:val="0"/>
          <w:marBottom w:val="0"/>
          <w:divBdr>
            <w:top w:val="none" w:sz="0" w:space="0" w:color="auto"/>
            <w:left w:val="none" w:sz="0" w:space="0" w:color="auto"/>
            <w:bottom w:val="none" w:sz="0" w:space="0" w:color="auto"/>
            <w:right w:val="none" w:sz="0" w:space="0" w:color="auto"/>
          </w:divBdr>
        </w:div>
        <w:div w:id="1971129653">
          <w:marLeft w:val="0"/>
          <w:marRight w:val="0"/>
          <w:marTop w:val="0"/>
          <w:marBottom w:val="0"/>
          <w:divBdr>
            <w:top w:val="none" w:sz="0" w:space="0" w:color="auto"/>
            <w:left w:val="none" w:sz="0" w:space="0" w:color="auto"/>
            <w:bottom w:val="none" w:sz="0" w:space="0" w:color="auto"/>
            <w:right w:val="none" w:sz="0" w:space="0" w:color="auto"/>
          </w:divBdr>
        </w:div>
        <w:div w:id="827211423">
          <w:marLeft w:val="0"/>
          <w:marRight w:val="0"/>
          <w:marTop w:val="0"/>
          <w:marBottom w:val="0"/>
          <w:divBdr>
            <w:top w:val="none" w:sz="0" w:space="0" w:color="auto"/>
            <w:left w:val="none" w:sz="0" w:space="0" w:color="auto"/>
            <w:bottom w:val="none" w:sz="0" w:space="0" w:color="auto"/>
            <w:right w:val="none" w:sz="0" w:space="0" w:color="auto"/>
          </w:divBdr>
        </w:div>
        <w:div w:id="1849756837">
          <w:marLeft w:val="0"/>
          <w:marRight w:val="0"/>
          <w:marTop w:val="0"/>
          <w:marBottom w:val="0"/>
          <w:divBdr>
            <w:top w:val="none" w:sz="0" w:space="0" w:color="auto"/>
            <w:left w:val="none" w:sz="0" w:space="0" w:color="auto"/>
            <w:bottom w:val="none" w:sz="0" w:space="0" w:color="auto"/>
            <w:right w:val="none" w:sz="0" w:space="0" w:color="auto"/>
          </w:divBdr>
        </w:div>
        <w:div w:id="218130774">
          <w:marLeft w:val="0"/>
          <w:marRight w:val="0"/>
          <w:marTop w:val="0"/>
          <w:marBottom w:val="0"/>
          <w:divBdr>
            <w:top w:val="none" w:sz="0" w:space="0" w:color="auto"/>
            <w:left w:val="none" w:sz="0" w:space="0" w:color="auto"/>
            <w:bottom w:val="none" w:sz="0" w:space="0" w:color="auto"/>
            <w:right w:val="none" w:sz="0" w:space="0" w:color="auto"/>
          </w:divBdr>
        </w:div>
        <w:div w:id="542836122">
          <w:marLeft w:val="0"/>
          <w:marRight w:val="0"/>
          <w:marTop w:val="0"/>
          <w:marBottom w:val="0"/>
          <w:divBdr>
            <w:top w:val="none" w:sz="0" w:space="0" w:color="auto"/>
            <w:left w:val="none" w:sz="0" w:space="0" w:color="auto"/>
            <w:bottom w:val="none" w:sz="0" w:space="0" w:color="auto"/>
            <w:right w:val="none" w:sz="0" w:space="0" w:color="auto"/>
          </w:divBdr>
        </w:div>
        <w:div w:id="1289358755">
          <w:marLeft w:val="0"/>
          <w:marRight w:val="0"/>
          <w:marTop w:val="0"/>
          <w:marBottom w:val="0"/>
          <w:divBdr>
            <w:top w:val="none" w:sz="0" w:space="0" w:color="auto"/>
            <w:left w:val="none" w:sz="0" w:space="0" w:color="auto"/>
            <w:bottom w:val="none" w:sz="0" w:space="0" w:color="auto"/>
            <w:right w:val="none" w:sz="0" w:space="0" w:color="auto"/>
          </w:divBdr>
        </w:div>
        <w:div w:id="1216966279">
          <w:marLeft w:val="0"/>
          <w:marRight w:val="0"/>
          <w:marTop w:val="0"/>
          <w:marBottom w:val="0"/>
          <w:divBdr>
            <w:top w:val="none" w:sz="0" w:space="0" w:color="auto"/>
            <w:left w:val="none" w:sz="0" w:space="0" w:color="auto"/>
            <w:bottom w:val="none" w:sz="0" w:space="0" w:color="auto"/>
            <w:right w:val="none" w:sz="0" w:space="0" w:color="auto"/>
          </w:divBdr>
        </w:div>
        <w:div w:id="244730983">
          <w:marLeft w:val="0"/>
          <w:marRight w:val="0"/>
          <w:marTop w:val="0"/>
          <w:marBottom w:val="0"/>
          <w:divBdr>
            <w:top w:val="none" w:sz="0" w:space="0" w:color="auto"/>
            <w:left w:val="none" w:sz="0" w:space="0" w:color="auto"/>
            <w:bottom w:val="none" w:sz="0" w:space="0" w:color="auto"/>
            <w:right w:val="none" w:sz="0" w:space="0" w:color="auto"/>
          </w:divBdr>
        </w:div>
        <w:div w:id="590286045">
          <w:marLeft w:val="0"/>
          <w:marRight w:val="0"/>
          <w:marTop w:val="0"/>
          <w:marBottom w:val="0"/>
          <w:divBdr>
            <w:top w:val="none" w:sz="0" w:space="0" w:color="auto"/>
            <w:left w:val="none" w:sz="0" w:space="0" w:color="auto"/>
            <w:bottom w:val="none" w:sz="0" w:space="0" w:color="auto"/>
            <w:right w:val="none" w:sz="0" w:space="0" w:color="auto"/>
          </w:divBdr>
        </w:div>
        <w:div w:id="1564442034">
          <w:marLeft w:val="0"/>
          <w:marRight w:val="0"/>
          <w:marTop w:val="0"/>
          <w:marBottom w:val="0"/>
          <w:divBdr>
            <w:top w:val="none" w:sz="0" w:space="0" w:color="auto"/>
            <w:left w:val="none" w:sz="0" w:space="0" w:color="auto"/>
            <w:bottom w:val="none" w:sz="0" w:space="0" w:color="auto"/>
            <w:right w:val="none" w:sz="0" w:space="0" w:color="auto"/>
          </w:divBdr>
        </w:div>
        <w:div w:id="2103380185">
          <w:marLeft w:val="0"/>
          <w:marRight w:val="0"/>
          <w:marTop w:val="0"/>
          <w:marBottom w:val="0"/>
          <w:divBdr>
            <w:top w:val="none" w:sz="0" w:space="0" w:color="auto"/>
            <w:left w:val="none" w:sz="0" w:space="0" w:color="auto"/>
            <w:bottom w:val="none" w:sz="0" w:space="0" w:color="auto"/>
            <w:right w:val="none" w:sz="0" w:space="0" w:color="auto"/>
          </w:divBdr>
        </w:div>
        <w:div w:id="2006006055">
          <w:marLeft w:val="0"/>
          <w:marRight w:val="0"/>
          <w:marTop w:val="0"/>
          <w:marBottom w:val="0"/>
          <w:divBdr>
            <w:top w:val="none" w:sz="0" w:space="0" w:color="auto"/>
            <w:left w:val="none" w:sz="0" w:space="0" w:color="auto"/>
            <w:bottom w:val="none" w:sz="0" w:space="0" w:color="auto"/>
            <w:right w:val="none" w:sz="0" w:space="0" w:color="auto"/>
          </w:divBdr>
        </w:div>
        <w:div w:id="256639329">
          <w:marLeft w:val="0"/>
          <w:marRight w:val="0"/>
          <w:marTop w:val="0"/>
          <w:marBottom w:val="0"/>
          <w:divBdr>
            <w:top w:val="none" w:sz="0" w:space="0" w:color="auto"/>
            <w:left w:val="none" w:sz="0" w:space="0" w:color="auto"/>
            <w:bottom w:val="none" w:sz="0" w:space="0" w:color="auto"/>
            <w:right w:val="none" w:sz="0" w:space="0" w:color="auto"/>
          </w:divBdr>
        </w:div>
        <w:div w:id="621766590">
          <w:marLeft w:val="0"/>
          <w:marRight w:val="0"/>
          <w:marTop w:val="0"/>
          <w:marBottom w:val="0"/>
          <w:divBdr>
            <w:top w:val="none" w:sz="0" w:space="0" w:color="auto"/>
            <w:left w:val="none" w:sz="0" w:space="0" w:color="auto"/>
            <w:bottom w:val="none" w:sz="0" w:space="0" w:color="auto"/>
            <w:right w:val="none" w:sz="0" w:space="0" w:color="auto"/>
          </w:divBdr>
        </w:div>
        <w:div w:id="143087105">
          <w:marLeft w:val="0"/>
          <w:marRight w:val="0"/>
          <w:marTop w:val="0"/>
          <w:marBottom w:val="0"/>
          <w:divBdr>
            <w:top w:val="none" w:sz="0" w:space="0" w:color="auto"/>
            <w:left w:val="none" w:sz="0" w:space="0" w:color="auto"/>
            <w:bottom w:val="none" w:sz="0" w:space="0" w:color="auto"/>
            <w:right w:val="none" w:sz="0" w:space="0" w:color="auto"/>
          </w:divBdr>
        </w:div>
        <w:div w:id="239369884">
          <w:marLeft w:val="0"/>
          <w:marRight w:val="0"/>
          <w:marTop w:val="0"/>
          <w:marBottom w:val="0"/>
          <w:divBdr>
            <w:top w:val="none" w:sz="0" w:space="0" w:color="auto"/>
            <w:left w:val="none" w:sz="0" w:space="0" w:color="auto"/>
            <w:bottom w:val="none" w:sz="0" w:space="0" w:color="auto"/>
            <w:right w:val="none" w:sz="0" w:space="0" w:color="auto"/>
          </w:divBdr>
        </w:div>
        <w:div w:id="1199243280">
          <w:marLeft w:val="0"/>
          <w:marRight w:val="0"/>
          <w:marTop w:val="0"/>
          <w:marBottom w:val="0"/>
          <w:divBdr>
            <w:top w:val="none" w:sz="0" w:space="0" w:color="auto"/>
            <w:left w:val="none" w:sz="0" w:space="0" w:color="auto"/>
            <w:bottom w:val="none" w:sz="0" w:space="0" w:color="auto"/>
            <w:right w:val="none" w:sz="0" w:space="0" w:color="auto"/>
          </w:divBdr>
        </w:div>
        <w:div w:id="1298532463">
          <w:marLeft w:val="0"/>
          <w:marRight w:val="0"/>
          <w:marTop w:val="0"/>
          <w:marBottom w:val="0"/>
          <w:divBdr>
            <w:top w:val="none" w:sz="0" w:space="0" w:color="auto"/>
            <w:left w:val="none" w:sz="0" w:space="0" w:color="auto"/>
            <w:bottom w:val="none" w:sz="0" w:space="0" w:color="auto"/>
            <w:right w:val="none" w:sz="0" w:space="0" w:color="auto"/>
          </w:divBdr>
        </w:div>
        <w:div w:id="195899174">
          <w:marLeft w:val="0"/>
          <w:marRight w:val="0"/>
          <w:marTop w:val="0"/>
          <w:marBottom w:val="0"/>
          <w:divBdr>
            <w:top w:val="none" w:sz="0" w:space="0" w:color="auto"/>
            <w:left w:val="none" w:sz="0" w:space="0" w:color="auto"/>
            <w:bottom w:val="none" w:sz="0" w:space="0" w:color="auto"/>
            <w:right w:val="none" w:sz="0" w:space="0" w:color="auto"/>
          </w:divBdr>
        </w:div>
        <w:div w:id="1621451247">
          <w:marLeft w:val="0"/>
          <w:marRight w:val="0"/>
          <w:marTop w:val="0"/>
          <w:marBottom w:val="0"/>
          <w:divBdr>
            <w:top w:val="none" w:sz="0" w:space="0" w:color="auto"/>
            <w:left w:val="none" w:sz="0" w:space="0" w:color="auto"/>
            <w:bottom w:val="none" w:sz="0" w:space="0" w:color="auto"/>
            <w:right w:val="none" w:sz="0" w:space="0" w:color="auto"/>
          </w:divBdr>
        </w:div>
        <w:div w:id="742945010">
          <w:marLeft w:val="0"/>
          <w:marRight w:val="0"/>
          <w:marTop w:val="0"/>
          <w:marBottom w:val="0"/>
          <w:divBdr>
            <w:top w:val="none" w:sz="0" w:space="0" w:color="auto"/>
            <w:left w:val="none" w:sz="0" w:space="0" w:color="auto"/>
            <w:bottom w:val="none" w:sz="0" w:space="0" w:color="auto"/>
            <w:right w:val="none" w:sz="0" w:space="0" w:color="auto"/>
          </w:divBdr>
        </w:div>
        <w:div w:id="568878879">
          <w:marLeft w:val="0"/>
          <w:marRight w:val="0"/>
          <w:marTop w:val="0"/>
          <w:marBottom w:val="0"/>
          <w:divBdr>
            <w:top w:val="none" w:sz="0" w:space="0" w:color="auto"/>
            <w:left w:val="none" w:sz="0" w:space="0" w:color="auto"/>
            <w:bottom w:val="none" w:sz="0" w:space="0" w:color="auto"/>
            <w:right w:val="none" w:sz="0" w:space="0" w:color="auto"/>
          </w:divBdr>
        </w:div>
        <w:div w:id="850025631">
          <w:marLeft w:val="0"/>
          <w:marRight w:val="0"/>
          <w:marTop w:val="0"/>
          <w:marBottom w:val="0"/>
          <w:divBdr>
            <w:top w:val="none" w:sz="0" w:space="0" w:color="auto"/>
            <w:left w:val="none" w:sz="0" w:space="0" w:color="auto"/>
            <w:bottom w:val="none" w:sz="0" w:space="0" w:color="auto"/>
            <w:right w:val="none" w:sz="0" w:space="0" w:color="auto"/>
          </w:divBdr>
        </w:div>
        <w:div w:id="1444954752">
          <w:marLeft w:val="0"/>
          <w:marRight w:val="0"/>
          <w:marTop w:val="0"/>
          <w:marBottom w:val="0"/>
          <w:divBdr>
            <w:top w:val="none" w:sz="0" w:space="0" w:color="auto"/>
            <w:left w:val="none" w:sz="0" w:space="0" w:color="auto"/>
            <w:bottom w:val="none" w:sz="0" w:space="0" w:color="auto"/>
            <w:right w:val="none" w:sz="0" w:space="0" w:color="auto"/>
          </w:divBdr>
        </w:div>
        <w:div w:id="989290110">
          <w:marLeft w:val="0"/>
          <w:marRight w:val="0"/>
          <w:marTop w:val="0"/>
          <w:marBottom w:val="0"/>
          <w:divBdr>
            <w:top w:val="none" w:sz="0" w:space="0" w:color="auto"/>
            <w:left w:val="none" w:sz="0" w:space="0" w:color="auto"/>
            <w:bottom w:val="none" w:sz="0" w:space="0" w:color="auto"/>
            <w:right w:val="none" w:sz="0" w:space="0" w:color="auto"/>
          </w:divBdr>
        </w:div>
        <w:div w:id="419452105">
          <w:marLeft w:val="0"/>
          <w:marRight w:val="0"/>
          <w:marTop w:val="0"/>
          <w:marBottom w:val="0"/>
          <w:divBdr>
            <w:top w:val="none" w:sz="0" w:space="0" w:color="auto"/>
            <w:left w:val="none" w:sz="0" w:space="0" w:color="auto"/>
            <w:bottom w:val="none" w:sz="0" w:space="0" w:color="auto"/>
            <w:right w:val="none" w:sz="0" w:space="0" w:color="auto"/>
          </w:divBdr>
        </w:div>
        <w:div w:id="1017805404">
          <w:marLeft w:val="0"/>
          <w:marRight w:val="0"/>
          <w:marTop w:val="0"/>
          <w:marBottom w:val="0"/>
          <w:divBdr>
            <w:top w:val="none" w:sz="0" w:space="0" w:color="auto"/>
            <w:left w:val="none" w:sz="0" w:space="0" w:color="auto"/>
            <w:bottom w:val="none" w:sz="0" w:space="0" w:color="auto"/>
            <w:right w:val="none" w:sz="0" w:space="0" w:color="auto"/>
          </w:divBdr>
        </w:div>
      </w:divsChild>
    </w:div>
    <w:div w:id="1364599423">
      <w:bodyDiv w:val="1"/>
      <w:marLeft w:val="0"/>
      <w:marRight w:val="0"/>
      <w:marTop w:val="0"/>
      <w:marBottom w:val="0"/>
      <w:divBdr>
        <w:top w:val="none" w:sz="0" w:space="0" w:color="auto"/>
        <w:left w:val="none" w:sz="0" w:space="0" w:color="auto"/>
        <w:bottom w:val="none" w:sz="0" w:space="0" w:color="auto"/>
        <w:right w:val="none" w:sz="0" w:space="0" w:color="auto"/>
      </w:divBdr>
    </w:div>
    <w:div w:id="1379744714">
      <w:bodyDiv w:val="1"/>
      <w:marLeft w:val="0"/>
      <w:marRight w:val="0"/>
      <w:marTop w:val="0"/>
      <w:marBottom w:val="0"/>
      <w:divBdr>
        <w:top w:val="none" w:sz="0" w:space="0" w:color="auto"/>
        <w:left w:val="none" w:sz="0" w:space="0" w:color="auto"/>
        <w:bottom w:val="none" w:sz="0" w:space="0" w:color="auto"/>
        <w:right w:val="none" w:sz="0" w:space="0" w:color="auto"/>
      </w:divBdr>
    </w:div>
    <w:div w:id="1382709836">
      <w:bodyDiv w:val="1"/>
      <w:marLeft w:val="0"/>
      <w:marRight w:val="0"/>
      <w:marTop w:val="0"/>
      <w:marBottom w:val="0"/>
      <w:divBdr>
        <w:top w:val="none" w:sz="0" w:space="0" w:color="auto"/>
        <w:left w:val="none" w:sz="0" w:space="0" w:color="auto"/>
        <w:bottom w:val="none" w:sz="0" w:space="0" w:color="auto"/>
        <w:right w:val="none" w:sz="0" w:space="0" w:color="auto"/>
      </w:divBdr>
    </w:div>
    <w:div w:id="1386366995">
      <w:bodyDiv w:val="1"/>
      <w:marLeft w:val="0"/>
      <w:marRight w:val="0"/>
      <w:marTop w:val="0"/>
      <w:marBottom w:val="0"/>
      <w:divBdr>
        <w:top w:val="none" w:sz="0" w:space="0" w:color="auto"/>
        <w:left w:val="none" w:sz="0" w:space="0" w:color="auto"/>
        <w:bottom w:val="none" w:sz="0" w:space="0" w:color="auto"/>
        <w:right w:val="none" w:sz="0" w:space="0" w:color="auto"/>
      </w:divBdr>
    </w:div>
    <w:div w:id="1390880758">
      <w:bodyDiv w:val="1"/>
      <w:marLeft w:val="0"/>
      <w:marRight w:val="0"/>
      <w:marTop w:val="0"/>
      <w:marBottom w:val="0"/>
      <w:divBdr>
        <w:top w:val="none" w:sz="0" w:space="0" w:color="auto"/>
        <w:left w:val="none" w:sz="0" w:space="0" w:color="auto"/>
        <w:bottom w:val="none" w:sz="0" w:space="0" w:color="auto"/>
        <w:right w:val="none" w:sz="0" w:space="0" w:color="auto"/>
      </w:divBdr>
    </w:div>
    <w:div w:id="1398698473">
      <w:bodyDiv w:val="1"/>
      <w:marLeft w:val="0"/>
      <w:marRight w:val="0"/>
      <w:marTop w:val="0"/>
      <w:marBottom w:val="0"/>
      <w:divBdr>
        <w:top w:val="none" w:sz="0" w:space="0" w:color="auto"/>
        <w:left w:val="none" w:sz="0" w:space="0" w:color="auto"/>
        <w:bottom w:val="none" w:sz="0" w:space="0" w:color="auto"/>
        <w:right w:val="none" w:sz="0" w:space="0" w:color="auto"/>
      </w:divBdr>
    </w:div>
    <w:div w:id="1409616287">
      <w:bodyDiv w:val="1"/>
      <w:marLeft w:val="0"/>
      <w:marRight w:val="0"/>
      <w:marTop w:val="0"/>
      <w:marBottom w:val="0"/>
      <w:divBdr>
        <w:top w:val="none" w:sz="0" w:space="0" w:color="auto"/>
        <w:left w:val="none" w:sz="0" w:space="0" w:color="auto"/>
        <w:bottom w:val="none" w:sz="0" w:space="0" w:color="auto"/>
        <w:right w:val="none" w:sz="0" w:space="0" w:color="auto"/>
      </w:divBdr>
    </w:div>
    <w:div w:id="1414429058">
      <w:bodyDiv w:val="1"/>
      <w:marLeft w:val="0"/>
      <w:marRight w:val="0"/>
      <w:marTop w:val="0"/>
      <w:marBottom w:val="0"/>
      <w:divBdr>
        <w:top w:val="none" w:sz="0" w:space="0" w:color="auto"/>
        <w:left w:val="none" w:sz="0" w:space="0" w:color="auto"/>
        <w:bottom w:val="none" w:sz="0" w:space="0" w:color="auto"/>
        <w:right w:val="none" w:sz="0" w:space="0" w:color="auto"/>
      </w:divBdr>
    </w:div>
    <w:div w:id="1422608132">
      <w:bodyDiv w:val="1"/>
      <w:marLeft w:val="0"/>
      <w:marRight w:val="0"/>
      <w:marTop w:val="0"/>
      <w:marBottom w:val="0"/>
      <w:divBdr>
        <w:top w:val="none" w:sz="0" w:space="0" w:color="auto"/>
        <w:left w:val="none" w:sz="0" w:space="0" w:color="auto"/>
        <w:bottom w:val="none" w:sz="0" w:space="0" w:color="auto"/>
        <w:right w:val="none" w:sz="0" w:space="0" w:color="auto"/>
      </w:divBdr>
    </w:div>
    <w:div w:id="1424572399">
      <w:bodyDiv w:val="1"/>
      <w:marLeft w:val="0"/>
      <w:marRight w:val="0"/>
      <w:marTop w:val="0"/>
      <w:marBottom w:val="0"/>
      <w:divBdr>
        <w:top w:val="none" w:sz="0" w:space="0" w:color="auto"/>
        <w:left w:val="none" w:sz="0" w:space="0" w:color="auto"/>
        <w:bottom w:val="none" w:sz="0" w:space="0" w:color="auto"/>
        <w:right w:val="none" w:sz="0" w:space="0" w:color="auto"/>
      </w:divBdr>
    </w:div>
    <w:div w:id="1425804997">
      <w:bodyDiv w:val="1"/>
      <w:marLeft w:val="0"/>
      <w:marRight w:val="0"/>
      <w:marTop w:val="0"/>
      <w:marBottom w:val="0"/>
      <w:divBdr>
        <w:top w:val="none" w:sz="0" w:space="0" w:color="auto"/>
        <w:left w:val="none" w:sz="0" w:space="0" w:color="auto"/>
        <w:bottom w:val="none" w:sz="0" w:space="0" w:color="auto"/>
        <w:right w:val="none" w:sz="0" w:space="0" w:color="auto"/>
      </w:divBdr>
    </w:div>
    <w:div w:id="1427380247">
      <w:bodyDiv w:val="1"/>
      <w:marLeft w:val="0"/>
      <w:marRight w:val="0"/>
      <w:marTop w:val="0"/>
      <w:marBottom w:val="0"/>
      <w:divBdr>
        <w:top w:val="none" w:sz="0" w:space="0" w:color="auto"/>
        <w:left w:val="none" w:sz="0" w:space="0" w:color="auto"/>
        <w:bottom w:val="none" w:sz="0" w:space="0" w:color="auto"/>
        <w:right w:val="none" w:sz="0" w:space="0" w:color="auto"/>
      </w:divBdr>
    </w:div>
    <w:div w:id="1430128043">
      <w:bodyDiv w:val="1"/>
      <w:marLeft w:val="0"/>
      <w:marRight w:val="0"/>
      <w:marTop w:val="0"/>
      <w:marBottom w:val="0"/>
      <w:divBdr>
        <w:top w:val="none" w:sz="0" w:space="0" w:color="auto"/>
        <w:left w:val="none" w:sz="0" w:space="0" w:color="auto"/>
        <w:bottom w:val="none" w:sz="0" w:space="0" w:color="auto"/>
        <w:right w:val="none" w:sz="0" w:space="0" w:color="auto"/>
      </w:divBdr>
    </w:div>
    <w:div w:id="1431119069">
      <w:bodyDiv w:val="1"/>
      <w:marLeft w:val="0"/>
      <w:marRight w:val="0"/>
      <w:marTop w:val="0"/>
      <w:marBottom w:val="0"/>
      <w:divBdr>
        <w:top w:val="none" w:sz="0" w:space="0" w:color="auto"/>
        <w:left w:val="none" w:sz="0" w:space="0" w:color="auto"/>
        <w:bottom w:val="none" w:sz="0" w:space="0" w:color="auto"/>
        <w:right w:val="none" w:sz="0" w:space="0" w:color="auto"/>
      </w:divBdr>
    </w:div>
    <w:div w:id="1435637889">
      <w:bodyDiv w:val="1"/>
      <w:marLeft w:val="0"/>
      <w:marRight w:val="0"/>
      <w:marTop w:val="0"/>
      <w:marBottom w:val="0"/>
      <w:divBdr>
        <w:top w:val="none" w:sz="0" w:space="0" w:color="auto"/>
        <w:left w:val="none" w:sz="0" w:space="0" w:color="auto"/>
        <w:bottom w:val="none" w:sz="0" w:space="0" w:color="auto"/>
        <w:right w:val="none" w:sz="0" w:space="0" w:color="auto"/>
      </w:divBdr>
    </w:div>
    <w:div w:id="1438404353">
      <w:bodyDiv w:val="1"/>
      <w:marLeft w:val="0"/>
      <w:marRight w:val="0"/>
      <w:marTop w:val="0"/>
      <w:marBottom w:val="0"/>
      <w:divBdr>
        <w:top w:val="none" w:sz="0" w:space="0" w:color="auto"/>
        <w:left w:val="none" w:sz="0" w:space="0" w:color="auto"/>
        <w:bottom w:val="none" w:sz="0" w:space="0" w:color="auto"/>
        <w:right w:val="none" w:sz="0" w:space="0" w:color="auto"/>
      </w:divBdr>
    </w:div>
    <w:div w:id="1444305923">
      <w:bodyDiv w:val="1"/>
      <w:marLeft w:val="0"/>
      <w:marRight w:val="0"/>
      <w:marTop w:val="0"/>
      <w:marBottom w:val="0"/>
      <w:divBdr>
        <w:top w:val="none" w:sz="0" w:space="0" w:color="auto"/>
        <w:left w:val="none" w:sz="0" w:space="0" w:color="auto"/>
        <w:bottom w:val="none" w:sz="0" w:space="0" w:color="auto"/>
        <w:right w:val="none" w:sz="0" w:space="0" w:color="auto"/>
      </w:divBdr>
    </w:div>
    <w:div w:id="1447043555">
      <w:bodyDiv w:val="1"/>
      <w:marLeft w:val="0"/>
      <w:marRight w:val="0"/>
      <w:marTop w:val="0"/>
      <w:marBottom w:val="0"/>
      <w:divBdr>
        <w:top w:val="none" w:sz="0" w:space="0" w:color="auto"/>
        <w:left w:val="none" w:sz="0" w:space="0" w:color="auto"/>
        <w:bottom w:val="none" w:sz="0" w:space="0" w:color="auto"/>
        <w:right w:val="none" w:sz="0" w:space="0" w:color="auto"/>
      </w:divBdr>
    </w:div>
    <w:div w:id="1452892492">
      <w:bodyDiv w:val="1"/>
      <w:marLeft w:val="0"/>
      <w:marRight w:val="0"/>
      <w:marTop w:val="0"/>
      <w:marBottom w:val="0"/>
      <w:divBdr>
        <w:top w:val="none" w:sz="0" w:space="0" w:color="auto"/>
        <w:left w:val="none" w:sz="0" w:space="0" w:color="auto"/>
        <w:bottom w:val="none" w:sz="0" w:space="0" w:color="auto"/>
        <w:right w:val="none" w:sz="0" w:space="0" w:color="auto"/>
      </w:divBdr>
    </w:div>
    <w:div w:id="1458331357">
      <w:bodyDiv w:val="1"/>
      <w:marLeft w:val="0"/>
      <w:marRight w:val="0"/>
      <w:marTop w:val="0"/>
      <w:marBottom w:val="0"/>
      <w:divBdr>
        <w:top w:val="none" w:sz="0" w:space="0" w:color="auto"/>
        <w:left w:val="none" w:sz="0" w:space="0" w:color="auto"/>
        <w:bottom w:val="none" w:sz="0" w:space="0" w:color="auto"/>
        <w:right w:val="none" w:sz="0" w:space="0" w:color="auto"/>
      </w:divBdr>
    </w:div>
    <w:div w:id="1469276167">
      <w:bodyDiv w:val="1"/>
      <w:marLeft w:val="0"/>
      <w:marRight w:val="0"/>
      <w:marTop w:val="0"/>
      <w:marBottom w:val="0"/>
      <w:divBdr>
        <w:top w:val="none" w:sz="0" w:space="0" w:color="auto"/>
        <w:left w:val="none" w:sz="0" w:space="0" w:color="auto"/>
        <w:bottom w:val="none" w:sz="0" w:space="0" w:color="auto"/>
        <w:right w:val="none" w:sz="0" w:space="0" w:color="auto"/>
      </w:divBdr>
      <w:divsChild>
        <w:div w:id="1126508183">
          <w:marLeft w:val="0"/>
          <w:marRight w:val="0"/>
          <w:marTop w:val="0"/>
          <w:marBottom w:val="0"/>
          <w:divBdr>
            <w:top w:val="none" w:sz="0" w:space="0" w:color="auto"/>
            <w:left w:val="none" w:sz="0" w:space="0" w:color="auto"/>
            <w:bottom w:val="none" w:sz="0" w:space="0" w:color="auto"/>
            <w:right w:val="none" w:sz="0" w:space="0" w:color="auto"/>
          </w:divBdr>
        </w:div>
        <w:div w:id="217672231">
          <w:marLeft w:val="0"/>
          <w:marRight w:val="0"/>
          <w:marTop w:val="0"/>
          <w:marBottom w:val="0"/>
          <w:divBdr>
            <w:top w:val="none" w:sz="0" w:space="0" w:color="auto"/>
            <w:left w:val="none" w:sz="0" w:space="0" w:color="auto"/>
            <w:bottom w:val="none" w:sz="0" w:space="0" w:color="auto"/>
            <w:right w:val="none" w:sz="0" w:space="0" w:color="auto"/>
          </w:divBdr>
        </w:div>
        <w:div w:id="1900822011">
          <w:marLeft w:val="0"/>
          <w:marRight w:val="0"/>
          <w:marTop w:val="0"/>
          <w:marBottom w:val="0"/>
          <w:divBdr>
            <w:top w:val="none" w:sz="0" w:space="0" w:color="auto"/>
            <w:left w:val="none" w:sz="0" w:space="0" w:color="auto"/>
            <w:bottom w:val="none" w:sz="0" w:space="0" w:color="auto"/>
            <w:right w:val="none" w:sz="0" w:space="0" w:color="auto"/>
          </w:divBdr>
        </w:div>
      </w:divsChild>
    </w:div>
    <w:div w:id="1472400850">
      <w:bodyDiv w:val="1"/>
      <w:marLeft w:val="0"/>
      <w:marRight w:val="0"/>
      <w:marTop w:val="0"/>
      <w:marBottom w:val="0"/>
      <w:divBdr>
        <w:top w:val="none" w:sz="0" w:space="0" w:color="auto"/>
        <w:left w:val="none" w:sz="0" w:space="0" w:color="auto"/>
        <w:bottom w:val="none" w:sz="0" w:space="0" w:color="auto"/>
        <w:right w:val="none" w:sz="0" w:space="0" w:color="auto"/>
      </w:divBdr>
    </w:div>
    <w:div w:id="1479567958">
      <w:bodyDiv w:val="1"/>
      <w:marLeft w:val="0"/>
      <w:marRight w:val="0"/>
      <w:marTop w:val="0"/>
      <w:marBottom w:val="0"/>
      <w:divBdr>
        <w:top w:val="none" w:sz="0" w:space="0" w:color="auto"/>
        <w:left w:val="none" w:sz="0" w:space="0" w:color="auto"/>
        <w:bottom w:val="none" w:sz="0" w:space="0" w:color="auto"/>
        <w:right w:val="none" w:sz="0" w:space="0" w:color="auto"/>
      </w:divBdr>
    </w:div>
    <w:div w:id="1480271175">
      <w:bodyDiv w:val="1"/>
      <w:marLeft w:val="0"/>
      <w:marRight w:val="0"/>
      <w:marTop w:val="0"/>
      <w:marBottom w:val="0"/>
      <w:divBdr>
        <w:top w:val="none" w:sz="0" w:space="0" w:color="auto"/>
        <w:left w:val="none" w:sz="0" w:space="0" w:color="auto"/>
        <w:bottom w:val="none" w:sz="0" w:space="0" w:color="auto"/>
        <w:right w:val="none" w:sz="0" w:space="0" w:color="auto"/>
      </w:divBdr>
    </w:div>
    <w:div w:id="1481995155">
      <w:bodyDiv w:val="1"/>
      <w:marLeft w:val="0"/>
      <w:marRight w:val="0"/>
      <w:marTop w:val="0"/>
      <w:marBottom w:val="0"/>
      <w:divBdr>
        <w:top w:val="none" w:sz="0" w:space="0" w:color="auto"/>
        <w:left w:val="none" w:sz="0" w:space="0" w:color="auto"/>
        <w:bottom w:val="none" w:sz="0" w:space="0" w:color="auto"/>
        <w:right w:val="none" w:sz="0" w:space="0" w:color="auto"/>
      </w:divBdr>
    </w:div>
    <w:div w:id="1482042855">
      <w:bodyDiv w:val="1"/>
      <w:marLeft w:val="0"/>
      <w:marRight w:val="0"/>
      <w:marTop w:val="0"/>
      <w:marBottom w:val="0"/>
      <w:divBdr>
        <w:top w:val="none" w:sz="0" w:space="0" w:color="auto"/>
        <w:left w:val="none" w:sz="0" w:space="0" w:color="auto"/>
        <w:bottom w:val="none" w:sz="0" w:space="0" w:color="auto"/>
        <w:right w:val="none" w:sz="0" w:space="0" w:color="auto"/>
      </w:divBdr>
    </w:div>
    <w:div w:id="1498575324">
      <w:bodyDiv w:val="1"/>
      <w:marLeft w:val="0"/>
      <w:marRight w:val="0"/>
      <w:marTop w:val="0"/>
      <w:marBottom w:val="0"/>
      <w:divBdr>
        <w:top w:val="none" w:sz="0" w:space="0" w:color="auto"/>
        <w:left w:val="none" w:sz="0" w:space="0" w:color="auto"/>
        <w:bottom w:val="none" w:sz="0" w:space="0" w:color="auto"/>
        <w:right w:val="none" w:sz="0" w:space="0" w:color="auto"/>
      </w:divBdr>
    </w:div>
    <w:div w:id="1501237647">
      <w:bodyDiv w:val="1"/>
      <w:marLeft w:val="0"/>
      <w:marRight w:val="0"/>
      <w:marTop w:val="0"/>
      <w:marBottom w:val="0"/>
      <w:divBdr>
        <w:top w:val="none" w:sz="0" w:space="0" w:color="auto"/>
        <w:left w:val="none" w:sz="0" w:space="0" w:color="auto"/>
        <w:bottom w:val="none" w:sz="0" w:space="0" w:color="auto"/>
        <w:right w:val="none" w:sz="0" w:space="0" w:color="auto"/>
      </w:divBdr>
    </w:div>
    <w:div w:id="1503545143">
      <w:bodyDiv w:val="1"/>
      <w:marLeft w:val="0"/>
      <w:marRight w:val="0"/>
      <w:marTop w:val="0"/>
      <w:marBottom w:val="0"/>
      <w:divBdr>
        <w:top w:val="none" w:sz="0" w:space="0" w:color="auto"/>
        <w:left w:val="none" w:sz="0" w:space="0" w:color="auto"/>
        <w:bottom w:val="none" w:sz="0" w:space="0" w:color="auto"/>
        <w:right w:val="none" w:sz="0" w:space="0" w:color="auto"/>
      </w:divBdr>
    </w:div>
    <w:div w:id="1505588888">
      <w:bodyDiv w:val="1"/>
      <w:marLeft w:val="0"/>
      <w:marRight w:val="0"/>
      <w:marTop w:val="0"/>
      <w:marBottom w:val="0"/>
      <w:divBdr>
        <w:top w:val="none" w:sz="0" w:space="0" w:color="auto"/>
        <w:left w:val="none" w:sz="0" w:space="0" w:color="auto"/>
        <w:bottom w:val="none" w:sz="0" w:space="0" w:color="auto"/>
        <w:right w:val="none" w:sz="0" w:space="0" w:color="auto"/>
      </w:divBdr>
    </w:div>
    <w:div w:id="1510562286">
      <w:bodyDiv w:val="1"/>
      <w:marLeft w:val="0"/>
      <w:marRight w:val="0"/>
      <w:marTop w:val="0"/>
      <w:marBottom w:val="0"/>
      <w:divBdr>
        <w:top w:val="none" w:sz="0" w:space="0" w:color="auto"/>
        <w:left w:val="none" w:sz="0" w:space="0" w:color="auto"/>
        <w:bottom w:val="none" w:sz="0" w:space="0" w:color="auto"/>
        <w:right w:val="none" w:sz="0" w:space="0" w:color="auto"/>
      </w:divBdr>
    </w:div>
    <w:div w:id="1521160957">
      <w:bodyDiv w:val="1"/>
      <w:marLeft w:val="0"/>
      <w:marRight w:val="0"/>
      <w:marTop w:val="0"/>
      <w:marBottom w:val="0"/>
      <w:divBdr>
        <w:top w:val="none" w:sz="0" w:space="0" w:color="auto"/>
        <w:left w:val="none" w:sz="0" w:space="0" w:color="auto"/>
        <w:bottom w:val="none" w:sz="0" w:space="0" w:color="auto"/>
        <w:right w:val="none" w:sz="0" w:space="0" w:color="auto"/>
      </w:divBdr>
    </w:div>
    <w:div w:id="1526485386">
      <w:bodyDiv w:val="1"/>
      <w:marLeft w:val="0"/>
      <w:marRight w:val="0"/>
      <w:marTop w:val="0"/>
      <w:marBottom w:val="0"/>
      <w:divBdr>
        <w:top w:val="none" w:sz="0" w:space="0" w:color="auto"/>
        <w:left w:val="none" w:sz="0" w:space="0" w:color="auto"/>
        <w:bottom w:val="none" w:sz="0" w:space="0" w:color="auto"/>
        <w:right w:val="none" w:sz="0" w:space="0" w:color="auto"/>
      </w:divBdr>
    </w:div>
    <w:div w:id="1527207575">
      <w:bodyDiv w:val="1"/>
      <w:marLeft w:val="0"/>
      <w:marRight w:val="0"/>
      <w:marTop w:val="0"/>
      <w:marBottom w:val="0"/>
      <w:divBdr>
        <w:top w:val="none" w:sz="0" w:space="0" w:color="auto"/>
        <w:left w:val="none" w:sz="0" w:space="0" w:color="auto"/>
        <w:bottom w:val="none" w:sz="0" w:space="0" w:color="auto"/>
        <w:right w:val="none" w:sz="0" w:space="0" w:color="auto"/>
      </w:divBdr>
    </w:div>
    <w:div w:id="1527331137">
      <w:bodyDiv w:val="1"/>
      <w:marLeft w:val="0"/>
      <w:marRight w:val="0"/>
      <w:marTop w:val="0"/>
      <w:marBottom w:val="0"/>
      <w:divBdr>
        <w:top w:val="none" w:sz="0" w:space="0" w:color="auto"/>
        <w:left w:val="none" w:sz="0" w:space="0" w:color="auto"/>
        <w:bottom w:val="none" w:sz="0" w:space="0" w:color="auto"/>
        <w:right w:val="none" w:sz="0" w:space="0" w:color="auto"/>
      </w:divBdr>
    </w:div>
    <w:div w:id="1531723273">
      <w:bodyDiv w:val="1"/>
      <w:marLeft w:val="0"/>
      <w:marRight w:val="0"/>
      <w:marTop w:val="0"/>
      <w:marBottom w:val="0"/>
      <w:divBdr>
        <w:top w:val="none" w:sz="0" w:space="0" w:color="auto"/>
        <w:left w:val="none" w:sz="0" w:space="0" w:color="auto"/>
        <w:bottom w:val="none" w:sz="0" w:space="0" w:color="auto"/>
        <w:right w:val="none" w:sz="0" w:space="0" w:color="auto"/>
      </w:divBdr>
    </w:div>
    <w:div w:id="1532568433">
      <w:bodyDiv w:val="1"/>
      <w:marLeft w:val="0"/>
      <w:marRight w:val="0"/>
      <w:marTop w:val="0"/>
      <w:marBottom w:val="0"/>
      <w:divBdr>
        <w:top w:val="none" w:sz="0" w:space="0" w:color="auto"/>
        <w:left w:val="none" w:sz="0" w:space="0" w:color="auto"/>
        <w:bottom w:val="none" w:sz="0" w:space="0" w:color="auto"/>
        <w:right w:val="none" w:sz="0" w:space="0" w:color="auto"/>
      </w:divBdr>
    </w:div>
    <w:div w:id="1533611134">
      <w:bodyDiv w:val="1"/>
      <w:marLeft w:val="0"/>
      <w:marRight w:val="0"/>
      <w:marTop w:val="0"/>
      <w:marBottom w:val="0"/>
      <w:divBdr>
        <w:top w:val="none" w:sz="0" w:space="0" w:color="auto"/>
        <w:left w:val="none" w:sz="0" w:space="0" w:color="auto"/>
        <w:bottom w:val="none" w:sz="0" w:space="0" w:color="auto"/>
        <w:right w:val="none" w:sz="0" w:space="0" w:color="auto"/>
      </w:divBdr>
    </w:div>
    <w:div w:id="1543249105">
      <w:bodyDiv w:val="1"/>
      <w:marLeft w:val="0"/>
      <w:marRight w:val="0"/>
      <w:marTop w:val="0"/>
      <w:marBottom w:val="0"/>
      <w:divBdr>
        <w:top w:val="none" w:sz="0" w:space="0" w:color="auto"/>
        <w:left w:val="none" w:sz="0" w:space="0" w:color="auto"/>
        <w:bottom w:val="none" w:sz="0" w:space="0" w:color="auto"/>
        <w:right w:val="none" w:sz="0" w:space="0" w:color="auto"/>
      </w:divBdr>
    </w:div>
    <w:div w:id="1574047457">
      <w:bodyDiv w:val="1"/>
      <w:marLeft w:val="0"/>
      <w:marRight w:val="0"/>
      <w:marTop w:val="0"/>
      <w:marBottom w:val="0"/>
      <w:divBdr>
        <w:top w:val="none" w:sz="0" w:space="0" w:color="auto"/>
        <w:left w:val="none" w:sz="0" w:space="0" w:color="auto"/>
        <w:bottom w:val="none" w:sz="0" w:space="0" w:color="auto"/>
        <w:right w:val="none" w:sz="0" w:space="0" w:color="auto"/>
      </w:divBdr>
    </w:div>
    <w:div w:id="1575429556">
      <w:bodyDiv w:val="1"/>
      <w:marLeft w:val="0"/>
      <w:marRight w:val="0"/>
      <w:marTop w:val="0"/>
      <w:marBottom w:val="0"/>
      <w:divBdr>
        <w:top w:val="none" w:sz="0" w:space="0" w:color="auto"/>
        <w:left w:val="none" w:sz="0" w:space="0" w:color="auto"/>
        <w:bottom w:val="none" w:sz="0" w:space="0" w:color="auto"/>
        <w:right w:val="none" w:sz="0" w:space="0" w:color="auto"/>
      </w:divBdr>
    </w:div>
    <w:div w:id="1579024482">
      <w:bodyDiv w:val="1"/>
      <w:marLeft w:val="0"/>
      <w:marRight w:val="0"/>
      <w:marTop w:val="0"/>
      <w:marBottom w:val="0"/>
      <w:divBdr>
        <w:top w:val="none" w:sz="0" w:space="0" w:color="auto"/>
        <w:left w:val="none" w:sz="0" w:space="0" w:color="auto"/>
        <w:bottom w:val="none" w:sz="0" w:space="0" w:color="auto"/>
        <w:right w:val="none" w:sz="0" w:space="0" w:color="auto"/>
      </w:divBdr>
    </w:div>
    <w:div w:id="1580165654">
      <w:bodyDiv w:val="1"/>
      <w:marLeft w:val="0"/>
      <w:marRight w:val="0"/>
      <w:marTop w:val="0"/>
      <w:marBottom w:val="0"/>
      <w:divBdr>
        <w:top w:val="none" w:sz="0" w:space="0" w:color="auto"/>
        <w:left w:val="none" w:sz="0" w:space="0" w:color="auto"/>
        <w:bottom w:val="none" w:sz="0" w:space="0" w:color="auto"/>
        <w:right w:val="none" w:sz="0" w:space="0" w:color="auto"/>
      </w:divBdr>
    </w:div>
    <w:div w:id="1582332334">
      <w:bodyDiv w:val="1"/>
      <w:marLeft w:val="0"/>
      <w:marRight w:val="0"/>
      <w:marTop w:val="0"/>
      <w:marBottom w:val="0"/>
      <w:divBdr>
        <w:top w:val="none" w:sz="0" w:space="0" w:color="auto"/>
        <w:left w:val="none" w:sz="0" w:space="0" w:color="auto"/>
        <w:bottom w:val="none" w:sz="0" w:space="0" w:color="auto"/>
        <w:right w:val="none" w:sz="0" w:space="0" w:color="auto"/>
      </w:divBdr>
    </w:div>
    <w:div w:id="1588611660">
      <w:bodyDiv w:val="1"/>
      <w:marLeft w:val="0"/>
      <w:marRight w:val="0"/>
      <w:marTop w:val="0"/>
      <w:marBottom w:val="0"/>
      <w:divBdr>
        <w:top w:val="none" w:sz="0" w:space="0" w:color="auto"/>
        <w:left w:val="none" w:sz="0" w:space="0" w:color="auto"/>
        <w:bottom w:val="none" w:sz="0" w:space="0" w:color="auto"/>
        <w:right w:val="none" w:sz="0" w:space="0" w:color="auto"/>
      </w:divBdr>
    </w:div>
    <w:div w:id="1592082828">
      <w:bodyDiv w:val="1"/>
      <w:marLeft w:val="0"/>
      <w:marRight w:val="0"/>
      <w:marTop w:val="0"/>
      <w:marBottom w:val="0"/>
      <w:divBdr>
        <w:top w:val="none" w:sz="0" w:space="0" w:color="auto"/>
        <w:left w:val="none" w:sz="0" w:space="0" w:color="auto"/>
        <w:bottom w:val="none" w:sz="0" w:space="0" w:color="auto"/>
        <w:right w:val="none" w:sz="0" w:space="0" w:color="auto"/>
      </w:divBdr>
    </w:div>
    <w:div w:id="1595092370">
      <w:bodyDiv w:val="1"/>
      <w:marLeft w:val="0"/>
      <w:marRight w:val="0"/>
      <w:marTop w:val="0"/>
      <w:marBottom w:val="0"/>
      <w:divBdr>
        <w:top w:val="none" w:sz="0" w:space="0" w:color="auto"/>
        <w:left w:val="none" w:sz="0" w:space="0" w:color="auto"/>
        <w:bottom w:val="none" w:sz="0" w:space="0" w:color="auto"/>
        <w:right w:val="none" w:sz="0" w:space="0" w:color="auto"/>
      </w:divBdr>
    </w:div>
    <w:div w:id="1606310406">
      <w:bodyDiv w:val="1"/>
      <w:marLeft w:val="0"/>
      <w:marRight w:val="0"/>
      <w:marTop w:val="0"/>
      <w:marBottom w:val="0"/>
      <w:divBdr>
        <w:top w:val="none" w:sz="0" w:space="0" w:color="auto"/>
        <w:left w:val="none" w:sz="0" w:space="0" w:color="auto"/>
        <w:bottom w:val="none" w:sz="0" w:space="0" w:color="auto"/>
        <w:right w:val="none" w:sz="0" w:space="0" w:color="auto"/>
      </w:divBdr>
    </w:div>
    <w:div w:id="1608461465">
      <w:bodyDiv w:val="1"/>
      <w:marLeft w:val="0"/>
      <w:marRight w:val="0"/>
      <w:marTop w:val="0"/>
      <w:marBottom w:val="0"/>
      <w:divBdr>
        <w:top w:val="none" w:sz="0" w:space="0" w:color="auto"/>
        <w:left w:val="none" w:sz="0" w:space="0" w:color="auto"/>
        <w:bottom w:val="none" w:sz="0" w:space="0" w:color="auto"/>
        <w:right w:val="none" w:sz="0" w:space="0" w:color="auto"/>
      </w:divBdr>
    </w:div>
    <w:div w:id="1620067621">
      <w:bodyDiv w:val="1"/>
      <w:marLeft w:val="0"/>
      <w:marRight w:val="0"/>
      <w:marTop w:val="0"/>
      <w:marBottom w:val="0"/>
      <w:divBdr>
        <w:top w:val="none" w:sz="0" w:space="0" w:color="auto"/>
        <w:left w:val="none" w:sz="0" w:space="0" w:color="auto"/>
        <w:bottom w:val="none" w:sz="0" w:space="0" w:color="auto"/>
        <w:right w:val="none" w:sz="0" w:space="0" w:color="auto"/>
      </w:divBdr>
    </w:div>
    <w:div w:id="1631475259">
      <w:bodyDiv w:val="1"/>
      <w:marLeft w:val="0"/>
      <w:marRight w:val="0"/>
      <w:marTop w:val="0"/>
      <w:marBottom w:val="0"/>
      <w:divBdr>
        <w:top w:val="none" w:sz="0" w:space="0" w:color="auto"/>
        <w:left w:val="none" w:sz="0" w:space="0" w:color="auto"/>
        <w:bottom w:val="none" w:sz="0" w:space="0" w:color="auto"/>
        <w:right w:val="none" w:sz="0" w:space="0" w:color="auto"/>
      </w:divBdr>
    </w:div>
    <w:div w:id="1633245171">
      <w:bodyDiv w:val="1"/>
      <w:marLeft w:val="0"/>
      <w:marRight w:val="0"/>
      <w:marTop w:val="0"/>
      <w:marBottom w:val="0"/>
      <w:divBdr>
        <w:top w:val="none" w:sz="0" w:space="0" w:color="auto"/>
        <w:left w:val="none" w:sz="0" w:space="0" w:color="auto"/>
        <w:bottom w:val="none" w:sz="0" w:space="0" w:color="auto"/>
        <w:right w:val="none" w:sz="0" w:space="0" w:color="auto"/>
      </w:divBdr>
    </w:div>
    <w:div w:id="1638491196">
      <w:bodyDiv w:val="1"/>
      <w:marLeft w:val="0"/>
      <w:marRight w:val="0"/>
      <w:marTop w:val="0"/>
      <w:marBottom w:val="0"/>
      <w:divBdr>
        <w:top w:val="none" w:sz="0" w:space="0" w:color="auto"/>
        <w:left w:val="none" w:sz="0" w:space="0" w:color="auto"/>
        <w:bottom w:val="none" w:sz="0" w:space="0" w:color="auto"/>
        <w:right w:val="none" w:sz="0" w:space="0" w:color="auto"/>
      </w:divBdr>
    </w:div>
    <w:div w:id="1645936962">
      <w:bodyDiv w:val="1"/>
      <w:marLeft w:val="0"/>
      <w:marRight w:val="0"/>
      <w:marTop w:val="0"/>
      <w:marBottom w:val="0"/>
      <w:divBdr>
        <w:top w:val="none" w:sz="0" w:space="0" w:color="auto"/>
        <w:left w:val="none" w:sz="0" w:space="0" w:color="auto"/>
        <w:bottom w:val="none" w:sz="0" w:space="0" w:color="auto"/>
        <w:right w:val="none" w:sz="0" w:space="0" w:color="auto"/>
      </w:divBdr>
    </w:div>
    <w:div w:id="1647473890">
      <w:bodyDiv w:val="1"/>
      <w:marLeft w:val="0"/>
      <w:marRight w:val="0"/>
      <w:marTop w:val="0"/>
      <w:marBottom w:val="0"/>
      <w:divBdr>
        <w:top w:val="none" w:sz="0" w:space="0" w:color="auto"/>
        <w:left w:val="none" w:sz="0" w:space="0" w:color="auto"/>
        <w:bottom w:val="none" w:sz="0" w:space="0" w:color="auto"/>
        <w:right w:val="none" w:sz="0" w:space="0" w:color="auto"/>
      </w:divBdr>
    </w:div>
    <w:div w:id="1650209794">
      <w:bodyDiv w:val="1"/>
      <w:marLeft w:val="0"/>
      <w:marRight w:val="0"/>
      <w:marTop w:val="0"/>
      <w:marBottom w:val="0"/>
      <w:divBdr>
        <w:top w:val="none" w:sz="0" w:space="0" w:color="auto"/>
        <w:left w:val="none" w:sz="0" w:space="0" w:color="auto"/>
        <w:bottom w:val="none" w:sz="0" w:space="0" w:color="auto"/>
        <w:right w:val="none" w:sz="0" w:space="0" w:color="auto"/>
      </w:divBdr>
    </w:div>
    <w:div w:id="1653290083">
      <w:bodyDiv w:val="1"/>
      <w:marLeft w:val="0"/>
      <w:marRight w:val="0"/>
      <w:marTop w:val="0"/>
      <w:marBottom w:val="0"/>
      <w:divBdr>
        <w:top w:val="none" w:sz="0" w:space="0" w:color="auto"/>
        <w:left w:val="none" w:sz="0" w:space="0" w:color="auto"/>
        <w:bottom w:val="none" w:sz="0" w:space="0" w:color="auto"/>
        <w:right w:val="none" w:sz="0" w:space="0" w:color="auto"/>
      </w:divBdr>
    </w:div>
    <w:div w:id="1656110231">
      <w:bodyDiv w:val="1"/>
      <w:marLeft w:val="0"/>
      <w:marRight w:val="0"/>
      <w:marTop w:val="0"/>
      <w:marBottom w:val="0"/>
      <w:divBdr>
        <w:top w:val="none" w:sz="0" w:space="0" w:color="auto"/>
        <w:left w:val="none" w:sz="0" w:space="0" w:color="auto"/>
        <w:bottom w:val="none" w:sz="0" w:space="0" w:color="auto"/>
        <w:right w:val="none" w:sz="0" w:space="0" w:color="auto"/>
      </w:divBdr>
    </w:div>
    <w:div w:id="1668482358">
      <w:bodyDiv w:val="1"/>
      <w:marLeft w:val="0"/>
      <w:marRight w:val="0"/>
      <w:marTop w:val="0"/>
      <w:marBottom w:val="0"/>
      <w:divBdr>
        <w:top w:val="none" w:sz="0" w:space="0" w:color="auto"/>
        <w:left w:val="none" w:sz="0" w:space="0" w:color="auto"/>
        <w:bottom w:val="none" w:sz="0" w:space="0" w:color="auto"/>
        <w:right w:val="none" w:sz="0" w:space="0" w:color="auto"/>
      </w:divBdr>
    </w:div>
    <w:div w:id="1670132382">
      <w:bodyDiv w:val="1"/>
      <w:marLeft w:val="0"/>
      <w:marRight w:val="0"/>
      <w:marTop w:val="0"/>
      <w:marBottom w:val="0"/>
      <w:divBdr>
        <w:top w:val="none" w:sz="0" w:space="0" w:color="auto"/>
        <w:left w:val="none" w:sz="0" w:space="0" w:color="auto"/>
        <w:bottom w:val="none" w:sz="0" w:space="0" w:color="auto"/>
        <w:right w:val="none" w:sz="0" w:space="0" w:color="auto"/>
      </w:divBdr>
    </w:div>
    <w:div w:id="1678342329">
      <w:bodyDiv w:val="1"/>
      <w:marLeft w:val="0"/>
      <w:marRight w:val="0"/>
      <w:marTop w:val="0"/>
      <w:marBottom w:val="0"/>
      <w:divBdr>
        <w:top w:val="none" w:sz="0" w:space="0" w:color="auto"/>
        <w:left w:val="none" w:sz="0" w:space="0" w:color="auto"/>
        <w:bottom w:val="none" w:sz="0" w:space="0" w:color="auto"/>
        <w:right w:val="none" w:sz="0" w:space="0" w:color="auto"/>
      </w:divBdr>
    </w:div>
    <w:div w:id="1679768978">
      <w:bodyDiv w:val="1"/>
      <w:marLeft w:val="0"/>
      <w:marRight w:val="0"/>
      <w:marTop w:val="0"/>
      <w:marBottom w:val="0"/>
      <w:divBdr>
        <w:top w:val="none" w:sz="0" w:space="0" w:color="auto"/>
        <w:left w:val="none" w:sz="0" w:space="0" w:color="auto"/>
        <w:bottom w:val="none" w:sz="0" w:space="0" w:color="auto"/>
        <w:right w:val="none" w:sz="0" w:space="0" w:color="auto"/>
      </w:divBdr>
    </w:div>
    <w:div w:id="1687907444">
      <w:bodyDiv w:val="1"/>
      <w:marLeft w:val="0"/>
      <w:marRight w:val="0"/>
      <w:marTop w:val="0"/>
      <w:marBottom w:val="0"/>
      <w:divBdr>
        <w:top w:val="none" w:sz="0" w:space="0" w:color="auto"/>
        <w:left w:val="none" w:sz="0" w:space="0" w:color="auto"/>
        <w:bottom w:val="none" w:sz="0" w:space="0" w:color="auto"/>
        <w:right w:val="none" w:sz="0" w:space="0" w:color="auto"/>
      </w:divBdr>
    </w:div>
    <w:div w:id="1688940373">
      <w:bodyDiv w:val="1"/>
      <w:marLeft w:val="0"/>
      <w:marRight w:val="0"/>
      <w:marTop w:val="0"/>
      <w:marBottom w:val="0"/>
      <w:divBdr>
        <w:top w:val="none" w:sz="0" w:space="0" w:color="auto"/>
        <w:left w:val="none" w:sz="0" w:space="0" w:color="auto"/>
        <w:bottom w:val="none" w:sz="0" w:space="0" w:color="auto"/>
        <w:right w:val="none" w:sz="0" w:space="0" w:color="auto"/>
      </w:divBdr>
    </w:div>
    <w:div w:id="1691372704">
      <w:bodyDiv w:val="1"/>
      <w:marLeft w:val="0"/>
      <w:marRight w:val="0"/>
      <w:marTop w:val="0"/>
      <w:marBottom w:val="0"/>
      <w:divBdr>
        <w:top w:val="none" w:sz="0" w:space="0" w:color="auto"/>
        <w:left w:val="none" w:sz="0" w:space="0" w:color="auto"/>
        <w:bottom w:val="none" w:sz="0" w:space="0" w:color="auto"/>
        <w:right w:val="none" w:sz="0" w:space="0" w:color="auto"/>
      </w:divBdr>
    </w:div>
    <w:div w:id="1692877627">
      <w:bodyDiv w:val="1"/>
      <w:marLeft w:val="0"/>
      <w:marRight w:val="0"/>
      <w:marTop w:val="0"/>
      <w:marBottom w:val="0"/>
      <w:divBdr>
        <w:top w:val="none" w:sz="0" w:space="0" w:color="auto"/>
        <w:left w:val="none" w:sz="0" w:space="0" w:color="auto"/>
        <w:bottom w:val="none" w:sz="0" w:space="0" w:color="auto"/>
        <w:right w:val="none" w:sz="0" w:space="0" w:color="auto"/>
      </w:divBdr>
    </w:div>
    <w:div w:id="1693143587">
      <w:bodyDiv w:val="1"/>
      <w:marLeft w:val="0"/>
      <w:marRight w:val="0"/>
      <w:marTop w:val="0"/>
      <w:marBottom w:val="0"/>
      <w:divBdr>
        <w:top w:val="none" w:sz="0" w:space="0" w:color="auto"/>
        <w:left w:val="none" w:sz="0" w:space="0" w:color="auto"/>
        <w:bottom w:val="none" w:sz="0" w:space="0" w:color="auto"/>
        <w:right w:val="none" w:sz="0" w:space="0" w:color="auto"/>
      </w:divBdr>
    </w:div>
    <w:div w:id="1702393368">
      <w:bodyDiv w:val="1"/>
      <w:marLeft w:val="0"/>
      <w:marRight w:val="0"/>
      <w:marTop w:val="0"/>
      <w:marBottom w:val="0"/>
      <w:divBdr>
        <w:top w:val="none" w:sz="0" w:space="0" w:color="auto"/>
        <w:left w:val="none" w:sz="0" w:space="0" w:color="auto"/>
        <w:bottom w:val="none" w:sz="0" w:space="0" w:color="auto"/>
        <w:right w:val="none" w:sz="0" w:space="0" w:color="auto"/>
      </w:divBdr>
    </w:div>
    <w:div w:id="1706564149">
      <w:bodyDiv w:val="1"/>
      <w:marLeft w:val="0"/>
      <w:marRight w:val="0"/>
      <w:marTop w:val="0"/>
      <w:marBottom w:val="0"/>
      <w:divBdr>
        <w:top w:val="none" w:sz="0" w:space="0" w:color="auto"/>
        <w:left w:val="none" w:sz="0" w:space="0" w:color="auto"/>
        <w:bottom w:val="none" w:sz="0" w:space="0" w:color="auto"/>
        <w:right w:val="none" w:sz="0" w:space="0" w:color="auto"/>
      </w:divBdr>
    </w:div>
    <w:div w:id="1708532396">
      <w:bodyDiv w:val="1"/>
      <w:marLeft w:val="0"/>
      <w:marRight w:val="0"/>
      <w:marTop w:val="0"/>
      <w:marBottom w:val="0"/>
      <w:divBdr>
        <w:top w:val="none" w:sz="0" w:space="0" w:color="auto"/>
        <w:left w:val="none" w:sz="0" w:space="0" w:color="auto"/>
        <w:bottom w:val="none" w:sz="0" w:space="0" w:color="auto"/>
        <w:right w:val="none" w:sz="0" w:space="0" w:color="auto"/>
      </w:divBdr>
    </w:div>
    <w:div w:id="1712723253">
      <w:bodyDiv w:val="1"/>
      <w:marLeft w:val="0"/>
      <w:marRight w:val="0"/>
      <w:marTop w:val="0"/>
      <w:marBottom w:val="0"/>
      <w:divBdr>
        <w:top w:val="none" w:sz="0" w:space="0" w:color="auto"/>
        <w:left w:val="none" w:sz="0" w:space="0" w:color="auto"/>
        <w:bottom w:val="none" w:sz="0" w:space="0" w:color="auto"/>
        <w:right w:val="none" w:sz="0" w:space="0" w:color="auto"/>
      </w:divBdr>
    </w:div>
    <w:div w:id="1714425667">
      <w:bodyDiv w:val="1"/>
      <w:marLeft w:val="0"/>
      <w:marRight w:val="0"/>
      <w:marTop w:val="0"/>
      <w:marBottom w:val="0"/>
      <w:divBdr>
        <w:top w:val="none" w:sz="0" w:space="0" w:color="auto"/>
        <w:left w:val="none" w:sz="0" w:space="0" w:color="auto"/>
        <w:bottom w:val="none" w:sz="0" w:space="0" w:color="auto"/>
        <w:right w:val="none" w:sz="0" w:space="0" w:color="auto"/>
      </w:divBdr>
    </w:div>
    <w:div w:id="1730225536">
      <w:bodyDiv w:val="1"/>
      <w:marLeft w:val="0"/>
      <w:marRight w:val="0"/>
      <w:marTop w:val="0"/>
      <w:marBottom w:val="0"/>
      <w:divBdr>
        <w:top w:val="none" w:sz="0" w:space="0" w:color="auto"/>
        <w:left w:val="none" w:sz="0" w:space="0" w:color="auto"/>
        <w:bottom w:val="none" w:sz="0" w:space="0" w:color="auto"/>
        <w:right w:val="none" w:sz="0" w:space="0" w:color="auto"/>
      </w:divBdr>
    </w:div>
    <w:div w:id="1730953954">
      <w:bodyDiv w:val="1"/>
      <w:marLeft w:val="0"/>
      <w:marRight w:val="0"/>
      <w:marTop w:val="0"/>
      <w:marBottom w:val="0"/>
      <w:divBdr>
        <w:top w:val="none" w:sz="0" w:space="0" w:color="auto"/>
        <w:left w:val="none" w:sz="0" w:space="0" w:color="auto"/>
        <w:bottom w:val="none" w:sz="0" w:space="0" w:color="auto"/>
        <w:right w:val="none" w:sz="0" w:space="0" w:color="auto"/>
      </w:divBdr>
    </w:div>
    <w:div w:id="1736124587">
      <w:bodyDiv w:val="1"/>
      <w:marLeft w:val="0"/>
      <w:marRight w:val="0"/>
      <w:marTop w:val="0"/>
      <w:marBottom w:val="0"/>
      <w:divBdr>
        <w:top w:val="none" w:sz="0" w:space="0" w:color="auto"/>
        <w:left w:val="none" w:sz="0" w:space="0" w:color="auto"/>
        <w:bottom w:val="none" w:sz="0" w:space="0" w:color="auto"/>
        <w:right w:val="none" w:sz="0" w:space="0" w:color="auto"/>
      </w:divBdr>
    </w:div>
    <w:div w:id="1740402545">
      <w:bodyDiv w:val="1"/>
      <w:marLeft w:val="0"/>
      <w:marRight w:val="0"/>
      <w:marTop w:val="0"/>
      <w:marBottom w:val="0"/>
      <w:divBdr>
        <w:top w:val="none" w:sz="0" w:space="0" w:color="auto"/>
        <w:left w:val="none" w:sz="0" w:space="0" w:color="auto"/>
        <w:bottom w:val="none" w:sz="0" w:space="0" w:color="auto"/>
        <w:right w:val="none" w:sz="0" w:space="0" w:color="auto"/>
      </w:divBdr>
    </w:div>
    <w:div w:id="1758208364">
      <w:bodyDiv w:val="1"/>
      <w:marLeft w:val="0"/>
      <w:marRight w:val="0"/>
      <w:marTop w:val="0"/>
      <w:marBottom w:val="0"/>
      <w:divBdr>
        <w:top w:val="none" w:sz="0" w:space="0" w:color="auto"/>
        <w:left w:val="none" w:sz="0" w:space="0" w:color="auto"/>
        <w:bottom w:val="none" w:sz="0" w:space="0" w:color="auto"/>
        <w:right w:val="none" w:sz="0" w:space="0" w:color="auto"/>
      </w:divBdr>
    </w:div>
    <w:div w:id="1760369592">
      <w:bodyDiv w:val="1"/>
      <w:marLeft w:val="0"/>
      <w:marRight w:val="0"/>
      <w:marTop w:val="0"/>
      <w:marBottom w:val="0"/>
      <w:divBdr>
        <w:top w:val="none" w:sz="0" w:space="0" w:color="auto"/>
        <w:left w:val="none" w:sz="0" w:space="0" w:color="auto"/>
        <w:bottom w:val="none" w:sz="0" w:space="0" w:color="auto"/>
        <w:right w:val="none" w:sz="0" w:space="0" w:color="auto"/>
      </w:divBdr>
    </w:div>
    <w:div w:id="1764375743">
      <w:bodyDiv w:val="1"/>
      <w:marLeft w:val="0"/>
      <w:marRight w:val="0"/>
      <w:marTop w:val="0"/>
      <w:marBottom w:val="0"/>
      <w:divBdr>
        <w:top w:val="none" w:sz="0" w:space="0" w:color="auto"/>
        <w:left w:val="none" w:sz="0" w:space="0" w:color="auto"/>
        <w:bottom w:val="none" w:sz="0" w:space="0" w:color="auto"/>
        <w:right w:val="none" w:sz="0" w:space="0" w:color="auto"/>
      </w:divBdr>
    </w:div>
    <w:div w:id="1765104736">
      <w:bodyDiv w:val="1"/>
      <w:marLeft w:val="0"/>
      <w:marRight w:val="0"/>
      <w:marTop w:val="0"/>
      <w:marBottom w:val="0"/>
      <w:divBdr>
        <w:top w:val="none" w:sz="0" w:space="0" w:color="auto"/>
        <w:left w:val="none" w:sz="0" w:space="0" w:color="auto"/>
        <w:bottom w:val="none" w:sz="0" w:space="0" w:color="auto"/>
        <w:right w:val="none" w:sz="0" w:space="0" w:color="auto"/>
      </w:divBdr>
      <w:divsChild>
        <w:div w:id="1123964682">
          <w:marLeft w:val="0"/>
          <w:marRight w:val="0"/>
          <w:marTop w:val="0"/>
          <w:marBottom w:val="0"/>
          <w:divBdr>
            <w:top w:val="none" w:sz="0" w:space="0" w:color="auto"/>
            <w:left w:val="none" w:sz="0" w:space="0" w:color="auto"/>
            <w:bottom w:val="none" w:sz="0" w:space="0" w:color="auto"/>
            <w:right w:val="none" w:sz="0" w:space="0" w:color="auto"/>
          </w:divBdr>
        </w:div>
        <w:div w:id="1154565381">
          <w:marLeft w:val="0"/>
          <w:marRight w:val="0"/>
          <w:marTop w:val="0"/>
          <w:marBottom w:val="0"/>
          <w:divBdr>
            <w:top w:val="none" w:sz="0" w:space="0" w:color="auto"/>
            <w:left w:val="none" w:sz="0" w:space="0" w:color="auto"/>
            <w:bottom w:val="none" w:sz="0" w:space="0" w:color="auto"/>
            <w:right w:val="none" w:sz="0" w:space="0" w:color="auto"/>
          </w:divBdr>
        </w:div>
        <w:div w:id="1719820663">
          <w:marLeft w:val="0"/>
          <w:marRight w:val="0"/>
          <w:marTop w:val="0"/>
          <w:marBottom w:val="0"/>
          <w:divBdr>
            <w:top w:val="none" w:sz="0" w:space="0" w:color="auto"/>
            <w:left w:val="none" w:sz="0" w:space="0" w:color="auto"/>
            <w:bottom w:val="none" w:sz="0" w:space="0" w:color="auto"/>
            <w:right w:val="none" w:sz="0" w:space="0" w:color="auto"/>
          </w:divBdr>
        </w:div>
        <w:div w:id="792211586">
          <w:marLeft w:val="0"/>
          <w:marRight w:val="0"/>
          <w:marTop w:val="0"/>
          <w:marBottom w:val="0"/>
          <w:divBdr>
            <w:top w:val="none" w:sz="0" w:space="0" w:color="auto"/>
            <w:left w:val="none" w:sz="0" w:space="0" w:color="auto"/>
            <w:bottom w:val="none" w:sz="0" w:space="0" w:color="auto"/>
            <w:right w:val="none" w:sz="0" w:space="0" w:color="auto"/>
          </w:divBdr>
        </w:div>
        <w:div w:id="130639248">
          <w:marLeft w:val="0"/>
          <w:marRight w:val="0"/>
          <w:marTop w:val="0"/>
          <w:marBottom w:val="0"/>
          <w:divBdr>
            <w:top w:val="none" w:sz="0" w:space="0" w:color="auto"/>
            <w:left w:val="none" w:sz="0" w:space="0" w:color="auto"/>
            <w:bottom w:val="none" w:sz="0" w:space="0" w:color="auto"/>
            <w:right w:val="none" w:sz="0" w:space="0" w:color="auto"/>
          </w:divBdr>
        </w:div>
        <w:div w:id="1965309559">
          <w:marLeft w:val="0"/>
          <w:marRight w:val="0"/>
          <w:marTop w:val="0"/>
          <w:marBottom w:val="0"/>
          <w:divBdr>
            <w:top w:val="none" w:sz="0" w:space="0" w:color="auto"/>
            <w:left w:val="none" w:sz="0" w:space="0" w:color="auto"/>
            <w:bottom w:val="none" w:sz="0" w:space="0" w:color="auto"/>
            <w:right w:val="none" w:sz="0" w:space="0" w:color="auto"/>
          </w:divBdr>
        </w:div>
      </w:divsChild>
    </w:div>
    <w:div w:id="1769350388">
      <w:bodyDiv w:val="1"/>
      <w:marLeft w:val="0"/>
      <w:marRight w:val="0"/>
      <w:marTop w:val="0"/>
      <w:marBottom w:val="0"/>
      <w:divBdr>
        <w:top w:val="none" w:sz="0" w:space="0" w:color="auto"/>
        <w:left w:val="none" w:sz="0" w:space="0" w:color="auto"/>
        <w:bottom w:val="none" w:sz="0" w:space="0" w:color="auto"/>
        <w:right w:val="none" w:sz="0" w:space="0" w:color="auto"/>
      </w:divBdr>
    </w:div>
    <w:div w:id="1772584953">
      <w:bodyDiv w:val="1"/>
      <w:marLeft w:val="0"/>
      <w:marRight w:val="0"/>
      <w:marTop w:val="0"/>
      <w:marBottom w:val="0"/>
      <w:divBdr>
        <w:top w:val="none" w:sz="0" w:space="0" w:color="auto"/>
        <w:left w:val="none" w:sz="0" w:space="0" w:color="auto"/>
        <w:bottom w:val="none" w:sz="0" w:space="0" w:color="auto"/>
        <w:right w:val="none" w:sz="0" w:space="0" w:color="auto"/>
      </w:divBdr>
    </w:div>
    <w:div w:id="1775131847">
      <w:bodyDiv w:val="1"/>
      <w:marLeft w:val="0"/>
      <w:marRight w:val="0"/>
      <w:marTop w:val="0"/>
      <w:marBottom w:val="0"/>
      <w:divBdr>
        <w:top w:val="none" w:sz="0" w:space="0" w:color="auto"/>
        <w:left w:val="none" w:sz="0" w:space="0" w:color="auto"/>
        <w:bottom w:val="none" w:sz="0" w:space="0" w:color="auto"/>
        <w:right w:val="none" w:sz="0" w:space="0" w:color="auto"/>
      </w:divBdr>
    </w:div>
    <w:div w:id="1777483183">
      <w:bodyDiv w:val="1"/>
      <w:marLeft w:val="0"/>
      <w:marRight w:val="0"/>
      <w:marTop w:val="0"/>
      <w:marBottom w:val="0"/>
      <w:divBdr>
        <w:top w:val="none" w:sz="0" w:space="0" w:color="auto"/>
        <w:left w:val="none" w:sz="0" w:space="0" w:color="auto"/>
        <w:bottom w:val="none" w:sz="0" w:space="0" w:color="auto"/>
        <w:right w:val="none" w:sz="0" w:space="0" w:color="auto"/>
      </w:divBdr>
    </w:div>
    <w:div w:id="1789273777">
      <w:bodyDiv w:val="1"/>
      <w:marLeft w:val="0"/>
      <w:marRight w:val="0"/>
      <w:marTop w:val="0"/>
      <w:marBottom w:val="0"/>
      <w:divBdr>
        <w:top w:val="none" w:sz="0" w:space="0" w:color="auto"/>
        <w:left w:val="none" w:sz="0" w:space="0" w:color="auto"/>
        <w:bottom w:val="none" w:sz="0" w:space="0" w:color="auto"/>
        <w:right w:val="none" w:sz="0" w:space="0" w:color="auto"/>
      </w:divBdr>
    </w:div>
    <w:div w:id="1797601697">
      <w:bodyDiv w:val="1"/>
      <w:marLeft w:val="0"/>
      <w:marRight w:val="0"/>
      <w:marTop w:val="0"/>
      <w:marBottom w:val="0"/>
      <w:divBdr>
        <w:top w:val="none" w:sz="0" w:space="0" w:color="auto"/>
        <w:left w:val="none" w:sz="0" w:space="0" w:color="auto"/>
        <w:bottom w:val="none" w:sz="0" w:space="0" w:color="auto"/>
        <w:right w:val="none" w:sz="0" w:space="0" w:color="auto"/>
      </w:divBdr>
    </w:div>
    <w:div w:id="1802383206">
      <w:bodyDiv w:val="1"/>
      <w:marLeft w:val="0"/>
      <w:marRight w:val="0"/>
      <w:marTop w:val="0"/>
      <w:marBottom w:val="0"/>
      <w:divBdr>
        <w:top w:val="none" w:sz="0" w:space="0" w:color="auto"/>
        <w:left w:val="none" w:sz="0" w:space="0" w:color="auto"/>
        <w:bottom w:val="none" w:sz="0" w:space="0" w:color="auto"/>
        <w:right w:val="none" w:sz="0" w:space="0" w:color="auto"/>
      </w:divBdr>
    </w:div>
    <w:div w:id="1803841190">
      <w:bodyDiv w:val="1"/>
      <w:marLeft w:val="0"/>
      <w:marRight w:val="0"/>
      <w:marTop w:val="0"/>
      <w:marBottom w:val="0"/>
      <w:divBdr>
        <w:top w:val="none" w:sz="0" w:space="0" w:color="auto"/>
        <w:left w:val="none" w:sz="0" w:space="0" w:color="auto"/>
        <w:bottom w:val="none" w:sz="0" w:space="0" w:color="auto"/>
        <w:right w:val="none" w:sz="0" w:space="0" w:color="auto"/>
      </w:divBdr>
    </w:div>
    <w:div w:id="1806268791">
      <w:bodyDiv w:val="1"/>
      <w:marLeft w:val="0"/>
      <w:marRight w:val="0"/>
      <w:marTop w:val="0"/>
      <w:marBottom w:val="0"/>
      <w:divBdr>
        <w:top w:val="none" w:sz="0" w:space="0" w:color="auto"/>
        <w:left w:val="none" w:sz="0" w:space="0" w:color="auto"/>
        <w:bottom w:val="none" w:sz="0" w:space="0" w:color="auto"/>
        <w:right w:val="none" w:sz="0" w:space="0" w:color="auto"/>
      </w:divBdr>
    </w:div>
    <w:div w:id="1806511402">
      <w:bodyDiv w:val="1"/>
      <w:marLeft w:val="0"/>
      <w:marRight w:val="0"/>
      <w:marTop w:val="0"/>
      <w:marBottom w:val="0"/>
      <w:divBdr>
        <w:top w:val="none" w:sz="0" w:space="0" w:color="auto"/>
        <w:left w:val="none" w:sz="0" w:space="0" w:color="auto"/>
        <w:bottom w:val="none" w:sz="0" w:space="0" w:color="auto"/>
        <w:right w:val="none" w:sz="0" w:space="0" w:color="auto"/>
      </w:divBdr>
    </w:div>
    <w:div w:id="1810434382">
      <w:bodyDiv w:val="1"/>
      <w:marLeft w:val="0"/>
      <w:marRight w:val="0"/>
      <w:marTop w:val="0"/>
      <w:marBottom w:val="0"/>
      <w:divBdr>
        <w:top w:val="none" w:sz="0" w:space="0" w:color="auto"/>
        <w:left w:val="none" w:sz="0" w:space="0" w:color="auto"/>
        <w:bottom w:val="none" w:sz="0" w:space="0" w:color="auto"/>
        <w:right w:val="none" w:sz="0" w:space="0" w:color="auto"/>
      </w:divBdr>
    </w:div>
    <w:div w:id="1810898675">
      <w:bodyDiv w:val="1"/>
      <w:marLeft w:val="0"/>
      <w:marRight w:val="0"/>
      <w:marTop w:val="0"/>
      <w:marBottom w:val="0"/>
      <w:divBdr>
        <w:top w:val="none" w:sz="0" w:space="0" w:color="auto"/>
        <w:left w:val="none" w:sz="0" w:space="0" w:color="auto"/>
        <w:bottom w:val="none" w:sz="0" w:space="0" w:color="auto"/>
        <w:right w:val="none" w:sz="0" w:space="0" w:color="auto"/>
      </w:divBdr>
    </w:div>
    <w:div w:id="1814634837">
      <w:bodyDiv w:val="1"/>
      <w:marLeft w:val="0"/>
      <w:marRight w:val="0"/>
      <w:marTop w:val="0"/>
      <w:marBottom w:val="0"/>
      <w:divBdr>
        <w:top w:val="none" w:sz="0" w:space="0" w:color="auto"/>
        <w:left w:val="none" w:sz="0" w:space="0" w:color="auto"/>
        <w:bottom w:val="none" w:sz="0" w:space="0" w:color="auto"/>
        <w:right w:val="none" w:sz="0" w:space="0" w:color="auto"/>
      </w:divBdr>
    </w:div>
    <w:div w:id="1815444613">
      <w:bodyDiv w:val="1"/>
      <w:marLeft w:val="0"/>
      <w:marRight w:val="0"/>
      <w:marTop w:val="0"/>
      <w:marBottom w:val="0"/>
      <w:divBdr>
        <w:top w:val="none" w:sz="0" w:space="0" w:color="auto"/>
        <w:left w:val="none" w:sz="0" w:space="0" w:color="auto"/>
        <w:bottom w:val="none" w:sz="0" w:space="0" w:color="auto"/>
        <w:right w:val="none" w:sz="0" w:space="0" w:color="auto"/>
      </w:divBdr>
    </w:div>
    <w:div w:id="1826162867">
      <w:bodyDiv w:val="1"/>
      <w:marLeft w:val="0"/>
      <w:marRight w:val="0"/>
      <w:marTop w:val="0"/>
      <w:marBottom w:val="0"/>
      <w:divBdr>
        <w:top w:val="none" w:sz="0" w:space="0" w:color="auto"/>
        <w:left w:val="none" w:sz="0" w:space="0" w:color="auto"/>
        <w:bottom w:val="none" w:sz="0" w:space="0" w:color="auto"/>
        <w:right w:val="none" w:sz="0" w:space="0" w:color="auto"/>
      </w:divBdr>
    </w:div>
    <w:div w:id="1833911049">
      <w:bodyDiv w:val="1"/>
      <w:marLeft w:val="0"/>
      <w:marRight w:val="0"/>
      <w:marTop w:val="0"/>
      <w:marBottom w:val="0"/>
      <w:divBdr>
        <w:top w:val="none" w:sz="0" w:space="0" w:color="auto"/>
        <w:left w:val="none" w:sz="0" w:space="0" w:color="auto"/>
        <w:bottom w:val="none" w:sz="0" w:space="0" w:color="auto"/>
        <w:right w:val="none" w:sz="0" w:space="0" w:color="auto"/>
      </w:divBdr>
    </w:div>
    <w:div w:id="1835221794">
      <w:bodyDiv w:val="1"/>
      <w:marLeft w:val="0"/>
      <w:marRight w:val="0"/>
      <w:marTop w:val="0"/>
      <w:marBottom w:val="0"/>
      <w:divBdr>
        <w:top w:val="none" w:sz="0" w:space="0" w:color="auto"/>
        <w:left w:val="none" w:sz="0" w:space="0" w:color="auto"/>
        <w:bottom w:val="none" w:sz="0" w:space="0" w:color="auto"/>
        <w:right w:val="none" w:sz="0" w:space="0" w:color="auto"/>
      </w:divBdr>
    </w:div>
    <w:div w:id="1841966857">
      <w:bodyDiv w:val="1"/>
      <w:marLeft w:val="0"/>
      <w:marRight w:val="0"/>
      <w:marTop w:val="0"/>
      <w:marBottom w:val="0"/>
      <w:divBdr>
        <w:top w:val="none" w:sz="0" w:space="0" w:color="auto"/>
        <w:left w:val="none" w:sz="0" w:space="0" w:color="auto"/>
        <w:bottom w:val="none" w:sz="0" w:space="0" w:color="auto"/>
        <w:right w:val="none" w:sz="0" w:space="0" w:color="auto"/>
      </w:divBdr>
    </w:div>
    <w:div w:id="1843201894">
      <w:bodyDiv w:val="1"/>
      <w:marLeft w:val="0"/>
      <w:marRight w:val="0"/>
      <w:marTop w:val="0"/>
      <w:marBottom w:val="0"/>
      <w:divBdr>
        <w:top w:val="none" w:sz="0" w:space="0" w:color="auto"/>
        <w:left w:val="none" w:sz="0" w:space="0" w:color="auto"/>
        <w:bottom w:val="none" w:sz="0" w:space="0" w:color="auto"/>
        <w:right w:val="none" w:sz="0" w:space="0" w:color="auto"/>
      </w:divBdr>
    </w:div>
    <w:div w:id="1844125459">
      <w:bodyDiv w:val="1"/>
      <w:marLeft w:val="0"/>
      <w:marRight w:val="0"/>
      <w:marTop w:val="0"/>
      <w:marBottom w:val="0"/>
      <w:divBdr>
        <w:top w:val="none" w:sz="0" w:space="0" w:color="auto"/>
        <w:left w:val="none" w:sz="0" w:space="0" w:color="auto"/>
        <w:bottom w:val="none" w:sz="0" w:space="0" w:color="auto"/>
        <w:right w:val="none" w:sz="0" w:space="0" w:color="auto"/>
      </w:divBdr>
    </w:div>
    <w:div w:id="1849982782">
      <w:bodyDiv w:val="1"/>
      <w:marLeft w:val="0"/>
      <w:marRight w:val="0"/>
      <w:marTop w:val="0"/>
      <w:marBottom w:val="0"/>
      <w:divBdr>
        <w:top w:val="none" w:sz="0" w:space="0" w:color="auto"/>
        <w:left w:val="none" w:sz="0" w:space="0" w:color="auto"/>
        <w:bottom w:val="none" w:sz="0" w:space="0" w:color="auto"/>
        <w:right w:val="none" w:sz="0" w:space="0" w:color="auto"/>
      </w:divBdr>
    </w:div>
    <w:div w:id="1853447941">
      <w:bodyDiv w:val="1"/>
      <w:marLeft w:val="0"/>
      <w:marRight w:val="0"/>
      <w:marTop w:val="0"/>
      <w:marBottom w:val="0"/>
      <w:divBdr>
        <w:top w:val="none" w:sz="0" w:space="0" w:color="auto"/>
        <w:left w:val="none" w:sz="0" w:space="0" w:color="auto"/>
        <w:bottom w:val="none" w:sz="0" w:space="0" w:color="auto"/>
        <w:right w:val="none" w:sz="0" w:space="0" w:color="auto"/>
      </w:divBdr>
    </w:div>
    <w:div w:id="1858040154">
      <w:bodyDiv w:val="1"/>
      <w:marLeft w:val="0"/>
      <w:marRight w:val="0"/>
      <w:marTop w:val="0"/>
      <w:marBottom w:val="0"/>
      <w:divBdr>
        <w:top w:val="none" w:sz="0" w:space="0" w:color="auto"/>
        <w:left w:val="none" w:sz="0" w:space="0" w:color="auto"/>
        <w:bottom w:val="none" w:sz="0" w:space="0" w:color="auto"/>
        <w:right w:val="none" w:sz="0" w:space="0" w:color="auto"/>
      </w:divBdr>
    </w:div>
    <w:div w:id="1864781273">
      <w:bodyDiv w:val="1"/>
      <w:marLeft w:val="0"/>
      <w:marRight w:val="0"/>
      <w:marTop w:val="0"/>
      <w:marBottom w:val="0"/>
      <w:divBdr>
        <w:top w:val="none" w:sz="0" w:space="0" w:color="auto"/>
        <w:left w:val="none" w:sz="0" w:space="0" w:color="auto"/>
        <w:bottom w:val="none" w:sz="0" w:space="0" w:color="auto"/>
        <w:right w:val="none" w:sz="0" w:space="0" w:color="auto"/>
      </w:divBdr>
      <w:divsChild>
        <w:div w:id="1489319234">
          <w:marLeft w:val="0"/>
          <w:marRight w:val="0"/>
          <w:marTop w:val="0"/>
          <w:marBottom w:val="0"/>
          <w:divBdr>
            <w:top w:val="none" w:sz="0" w:space="0" w:color="auto"/>
            <w:left w:val="none" w:sz="0" w:space="0" w:color="auto"/>
            <w:bottom w:val="none" w:sz="0" w:space="0" w:color="auto"/>
            <w:right w:val="none" w:sz="0" w:space="0" w:color="auto"/>
          </w:divBdr>
        </w:div>
        <w:div w:id="830146416">
          <w:marLeft w:val="0"/>
          <w:marRight w:val="0"/>
          <w:marTop w:val="0"/>
          <w:marBottom w:val="0"/>
          <w:divBdr>
            <w:top w:val="none" w:sz="0" w:space="0" w:color="auto"/>
            <w:left w:val="none" w:sz="0" w:space="0" w:color="auto"/>
            <w:bottom w:val="none" w:sz="0" w:space="0" w:color="auto"/>
            <w:right w:val="none" w:sz="0" w:space="0" w:color="auto"/>
          </w:divBdr>
        </w:div>
        <w:div w:id="1634675301">
          <w:marLeft w:val="0"/>
          <w:marRight w:val="0"/>
          <w:marTop w:val="0"/>
          <w:marBottom w:val="0"/>
          <w:divBdr>
            <w:top w:val="none" w:sz="0" w:space="0" w:color="auto"/>
            <w:left w:val="none" w:sz="0" w:space="0" w:color="auto"/>
            <w:bottom w:val="none" w:sz="0" w:space="0" w:color="auto"/>
            <w:right w:val="none" w:sz="0" w:space="0" w:color="auto"/>
          </w:divBdr>
        </w:div>
      </w:divsChild>
    </w:div>
    <w:div w:id="1873613175">
      <w:bodyDiv w:val="1"/>
      <w:marLeft w:val="0"/>
      <w:marRight w:val="0"/>
      <w:marTop w:val="0"/>
      <w:marBottom w:val="0"/>
      <w:divBdr>
        <w:top w:val="none" w:sz="0" w:space="0" w:color="auto"/>
        <w:left w:val="none" w:sz="0" w:space="0" w:color="auto"/>
        <w:bottom w:val="none" w:sz="0" w:space="0" w:color="auto"/>
        <w:right w:val="none" w:sz="0" w:space="0" w:color="auto"/>
      </w:divBdr>
    </w:div>
    <w:div w:id="1882398249">
      <w:bodyDiv w:val="1"/>
      <w:marLeft w:val="0"/>
      <w:marRight w:val="0"/>
      <w:marTop w:val="0"/>
      <w:marBottom w:val="0"/>
      <w:divBdr>
        <w:top w:val="none" w:sz="0" w:space="0" w:color="auto"/>
        <w:left w:val="none" w:sz="0" w:space="0" w:color="auto"/>
        <w:bottom w:val="none" w:sz="0" w:space="0" w:color="auto"/>
        <w:right w:val="none" w:sz="0" w:space="0" w:color="auto"/>
      </w:divBdr>
    </w:div>
    <w:div w:id="1884979171">
      <w:bodyDiv w:val="1"/>
      <w:marLeft w:val="0"/>
      <w:marRight w:val="0"/>
      <w:marTop w:val="0"/>
      <w:marBottom w:val="0"/>
      <w:divBdr>
        <w:top w:val="none" w:sz="0" w:space="0" w:color="auto"/>
        <w:left w:val="none" w:sz="0" w:space="0" w:color="auto"/>
        <w:bottom w:val="none" w:sz="0" w:space="0" w:color="auto"/>
        <w:right w:val="none" w:sz="0" w:space="0" w:color="auto"/>
      </w:divBdr>
    </w:div>
    <w:div w:id="1899315057">
      <w:bodyDiv w:val="1"/>
      <w:marLeft w:val="0"/>
      <w:marRight w:val="0"/>
      <w:marTop w:val="0"/>
      <w:marBottom w:val="0"/>
      <w:divBdr>
        <w:top w:val="none" w:sz="0" w:space="0" w:color="auto"/>
        <w:left w:val="none" w:sz="0" w:space="0" w:color="auto"/>
        <w:bottom w:val="none" w:sz="0" w:space="0" w:color="auto"/>
        <w:right w:val="none" w:sz="0" w:space="0" w:color="auto"/>
      </w:divBdr>
    </w:div>
    <w:div w:id="1903831844">
      <w:bodyDiv w:val="1"/>
      <w:marLeft w:val="0"/>
      <w:marRight w:val="0"/>
      <w:marTop w:val="0"/>
      <w:marBottom w:val="0"/>
      <w:divBdr>
        <w:top w:val="none" w:sz="0" w:space="0" w:color="auto"/>
        <w:left w:val="none" w:sz="0" w:space="0" w:color="auto"/>
        <w:bottom w:val="none" w:sz="0" w:space="0" w:color="auto"/>
        <w:right w:val="none" w:sz="0" w:space="0" w:color="auto"/>
      </w:divBdr>
    </w:div>
    <w:div w:id="1905333605">
      <w:bodyDiv w:val="1"/>
      <w:marLeft w:val="0"/>
      <w:marRight w:val="0"/>
      <w:marTop w:val="0"/>
      <w:marBottom w:val="0"/>
      <w:divBdr>
        <w:top w:val="none" w:sz="0" w:space="0" w:color="auto"/>
        <w:left w:val="none" w:sz="0" w:space="0" w:color="auto"/>
        <w:bottom w:val="none" w:sz="0" w:space="0" w:color="auto"/>
        <w:right w:val="none" w:sz="0" w:space="0" w:color="auto"/>
      </w:divBdr>
    </w:div>
    <w:div w:id="1913655044">
      <w:bodyDiv w:val="1"/>
      <w:marLeft w:val="0"/>
      <w:marRight w:val="0"/>
      <w:marTop w:val="0"/>
      <w:marBottom w:val="0"/>
      <w:divBdr>
        <w:top w:val="none" w:sz="0" w:space="0" w:color="auto"/>
        <w:left w:val="none" w:sz="0" w:space="0" w:color="auto"/>
        <w:bottom w:val="none" w:sz="0" w:space="0" w:color="auto"/>
        <w:right w:val="none" w:sz="0" w:space="0" w:color="auto"/>
      </w:divBdr>
    </w:div>
    <w:div w:id="1923371656">
      <w:bodyDiv w:val="1"/>
      <w:marLeft w:val="0"/>
      <w:marRight w:val="0"/>
      <w:marTop w:val="0"/>
      <w:marBottom w:val="0"/>
      <w:divBdr>
        <w:top w:val="none" w:sz="0" w:space="0" w:color="auto"/>
        <w:left w:val="none" w:sz="0" w:space="0" w:color="auto"/>
        <w:bottom w:val="none" w:sz="0" w:space="0" w:color="auto"/>
        <w:right w:val="none" w:sz="0" w:space="0" w:color="auto"/>
      </w:divBdr>
    </w:div>
    <w:div w:id="1925917834">
      <w:bodyDiv w:val="1"/>
      <w:marLeft w:val="0"/>
      <w:marRight w:val="0"/>
      <w:marTop w:val="0"/>
      <w:marBottom w:val="0"/>
      <w:divBdr>
        <w:top w:val="none" w:sz="0" w:space="0" w:color="auto"/>
        <w:left w:val="none" w:sz="0" w:space="0" w:color="auto"/>
        <w:bottom w:val="none" w:sz="0" w:space="0" w:color="auto"/>
        <w:right w:val="none" w:sz="0" w:space="0" w:color="auto"/>
      </w:divBdr>
    </w:div>
    <w:div w:id="1951430473">
      <w:bodyDiv w:val="1"/>
      <w:marLeft w:val="0"/>
      <w:marRight w:val="0"/>
      <w:marTop w:val="0"/>
      <w:marBottom w:val="0"/>
      <w:divBdr>
        <w:top w:val="none" w:sz="0" w:space="0" w:color="auto"/>
        <w:left w:val="none" w:sz="0" w:space="0" w:color="auto"/>
        <w:bottom w:val="none" w:sz="0" w:space="0" w:color="auto"/>
        <w:right w:val="none" w:sz="0" w:space="0" w:color="auto"/>
      </w:divBdr>
    </w:div>
    <w:div w:id="1964381786">
      <w:bodyDiv w:val="1"/>
      <w:marLeft w:val="0"/>
      <w:marRight w:val="0"/>
      <w:marTop w:val="0"/>
      <w:marBottom w:val="0"/>
      <w:divBdr>
        <w:top w:val="none" w:sz="0" w:space="0" w:color="auto"/>
        <w:left w:val="none" w:sz="0" w:space="0" w:color="auto"/>
        <w:bottom w:val="none" w:sz="0" w:space="0" w:color="auto"/>
        <w:right w:val="none" w:sz="0" w:space="0" w:color="auto"/>
      </w:divBdr>
    </w:div>
    <w:div w:id="1964649092">
      <w:bodyDiv w:val="1"/>
      <w:marLeft w:val="0"/>
      <w:marRight w:val="0"/>
      <w:marTop w:val="0"/>
      <w:marBottom w:val="0"/>
      <w:divBdr>
        <w:top w:val="none" w:sz="0" w:space="0" w:color="auto"/>
        <w:left w:val="none" w:sz="0" w:space="0" w:color="auto"/>
        <w:bottom w:val="none" w:sz="0" w:space="0" w:color="auto"/>
        <w:right w:val="none" w:sz="0" w:space="0" w:color="auto"/>
      </w:divBdr>
    </w:div>
    <w:div w:id="1965503687">
      <w:bodyDiv w:val="1"/>
      <w:marLeft w:val="0"/>
      <w:marRight w:val="0"/>
      <w:marTop w:val="0"/>
      <w:marBottom w:val="0"/>
      <w:divBdr>
        <w:top w:val="none" w:sz="0" w:space="0" w:color="auto"/>
        <w:left w:val="none" w:sz="0" w:space="0" w:color="auto"/>
        <w:bottom w:val="none" w:sz="0" w:space="0" w:color="auto"/>
        <w:right w:val="none" w:sz="0" w:space="0" w:color="auto"/>
      </w:divBdr>
    </w:div>
    <w:div w:id="1968923392">
      <w:bodyDiv w:val="1"/>
      <w:marLeft w:val="0"/>
      <w:marRight w:val="0"/>
      <w:marTop w:val="0"/>
      <w:marBottom w:val="0"/>
      <w:divBdr>
        <w:top w:val="none" w:sz="0" w:space="0" w:color="auto"/>
        <w:left w:val="none" w:sz="0" w:space="0" w:color="auto"/>
        <w:bottom w:val="none" w:sz="0" w:space="0" w:color="auto"/>
        <w:right w:val="none" w:sz="0" w:space="0" w:color="auto"/>
      </w:divBdr>
    </w:div>
    <w:div w:id="1975089547">
      <w:bodyDiv w:val="1"/>
      <w:marLeft w:val="0"/>
      <w:marRight w:val="0"/>
      <w:marTop w:val="0"/>
      <w:marBottom w:val="0"/>
      <w:divBdr>
        <w:top w:val="none" w:sz="0" w:space="0" w:color="auto"/>
        <w:left w:val="none" w:sz="0" w:space="0" w:color="auto"/>
        <w:bottom w:val="none" w:sz="0" w:space="0" w:color="auto"/>
        <w:right w:val="none" w:sz="0" w:space="0" w:color="auto"/>
      </w:divBdr>
    </w:div>
    <w:div w:id="1975674320">
      <w:bodyDiv w:val="1"/>
      <w:marLeft w:val="0"/>
      <w:marRight w:val="0"/>
      <w:marTop w:val="0"/>
      <w:marBottom w:val="0"/>
      <w:divBdr>
        <w:top w:val="none" w:sz="0" w:space="0" w:color="auto"/>
        <w:left w:val="none" w:sz="0" w:space="0" w:color="auto"/>
        <w:bottom w:val="none" w:sz="0" w:space="0" w:color="auto"/>
        <w:right w:val="none" w:sz="0" w:space="0" w:color="auto"/>
      </w:divBdr>
    </w:div>
    <w:div w:id="2016305183">
      <w:bodyDiv w:val="1"/>
      <w:marLeft w:val="0"/>
      <w:marRight w:val="0"/>
      <w:marTop w:val="0"/>
      <w:marBottom w:val="0"/>
      <w:divBdr>
        <w:top w:val="none" w:sz="0" w:space="0" w:color="auto"/>
        <w:left w:val="none" w:sz="0" w:space="0" w:color="auto"/>
        <w:bottom w:val="none" w:sz="0" w:space="0" w:color="auto"/>
        <w:right w:val="none" w:sz="0" w:space="0" w:color="auto"/>
      </w:divBdr>
    </w:div>
    <w:div w:id="2027517089">
      <w:bodyDiv w:val="1"/>
      <w:marLeft w:val="0"/>
      <w:marRight w:val="0"/>
      <w:marTop w:val="0"/>
      <w:marBottom w:val="0"/>
      <w:divBdr>
        <w:top w:val="none" w:sz="0" w:space="0" w:color="auto"/>
        <w:left w:val="none" w:sz="0" w:space="0" w:color="auto"/>
        <w:bottom w:val="none" w:sz="0" w:space="0" w:color="auto"/>
        <w:right w:val="none" w:sz="0" w:space="0" w:color="auto"/>
      </w:divBdr>
    </w:div>
    <w:div w:id="2031910122">
      <w:bodyDiv w:val="1"/>
      <w:marLeft w:val="0"/>
      <w:marRight w:val="0"/>
      <w:marTop w:val="0"/>
      <w:marBottom w:val="0"/>
      <w:divBdr>
        <w:top w:val="none" w:sz="0" w:space="0" w:color="auto"/>
        <w:left w:val="none" w:sz="0" w:space="0" w:color="auto"/>
        <w:bottom w:val="none" w:sz="0" w:space="0" w:color="auto"/>
        <w:right w:val="none" w:sz="0" w:space="0" w:color="auto"/>
      </w:divBdr>
    </w:div>
    <w:div w:id="2033073105">
      <w:bodyDiv w:val="1"/>
      <w:marLeft w:val="0"/>
      <w:marRight w:val="0"/>
      <w:marTop w:val="0"/>
      <w:marBottom w:val="0"/>
      <w:divBdr>
        <w:top w:val="none" w:sz="0" w:space="0" w:color="auto"/>
        <w:left w:val="none" w:sz="0" w:space="0" w:color="auto"/>
        <w:bottom w:val="none" w:sz="0" w:space="0" w:color="auto"/>
        <w:right w:val="none" w:sz="0" w:space="0" w:color="auto"/>
      </w:divBdr>
    </w:div>
    <w:div w:id="2033844995">
      <w:bodyDiv w:val="1"/>
      <w:marLeft w:val="0"/>
      <w:marRight w:val="0"/>
      <w:marTop w:val="0"/>
      <w:marBottom w:val="0"/>
      <w:divBdr>
        <w:top w:val="none" w:sz="0" w:space="0" w:color="auto"/>
        <w:left w:val="none" w:sz="0" w:space="0" w:color="auto"/>
        <w:bottom w:val="none" w:sz="0" w:space="0" w:color="auto"/>
        <w:right w:val="none" w:sz="0" w:space="0" w:color="auto"/>
      </w:divBdr>
    </w:div>
    <w:div w:id="2044941819">
      <w:bodyDiv w:val="1"/>
      <w:marLeft w:val="0"/>
      <w:marRight w:val="0"/>
      <w:marTop w:val="0"/>
      <w:marBottom w:val="0"/>
      <w:divBdr>
        <w:top w:val="none" w:sz="0" w:space="0" w:color="auto"/>
        <w:left w:val="none" w:sz="0" w:space="0" w:color="auto"/>
        <w:bottom w:val="none" w:sz="0" w:space="0" w:color="auto"/>
        <w:right w:val="none" w:sz="0" w:space="0" w:color="auto"/>
      </w:divBdr>
    </w:div>
    <w:div w:id="2051102160">
      <w:bodyDiv w:val="1"/>
      <w:marLeft w:val="0"/>
      <w:marRight w:val="0"/>
      <w:marTop w:val="0"/>
      <w:marBottom w:val="0"/>
      <w:divBdr>
        <w:top w:val="none" w:sz="0" w:space="0" w:color="auto"/>
        <w:left w:val="none" w:sz="0" w:space="0" w:color="auto"/>
        <w:bottom w:val="none" w:sz="0" w:space="0" w:color="auto"/>
        <w:right w:val="none" w:sz="0" w:space="0" w:color="auto"/>
      </w:divBdr>
    </w:div>
    <w:div w:id="2051882945">
      <w:bodyDiv w:val="1"/>
      <w:marLeft w:val="0"/>
      <w:marRight w:val="0"/>
      <w:marTop w:val="0"/>
      <w:marBottom w:val="0"/>
      <w:divBdr>
        <w:top w:val="none" w:sz="0" w:space="0" w:color="auto"/>
        <w:left w:val="none" w:sz="0" w:space="0" w:color="auto"/>
        <w:bottom w:val="none" w:sz="0" w:space="0" w:color="auto"/>
        <w:right w:val="none" w:sz="0" w:space="0" w:color="auto"/>
      </w:divBdr>
    </w:div>
    <w:div w:id="2058045696">
      <w:bodyDiv w:val="1"/>
      <w:marLeft w:val="0"/>
      <w:marRight w:val="0"/>
      <w:marTop w:val="0"/>
      <w:marBottom w:val="0"/>
      <w:divBdr>
        <w:top w:val="none" w:sz="0" w:space="0" w:color="auto"/>
        <w:left w:val="none" w:sz="0" w:space="0" w:color="auto"/>
        <w:bottom w:val="none" w:sz="0" w:space="0" w:color="auto"/>
        <w:right w:val="none" w:sz="0" w:space="0" w:color="auto"/>
      </w:divBdr>
    </w:div>
    <w:div w:id="2063409530">
      <w:bodyDiv w:val="1"/>
      <w:marLeft w:val="0"/>
      <w:marRight w:val="0"/>
      <w:marTop w:val="0"/>
      <w:marBottom w:val="0"/>
      <w:divBdr>
        <w:top w:val="none" w:sz="0" w:space="0" w:color="auto"/>
        <w:left w:val="none" w:sz="0" w:space="0" w:color="auto"/>
        <w:bottom w:val="none" w:sz="0" w:space="0" w:color="auto"/>
        <w:right w:val="none" w:sz="0" w:space="0" w:color="auto"/>
      </w:divBdr>
    </w:div>
    <w:div w:id="2067869610">
      <w:bodyDiv w:val="1"/>
      <w:marLeft w:val="0"/>
      <w:marRight w:val="0"/>
      <w:marTop w:val="0"/>
      <w:marBottom w:val="0"/>
      <w:divBdr>
        <w:top w:val="none" w:sz="0" w:space="0" w:color="auto"/>
        <w:left w:val="none" w:sz="0" w:space="0" w:color="auto"/>
        <w:bottom w:val="none" w:sz="0" w:space="0" w:color="auto"/>
        <w:right w:val="none" w:sz="0" w:space="0" w:color="auto"/>
      </w:divBdr>
    </w:div>
    <w:div w:id="2076736851">
      <w:bodyDiv w:val="1"/>
      <w:marLeft w:val="0"/>
      <w:marRight w:val="0"/>
      <w:marTop w:val="0"/>
      <w:marBottom w:val="0"/>
      <w:divBdr>
        <w:top w:val="none" w:sz="0" w:space="0" w:color="auto"/>
        <w:left w:val="none" w:sz="0" w:space="0" w:color="auto"/>
        <w:bottom w:val="none" w:sz="0" w:space="0" w:color="auto"/>
        <w:right w:val="none" w:sz="0" w:space="0" w:color="auto"/>
      </w:divBdr>
    </w:div>
    <w:div w:id="2081515732">
      <w:bodyDiv w:val="1"/>
      <w:marLeft w:val="0"/>
      <w:marRight w:val="0"/>
      <w:marTop w:val="0"/>
      <w:marBottom w:val="0"/>
      <w:divBdr>
        <w:top w:val="none" w:sz="0" w:space="0" w:color="auto"/>
        <w:left w:val="none" w:sz="0" w:space="0" w:color="auto"/>
        <w:bottom w:val="none" w:sz="0" w:space="0" w:color="auto"/>
        <w:right w:val="none" w:sz="0" w:space="0" w:color="auto"/>
      </w:divBdr>
    </w:div>
    <w:div w:id="2084183702">
      <w:bodyDiv w:val="1"/>
      <w:marLeft w:val="0"/>
      <w:marRight w:val="0"/>
      <w:marTop w:val="0"/>
      <w:marBottom w:val="0"/>
      <w:divBdr>
        <w:top w:val="none" w:sz="0" w:space="0" w:color="auto"/>
        <w:left w:val="none" w:sz="0" w:space="0" w:color="auto"/>
        <w:bottom w:val="none" w:sz="0" w:space="0" w:color="auto"/>
        <w:right w:val="none" w:sz="0" w:space="0" w:color="auto"/>
      </w:divBdr>
    </w:div>
    <w:div w:id="2087653558">
      <w:bodyDiv w:val="1"/>
      <w:marLeft w:val="0"/>
      <w:marRight w:val="0"/>
      <w:marTop w:val="0"/>
      <w:marBottom w:val="0"/>
      <w:divBdr>
        <w:top w:val="none" w:sz="0" w:space="0" w:color="auto"/>
        <w:left w:val="none" w:sz="0" w:space="0" w:color="auto"/>
        <w:bottom w:val="none" w:sz="0" w:space="0" w:color="auto"/>
        <w:right w:val="none" w:sz="0" w:space="0" w:color="auto"/>
      </w:divBdr>
    </w:div>
    <w:div w:id="2088963569">
      <w:bodyDiv w:val="1"/>
      <w:marLeft w:val="0"/>
      <w:marRight w:val="0"/>
      <w:marTop w:val="0"/>
      <w:marBottom w:val="0"/>
      <w:divBdr>
        <w:top w:val="none" w:sz="0" w:space="0" w:color="auto"/>
        <w:left w:val="none" w:sz="0" w:space="0" w:color="auto"/>
        <w:bottom w:val="none" w:sz="0" w:space="0" w:color="auto"/>
        <w:right w:val="none" w:sz="0" w:space="0" w:color="auto"/>
      </w:divBdr>
    </w:div>
    <w:div w:id="2095932145">
      <w:bodyDiv w:val="1"/>
      <w:marLeft w:val="0"/>
      <w:marRight w:val="0"/>
      <w:marTop w:val="0"/>
      <w:marBottom w:val="0"/>
      <w:divBdr>
        <w:top w:val="none" w:sz="0" w:space="0" w:color="auto"/>
        <w:left w:val="none" w:sz="0" w:space="0" w:color="auto"/>
        <w:bottom w:val="none" w:sz="0" w:space="0" w:color="auto"/>
        <w:right w:val="none" w:sz="0" w:space="0" w:color="auto"/>
      </w:divBdr>
    </w:div>
    <w:div w:id="2098624539">
      <w:bodyDiv w:val="1"/>
      <w:marLeft w:val="0"/>
      <w:marRight w:val="0"/>
      <w:marTop w:val="0"/>
      <w:marBottom w:val="0"/>
      <w:divBdr>
        <w:top w:val="none" w:sz="0" w:space="0" w:color="auto"/>
        <w:left w:val="none" w:sz="0" w:space="0" w:color="auto"/>
        <w:bottom w:val="none" w:sz="0" w:space="0" w:color="auto"/>
        <w:right w:val="none" w:sz="0" w:space="0" w:color="auto"/>
      </w:divBdr>
    </w:div>
    <w:div w:id="2101633883">
      <w:bodyDiv w:val="1"/>
      <w:marLeft w:val="0"/>
      <w:marRight w:val="0"/>
      <w:marTop w:val="0"/>
      <w:marBottom w:val="0"/>
      <w:divBdr>
        <w:top w:val="none" w:sz="0" w:space="0" w:color="auto"/>
        <w:left w:val="none" w:sz="0" w:space="0" w:color="auto"/>
        <w:bottom w:val="none" w:sz="0" w:space="0" w:color="auto"/>
        <w:right w:val="none" w:sz="0" w:space="0" w:color="auto"/>
      </w:divBdr>
    </w:div>
    <w:div w:id="2104493708">
      <w:bodyDiv w:val="1"/>
      <w:marLeft w:val="0"/>
      <w:marRight w:val="0"/>
      <w:marTop w:val="0"/>
      <w:marBottom w:val="0"/>
      <w:divBdr>
        <w:top w:val="none" w:sz="0" w:space="0" w:color="auto"/>
        <w:left w:val="none" w:sz="0" w:space="0" w:color="auto"/>
        <w:bottom w:val="none" w:sz="0" w:space="0" w:color="auto"/>
        <w:right w:val="none" w:sz="0" w:space="0" w:color="auto"/>
      </w:divBdr>
    </w:div>
    <w:div w:id="2110346914">
      <w:bodyDiv w:val="1"/>
      <w:marLeft w:val="0"/>
      <w:marRight w:val="0"/>
      <w:marTop w:val="0"/>
      <w:marBottom w:val="0"/>
      <w:divBdr>
        <w:top w:val="none" w:sz="0" w:space="0" w:color="auto"/>
        <w:left w:val="none" w:sz="0" w:space="0" w:color="auto"/>
        <w:bottom w:val="none" w:sz="0" w:space="0" w:color="auto"/>
        <w:right w:val="none" w:sz="0" w:space="0" w:color="auto"/>
      </w:divBdr>
    </w:div>
    <w:div w:id="2115246420">
      <w:bodyDiv w:val="1"/>
      <w:marLeft w:val="0"/>
      <w:marRight w:val="0"/>
      <w:marTop w:val="0"/>
      <w:marBottom w:val="0"/>
      <w:divBdr>
        <w:top w:val="none" w:sz="0" w:space="0" w:color="auto"/>
        <w:left w:val="none" w:sz="0" w:space="0" w:color="auto"/>
        <w:bottom w:val="none" w:sz="0" w:space="0" w:color="auto"/>
        <w:right w:val="none" w:sz="0" w:space="0" w:color="auto"/>
      </w:divBdr>
    </w:div>
    <w:div w:id="2118483011">
      <w:bodyDiv w:val="1"/>
      <w:marLeft w:val="0"/>
      <w:marRight w:val="0"/>
      <w:marTop w:val="0"/>
      <w:marBottom w:val="0"/>
      <w:divBdr>
        <w:top w:val="none" w:sz="0" w:space="0" w:color="auto"/>
        <w:left w:val="none" w:sz="0" w:space="0" w:color="auto"/>
        <w:bottom w:val="none" w:sz="0" w:space="0" w:color="auto"/>
        <w:right w:val="none" w:sz="0" w:space="0" w:color="auto"/>
      </w:divBdr>
    </w:div>
    <w:div w:id="2118987319">
      <w:bodyDiv w:val="1"/>
      <w:marLeft w:val="0"/>
      <w:marRight w:val="0"/>
      <w:marTop w:val="0"/>
      <w:marBottom w:val="0"/>
      <w:divBdr>
        <w:top w:val="none" w:sz="0" w:space="0" w:color="auto"/>
        <w:left w:val="none" w:sz="0" w:space="0" w:color="auto"/>
        <w:bottom w:val="none" w:sz="0" w:space="0" w:color="auto"/>
        <w:right w:val="none" w:sz="0" w:space="0" w:color="auto"/>
      </w:divBdr>
    </w:div>
    <w:div w:id="2120223812">
      <w:bodyDiv w:val="1"/>
      <w:marLeft w:val="0"/>
      <w:marRight w:val="0"/>
      <w:marTop w:val="0"/>
      <w:marBottom w:val="0"/>
      <w:divBdr>
        <w:top w:val="none" w:sz="0" w:space="0" w:color="auto"/>
        <w:left w:val="none" w:sz="0" w:space="0" w:color="auto"/>
        <w:bottom w:val="none" w:sz="0" w:space="0" w:color="auto"/>
        <w:right w:val="none" w:sz="0" w:space="0" w:color="auto"/>
      </w:divBdr>
    </w:div>
    <w:div w:id="2121559270">
      <w:bodyDiv w:val="1"/>
      <w:marLeft w:val="0"/>
      <w:marRight w:val="0"/>
      <w:marTop w:val="0"/>
      <w:marBottom w:val="0"/>
      <w:divBdr>
        <w:top w:val="none" w:sz="0" w:space="0" w:color="auto"/>
        <w:left w:val="none" w:sz="0" w:space="0" w:color="auto"/>
        <w:bottom w:val="none" w:sz="0" w:space="0" w:color="auto"/>
        <w:right w:val="none" w:sz="0" w:space="0" w:color="auto"/>
      </w:divBdr>
    </w:div>
    <w:div w:id="2123986749">
      <w:bodyDiv w:val="1"/>
      <w:marLeft w:val="0"/>
      <w:marRight w:val="0"/>
      <w:marTop w:val="0"/>
      <w:marBottom w:val="0"/>
      <w:divBdr>
        <w:top w:val="none" w:sz="0" w:space="0" w:color="auto"/>
        <w:left w:val="none" w:sz="0" w:space="0" w:color="auto"/>
        <w:bottom w:val="none" w:sz="0" w:space="0" w:color="auto"/>
        <w:right w:val="none" w:sz="0" w:space="0" w:color="auto"/>
      </w:divBdr>
    </w:div>
    <w:div w:id="2129156791">
      <w:bodyDiv w:val="1"/>
      <w:marLeft w:val="0"/>
      <w:marRight w:val="0"/>
      <w:marTop w:val="0"/>
      <w:marBottom w:val="0"/>
      <w:divBdr>
        <w:top w:val="none" w:sz="0" w:space="0" w:color="auto"/>
        <w:left w:val="none" w:sz="0" w:space="0" w:color="auto"/>
        <w:bottom w:val="none" w:sz="0" w:space="0" w:color="auto"/>
        <w:right w:val="none" w:sz="0" w:space="0" w:color="auto"/>
      </w:divBdr>
    </w:div>
    <w:div w:id="2129663439">
      <w:bodyDiv w:val="1"/>
      <w:marLeft w:val="0"/>
      <w:marRight w:val="0"/>
      <w:marTop w:val="0"/>
      <w:marBottom w:val="0"/>
      <w:divBdr>
        <w:top w:val="none" w:sz="0" w:space="0" w:color="auto"/>
        <w:left w:val="none" w:sz="0" w:space="0" w:color="auto"/>
        <w:bottom w:val="none" w:sz="0" w:space="0" w:color="auto"/>
        <w:right w:val="none" w:sz="0" w:space="0" w:color="auto"/>
      </w:divBdr>
    </w:div>
    <w:div w:id="2130739186">
      <w:bodyDiv w:val="1"/>
      <w:marLeft w:val="0"/>
      <w:marRight w:val="0"/>
      <w:marTop w:val="0"/>
      <w:marBottom w:val="0"/>
      <w:divBdr>
        <w:top w:val="none" w:sz="0" w:space="0" w:color="auto"/>
        <w:left w:val="none" w:sz="0" w:space="0" w:color="auto"/>
        <w:bottom w:val="none" w:sz="0" w:space="0" w:color="auto"/>
        <w:right w:val="none" w:sz="0" w:space="0" w:color="auto"/>
      </w:divBdr>
    </w:div>
    <w:div w:id="2130971064">
      <w:bodyDiv w:val="1"/>
      <w:marLeft w:val="0"/>
      <w:marRight w:val="0"/>
      <w:marTop w:val="0"/>
      <w:marBottom w:val="0"/>
      <w:divBdr>
        <w:top w:val="none" w:sz="0" w:space="0" w:color="auto"/>
        <w:left w:val="none" w:sz="0" w:space="0" w:color="auto"/>
        <w:bottom w:val="none" w:sz="0" w:space="0" w:color="auto"/>
        <w:right w:val="none" w:sz="0" w:space="0" w:color="auto"/>
      </w:divBdr>
    </w:div>
    <w:div w:id="2136368383">
      <w:bodyDiv w:val="1"/>
      <w:marLeft w:val="0"/>
      <w:marRight w:val="0"/>
      <w:marTop w:val="0"/>
      <w:marBottom w:val="0"/>
      <w:divBdr>
        <w:top w:val="none" w:sz="0" w:space="0" w:color="auto"/>
        <w:left w:val="none" w:sz="0" w:space="0" w:color="auto"/>
        <w:bottom w:val="none" w:sz="0" w:space="0" w:color="auto"/>
        <w:right w:val="none" w:sz="0" w:space="0" w:color="auto"/>
      </w:divBdr>
    </w:div>
    <w:div w:id="2138326668">
      <w:bodyDiv w:val="1"/>
      <w:marLeft w:val="0"/>
      <w:marRight w:val="0"/>
      <w:marTop w:val="0"/>
      <w:marBottom w:val="0"/>
      <w:divBdr>
        <w:top w:val="none" w:sz="0" w:space="0" w:color="auto"/>
        <w:left w:val="none" w:sz="0" w:space="0" w:color="auto"/>
        <w:bottom w:val="none" w:sz="0" w:space="0" w:color="auto"/>
        <w:right w:val="none" w:sz="0" w:space="0" w:color="auto"/>
      </w:divBdr>
    </w:div>
    <w:div w:id="2140218956">
      <w:bodyDiv w:val="1"/>
      <w:marLeft w:val="0"/>
      <w:marRight w:val="0"/>
      <w:marTop w:val="0"/>
      <w:marBottom w:val="0"/>
      <w:divBdr>
        <w:top w:val="none" w:sz="0" w:space="0" w:color="auto"/>
        <w:left w:val="none" w:sz="0" w:space="0" w:color="auto"/>
        <w:bottom w:val="none" w:sz="0" w:space="0" w:color="auto"/>
        <w:right w:val="none" w:sz="0" w:space="0" w:color="auto"/>
      </w:divBdr>
    </w:div>
    <w:div w:id="2140491613">
      <w:bodyDiv w:val="1"/>
      <w:marLeft w:val="0"/>
      <w:marRight w:val="0"/>
      <w:marTop w:val="0"/>
      <w:marBottom w:val="0"/>
      <w:divBdr>
        <w:top w:val="none" w:sz="0" w:space="0" w:color="auto"/>
        <w:left w:val="none" w:sz="0" w:space="0" w:color="auto"/>
        <w:bottom w:val="none" w:sz="0" w:space="0" w:color="auto"/>
        <w:right w:val="none" w:sz="0" w:space="0" w:color="auto"/>
      </w:divBdr>
    </w:div>
    <w:div w:id="2142452615">
      <w:bodyDiv w:val="1"/>
      <w:marLeft w:val="0"/>
      <w:marRight w:val="0"/>
      <w:marTop w:val="0"/>
      <w:marBottom w:val="0"/>
      <w:divBdr>
        <w:top w:val="none" w:sz="0" w:space="0" w:color="auto"/>
        <w:left w:val="none" w:sz="0" w:space="0" w:color="auto"/>
        <w:bottom w:val="none" w:sz="0" w:space="0" w:color="auto"/>
        <w:right w:val="none" w:sz="0" w:space="0" w:color="auto"/>
      </w:divBdr>
    </w:div>
    <w:div w:id="214442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1750078@student.uwtsd.ac.uk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AOC24</b:Tag>
    <b:SourceType>InternetSite</b:SourceType>
    <b:Guid>{5D33F925-FCAC-904D-BE5C-49FE04C7E9EA}</b:Guid>
    <b:Author>
      <b:Author>
        <b:Corporate>AOC</b:Corporate>
      </b:Author>
    </b:Author>
    <b:Title>General further education colleges</b:Title>
    <b:Year>2024</b:Year>
    <b:URL>https://www.aoc.co.uk/about/general-further-education-colleges</b:URL>
    <b:YearAccessed>2024</b:YearAccessed>
    <b:MonthAccessed>October</b:MonthAccessed>
    <b:DayAccessed>28</b:DayAccessed>
    <b:RefOrder>21</b:RefOrder>
  </b:Source>
  <b:Source>
    <b:Tag>Col24</b:Tag>
    <b:SourceType>InternetSite</b:SourceType>
    <b:Guid>{F5FE36DB-B479-354A-97A1-37EB2506AB3E}</b:Guid>
    <b:Author>
      <b:Author>
        <b:Corporate>Colegau Cymru</b:Corporate>
      </b:Author>
    </b:Author>
    <b:Title>Member Colleges</b:Title>
    <b:URL>https://www.colleges.wales/en/page/members</b:URL>
    <b:Year>2024</b:Year>
    <b:YearAccessed>2024</b:YearAccessed>
    <b:MonthAccessed>October</b:MonthAccessed>
    <b:DayAccessed>28</b:DayAccessed>
    <b:RefOrder>22</b:RefOrder>
  </b:Source>
  <b:Source>
    <b:Tag>GOV241</b:Tag>
    <b:SourceType>InternetSite</b:SourceType>
    <b:Guid>{E57F4810-75E1-B94E-9EEB-98786803EAE1}</b:Guid>
    <b:Author>
      <b:Author>
        <b:Corporate>GOV.UK</b:Corporate>
      </b:Author>
    </b:Author>
    <b:Title>Further education courses and funding</b:Title>
    <b:URL>https://www.gov.uk/further-education-courses#:~:text=Further%20education%20(%20FE%20)%20includes%20any,Higher%20National%20Diplomas%20(%20HNDs%20).</b:URL>
    <b:Year>2024</b:Year>
    <b:YearAccessed>2024</b:YearAccessed>
    <b:MonthAccessed>October</b:MonthAccessed>
    <b:DayAccessed>28</b:DayAccessed>
    <b:RefOrder>20</b:RefOrder>
  </b:Source>
  <b:Source>
    <b:Tag>BTE24</b:Tag>
    <b:SourceType>InternetSite</b:SourceType>
    <b:Guid>{D4A52953-E371-B94E-83D9-8EDF521BC766}</b:Guid>
    <b:Author>
      <b:Author>
        <b:Corporate>BTEC</b:Corporate>
      </b:Author>
    </b:Author>
    <b:Title>BTEC Diplomas</b:Title>
    <b:URL>https://www.ucas.com/post-16-qualifications/qualifications-you-can-take/btec-diplomas#:~:text=BTEC%20stands%20for%20the%20Business,with%20subject%20and%20theory%20content.</b:URL>
    <b:Year>2024</b:Year>
    <b:YearAccessed>2024</b:YearAccessed>
    <b:MonthAccessed>October</b:MonthAccessed>
    <b:DayAccessed>28</b:DayAccessed>
    <b:RefOrder>23</b:RefOrder>
  </b:Source>
  <b:Source>
    <b:Tag>Pea24</b:Tag>
    <b:SourceType>InternetSite</b:SourceType>
    <b:Guid>{B332B0DB-9029-4844-8CE8-FFF48192BE62}</b:Guid>
    <b:Author>
      <b:Author>
        <b:Corporate>Pearson</b:Corporate>
      </b:Author>
    </b:Author>
    <b:Title>Pearson Qualifications</b:Title>
    <b:URL>https://qualifications.pearson.com/en/qualifications.html</b:URL>
    <b:Year>2024</b:Year>
    <b:YearAccessed>2024</b:YearAccessed>
    <b:MonthAccessed>October</b:MonthAccessed>
    <b:DayAccessed>28</b:DayAccessed>
    <b:RefOrder>17</b:RefOrder>
  </b:Source>
  <b:Source>
    <b:Tag>Qua24</b:Tag>
    <b:SourceType>InternetSite</b:SourceType>
    <b:Guid>{99ECCA74-737A-704D-A4FA-41D3AD411732}</b:Guid>
    <b:Author>
      <b:Author>
        <b:Corporate>Qualifications Wales</b:Corporate>
      </b:Author>
    </b:Author>
    <b:Title>Vocational Qualifications</b:Title>
    <b:URL>https://qualifications.wales/information-support/qualifications-available-in-wales/vocational-qualifications/</b:URL>
    <b:Year>2024</b:Year>
    <b:YearAccessed>2024</b:YearAccessed>
    <b:MonthAccessed>October</b:MonthAccessed>
    <b:DayAccessed>28</b:DayAccessed>
    <b:RefOrder>24</b:RefOrder>
  </b:Source>
  <b:Source>
    <b:Tag>Hol23</b:Tag>
    <b:SourceType>Report</b:SourceType>
    <b:Guid>{8B2A5FCF-4E5E-564A-92CB-3DBC3D3329EA}</b:Guid>
    <b:Author>
      <b:Author>
        <b:NameList>
          <b:Person>
            <b:Last>Holt-White</b:Last>
            <b:First>Erica</b:First>
          </b:Person>
          <b:Person>
            <b:Last>Cullinane</b:Last>
            <b:First>Carl</b:First>
          </b:Person>
        </b:NameList>
      </b:Author>
    </b:Author>
    <b:Title>Social Mobility: The Next Generation</b:Title>
    <b:Publisher>The Sutton Trust</b:Publisher>
    <b:Year>2023</b:Year>
    <b:RefOrder>33</b:RefOrder>
  </b:Source>
  <b:Source>
    <b:Tag>Far24</b:Tag>
    <b:SourceType>JournalArticle</b:SourceType>
    <b:Guid>{AB101B9A-07DB-7E42-AB5B-BE4DB39F4EB3}</b:Guid>
    <b:Title>Education inequalities</b:Title>
    <b:Year>2024</b:Year>
    <b:Author>
      <b:Author>
        <b:NameList>
          <b:Person>
            <b:Last>Farquharson</b:Last>
            <b:First>Christine</b:First>
          </b:Person>
          <b:Person>
            <b:Last>McNally</b:Last>
            <b:First>Sandra</b:First>
          </b:Person>
          <b:Person>
            <b:Last>Tahir</b:Last>
            <b:First>Imran</b:First>
          </b:Person>
        </b:NameList>
      </b:Author>
    </b:Author>
    <b:JournalName>Oxford Open Economics</b:JournalName>
    <b:Volume>3</b:Volume>
    <b:Issue>1</b:Issue>
    <b:Pages>760-820</b:Pages>
    <b:RefOrder>34</b:RefOrder>
  </b:Source>
  <b:Source>
    <b:Tag>Pel20</b:Tag>
    <b:SourceType>JournalArticle</b:SourceType>
    <b:Guid>{DF5712C1-C61D-CE4B-9AC9-D17C23D01545}</b:Guid>
    <b:Author>
      <b:Author>
        <b:NameList>
          <b:Person>
            <b:Last>Peltz</b:Last>
            <b:First>J.</b:First>
            <b:Middle>S.</b:Middle>
          </b:Person>
          <b:Person>
            <b:Last>Bodenlos</b:Last>
            <b:First>J.</b:First>
            <b:Middle>S.</b:Middle>
          </b:Person>
          <b:Person>
            <b:Last>Kingery</b:Last>
            <b:First>J.</b:First>
            <b:Middle>N.</b:Middle>
          </b:Person>
          <b:Person>
            <b:Last>Rogge</b:Last>
            <b:First>R.</b:First>
            <b:Middle>D.</b:Middle>
          </b:Person>
        </b:NameList>
      </b:Author>
    </b:Author>
    <b:Title>The role of financial strain in college students’ work hours, sleep, and mental health</b:Title>
    <b:JournalName>Journal of American College Health </b:JournalName>
    <b:Year>2020</b:Year>
    <b:Volume>69</b:Volume>
    <b:Issue>6</b:Issue>
    <b:Pages>577-584</b:Pages>
    <b:RefOrder>35</b:RefOrder>
  </b:Source>
  <b:Source>
    <b:Tag>Mis21</b:Tag>
    <b:SourceType>JournalArticle</b:SourceType>
    <b:Guid>{ECDF314A-2724-184B-B85D-F2D454797AE3}</b:Guid>
    <b:Author>
      <b:Author>
        <b:NameList>
          <b:Person>
            <b:Last>Mistry</b:Last>
            <b:First>Rashmita</b:First>
            <b:Middle>S.</b:Middle>
          </b:Person>
          <b:Person>
            <b:Last>Elenbaas</b:Last>
            <b:First>Laura</b:First>
          </b:Person>
        </b:NameList>
      </b:Author>
    </b:Author>
    <b:Title>It’s All in the Family: Parents’ Economic Worries and Youth’s Perceptions of Financial Stress and Educational Outcomes</b:Title>
    <b:JournalName>Journal of Youth and Adolescence </b:JournalName>
    <b:Year>2021</b:Year>
    <b:Volume>50</b:Volume>
    <b:Pages>724-738</b:Pages>
    <b:RefOrder>36</b:RefOrder>
  </b:Source>
  <b:Source>
    <b:Tag>Tuc</b:Tag>
    <b:SourceType>Report</b:SourceType>
    <b:Guid>{3257B026-FBF8-0849-93BF-B2C078C9256F}</b:Guid>
    <b:Title>Measuring the disadvantage gap in 16-19 education</b:Title>
    <b:Author>
      <b:Author>
        <b:NameList>
          <b:Person>
            <b:Last>Tuckett</b:Last>
            <b:First>Sam</b:First>
          </b:Person>
          <b:Person>
            <b:Last>Robinson</b:Last>
            <b:First>David</b:First>
          </b:Person>
          <b:Person>
            <b:Last>Bunting</b:Last>
            <b:First>Felix</b:First>
          </b:Person>
        </b:NameList>
      </b:Author>
    </b:Author>
    <b:Publisher>Education Policy Institute</b:Publisher>
    <b:Year>2021</b:Year>
    <b:RefOrder>37</b:RefOrder>
  </b:Source>
  <b:Source>
    <b:Tag>Col22</b:Tag>
    <b:SourceType>Report</b:SourceType>
    <b:Guid>{E30C7AE6-6C19-8949-98D5-3900B76FBDA6}</b:Guid>
    <b:Author>
      <b:Author>
        <b:NameList>
          <b:Person>
            <b:Last>Collings</b:Last>
            <b:First>Juliane</b:First>
          </b:Person>
          <b:Person>
            <b:Last>Clarke</b:Last>
            <b:First>Will</b:First>
          </b:Person>
          <b:Person>
            <b:Last>Fox</b:Last>
            <b:First>Harriet</b:First>
          </b:Person>
          <b:Person>
            <b:Last>Evans</b:Last>
            <b:First>David</b:First>
          </b:Person>
        </b:NameList>
      </b:Author>
    </b:Author>
    <b:Title>Identifying and addressing skills gaps to aid learner attainment’</b:Title>
    <b:Publisher>Centres For Excellence in Maths</b:Publisher>
    <b:Year>2022</b:Year>
    <b:RefOrder>38</b:RefOrder>
  </b:Source>
  <b:Source>
    <b:Tag>The20</b:Tag>
    <b:SourceType>JournalArticle</b:SourceType>
    <b:Guid>{5DCF8014-88FD-AE43-B4D4-245CB8D3B5C6}</b:Guid>
    <b:Title>The “ins and outs” of student engagement in mathematics: shifts in engagement factors among high and low achievers</b:Title>
    <b:Year>2020</b:Year>
    <b:JournalName>Mathematics Education Research Journal</b:JournalName>
    <b:Volume>33</b:Volume>
    <b:Pages>469-493</b:Pages>
    <b:Author>
      <b:Author>
        <b:NameList>
          <b:Person>
            <b:Last>Skilling</b:Last>
            <b:First>Karen</b:First>
          </b:Person>
          <b:Person>
            <b:Last>Bobis</b:Last>
            <b:First>Janette</b:First>
          </b:Person>
          <b:Person>
            <b:Last>Martin</b:Last>
            <b:First>Andrew</b:First>
            <b:Middle>J.</b:Middle>
          </b:Person>
        </b:NameList>
      </b:Author>
    </b:Author>
    <b:RefOrder>39</b:RefOrder>
  </b:Source>
  <b:Source>
    <b:Tag>NHS22</b:Tag>
    <b:SourceType>Report</b:SourceType>
    <b:Guid>{BCF83166-4C03-3F4F-A0A1-60C9A5A648A6}</b:Guid>
    <b:Author>
      <b:Author>
        <b:Corporate>NHS England</b:Corporate>
      </b:Author>
    </b:Author>
    <b:Title>Mental Health of Children and Young People in England 2022 - wave 3 follow up to the 2017 survey</b:Title>
    <b:Year>2022</b:Year>
    <b:Publisher>NHS England</b:Publisher>
    <b:RefOrder>41</b:RefOrder>
  </b:Source>
  <b:Source>
    <b:Tag>Pol21</b:Tag>
    <b:SourceType>Report</b:SourceType>
    <b:Guid>{3876496E-9050-3A4E-B820-F66A322E7FF9}</b:Guid>
    <b:Author>
      <b:Author>
        <b:NameList>
          <b:Person>
            <b:Last>Pollard</b:Last>
            <b:First>E.</b:First>
          </b:Person>
          <b:Person>
            <b:Last>Vanderlayden</b:Last>
            <b:First>J.</b:First>
          </b:Person>
          <b:Person>
            <b:Last>Alexander</b:Last>
            <b:First>K.</b:First>
          </b:Person>
          <b:Person>
            <b:Last>Borkin</b:Last>
            <b:First>H.</b:First>
          </b:Person>
          <b:Person>
            <b:Last>O’Mahony</b:Last>
            <b:First>J.,</b:First>
          </b:Person>
        </b:NameList>
      </b:Author>
    </b:Author>
    <b:Title>Student mental health and wellbeing. </b:Title>
    <b:Year>2021</b:Year>
    <b:RefOrder>40</b:RefOrder>
  </b:Source>
  <b:Source>
    <b:Tag>Bak21</b:Tag>
    <b:SourceType>JournalArticle</b:SourceType>
    <b:Guid>{7ABC392C-D51C-3C4A-8B6E-77F6B7DF05E7}</b:Guid>
    <b:Title>The Experience of COVID-19 and Its Impact on Teachers’ Mental Health, Coping, and Teaching</b:Title>
    <b:Year>2021</b:Year>
    <b:Author>
      <b:Author>
        <b:NameList>
          <b:Person>
            <b:Last>Baker</b:Last>
            <b:First>Courtney</b:First>
            <b:Middle>N.</b:Middle>
          </b:Person>
          <b:Person>
            <b:Last>Peele</b:Last>
            <b:First>Haley</b:First>
          </b:Person>
          <b:Person>
            <b:Last>Daniels</b:Last>
            <b:First>Monica</b:First>
          </b:Person>
          <b:Person>
            <b:Last>Saybe</b:Last>
            <b:First>Megan</b:First>
          </b:Person>
          <b:Person>
            <b:Last>Whalen</b:Last>
            <b:First>Kathleen</b:First>
          </b:Person>
          <b:Person>
            <b:Last>Overstreet</b:Last>
            <b:First>Stacy</b:First>
          </b:Person>
        </b:NameList>
      </b:Author>
    </b:Author>
    <b:JournalName>School Psychology Review </b:JournalName>
    <b:Volume>50</b:Volume>
    <b:Issue>4</b:Issue>
    <b:Pages>491-504</b:Pages>
    <b:RefOrder>42</b:RefOrder>
  </b:Source>
  <b:Source>
    <b:Tag>You20</b:Tag>
    <b:SourceType>JournalArticle</b:SourceType>
    <b:Guid>{78AFE1E2-4500-304E-B453-7EADEB2F9A11}</b:Guid>
    <b:Author>
      <b:Author>
        <b:NameList>
          <b:Person>
            <b:Last>Young</b:Last>
            <b:First>Emma</b:First>
          </b:Person>
          <b:Person>
            <b:Last>Thompson</b:Last>
            <b:First>Rachael</b:First>
          </b:Person>
          <b:Person>
            <b:Last>Sharp</b:Last>
            <b:First>John</b:First>
          </b:Person>
          <b:Person>
            <b:Last>Bosmans</b:Last>
            <b:First>Daniel</b:First>
          </b:Person>
        </b:NameList>
      </b:Author>
    </b:Author>
    <b:Title>Emotional transitions? Exploring the student experience of entering higher education in a widening-participation HE-in-FE setting</b:Title>
    <b:JournalName>Journal of Further and Higher Education  </b:JournalName>
    <b:Year>2020</b:Year>
    <b:Volume>44</b:Volume>
    <b:Issue>10</b:Issue>
    <b:Pages>1349-1363</b:Pages>
    <b:RefOrder>43</b:RefOrder>
  </b:Source>
  <b:Source>
    <b:Tag>Ber22</b:Tag>
    <b:SourceType>JournalArticle</b:SourceType>
    <b:Guid>{BE347E11-080E-1A40-9E98-0F12B6BA1C34}</b:Guid>
    <b:Author>
      <b:Author>
        <b:NameList>
          <b:Person>
            <b:Last>Bergdahl</b:Last>
            <b:First>Nina</b:First>
          </b:Person>
        </b:NameList>
      </b:Author>
    </b:Author>
    <b:Title>Engagement and disengagement in online learning</b:Title>
    <b:JournalName>Computers &amp; Education</b:JournalName>
    <b:Year>2022</b:Year>
    <b:Volume>188</b:Volume>
    <b:RefOrder>44</b:RefOrder>
  </b:Source>
  <b:Source>
    <b:Tag>Hod20</b:Tag>
    <b:SourceType>BookSection</b:SourceType>
    <b:Guid>{EE72DD54-FFCE-2340-BCE8-631E7D65085C}</b:Guid>
    <b:Author>
      <b:Author>
        <b:NameList>
          <b:Person>
            <b:Last>Hodgson</b:Last>
            <b:First>Anne</b:First>
          </b:Person>
          <b:Person>
            <b:Last>Spours</b:Last>
            <b:First>Ken</b:First>
          </b:Person>
        </b:NameList>
      </b:Author>
      <b:Editor>
        <b:NameList>
          <b:Person>
            <b:Last>Brunila</b:Last>
            <b:First>K</b:First>
          </b:Person>
          <b:Person>
            <b:Last>Lundahl</b:Last>
            <b:First>L.</b:First>
          </b:Person>
        </b:NameList>
      </b:Editor>
    </b:Author>
    <b:Title>Young People and Transitions in Upper Secondary Education in England</b:Title>
    <b:Year>2020</b:Year>
    <b:Pages>127–147</b:Pages>
    <b:BookTitle>Youth on the Move: Tendencies and Tensions in Youth Policies and Practices</b:BookTitle>
    <b:City>Helsinki</b:City>
    <b:Publisher>Helsinki University Press</b:Publisher>
    <b:RefOrder>45</b:RefOrder>
  </b:Source>
  <b:Source>
    <b:Tag>Moo17</b:Tag>
    <b:SourceType>JournalArticle</b:SourceType>
    <b:Guid>{DF517642-AB93-4740-8A94-96441E8E1D99}</b:Guid>
    <b:Title>Failing to deliver? Exploring the current status of career education provision in England</b:Title>
    <b:Year>2017</b:Year>
    <b:Pages>187-215</b:Pages>
    <b:Author>
      <b:Author>
        <b:NameList>
          <b:Person>
            <b:Last>Moote</b:Last>
            <b:First>Julie</b:First>
          </b:Person>
          <b:Person>
            <b:Last>Archer</b:Last>
            <b:First>Louise</b:First>
          </b:Person>
        </b:NameList>
      </b:Author>
    </b:Author>
    <b:JournalName>Research Papers in Education</b:JournalName>
    <b:Volume>33</b:Volume>
    <b:Issue>2</b:Issue>
    <b:RefOrder>46</b:RefOrder>
  </b:Source>
  <b:Source>
    <b:Tag>Acq17</b:Tag>
    <b:SourceType>JournalArticle</b:SourceType>
    <b:Guid>{B935DE17-C9F0-F744-BBE8-4FE17F60028A}</b:Guid>
    <b:Author>
      <b:Author>
        <b:NameList>
          <b:Person>
            <b:Last>Acquah</b:Last>
            <b:First>Daniel</b:First>
            <b:Middle>K.</b:Middle>
          </b:Person>
          <b:Person>
            <b:Last>Limmer</b:Last>
            <b:First>Hayley</b:First>
          </b:Person>
          <b:Person>
            <b:Last>Malpass</b:Last>
            <b:First>Debra</b:First>
          </b:Person>
        </b:NameList>
      </b:Author>
    </b:Author>
    <b:Title>‘I don’t know where to find the careers adviser … he has disappeared’: the impact of changes to careers advice on 14–16 year olds in University Technical Colleges and schools</b:Title>
    <b:JournalName>Research Papers in Education </b:JournalName>
    <b:Year>2017</b:Year>
    <b:Volume>32</b:Volume>
    <b:Issue>2</b:Issue>
    <b:Pages>197-216</b:Pages>
    <b:RefOrder>47</b:RefOrder>
  </b:Source>
  <b:Source>
    <b:Tag>LiX22</b:Tag>
    <b:SourceType>JournalArticle</b:SourceType>
    <b:Guid>{B0467423-0A07-874D-BA05-E3BB9D2B9FCC}</b:Guid>
    <b:Author>
      <b:Author>
        <b:NameList>
          <b:Person>
            <b:Last>Li</b:Last>
            <b:First>X.</b:First>
          </b:Person>
          <b:Person>
            <b:Last>Yang</b:Last>
            <b:First>Y.</b:First>
          </b:Person>
          <b:Person>
            <b:Last>Chu</b:Last>
            <b:First>S.K.W.</b:First>
          </b:Person>
          <b:Person>
            <b:Last>Zainuddin</b:Last>
            <b:First>Z.</b:First>
          </b:Person>
          <b:Person>
            <b:Last>Zhang</b:Last>
            <b:First>Y.</b:First>
          </b:Person>
        </b:NameList>
      </b:Author>
    </b:Author>
    <b:Title>Applying blended synchronous teaching and learning for flexible learning in higher education</b:Title>
    <b:JournalName>Asia Pacific Journal of Education</b:JournalName>
    <b:Year>2022</b:Year>
    <b:Volume>42</b:Volume>
    <b:Issue>2</b:Issue>
    <b:Pages>211-227</b:Pages>
    <b:RefOrder>48</b:RefOrder>
  </b:Source>
  <b:Source>
    <b:Tag>Tow11</b:Tag>
    <b:SourceType>JournalArticle</b:SourceType>
    <b:Guid>{B9D71EA9-CE1F-2F45-A1D4-FE1530F16419}</b:Guid>
    <b:Author>
      <b:Author>
        <b:NameList>
          <b:Person>
            <b:Last>Towler</b:Last>
            <b:First>C.</b:First>
          </b:Person>
          <b:Person>
            <b:Last>Woolner</b:Last>
            <b:First>P.</b:First>
          </b:Person>
          <b:Person>
            <b:Last>Wall</b:Last>
            <b:First>K.</b:First>
          </b:Person>
        </b:NameList>
      </b:Author>
    </b:Author>
    <b:Title>Exploring teachers’ and students’ conceptions of learning in two further education colleges</b:Title>
    <b:Year>2011</b:Year>
    <b:JournalName>Journal of Further and Higher Education</b:JournalName>
    <b:Volume>35</b:Volume>
    <b:Issue>4</b:Issue>
    <b:Pages>501-520</b:Pages>
    <b:RefOrder>31</b:RefOrder>
  </b:Source>
  <b:Source>
    <b:Tag>Lea24</b:Tag>
    <b:SourceType>InternetSite</b:SourceType>
    <b:Guid>{2064B53E-3965-4844-BE6C-BBFB10584B9D}</b:Guid>
    <b:Title>Learning And Work Institute Wales</b:Title>
    <b:Year>2024</b:Year>
    <b:Author>
      <b:Author>
        <b:Corporate>Learning And Work Institute</b:Corporate>
      </b:Author>
    </b:Author>
    <b:URL>https://www.learningandwork.wales/</b:URL>
    <b:YearAccessed>2024</b:YearAccessed>
    <b:MonthAccessed>October</b:MonthAccessed>
    <b:DayAccessed>29</b:DayAccessed>
    <b:RefOrder>6</b:RefOrder>
  </b:Source>
  <b:Source>
    <b:Tag>Col241</b:Tag>
    <b:SourceType>InternetSite</b:SourceType>
    <b:Guid>{2CEEA2C0-9AE5-2D40-80D1-1F10C731D52D}</b:Guid>
    <b:Author>
      <b:Author>
        <b:Corporate>Colegau Cymru</b:Corporate>
      </b:Author>
    </b:Author>
    <b:Title>Colegau Cymru</b:Title>
    <b:URL>https://www.colleges.wales/?_locale=en</b:URL>
    <b:Year>2024</b:Year>
    <b:YearAccessed>2024</b:YearAccessed>
    <b:MonthAccessed>October</b:MonthAccessed>
    <b:DayAccessed>29</b:DayAccessed>
    <b:RefOrder>7</b:RefOrder>
  </b:Source>
  <b:Source>
    <b:Tag>Wix22</b:Tag>
    <b:SourceType>JournalArticle</b:SourceType>
    <b:Guid>{3947287C-0F62-6A4D-A2A2-AC55B3E740A2}</b:Guid>
    <b:Title>Does well-being matter? Exploring the reasons for learner withdrawal from further education in Wales</b:Title>
    <b:Year>2022</b:Year>
    <b:Author>
      <b:Author>
        <b:NameList>
          <b:Person>
            <b:Last>Wixey</b:Last>
            <b:First>H.</b:First>
          </b:Person>
          <b:Person>
            <b:Last>Cropley</b:Last>
            <b:First>B.</b:First>
          </b:Person>
          <b:Person>
            <b:Last>Shearer</b:Last>
            <b:First>D.</b:First>
          </b:Person>
          <b:Person>
            <b:Last>Evans</b:Last>
            <b:First>L.</b:First>
          </b:Person>
          <b:Person>
            <b:Last>Kingston</b:Last>
            <b:First>K.</b:First>
          </b:Person>
        </b:NameList>
      </b:Author>
    </b:Author>
    <b:JournalName>Journal of Further and Higher Education </b:JournalName>
    <b:Volume>47</b:Volume>
    <b:Issue>4</b:Issue>
    <b:Pages>435-449</b:Pages>
    <b:RefOrder>9</b:RefOrder>
  </b:Source>
  <b:Source>
    <b:Tag>Caf23</b:Tag>
    <b:SourceType>DocumentFromInternetSite</b:SourceType>
    <b:Guid>{11BA685E-E659-4049-8C0C-3D931C02F166}</b:Guid>
    <b:Author>
      <b:Author>
        <b:NameList>
          <b:Person>
            <b:Last>Caffrey</b:Last>
            <b:First>T.</b:First>
          </b:Person>
        </b:NameList>
      </b:Author>
    </b:Author>
    <b:Title>Imagination and Pedagogy: Reclaiming the Educational in Further Education</b:Title>
    <b:URL>https://etheses.whiterose.ac.uk/34309/1/TC%20-%20Thesis%20-%20FINAL%20_POST%20VIVA%20AMENDMENTS%20JANUARY%202024.pdf</b:URL>
    <b:Year>2023</b:Year>
    <b:Month>September</b:Month>
    <b:YearAccessed>2024</b:YearAccessed>
    <b:MonthAccessed>October</b:MonthAccessed>
    <b:DayAccessed>29</b:DayAccessed>
    <b:RefOrder>10</b:RefOrder>
  </b:Source>
  <b:Source>
    <b:Tag>Pac21</b:Tag>
    <b:SourceType>JournalArticle</b:SourceType>
    <b:Guid>{8B400FCF-8A2A-AA4F-AD57-91020EFA4B71}</b:Guid>
    <b:Title>Transitions to further education: listening to voices of experience</b:Title>
    <b:Year>2021</b:Year>
    <b:Author>
      <b:Author>
        <b:NameList>
          <b:Person>
            <b:Last>Packer</b:Last>
            <b:First>Rhiannon</b:First>
          </b:Person>
          <b:Person>
            <b:Last>Thomas</b:Last>
            <b:First>Amanda</b:First>
          </b:Person>
        </b:NameList>
      </b:Author>
    </b:Author>
    <b:JournalName>Research in Post-Compulsory Education </b:JournalName>
    <b:Volume>26</b:Volume>
    <b:Issue>2</b:Issue>
    <b:Pages>212-230</b:Pages>
    <b:RefOrder>8</b:RefOrder>
  </b:Source>
  <b:Source>
    <b:Tag>Est22</b:Tag>
    <b:SourceType>InternetSite</b:SourceType>
    <b:Guid>{1B0E4C29-64D5-394D-9106-C9DC3C3ABD36}</b:Guid>
    <b:Title>National strategy needed to improve post-16 education and training in Wales</b:Title>
    <b:Year>2022</b:Year>
    <b:Author>
      <b:Author>
        <b:Corporate>Estyn</b:Corporate>
      </b:Author>
    </b:Author>
    <b:URL>https://estyn.gov.wales/news/national-strategy-needed-to-improve-post-16-education-and-training-in-wales-says-estyn/</b:URL>
    <b:YearAccessed>2024</b:YearAccessed>
    <b:MonthAccessed>October</b:MonthAccessed>
    <b:DayAccessed>29</b:DayAccessed>
    <b:RefOrder>11</b:RefOrder>
  </b:Source>
  <b:Source>
    <b:Tag>Coh17</b:Tag>
    <b:SourceType>Book</b:SourceType>
    <b:Guid>{E00D4762-C827-8A4C-85F2-618C439AC0F7}</b:Guid>
    <b:Author>
      <b:Author>
        <b:NameList>
          <b:Person>
            <b:Last>Cohen</b:Last>
            <b:First>Louis</b:First>
          </b:Person>
          <b:Person>
            <b:Last>Manion</b:Last>
            <b:First>Lawrence</b:First>
          </b:Person>
          <b:Person>
            <b:Last>Morrison</b:Last>
            <b:First>Keith</b:First>
          </b:Person>
        </b:NameList>
      </b:Author>
    </b:Author>
    <b:Title>Research Methods in Education</b:Title>
    <b:Publisher>Routledge</b:Publisher>
    <b:Year>2017</b:Year>
    <b:Edition>8th</b:Edition>
    <b:RefOrder>1</b:RefOrder>
  </b:Source>
  <b:Source>
    <b:Tag>Mer21</b:Tag>
    <b:SourceType>Book</b:SourceType>
    <b:Guid>{B0CD4029-FB85-E84A-BBC5-C6F978ACE525}</b:Guid>
    <b:Author>
      <b:Author>
        <b:NameList>
          <b:Person>
            <b:Last>Mertler</b:Last>
            <b:First>Craig</b:First>
            <b:Middle>A.</b:Middle>
          </b:Person>
        </b:NameList>
      </b:Author>
    </b:Author>
    <b:Title>Introduction to Educational Research</b:Title>
    <b:Publisher>SAGE Publications</b:Publisher>
    <b:Year>2021</b:Year>
    <b:Edition>3rd</b:Edition>
    <b:RefOrder>3</b:RefOrder>
  </b:Source>
  <b:Source>
    <b:Tag>War20</b:Tag>
    <b:SourceType>Book</b:SourceType>
    <b:Guid>{9B268B4F-C62C-FA4E-BC28-077D015EBD41}</b:Guid>
    <b:Author>
      <b:Author>
        <b:NameList>
          <b:Person>
            <b:Last>Ward</b:Last>
            <b:First>Michael</b:First>
            <b:Middle>R.M.</b:Middle>
          </b:Person>
          <b:Person>
            <b:Last>Delamont</b:Last>
            <b:First>Sara</b:First>
          </b:Person>
        </b:NameList>
      </b:Author>
    </b:Author>
    <b:Title>Handbook of Qualitative Research in Education</b:Title>
    <b:Publisher>Edward Elgar Publishing</b:Publisher>
    <b:Year>2020</b:Year>
    <b:Edition>2nd</b:Edition>
    <b:RefOrder>59</b:RefOrder>
  </b:Source>
  <b:Source>
    <b:Tag>Pow18</b:Tag>
    <b:SourceType>Book</b:SourceType>
    <b:Guid>{0A22FBF5-B922-9845-AD53-28A545B91934}</b:Guid>
    <b:Author>
      <b:Author>
        <b:NameList>
          <b:Person>
            <b:Last>Powney</b:Last>
            <b:First>Janet</b:First>
          </b:Person>
          <b:Person>
            <b:Last>Watts</b:Last>
            <b:First>Mike</b:First>
          </b:Person>
        </b:NameList>
      </b:Author>
    </b:Author>
    <b:Title>Interviewing in Educational Research</b:Title>
    <b:Publisher>Taylor &amp; Francis</b:Publisher>
    <b:Year>2018</b:Year>
    <b:RefOrder>65</b:RefOrder>
  </b:Source>
  <b:Source>
    <b:Tag>Wra12</b:Tag>
    <b:SourceType>Book</b:SourceType>
    <b:Guid>{B4902A01-2A09-C146-AE2D-72946A96E47D}</b:Guid>
    <b:Author>
      <b:Author>
        <b:NameList>
          <b:Person>
            <b:Last>Wragg</b:Last>
            <b:First>Edward</b:First>
            <b:Middle>Conrad</b:Middle>
          </b:Person>
        </b:NameList>
      </b:Author>
    </b:Author>
    <b:Title>An Introduction to Classroom Observation</b:Title>
    <b:Publisher>Routledge</b:Publisher>
    <b:Year>2012</b:Year>
    <b:RefOrder>67</b:RefOrder>
  </b:Source>
  <b:Source>
    <b:Tag>OLe20</b:Tag>
    <b:SourceType>Book</b:SourceType>
    <b:Guid>{3AB67292-0FF4-DB4C-8E6D-CE7897F21D8A}</b:Guid>
    <b:Author>
      <b:Author>
        <b:NameList>
          <b:Person>
            <b:Last>O'Leary</b:Last>
            <b:First> M.</b:First>
          </b:Person>
        </b:NameList>
      </b:Author>
    </b:Author>
    <b:Title>Classroom Observation: A Guide to the Effective Observation of Teaching and Learning</b:Title>
    <b:Publisher>Taylor &amp; Francis Group</b:Publisher>
    <b:Year>2020</b:Year>
    <b:RefOrder>68</b:RefOrder>
  </b:Source>
  <b:Source>
    <b:Tag>Bel18</b:Tag>
    <b:SourceType>Book</b:SourceType>
    <b:Guid>{AA224E26-01B8-354E-B3AB-932CC06AADB1}</b:Guid>
    <b:Author>
      <b:Author>
        <b:NameList>
          <b:Person>
            <b:Last>Bell</b:Last>
            <b:First>Judith</b:First>
          </b:Person>
          <b:Person>
            <b:Last>Waters</b:Last>
            <b:First>Stephen</b:First>
          </b:Person>
          <b:Person>
            <b:Last>Johnson</b:Last>
            <b:First>Helen</b:First>
          </b:Person>
        </b:NameList>
      </b:Author>
    </b:Author>
    <b:Title>Doing Your Research Project: A Guide for First-time Researchers</b:Title>
    <b:Publisher>Open University Press</b:Publisher>
    <b:Year>2024</b:Year>
    <b:Edition>3rd</b:Edition>
    <b:RefOrder>60</b:RefOrder>
  </b:Source>
  <b:Source>
    <b:Tag>BER241</b:Tag>
    <b:SourceType>InternetSite</b:SourceType>
    <b:Guid>{A718BF2A-64BE-124C-A756-191E2B54C17E}</b:Guid>
    <b:Title>Ethical Guidelines for Educational Research, fifth edition</b:Title>
    <b:Year>2024</b:Year>
    <b:Author>
      <b:Author>
        <b:Corporate>BERA</b:Corporate>
      </b:Author>
    </b:Author>
    <b:URL>https://www.bera.ac.uk/publication/ethical-guidelines-for-educational-research-fifth-edition-2024-online</b:URL>
    <b:YearAccessed>2024</b:YearAccessed>
    <b:MonthAccessed>October</b:MonthAccessed>
    <b:DayAccessed>30</b:DayAccessed>
    <b:RefOrder>81</b:RefOrder>
  </b:Source>
  <b:Source>
    <b:Tag>Bos20</b:Tag>
    <b:SourceType>Book</b:SourceType>
    <b:Guid>{98293CCA-8B87-9F4C-AA73-BA111FE3E15D}</b:Guid>
    <b:Title>Confidentiality. In: Research Ethics for Students in the Social Sciences.</b:Title>
    <b:Year>2020</b:Year>
    <b:Author>
      <b:Author>
        <b:NameList>
          <b:Person>
            <b:Last>Bos</b:Last>
            <b:First>J.</b:First>
          </b:Person>
        </b:NameList>
      </b:Author>
    </b:Author>
    <b:Publisher>Springer</b:Publisher>
    <b:RefOrder>82</b:RefOrder>
  </b:Source>
  <b:Source>
    <b:Tag>OEC15</b:Tag>
    <b:SourceType>Book</b:SourceType>
    <b:Guid>{70F1EB2C-72DE-084A-B966-12F9A0495ECB}</b:Guid>
    <b:Title>Frascati Manual 2015: Guidelines for Collecting and Reporting Data on Research and Experimental Development</b:Title>
    <b:City>Paris</b:City>
    <b:Publisher>OECD Publishing</b:Publisher>
    <b:Year>2015</b:Year>
    <b:Author>
      <b:Author>
        <b:Corporate>OECD</b:Corporate>
      </b:Author>
    </b:Author>
    <b:RefOrder>83</b:RefOrder>
  </b:Source>
  <b:Source>
    <b:Tag>Bra21</b:Tag>
    <b:SourceType>Book</b:SourceType>
    <b:Guid>{19FB40D8-5945-5F44-8B56-FC711643B49D}</b:Guid>
    <b:Author>
      <b:Author>
        <b:NameList>
          <b:Person>
            <b:Last>Braun</b:Last>
            <b:First>Virginia</b:First>
          </b:Person>
          <b:Person>
            <b:Last>Clarke</b:Last>
            <b:First>Victoria</b:First>
          </b:Person>
        </b:NameList>
      </b:Author>
    </b:Author>
    <b:Title> Thematic Analysis: A Practical Guide</b:Title>
    <b:Publisher>SAGE Publications</b:Publisher>
    <b:Year>2021</b:Year>
    <b:RefOrder>69</b:RefOrder>
  </b:Source>
  <b:Source>
    <b:Tag>Ter17</b:Tag>
    <b:SourceType>BookSection</b:SourceType>
    <b:Guid>{688F4F1C-89C2-1E4E-B352-40638168D4D2}</b:Guid>
    <b:Title>Thematic analysis</b:Title>
    <b:Publisher>SAGE Publications</b:Publisher>
    <b:Year>2017</b:Year>
    <b:Author>
      <b:Author>
        <b:NameList>
          <b:Person>
            <b:Last>Terry</b:Last>
            <b:First>G.</b:First>
          </b:Person>
          <b:Person>
            <b:Last>Hayfield</b:Last>
            <b:First>N.</b:First>
          </b:Person>
          <b:Person>
            <b:Last>Clarke</b:Last>
            <b:First>V.</b:First>
          </b:Person>
          <b:Person>
            <b:Last>Braun</b:Last>
            <b:First>V.</b:First>
          </b:Person>
        </b:NameList>
      </b:Author>
    </b:Author>
    <b:BookTitle>The SAGE handbook of qualitative research in psychology,</b:BookTitle>
    <b:Pages>2(17-37), p.25</b:Pages>
    <b:RefOrder>77</b:RefOrder>
  </b:Source>
  <b:Source>
    <b:Tag>Bra22</b:Tag>
    <b:SourceType>JournalArticle</b:SourceType>
    <b:Guid>{2133D68F-C981-A14E-B119-C58837550D4E}</b:Guid>
    <b:Author>
      <b:Author>
        <b:NameList>
          <b:Person>
            <b:Last>Braun</b:Last>
            <b:First>Virginia</b:First>
          </b:Person>
          <b:Person>
            <b:Last>Clarke</b:Last>
            <b:First>Victoria</b:First>
          </b:Person>
        </b:NameList>
      </b:Author>
    </b:Author>
    <b:Title>Toward good practice in thematic analysis: Avoiding common problems and be(com)ing a knowing researcher</b:Title>
    <b:JournalName>International Journal of Transgender Health</b:JournalName>
    <b:Year>2022</b:Year>
    <b:Volume>24</b:Volume>
    <b:Issue>1</b:Issue>
    <b:Pages>1-6</b:Pages>
    <b:RefOrder>54</b:RefOrder>
  </b:Source>
  <b:Source>
    <b:Tag>Zha21</b:Tag>
    <b:SourceType>JournalArticle</b:SourceType>
    <b:Guid>{D891F261-15AE-EC43-9931-67F6D7683B1F}</b:Guid>
    <b:Author>
      <b:Author>
        <b:NameList>
          <b:Person>
            <b:Last>Zhao</b:Last>
            <b:First>Kino</b:First>
          </b:Person>
        </b:NameList>
      </b:Author>
    </b:Author>
    <b:Title>Sample representation in the social sciences</b:Title>
    <b:JournalName>Synthese</b:JournalName>
    <b:Year>2021</b:Year>
    <b:Volume>198</b:Volume>
    <b:Pages>9097-9115</b:Pages>
    <b:RefOrder>66</b:RefOrder>
  </b:Source>
  <b:Source>
    <b:Tag>Bra06</b:Tag>
    <b:SourceType>JournalArticle</b:SourceType>
    <b:Guid>{87785132-C7EC-C74E-9840-A3B8065AF953}</b:Guid>
    <b:Author>
      <b:Author>
        <b:NameList>
          <b:Person>
            <b:Last>Braun</b:Last>
            <b:First>Virginia</b:First>
          </b:Person>
          <b:Person>
            <b:Last>Clarke</b:Last>
            <b:First>Victoria</b:First>
          </b:Person>
        </b:NameList>
      </b:Author>
    </b:Author>
    <b:Title>Using thematic analysis in psychology.</b:Title>
    <b:JournalName>Qualitative Research in Psychology</b:JournalName>
    <b:Year>2006</b:Year>
    <b:Volume>3</b:Volume>
    <b:Issue>2</b:Issue>
    <b:Pages>77-101</b:Pages>
    <b:RefOrder>70</b:RefOrder>
  </b:Source>
  <b:Source>
    <b:Tag>Now17</b:Tag>
    <b:SourceType>JournalArticle</b:SourceType>
    <b:Guid>{C367EF4B-4A8F-FA4E-9DD7-FFB7A934B181}</b:Guid>
    <b:Title>Thematic Analysis: Striving to Meet the Trustworthiness Criteria</b:Title>
    <b:Year>2017</b:Year>
    <b:Author>
      <b:Author>
        <b:NameList>
          <b:Person>
            <b:Last>Nowell</b:Last>
            <b:First>Lorelli</b:First>
            <b:Middle>S.</b:Middle>
          </b:Person>
          <b:Person>
            <b:Last>Norris</b:Last>
            <b:First>Jill</b:First>
            <b:Middle>Marie</b:Middle>
          </b:Person>
          <b:Person>
            <b:Last>White</b:Last>
            <b:First>Deborah</b:First>
            <b:Middle>E.</b:Middle>
          </b:Person>
          <b:Person>
            <b:Last>Moules</b:Last>
            <b:First>Nancy</b:First>
            <b:Middle>J.</b:Middle>
          </b:Person>
        </b:NameList>
      </b:Author>
    </b:Author>
    <b:JournalName>International Journal of Qualitative Methods</b:JournalName>
    <b:Volume>16</b:Volume>
    <b:Issue>1</b:Issue>
    <b:RefOrder>74</b:RefOrder>
  </b:Source>
  <b:Source>
    <b:Tag>Ter21</b:Tag>
    <b:SourceType>Book</b:SourceType>
    <b:Guid>{C257E790-233F-7646-845B-53BC9D967E03}</b:Guid>
    <b:Title>Essentials of Thematic Analysis</b:Title>
    <b:Year>2021</b:Year>
    <b:Author>
      <b:Author>
        <b:NameList>
          <b:Person>
            <b:Last>Terry</b:Last>
            <b:First>Gareth</b:First>
          </b:Person>
          <b:Person>
            <b:Last>Hayfield</b:Last>
            <b:First>Nikki</b:First>
          </b:Person>
        </b:NameList>
      </b:Author>
    </b:Author>
    <b:Publisher>American Psychological Association</b:Publisher>
    <b:RefOrder>76</b:RefOrder>
  </b:Source>
  <b:Source>
    <b:Tag>Nog24</b:Tag>
    <b:SourceType>JournalArticle</b:SourceType>
    <b:Guid>{4C60926A-62E2-F840-BCEF-46E15E0F119E}</b:Guid>
    <b:Author>
      <b:Author>
        <b:NameList>
          <b:Person>
            <b:Last>Noguera</b:Last>
            <b:First>I.</b:First>
          </b:Person>
          <b:Person>
            <b:Last>Quesada-Pallarès</b:Last>
            <b:First>C.</b:First>
          </b:Person>
          <b:Person>
            <b:Last>Sepúlveda-Parrini</b:Last>
            <b:First>P.</b:First>
          </b:Person>
        </b:NameList>
      </b:Author>
    </b:Author>
    <b:Title>Analysing student satisfaction with teaching strategies in vocational education</b:Title>
    <b:Year>2024</b:Year>
    <b:JournalName>Education + Training</b:JournalName>
    <b:Volume>66</b:Volume>
    <b:Issue>10</b:Issue>
    <b:Pages>75-90</b:Pages>
    <b:RefOrder>13</b:RefOrder>
  </b:Source>
  <b:Source>
    <b:Tag>Yin24</b:Tag>
    <b:SourceType>JournalArticle</b:SourceType>
    <b:Guid>{617219D5-571B-1345-9DA0-375A6E9FE58C}</b:Guid>
    <b:Title>Effects of learner-centred education on academic achievement: a meta-analysis</b:Title>
    <b:JournalName>Educational Studies</b:JournalName>
    <b:Year>2024</b:Year>
    <b:Volume>50</b:Volume>
    <b:Issue>3</b:Issue>
    <b:Pages>285–298</b:Pages>
    <b:Author>
      <b:Author>
        <b:NameList>
          <b:Person>
            <b:Last>Li</b:Last>
            <b:First>Y.</b:First>
            <b:Middle>D.</b:Middle>
          </b:Person>
          <b:Person>
            <b:Last>Ding</b:Last>
            <b:First>G.</b:First>
            <b:Middle>H.</b:Middle>
          </b:Person>
          <b:Person>
            <b:Last>Zhang</b:Last>
            <b:First>C.</b:First>
            <b:Middle>Y.</b:Middle>
          </b:Person>
        </b:NameList>
      </b:Author>
    </b:Author>
    <b:RefOrder>14</b:RefOrder>
  </b:Source>
  <b:Source>
    <b:Tag>Cun241</b:Tag>
    <b:SourceType>JournalArticle</b:SourceType>
    <b:Guid>{4F03482B-A3F5-3B4D-A25A-16C4CCD54597}</b:Guid>
    <b:Author>
      <b:Author>
        <b:NameList>
          <b:Person>
            <b:Last>Cunningham</b:Last>
            <b:First>Kevin</b:First>
          </b:Person>
          <b:Person>
            <b:Last>Gorman</b:Last>
            <b:First>Monica</b:First>
          </b:Person>
          <b:Person>
            <b:Last>Maher</b:Last>
            <b:First>James</b:First>
          </b:Person>
        </b:NameList>
      </b:Author>
    </b:Author>
    <b:Title>Enhancing academic student engagement in vocational agricultural education: why course design matters</b:Title>
    <b:JournalName>Journal of Vocational Education &amp; Training </b:JournalName>
    <b:Year>2024</b:Year>
    <b:Volume>76</b:Volume>
    <b:Issue>3</b:Issue>
    <b:Pages>724-746</b:Pages>
    <b:RefOrder>15</b:RefOrder>
  </b:Source>
  <b:Source>
    <b:Tag>Fin24</b:Tag>
    <b:SourceType>Book</b:SourceType>
    <b:Guid>{D0183BFA-8BF9-084F-9B5C-344FA2C00361}</b:Guid>
    <b:Author>
      <b:Author>
        <b:NameList>
          <b:Person>
            <b:Last>Fink</b:Last>
            <b:First>L.</b:First>
            <b:Middle>Dee</b:Middle>
          </b:Person>
        </b:NameList>
      </b:Author>
    </b:Author>
    <b:Title>Creating Significant Learning Experiences: An Integrated Approach to Designing College Courses, Revised and Updated </b:Title>
    <b:Year>2024</b:Year>
    <b:URL>https://intentionalcollegeteaching.org/finks-taxonomy-of-significant-learning/</b:URL>
    <b:City>San Fransisco</b:City>
    <b:Publisher>Jossey-Bass</b:Publisher>
    <b:Edition>2nd</b:Edition>
    <b:RefOrder>57</b:RefOrder>
  </b:Source>
  <b:Source>
    <b:Tag>Pea24A</b:Tag>
    <b:SourceType>DocumentFromInternetSite</b:SourceType>
    <b:Guid>{17635DA2-0A33-844C-BAF8-066EFC0F7B3C}</b:Guid>
    <b:Title>BTEC: Calculating your overall grade</b:Title>
    <b:Year>2024</b:Year>
    <b:Author>
      <b:Author>
        <b:Corporate>Pearson</b:Corporate>
      </b:Author>
    </b:Author>
    <b:URL>https://qualifications.pearson.com/en/support/support-topics/results-certification/understanding-marks-and-grades/calculating-your-overall-btec-grade.html</b:URL>
    <b:Month>December</b:Month>
    <b:Day>9th</b:Day>
    <b:YearAccessed>2024</b:YearAccessed>
    <b:MonthAccessed>December</b:MonthAccessed>
    <b:DayAccessed>9th</b:DayAccessed>
    <b:RefOrder>25</b:RefOrder>
  </b:Source>
  <b:Source>
    <b:Tag>Mil14</b:Tag>
    <b:SourceType>Book</b:SourceType>
    <b:Guid>{A564270D-72FE-5F46-A49E-B2DED0538E99}</b:Guid>
    <b:Author>
      <b:Author>
        <b:NameList>
          <b:Person>
            <b:Last>Miles</b:Last>
            <b:First>Matthew</b:First>
            <b:Middle>B</b:Middle>
          </b:Person>
          <b:Person>
            <b:Last>Huberman</b:Last>
            <b:First>A.</b:First>
            <b:Middle>Michael</b:Middle>
          </b:Person>
          <b:Person>
            <b:Last>Saldaña</b:Last>
            <b:First>Johnny</b:First>
          </b:Person>
        </b:NameList>
      </b:Author>
    </b:Author>
    <b:Title>Qualititive Data Analysis</b:Title>
    <b:Publisher>Sage</b:Publisher>
    <b:Year>2014</b:Year>
    <b:Edition>3rd</b:Edition>
    <b:RefOrder>79</b:RefOrder>
  </b:Source>
  <b:Source>
    <b:Tag>Cha06</b:Tag>
    <b:SourceType>Book</b:SourceType>
    <b:Guid>{5F52F5AF-2A27-4848-A156-11AAD13F6205}</b:Guid>
    <b:Title>Constructing Grounded Theory: A Practical Guide through Qualitative Analysis</b:Title>
    <b:Year>2006</b:Year>
    <b:Author>
      <b:Author>
        <b:NameList>
          <b:Person>
            <b:Last>Charmaz</b:Last>
            <b:First>K.</b:First>
          </b:Person>
        </b:NameList>
      </b:Author>
    </b:Author>
    <b:Publisher>Sage</b:Publisher>
    <b:RefOrder>78</b:RefOrder>
  </b:Source>
  <b:Source>
    <b:Tag>Fin17</b:Tag>
    <b:SourceType>JournalArticle</b:SourceType>
    <b:Guid>{84A95510-BD18-2848-AFCE-510D098DE711}</b:Guid>
    <b:Author>
      <b:Author>
        <b:NameList>
          <b:Person>
            <b:Last>Finlay</b:Last>
            <b:First>L.</b:First>
          </b:Person>
        </b:NameList>
      </b:Author>
    </b:Author>
    <b:Title>A Dance Between the Researcher and the Researcher: Exploring the Complexities of Qualitative Data Analysis</b:Title>
    <b:Year>2017</b:Year>
    <b:JournalName>Qualitative Research in Psychology</b:JournalName>
    <b:Volume>14</b:Volume>
    <b:Issue>1</b:Issue>
    <b:Pages>1-16</b:Pages>
    <b:RefOrder>56</b:RefOrder>
  </b:Source>
  <b:Source>
    <b:Tag>Hol20</b:Tag>
    <b:SourceType>JournalArticle</b:SourceType>
    <b:Guid>{FACC539D-B673-BA43-B3CD-5EDAA9F00EB8}</b:Guid>
    <b:Author>
      <b:Author>
        <b:NameList>
          <b:Person>
            <b:Last>Holmes</b:Last>
            <b:First>Andrew</b:First>
            <b:Middle>Gary Darwin</b:Middle>
          </b:Person>
        </b:NameList>
      </b:Author>
    </b:Author>
    <b:Title>Researcher Positionality - A Consideration of Its Influence and Place in Qualitative Research - A New Researcher Guide</b:Title>
    <b:JournalName>Shanlax International Journal of Education</b:JournalName>
    <b:Year>2020</b:Year>
    <b:Volume>8</b:Volume>
    <b:Issue>4</b:Issue>
    <b:Pages>1-10</b:Pages>
    <b:RefOrder>75</b:RefOrder>
  </b:Source>
  <b:Source>
    <b:Tag>Cas18</b:Tag>
    <b:SourceType>JournalArticle</b:SourceType>
    <b:Guid>{BA4C2C95-42B1-D647-8351-2C16612DB969}</b:Guid>
    <b:Author>
      <b:Author>
        <b:NameList>
          <b:Person>
            <b:Last>Castleberry</b:Last>
            <b:First>Ashley</b:First>
          </b:Person>
          <b:Person>
            <b:Last>Nolen</b:Last>
            <b:First>Amanda</b:First>
          </b:Person>
        </b:NameList>
      </b:Author>
    </b:Author>
    <b:Title>Thematic analysis of qualitative research data: Is it as easy as it sounds?</b:Title>
    <b:JournalName>Curr Pharm Teach Learn</b:JournalName>
    <b:Year>2018</b:Year>
    <b:Volume>10</b:Volume>
    <b:Issue>6</b:Issue>
    <b:Pages>807-815</b:Pages>
    <b:RefOrder>71</b:RefOrder>
  </b:Source>
  <b:Source>
    <b:Tag>Cre16</b:Tag>
    <b:SourceType>Book</b:SourceType>
    <b:Guid>{3ADCB6BC-DA77-C245-AE71-8782FBC8E9A3}</b:Guid>
    <b:Author>
      <b:Author>
        <b:NameList>
          <b:Person>
            <b:Last>Creswell</b:Last>
            <b:First>John</b:First>
            <b:Middle>W.</b:Middle>
          </b:Person>
          <b:Person>
            <b:Last>Poth</b:Last>
            <b:First>Cheryl</b:First>
            <b:Middle>N.</b:Middle>
          </b:Person>
        </b:NameList>
      </b:Author>
    </b:Author>
    <b:Title>Qualitative Inquiry and Research Design: Choosing Among Five Approaches  </b:Title>
    <b:Year>2016</b:Year>
    <b:Publisher>SAGE Publications</b:Publisher>
    <b:RefOrder>2</b:RefOrder>
  </b:Source>
  <b:Source>
    <b:Tag>Den17</b:Tag>
    <b:SourceType>Book</b:SourceType>
    <b:Guid>{D2B171B6-7E68-1247-BB12-C443248093A7}</b:Guid>
    <b:Author>
      <b:Author>
        <b:NameList>
          <b:Person>
            <b:Last>Denzin</b:Last>
            <b:First>Norman</b:First>
            <b:Middle>K.</b:Middle>
          </b:Person>
          <b:Person>
            <b:Last>Lincoln</b:Last>
            <b:First>Yvonna</b:First>
            <b:Middle>S.</b:Middle>
          </b:Person>
        </b:NameList>
      </b:Author>
    </b:Author>
    <b:Title>The SAGE Handbook of Qualitative Research</b:Title>
    <b:Publisher>SAGE Publications</b:Publisher>
    <b:Year>2017</b:Year>
    <b:RefOrder>58</b:RefOrder>
  </b:Source>
  <b:Source>
    <b:Tag>Mer16</b:Tag>
    <b:SourceType>Book</b:SourceType>
    <b:Guid>{535ED55F-B91D-5145-982D-D39346DF1E42}</b:Guid>
    <b:Author>
      <b:Author>
        <b:NameList>
          <b:Person>
            <b:Last>Merriam</b:Last>
            <b:First>S.</b:First>
            <b:Middle>B.</b:Middle>
          </b:Person>
          <b:Person>
            <b:Last>Tisdell</b:Last>
            <b:First>E.</b:First>
            <b:Middle>J.</b:Middle>
          </b:Person>
        </b:NameList>
      </b:Author>
    </b:Author>
    <b:Title>Qualitative Research: A Guide to Design and Implementation</b:Title>
    <b:City>San Francisco</b:City>
    <b:Publisher>Jossey Bass</b:Publisher>
    <b:Year>2016</b:Year>
    <b:Edition>4th</b:Edition>
    <b:RefOrder>55</b:RefOrder>
  </b:Source>
  <b:Source>
    <b:Tag>Pat17</b:Tag>
    <b:SourceType>JournalArticle</b:SourceType>
    <b:Guid>{5B5A83F6-750C-6442-A7CB-7CD3F7D8D61C}</b:Guid>
    <b:Title>A Systematic Review of Research Strategies Used in Qualitative Studies on School Bullying and Victimization</b:Title>
    <b:Year>2017</b:Year>
    <b:Author>
      <b:Author>
        <b:NameList>
          <b:Person>
            <b:Last>Patton</b:Last>
            <b:First>Desmond</b:First>
            <b:Middle>Upton</b:Middle>
          </b:Person>
          <b:Person>
            <b:Last>Hong</b:Last>
            <b:First>Jun</b:First>
            <b:Middle>Sung</b:Middle>
          </b:Person>
          <b:Person>
            <b:Last>Patel</b:Last>
            <b:First>Sadiq</b:First>
          </b:Person>
          <b:Person>
            <b:Last>Kral</b:Last>
            <b:First>Michael</b:First>
            <b:Middle>J.</b:Middle>
          </b:Person>
        </b:NameList>
      </b:Author>
    </b:Author>
    <b:JournalName>Trauma, Violence, &amp; Abuse </b:JournalName>
    <b:Volume>18</b:Volume>
    <b:Issue>1</b:Issue>
    <b:Pages>3-16</b:Pages>
    <b:RefOrder>53</b:RefOrder>
  </b:Source>
  <b:Source>
    <b:Tag>Sal16</b:Tag>
    <b:SourceType>Book</b:SourceType>
    <b:Guid>{5D3084D9-B67D-484A-837A-DFF2305DF03D}</b:Guid>
    <b:Author>
      <b:Author>
        <b:NameList>
          <b:Person>
            <b:Last>Saldaña</b:Last>
            <b:First>J.</b:First>
          </b:Person>
        </b:NameList>
      </b:Author>
    </b:Author>
    <b:Title>The coding manual for qualitative researchers</b:Title>
    <b:Publisher>Sage Publications</b:Publisher>
    <b:Year>2021</b:Year>
    <b:Edition>4th</b:Edition>
    <b:RefOrder>64</b:RefOrder>
  </b:Source>
  <b:Source>
    <b:Tag>Fis19</b:Tag>
    <b:SourceType>Book</b:SourceType>
    <b:Guid>{792C78C9-57D4-3641-919D-5B3AE5C6F3DB}</b:Guid>
    <b:Author>
      <b:Author>
        <b:NameList>
          <b:Person>
            <b:Last>Fisher</b:Last>
            <b:First>Douglas</b:First>
          </b:Person>
          <b:Person>
            <b:Last>Frey</b:Last>
            <b:First>Nancy</b:First>
          </b:Person>
          <b:Person>
            <b:Last>Savitz</b:Last>
            <b:First>Rachelle</b:First>
            <b:Middle>S.</b:Middle>
          </b:Person>
        </b:NameList>
      </b:Author>
    </b:Author>
    <b:Title>Teaching hope and resilience for students experiencing trauma: Creating safe and nurturing classrooms for learning</b:Title>
    <b:Publisher>Teachers College Press</b:Publisher>
    <b:Year>2019</b:Year>
    <b:RefOrder>19</b:RefOrder>
  </b:Source>
  <b:Source>
    <b:Tag>Dar18</b:Tag>
    <b:SourceType>Book</b:SourceType>
    <b:Guid>{7DE0CCCC-73D4-BA41-A1A7-AB67FAC042C5}</b:Guid>
    <b:Author>
      <b:Author>
        <b:NameList>
          <b:Person>
            <b:Last>Darling-Hammond</b:Last>
            <b:First>L.</b:First>
          </b:Person>
          <b:Person>
            <b:Last>Cook-Harvey</b:Last>
            <b:First>C.M.</b:First>
          </b:Person>
        </b:NameList>
      </b:Author>
    </b:Author>
    <b:Title>Educating the Whole Child: Improving School Climate to Support Student Success</b:Title>
    <b:Publisher>Learning Policy Institute</b:Publisher>
    <b:Year>2018</b:Year>
    <b:RefOrder>18</b:RefOrder>
  </b:Source>
  <b:Source>
    <b:Tag>Gov00</b:Tag>
    <b:SourceType>InternetSite</b:SourceType>
    <b:Guid>{803104CD-F889-1C4D-ADB4-435956883CEC}</b:Guid>
    <b:Author>
      <b:Author>
        <b:Corporate>Gov.UK</b:Corporate>
      </b:Author>
    </b:Author>
    <b:Title> Learning and Skills Act 2000</b:Title>
    <b:URL>https://www.legislation.gov.uk/ukpga/2000/21</b:URL>
    <b:Year>2000</b:Year>
    <b:YearAccessed>2024</b:YearAccessed>
    <b:MonthAccessed>December</b:MonthAccessed>
    <b:DayAccessed>10th</b:DayAccessed>
    <b:RefOrder>27</b:RefOrder>
  </b:Source>
  <b:Source>
    <b:Tag>Cud05</b:Tag>
    <b:SourceType>Report</b:SourceType>
    <b:Guid>{92CAD0C5-1BA3-A541-9149-FF4A6C166BBC}</b:Guid>
    <b:Author>
      <b:Author>
        <b:NameList>
          <b:Person>
            <b:Last>Cuddy</b:Last>
            <b:First>Natalia</b:First>
          </b:Person>
          <b:Person>
            <b:Last>Leney</b:Last>
            <b:First>Tom</b:First>
          </b:Person>
        </b:NameList>
      </b:Author>
    </b:Author>
    <b:Title>Vocational education and training in the United Kingdom</b:Title>
    <b:Year>2005</b:Year>
    <b:Publisher>Office for Official Publications of the European Communities</b:Publisher>
    <b:City>Luxembourg</b:City>
    <b:RefOrder>28</b:RefOrder>
  </b:Source>
  <b:Source>
    <b:Tag>San07</b:Tag>
    <b:SourceType>JournalArticle</b:SourceType>
    <b:Guid>{C12D8D36-E822-734A-8E61-D7DE5BDF51EC}</b:Guid>
    <b:Title>Online collaborative learning for healthcare continuing professional development: a cross-case analysis of three case studies</b:Title>
    <b:Year>2007</b:Year>
    <b:Author>
      <b:Author>
        <b:NameList>
          <b:Person>
            <b:Last>Sandars</b:Last>
            <b:First>John</b:First>
          </b:Person>
          <b:Person>
            <b:Last>Langlois</b:Last>
            <b:First>Michele</b:First>
          </b:Person>
          <b:Person>
            <b:Last>Waterman</b:Last>
            <b:First>Heather</b:First>
          </b:Person>
        </b:NameList>
      </b:Author>
    </b:Author>
    <b:JournalName>Medical Teacher</b:JournalName>
    <b:Volume>29</b:Volume>
    <b:Issue>1</b:Issue>
    <b:Pages>9-17</b:Pages>
    <b:RefOrder>73</b:RefOrder>
  </b:Source>
  <b:Source>
    <b:Tag>Kva07</b:Tag>
    <b:SourceType>Book</b:SourceType>
    <b:Guid>{2AEC5022-E41D-2745-8986-DA21D1B047CD}</b:Guid>
    <b:Author>
      <b:Author>
        <b:NameList>
          <b:Person>
            <b:Last>Kvale</b:Last>
            <b:First>Steinar</b:First>
          </b:Person>
        </b:NameList>
      </b:Author>
    </b:Author>
    <b:Title>Doing Interviews</b:Title>
    <b:Publisher>SAGE Publications, Ltd</b:Publisher>
    <b:Year>2007</b:Year>
    <b:RefOrder>61</b:RefOrder>
  </b:Source>
  <b:Source>
    <b:Tag>Gal16</b:Tag>
    <b:SourceType>BookSection</b:SourceType>
    <b:Guid>{3B3B62E9-42E9-2542-8E41-32A6A51E0F3C}</b:Guid>
    <b:Title>Researching your own students </b:Title>
    <b:Year>2016</b:Year>
    <b:Author>
      <b:Author>
        <b:NameList>
          <b:Person>
            <b:Last>Galloway</b:Last>
            <b:First>Nicola</b:First>
          </b:Person>
        </b:NameList>
      </b:Author>
      <b:Editor>
        <b:NameList>
          <b:Person>
            <b:Last>McKinley</b:Last>
            <b:First>Jim</b:First>
          </b:Person>
          <b:Person>
            <b:Last>Rose</b:Last>
            <b:First>Heath</b:First>
          </b:Person>
        </b:NameList>
      </b:Editor>
    </b:Author>
    <b:BookTitle>Doing Research in Applied Linguistics</b:BookTitle>
    <b:Pages>Chapter 11</b:Pages>
    <b:RefOrder>63</b:RefOrder>
  </b:Source>
  <b:Source>
    <b:Tag>Tum14</b:Tag>
    <b:SourceType>Book</b:SourceType>
    <b:Guid>{3261F046-33B9-A74A-A865-80A22FC43C62}</b:Guid>
    <b:Title>Learning and Teaching in Further Education: The Reflective Practitioner</b:Title>
    <b:Publisher>Sage</b:Publisher>
    <b:Year>2014</b:Year>
    <b:Author>
      <b:Author>
        <b:NameList>
          <b:Person>
            <b:Last>Tummons</b:Last>
            <b:First>J.</b:First>
          </b:Person>
        </b:NameList>
      </b:Author>
    </b:Author>
    <b:Edition>4th</b:Edition>
    <b:RefOrder>62</b:RefOrder>
  </b:Source>
  <b:Source>
    <b:Tag>Mag17</b:Tag>
    <b:SourceType>JournalArticle</b:SourceType>
    <b:Guid>{8CE9BA97-671E-2B45-BA4D-D2939F4B49E4}</b:Guid>
    <b:Title>Doing a thematic analysis: A practical, step-by-step guide for learning and teaching scholars</b:Title>
    <b:Year>2017</b:Year>
    <b:Author>
      <b:Author>
        <b:NameList>
          <b:Person>
            <b:Last>Maguire</b:Last>
            <b:First>Moira</b:First>
          </b:Person>
          <b:Person>
            <b:Last>Delahunt</b:Last>
            <b:First>Brid</b:First>
          </b:Person>
        </b:NameList>
      </b:Author>
    </b:Author>
    <b:JournalName>All Ireland Journal of Higher Education</b:JournalName>
    <b:Volume>9</b:Volume>
    <b:Issue>3</b:Issue>
    <b:RefOrder>72</b:RefOrder>
  </b:Source>
  <b:Source>
    <b:Tag>Hud241</b:Tag>
    <b:SourceType>DocumentFromInternetSite</b:SourceType>
    <b:Guid>{C3984438-4CCB-DF44-8241-79B37C489F86}</b:Guid>
    <b:Title>Curriculum in FE Colleges over time</b:Title>
    <b:Year>2024</b:Year>
    <b:Author>
      <b:Author>
        <b:NameList>
          <b:Person>
            <b:Last>Huddleston</b:Last>
            <b:First>Prue</b:First>
          </b:Person>
          <b:Person>
            <b:Last>Unwin</b:Last>
            <b:First>Lorna</b:First>
          </b:Person>
        </b:NameList>
      </b:Author>
    </b:Author>
    <b:URL>https://www.edge.co.uk/documents/475/Edge_History_of_FE_curriculum_final.pdf</b:URL>
    <b:Month>January</b:Month>
    <b:YearAccessed>2024</b:YearAccessed>
    <b:MonthAccessed>December</b:MonthAccessed>
    <b:DayAccessed>15th</b:DayAccessed>
    <b:RefOrder>26</b:RefOrder>
  </b:Source>
  <b:Source>
    <b:Tag>Bry16</b:Tag>
    <b:SourceType>Book</b:SourceType>
    <b:Guid>{55A8C2EB-C653-974E-AAD2-AB5C80780A07}</b:Guid>
    <b:Author>
      <b:Author>
        <b:NameList>
          <b:Person>
            <b:Last>Bryman</b:Last>
            <b:First>Alan</b:First>
          </b:Person>
        </b:NameList>
      </b:Author>
    </b:Author>
    <b:Title>Social Research Methods</b:Title>
    <b:Year>2016</b:Year>
    <b:City>Oxford</b:City>
    <b:Publisher>Oxford University Press</b:Publisher>
    <b:Edition>5th</b:Edition>
    <b:RefOrder>84</b:RefOrder>
  </b:Source>
  <b:Source>
    <b:Tag>Kva15</b:Tag>
    <b:SourceType>Book</b:SourceType>
    <b:Guid>{76AC2F0B-9936-984A-BA0B-EC4D8CFBEAF7}</b:Guid>
    <b:Author>
      <b:Author>
        <b:NameList>
          <b:Person>
            <b:Last>Kvale</b:Last>
            <b:First>S.</b:First>
          </b:Person>
          <b:Person>
            <b:Last>Brinkmann</b:Last>
            <b:First>S.</b:First>
          </b:Person>
        </b:NameList>
      </b:Author>
    </b:Author>
    <b:Title>Interviews: Learning the Craft of Qualitative Research Interviewing</b:Title>
    <b:Publisher>SAGE Publications</b:Publisher>
    <b:Year>2015</b:Year>
    <b:Edition>3rd</b:Edition>
    <b:RefOrder>96</b:RefOrder>
  </b:Source>
  <b:Source>
    <b:Tag>Mor15</b:Tag>
    <b:SourceType>JournalArticle</b:SourceType>
    <b:Guid>{B66168FD-60A7-A542-AFA5-AE8463253259}</b:Guid>
    <b:Title>Data were saturated....</b:Title>
    <b:Year>2015</b:Year>
    <b:Author>
      <b:Author>
        <b:NameList>
          <b:Person>
            <b:Last>Morse</b:Last>
            <b:First>J.</b:First>
            <b:Middle>M.</b:Middle>
          </b:Person>
        </b:NameList>
      </b:Author>
    </b:Author>
    <b:JournalName>Qualitative Health Research</b:JournalName>
    <b:Volume>25</b:Volume>
    <b:Issue>5</b:Issue>
    <b:Pages>587-588</b:Pages>
    <b:RefOrder>97</b:RefOrder>
  </b:Source>
  <b:Source>
    <b:Tag>Sma19</b:Tag>
    <b:SourceType>JournalArticle</b:SourceType>
    <b:Guid>{14F0D996-8ACF-3E45-A16B-FD739B95DAAE}</b:Guid>
    <b:Author>
      <b:Author>
        <b:NameList>
          <b:Person>
            <b:Last>Smale-Jacobse</b:Last>
            <b:First>A.</b:First>
            <b:Middle>E.</b:Middle>
          </b:Person>
          <b:Person>
            <b:Last>Meijer</b:Last>
            <b:First>A.</b:First>
          </b:Person>
          <b:Person>
            <b:Last>Helms-Lorenz</b:Last>
            <b:First>M.</b:First>
          </b:Person>
          <b:Person>
            <b:Last>Maulana</b:Last>
            <b:First>R.</b:First>
          </b:Person>
        </b:NameList>
      </b:Author>
    </b:Author>
    <b:Title>Differentiated instruction in secondary education: A systematic review of research evidence</b:Title>
    <b:JournalName>Frontiers in psychology</b:JournalName>
    <b:Year>2019</b:Year>
    <b:Volume>10</b:Volume>
    <b:Pages>2366</b:Pages>
    <b:RefOrder>87</b:RefOrder>
  </b:Source>
  <b:Source>
    <b:Tag>Hig</b:Tag>
    <b:SourceType>Report</b:SourceType>
    <b:Guid>{156CC016-FFAC-A34B-8CCC-22DABB43F8AE}</b:Guid>
    <b:Author>
      <b:Author>
        <b:NameList>
          <b:Person>
            <b:Last>Higton</b:Last>
            <b:First>J.</b:First>
          </b:Person>
          <b:Person>
            <b:Last>Archer</b:Last>
            <b:First>R.</b:First>
          </b:Person>
          <b:Person>
            <b:Last>Richards</b:Last>
            <b:First>S.</b:First>
          </b:Person>
          <b:Person>
            <b:Last>Desai</b:Last>
            <b:First>P.</b:First>
          </b:Person>
        </b:NameList>
      </b:Author>
    </b:Author>
    <b:Title>Support for disadvantaged students in FE:</b:Title>
    <b:Year>2017</b:Year>
    <b:Publisher>DfE</b:Publisher>
    <b:City>London</b:City>
    <b:RefOrder>85</b:RefOrder>
  </b:Source>
  <b:Source>
    <b:Tag>Wel23</b:Tag>
    <b:SourceType>InternetSite</b:SourceType>
    <b:Guid>{1E2FAFD1-724E-ED43-BFCB-3D191F7C6170}</b:Guid>
    <b:Author>
      <b:Author>
        <b:Corporate>WG</b:Corporate>
      </b:Author>
    </b:Author>
    <b:Title>Tertiary education reform: background information</b:Title>
    <b:URL>https://www.gov.wales/tertiary-education-reform-background-information-html#:~:text=The%20Tertiary%20Education%20and%20Research,supports%20our%20colleges%20and%20universities.</b:URL>
    <b:Year>2023</b:Year>
    <b:YearAccessed>2024</b:YearAccessed>
    <b:MonthAccessed>December</b:MonthAccessed>
    <b:DayAccessed>9th</b:DayAccessed>
    <b:RefOrder>12</b:RefOrder>
  </b:Source>
  <b:Source>
    <b:Tag>Wel22A</b:Tag>
    <b:SourceType>DocumentFromInternetSite</b:SourceType>
    <b:Guid>{512D589F-1577-2E4B-BA17-3ABDC252B682}</b:Guid>
    <b:Title>Tertiary Education and Research (Wales) Act</b:Title>
    <b:Year>2022</b:Year>
    <b:Author>
      <b:Author>
        <b:Corporate>WG</b:Corporate>
      </b:Author>
    </b:Author>
    <b:URL>https://www.gov.wales/tertiary-education-research-bill-wales</b:URL>
    <b:Month>September</b:Month>
    <b:Day>21st</b:Day>
    <b:YearAccessed>2024</b:YearAccessed>
    <b:MonthAccessed>December</b:MonthAccessed>
    <b:DayAccessed>10th</b:DayAccessed>
    <b:RefOrder>30</b:RefOrder>
  </b:Source>
  <b:Source>
    <b:Tag>Off24</b:Tag>
    <b:SourceType>InternetSite</b:SourceType>
    <b:Guid>{78B73147-6DED-9644-A66F-76552B026965}</b:Guid>
    <b:Author>
      <b:Author>
        <b:Corporate>ONS</b:Corporate>
      </b:Author>
    </b:Author>
    <b:Title>Young people from disadvantaged backgrounds feel less in control of their futures</b:Title>
    <b:URL>https://www.ons.gov.uk/peoplepopulationandcommunity/educationandchildcare/articles/youngpeoplefromdisadvantagedbackgroundsfeellessincontroloftheirfutures/2023-11-06</b:URL>
    <b:Year>2024</b:Year>
    <b:YearAccessed>2024</b:YearAccessed>
    <b:MonthAccessed>October</b:MonthAccessed>
    <b:DayAccessed>28</b:DayAccessed>
    <b:RefOrder>32</b:RefOrder>
  </b:Source>
  <b:Source>
    <b:Tag>Placeholder1</b:Tag>
    <b:SourceType>InternetSite</b:SourceType>
    <b:Guid>{198019C8-8A33-D345-8946-44501AC917C7}</b:Guid>
    <b:Author>
      <b:Author>
        <b:Corporate>Welsh Government</b:Corporate>
      </b:Author>
    </b:Author>
    <b:Title>Tertiary education reform: background information</b:Title>
    <b:URL>https://www.gov.wales/tertiary-education-reform-background-information-html#:~:text=The%20Tertiary%20Education%20and%20Research,supports%20our%20colleges%20and%20universities.</b:URL>
    <b:Year>2023</b:Year>
    <b:YearAccessed>2024</b:YearAccessed>
    <b:MonthAccessed>December</b:MonthAccessed>
    <b:DayAccessed>9th</b:DayAccessed>
    <b:RefOrder>86</b:RefOrder>
  </b:Source>
  <b:Source>
    <b:Tag>Pri13</b:Tag>
    <b:SourceType>Book</b:SourceType>
    <b:Guid>{8F754DD8-7384-9F45-9833-283E1424BC90}</b:Guid>
    <b:Title>Reinventing the Curriculum: New Trends in Curriculum Policy and Practice</b:Title>
    <b:Year>2013</b:Year>
    <b:Author>
      <b:Author>
        <b:NameList>
          <b:Person>
            <b:Last>Priestley</b:Last>
            <b:First>Mark</b:First>
          </b:Person>
          <b:Person>
            <b:Last>Biesta</b:Last>
            <b:First>Ger</b:First>
          </b:Person>
        </b:NameList>
      </b:Author>
    </b:Author>
    <b:RefOrder>88</b:RefOrder>
  </b:Source>
  <b:Source>
    <b:Tag>Tay11</b:Tag>
    <b:SourceType>JournalArticle</b:SourceType>
    <b:Guid>{D1BCCEF6-EEA4-1548-9DFF-84B363E8ABED}</b:Guid>
    <b:Title>Improving Student Engagement</b:Title>
    <b:Year>2011</b:Year>
    <b:Author>
      <b:Author>
        <b:NameList>
          <b:Person>
            <b:Last>Taylor</b:Last>
            <b:First>L.</b:First>
          </b:Person>
          <b:Person>
            <b:Last>Parsons</b:Last>
            <b:First>J.</b:First>
          </b:Person>
        </b:NameList>
      </b:Author>
    </b:Author>
    <b:JournalName>Current Issues in Education</b:JournalName>
    <b:Volume>14</b:Volume>
    <b:Pages>1-32</b:Pages>
    <b:RefOrder>89</b:RefOrder>
  </b:Source>
  <b:Source>
    <b:Tag>Ill18</b:Tag>
    <b:SourceType>Book</b:SourceType>
    <b:Guid>{7FA50B43-9669-A243-968E-EC8C8BFCBAD7}</b:Guid>
    <b:Title>Contemporary Theories of Learning: Learning Theorists... In Their Own Words</b:Title>
    <b:Year>2018</b:Year>
    <b:Author>
      <b:Author>
        <b:NameList>
          <b:Person>
            <b:Last>Illeris</b:Last>
            <b:First>K.</b:First>
          </b:Person>
        </b:NameList>
      </b:Author>
    </b:Author>
    <b:Publisher>Routledge</b:Publisher>
    <b:RefOrder>90</b:RefOrder>
  </b:Source>
  <b:Source>
    <b:Tag>Bas23</b:Tag>
    <b:SourceType>JournalArticle</b:SourceType>
    <b:Guid>{D3DD4951-5147-4C43-8BD7-3CBBD1503BCC}</b:Guid>
    <b:Author>
      <b:Author>
        <b:NameList>
          <b:Person>
            <b:Last>Bashir</b:Last>
            <b:First>Tayyaba</b:First>
          </b:Person>
          <b:Person>
            <b:Last>Khan</b:Last>
            <b:First>Muhammad</b:First>
            <b:Middle>Umair</b:Middle>
          </b:Person>
          <b:Person>
            <b:Last>Ahmad</b:Last>
            <b:First>Khalil</b:First>
          </b:Person>
        </b:NameList>
      </b:Author>
    </b:Author>
    <b:Title>Teacher Discourse and Student Engagement in ESL Learning Settings</b:Title>
    <b:Year>2023</b:Year>
    <b:JournalName>Harf-O-Sukhan</b:JournalName>
    <b:Volume>7</b:Volume>
    <b:Issue>2</b:Issue>
    <b:Pages>156-167</b:Pages>
    <b:RefOrder>91</b:RefOrder>
  </b:Source>
  <b:Source>
    <b:Tag>Dur18</b:Tag>
    <b:SourceType>JournalArticle</b:SourceType>
    <b:Guid>{07E47DF8-285D-F643-84D1-5C7E45F6A16C}</b:Guid>
    <b:Author>
      <b:Author>
        <b:NameList>
          <b:Person>
            <b:Last>Durán-Narucki</b:Last>
            <b:First>V.</b:First>
          </b:Person>
        </b:NameList>
      </b:Author>
    </b:Author>
    <b:Title>School building condition, school attendance, and academic achievement in New York City public schools</b:Title>
    <b:JournalName>Journal of Environmental Psychology</b:JournalName>
    <b:Year>2018</b:Year>
    <b:Volume>28</b:Volume>
    <b:Issue>3</b:Issue>
    <b:Pages>278-286</b:Pages>
    <b:RefOrder>93</b:RefOrder>
  </b:Source>
  <b:Source>
    <b:Tag>Sel16</b:Tag>
    <b:SourceType>Book</b:SourceType>
    <b:Guid>{6914EAA6-8D30-2B49-A92B-B559B68BD85E}</b:Guid>
    <b:Author>
      <b:Author>
        <b:NameList>
          <b:Person>
            <b:Last>Selwyn</b:Last>
            <b:First>Neil</b:First>
          </b:Person>
        </b:NameList>
      </b:Author>
    </b:Author>
    <b:Title>Is Technology Good for Education?</b:Title>
    <b:Year>2016</b:Year>
    <b:City>Cambridge UK</b:City>
    <b:Publisher>Polity Press</b:Publisher>
    <b:RefOrder>92</b:RefOrder>
  </b:Source>
  <b:Source>
    <b:Tag>Bas20</b:Tag>
    <b:SourceType>JournalArticle</b:SourceType>
    <b:Guid>{1EB7C136-47E6-2F4D-AF23-91D8A0674C9D}</b:Guid>
    <b:Title>The impact of effective timetable scheduling on student performance and well-being</b:Title>
    <b:Year>2020</b:Year>
    <b:Author>
      <b:Author>
        <b:NameList>
          <b:Person>
            <b:Last>Bashir</b:Last>
            <b:First>M</b:First>
          </b:Person>
          <b:Person>
            <b:Last>Khan</b:Last>
            <b:First>M</b:First>
          </b:Person>
          <b:Person>
            <b:Last>Ali</b:Last>
            <b:First>S.</b:First>
          </b:Person>
        </b:NameList>
      </b:Author>
    </b:Author>
    <b:JournalName>Journal of Educational Research and Practice</b:JournalName>
    <b:Volume>10</b:Volume>
    <b:Issue>2</b:Issue>
    <b:Pages>45-56</b:Pages>
    <b:RefOrder>94</b:RefOrder>
  </b:Source>
  <b:Source>
    <b:Tag>Bas201</b:Tag>
    <b:SourceType>JournalArticle</b:SourceType>
    <b:Guid>{D2A48AFC-DD6B-4043-83CB-AF4CD614F1E4}</b:Guid>
    <b:Author>
      <b:Author>
        <b:NameList>
          <b:Person>
            <b:Last>Bashir</b:Last>
            <b:First>N.,</b:First>
            <b:Middle>Sutherland, E., &amp; McCallum, D.</b:Middle>
          </b:Person>
        </b:NameList>
      </b:Author>
    </b:Author>
    <b:Title>Effective teaching strategies in vocational education</b:Title>
    <b:JournalName>Journal of Vocational Education and Training</b:JournalName>
    <b:Year>2020</b:Year>
    <b:Volume>72</b:Volume>
    <b:Issue>3</b:Issue>
    <b:Pages>337-352</b:Pages>
    <b:RefOrder>95</b:RefOrder>
  </b:Source>
  <b:Source>
    <b:Tag>Wel241</b:Tag>
    <b:SourceType>InternetSite</b:SourceType>
    <b:Guid>{28778705-19E4-6544-9887-EFD8D309A668}</b:Guid>
    <b:Author>
      <b:Author>
        <b:Corporate>WG</b:Corporate>
      </b:Author>
    </b:Author>
    <b:Title>More support for students and Further and Higher Education institutions</b:Title>
    <b:Year>2024</b:Year>
    <b:URL>https://www.gov.wales/more-support-students-and-further-and-higher-education-institutions</b:URL>
    <b:YearAccessed>2024</b:YearAccessed>
    <b:MonthAccessed>December</b:MonthAccessed>
    <b:DayAccessed>9th</b:DayAccessed>
    <b:RefOrder>16</b:RefOrder>
  </b:Source>
  <b:Source>
    <b:Tag>Lum20</b:Tag>
    <b:SourceType>JournalArticle</b:SourceType>
    <b:Guid>{DC72C4B6-7EF6-2F47-A5F3-4C7897C5BC3E}</b:Guid>
    <b:Author>
      <b:Author>
        <b:NameList>
          <b:Person>
            <b:Last>Lumatauw</b:Last>
            <b:First>Lietje</b:First>
          </b:Person>
          <b:Person>
            <b:Last>Wollah</b:Last>
            <b:First>Meidy</b:First>
          </b:Person>
          <b:Person>
            <b:Last>Tulangow</b:Last>
            <b:First>Rollyke</b:First>
          </b:Person>
        </b:NameList>
      </b:Author>
    </b:Author>
    <b:Title>Application of Student Centered Learning (SCL) Method through Discovery Strategies in Vocational Educations</b:Title>
    <b:JournalName>Open Journal of Social Sciences</b:JournalName>
    <b:Year>2020</b:Year>
    <b:Volume>8</b:Volume>
    <b:Issue>11</b:Issue>
    <b:RefOrder>49</b:RefOrder>
  </b:Source>
  <b:Source>
    <b:Tag>Ker23</b:Tag>
    <b:SourceType>JournalArticle</b:SourceType>
    <b:Guid>{23D79814-0B2D-7B4E-A61F-9F303A1664A6}</b:Guid>
    <b:Author>
      <b:Author>
        <b:NameList>
          <b:Person>
            <b:Last>Kerimbayev</b:Last>
            <b:First>Nurassyl</b:First>
          </b:Person>
          <b:Person>
            <b:Last>Umirzakova</b:Last>
            <b:First>Zhanat</b:First>
          </b:Person>
          <b:Person>
            <b:Last>Shadiev</b:Last>
            <b:First>Rustam</b:First>
          </b:Person>
          <b:Person>
            <b:Last>Jotsov</b:Last>
            <b:First>Vladimir</b:First>
          </b:Person>
        </b:NameList>
      </b:Author>
    </b:Author>
    <b:Title>A student-centered approach using modern technologies in distance learning: a systematic review of the literature</b:Title>
    <b:JournalName>Smart Learning Environments</b:JournalName>
    <b:Year>2023</b:Year>
    <b:Volume>10</b:Volume>
    <b:Issue>61</b:Issue>
    <b:RefOrder>50</b:RefOrder>
  </b:Source>
  <b:Source>
    <b:Tag>Ced15</b:Tag>
    <b:SourceType>Report</b:SourceType>
    <b:Guid>{C45FDE26-4095-F54D-9113-9DF8D5E39DF7}</b:Guid>
    <b:Title>Vocational pedagogies and benefits for learners: practices and challenges in Europe</b:Title>
    <b:Year>2015</b:Year>
    <b:Author>
      <b:Author>
        <b:Corporate>Cedefop</b:Corporate>
      </b:Author>
    </b:Author>
    <b:Publisher>Publications Office of the European Union</b:Publisher>
    <b:City>Luxembourg</b:City>
    <b:RefOrder>51</b:RefOrder>
  </b:Source>
  <b:Source>
    <b:Tag>Dun18</b:Tag>
    <b:SourceType>Misc</b:SourceType>
    <b:Guid>{8C8F2242-91CD-2943-848F-B988444039D6}</b:Guid>
    <b:Title>Exploring Student Centered Learning and Its Effect on the Self-Efficacy of Students</b:Title>
    <b:Publisher>College of Professional Studies Northeastern University</b:Publisher>
    <b:City>Boston, Massachusetts</b:City>
    <b:Year>2018</b:Year>
    <b:Author>
      <b:Author>
        <b:NameList>
          <b:Person>
            <b:Last>Dunn</b:Last>
            <b:First>Bryan</b:First>
          </b:Person>
        </b:NameList>
      </b:Author>
    </b:Author>
    <b:RefOrder>52</b:RefOrder>
  </b:Source>
  <b:Source>
    <b:Tag>And15</b:Tag>
    <b:SourceType>JournalArticle</b:SourceType>
    <b:Guid>{1A3F8AED-F416-E949-BEFC-4E7FA9B99CDA}</b:Guid>
    <b:Title>Student-centered instruction and academic achievement: linking mechanisms of educational inequality to schools’ instructional strategy</b:Title>
    <b:Year>2015</b:Year>
    <b:Author>
      <b:Author>
        <b:NameList>
          <b:Person>
            <b:Last>Andersen</b:Last>
            <b:First>Ida</b:First>
            <b:Middle>Gran</b:Middle>
          </b:Person>
          <b:Person>
            <b:Last>Andersen</b:Last>
            <b:First>Simon</b:First>
            <b:Middle>Calmar</b:Middle>
          </b:Person>
        </b:NameList>
      </b:Author>
    </b:Author>
    <b:JournalName>British Journal of Sociology of Education </b:JournalName>
    <b:Volume>38</b:Volume>
    <b:Issue>4</b:Issue>
    <b:Pages>533-550</b:Pages>
    <b:RefOrder>4</b:RefOrder>
  </b:Source>
  <b:Source>
    <b:Tag>Bre22</b:Tag>
    <b:SourceType>JournalArticle</b:SourceType>
    <b:Guid>{DAEC902A-2360-0D4B-AF8C-A5ED25F656E4}</b:Guid>
    <b:Author>
      <b:Author>
        <b:NameList>
          <b:Person>
            <b:Last>Bremner</b:Last>
            <b:First>Nicholas</b:First>
          </b:Person>
          <b:Person>
            <b:Last>Sakata</b:Last>
            <b:First>Nozomi</b:First>
          </b:Person>
          <b:Person>
            <b:Last>Cameron</b:Last>
            <b:First>Leanne</b:First>
          </b:Person>
        </b:NameList>
      </b:Author>
    </b:Author>
    <b:Title>The outcomes of learner-centred pedagogy: A systematic review</b:Title>
    <b:JournalName>International Journal of Educational Development</b:JournalName>
    <b:Year>2022</b:Year>
    <b:Volume>94</b:Volume>
    <b:Pages>1-11</b:Pages>
    <b:RefOrder>5</b:RefOrder>
  </b:Source>
  <b:Source>
    <b:Tag>WG05</b:Tag>
    <b:SourceType>Report</b:SourceType>
    <b:Guid>{AB352EF4-DBF0-724C-A4F4-CCCD3EFF1B92}</b:Guid>
    <b:Title>Learning Country: Learning Pathways 14-19 Action Plan</b:Title>
    <b:Year>2003</b:Year>
    <b:Author>
      <b:Author>
        <b:Corporate>WG</b:Corporate>
      </b:Author>
    </b:Author>
    <b:Publisher>Welsh Assembly Government</b:Publisher>
    <b:City>Cardiff</b:City>
    <b:RefOrder>29</b:RefOrder>
  </b:Source>
  <b:Source>
    <b:Tag>Cla17</b:Tag>
    <b:SourceType>JournalArticle</b:SourceType>
    <b:Guid>{28456C30-11BB-BC4F-A2A1-28146F242624}</b:Guid>
    <b:Title>Thematic analysis</b:Title>
    <b:Year>2017</b:Year>
    <b:Author>
      <b:Author>
        <b:NameList>
          <b:Person>
            <b:Last>Clarke</b:Last>
            <b:First>V.</b:First>
          </b:Person>
          <b:Person>
            <b:Last>Braun</b:Last>
            <b:First>V.</b:First>
          </b:Person>
        </b:NameList>
      </b:Author>
    </b:Author>
    <b:JournalName>The Journal of Positive Psychology</b:JournalName>
    <b:Volume>12</b:Volume>
    <b:Issue>3</b:Issue>
    <b:Pages>297-298</b:Pages>
    <b:RefOrder>80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00C8F1-A1EC-124C-BFF6-EC8377B1B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40</Pages>
  <Words>11750</Words>
  <Characters>66975</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How can a student-centred environment be created                 for Level 2 vocational students in A Further Education                INSTITUTION IN WALES?</vt:lpstr>
    </vt:vector>
  </TitlesOfParts>
  <Company/>
  <LinksUpToDate>false</LinksUpToDate>
  <CharactersWithSpaces>78568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a student-centred environment be created                 for Level 2 vocational students in A Further Education                INSTITUTION IN WALES?</dc:title>
  <dc:subject/>
  <dc:creator>Huw Morgan (1750078)</dc:creator>
  <cp:keywords/>
  <dc:description/>
  <cp:lastModifiedBy>Huw Morgan (1750078)</cp:lastModifiedBy>
  <cp:revision>12</cp:revision>
  <dcterms:created xsi:type="dcterms:W3CDTF">2024-12-20T15:05:00Z</dcterms:created>
  <dcterms:modified xsi:type="dcterms:W3CDTF">2024-12-21T11:58:00Z</dcterms:modified>
</cp:coreProperties>
</file>